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01D5F" w14:textId="65D78181" w:rsidR="00975726" w:rsidRPr="00BE150C" w:rsidRDefault="00CC3F10" w:rsidP="00970B54">
      <w:pPr>
        <w:pStyle w:val="Title"/>
        <w:rPr>
          <w:sz w:val="48"/>
          <w:szCs w:val="48"/>
        </w:rPr>
      </w:pPr>
      <w:bookmarkStart w:id="0" w:name="_GoBack"/>
      <w:bookmarkEnd w:id="0"/>
      <w:r>
        <w:rPr>
          <w:noProof/>
          <w:lang w:eastAsia="en-AU"/>
        </w:rPr>
        <w:drawing>
          <wp:anchor distT="0" distB="0" distL="114300" distR="114300" simplePos="0" relativeHeight="251659264" behindDoc="0" locked="0" layoutInCell="1" allowOverlap="1" wp14:anchorId="3EA29379" wp14:editId="000F56C4">
            <wp:simplePos x="0" y="0"/>
            <wp:positionH relativeFrom="column">
              <wp:posOffset>-427392</wp:posOffset>
            </wp:positionH>
            <wp:positionV relativeFrom="paragraph">
              <wp:posOffset>0</wp:posOffset>
            </wp:positionV>
            <wp:extent cx="3130146" cy="810696"/>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 Dept.png"/>
                    <pic:cNvPicPr/>
                  </pic:nvPicPr>
                  <pic:blipFill>
                    <a:blip r:embed="rId12">
                      <a:extLst>
                        <a:ext uri="{28A0092B-C50C-407E-A947-70E740481C1C}">
                          <a14:useLocalDpi xmlns:a14="http://schemas.microsoft.com/office/drawing/2010/main" val="0"/>
                        </a:ext>
                      </a:extLst>
                    </a:blip>
                    <a:stretch>
                      <a:fillRect/>
                    </a:stretch>
                  </pic:blipFill>
                  <pic:spPr>
                    <a:xfrm>
                      <a:off x="0" y="0"/>
                      <a:ext cx="3130146" cy="810696"/>
                    </a:xfrm>
                    <a:prstGeom prst="rect">
                      <a:avLst/>
                    </a:prstGeom>
                  </pic:spPr>
                </pic:pic>
              </a:graphicData>
            </a:graphic>
            <wp14:sizeRelH relativeFrom="margin">
              <wp14:pctWidth>0</wp14:pctWidth>
            </wp14:sizeRelH>
            <wp14:sizeRelV relativeFrom="margin">
              <wp14:pctHeight>0</wp14:pctHeight>
            </wp14:sizeRelV>
          </wp:anchor>
        </w:drawing>
      </w:r>
      <w:r w:rsidR="006B57F5" w:rsidRPr="00BE150C">
        <w:t>Regulator Performance Framework</w:t>
      </w:r>
    </w:p>
    <w:p w14:paraId="35339264" w14:textId="77777777" w:rsidR="006B57F5" w:rsidRPr="00BE150C" w:rsidRDefault="006B57F5" w:rsidP="00970B54">
      <w:pPr>
        <w:pStyle w:val="Subtitle"/>
        <w:ind w:right="662"/>
      </w:pPr>
      <w:r w:rsidRPr="00BE150C">
        <w:t>Self-Assessment Report</w:t>
      </w:r>
    </w:p>
    <w:p w14:paraId="1683C7BE" w14:textId="77777777" w:rsidR="002300AC" w:rsidRPr="00BE150C" w:rsidRDefault="006B57F5" w:rsidP="00970B54">
      <w:pPr>
        <w:rPr>
          <w:sz w:val="32"/>
          <w:szCs w:val="32"/>
        </w:rPr>
      </w:pPr>
      <w:r w:rsidRPr="00BE150C">
        <w:rPr>
          <w:sz w:val="32"/>
          <w:szCs w:val="32"/>
        </w:rPr>
        <w:t>Submitted by:</w:t>
      </w:r>
      <w:r w:rsidR="006820A5" w:rsidRPr="00BE150C">
        <w:rPr>
          <w:sz w:val="32"/>
          <w:szCs w:val="32"/>
        </w:rPr>
        <w:t xml:space="preserve"> </w:t>
      </w:r>
      <w:r w:rsidR="00601A2F" w:rsidRPr="00BE150C">
        <w:rPr>
          <w:sz w:val="32"/>
          <w:szCs w:val="32"/>
        </w:rPr>
        <w:t>Australian Industry Participation Authority</w:t>
      </w:r>
    </w:p>
    <w:p w14:paraId="58928D74" w14:textId="04861EAF" w:rsidR="00163B54" w:rsidRDefault="00D60F4D" w:rsidP="00970B54">
      <w:pPr>
        <w:rPr>
          <w:sz w:val="32"/>
          <w:szCs w:val="32"/>
        </w:rPr>
      </w:pPr>
      <w:r w:rsidRPr="00BE150C">
        <w:rPr>
          <w:sz w:val="32"/>
          <w:szCs w:val="32"/>
        </w:rPr>
        <w:t>201</w:t>
      </w:r>
      <w:r w:rsidR="00235E87">
        <w:rPr>
          <w:sz w:val="32"/>
          <w:szCs w:val="32"/>
        </w:rPr>
        <w:t>9</w:t>
      </w:r>
      <w:r w:rsidR="00FA4381">
        <w:rPr>
          <w:sz w:val="32"/>
          <w:szCs w:val="32"/>
        </w:rPr>
        <w:t xml:space="preserve"> </w:t>
      </w:r>
      <w:r w:rsidR="00E6538D">
        <w:rPr>
          <w:sz w:val="32"/>
          <w:szCs w:val="32"/>
        </w:rPr>
        <w:noBreakHyphen/>
      </w:r>
      <w:r w:rsidR="00FA4381">
        <w:rPr>
          <w:sz w:val="32"/>
          <w:szCs w:val="32"/>
        </w:rPr>
        <w:t xml:space="preserve"> </w:t>
      </w:r>
      <w:r w:rsidRPr="00BE150C">
        <w:rPr>
          <w:sz w:val="32"/>
          <w:szCs w:val="32"/>
        </w:rPr>
        <w:t>20</w:t>
      </w:r>
      <w:r w:rsidR="00235E87">
        <w:rPr>
          <w:sz w:val="32"/>
          <w:szCs w:val="32"/>
        </w:rPr>
        <w:t>20</w:t>
      </w:r>
    </w:p>
    <w:p w14:paraId="09497548" w14:textId="70464BD7" w:rsidR="006B57F5" w:rsidRDefault="009469F7" w:rsidP="00970B54">
      <w:pPr>
        <w:ind w:right="662"/>
        <w:rPr>
          <w:rStyle w:val="Hyperlink"/>
        </w:rPr>
      </w:pPr>
      <w:hyperlink r:id="rId13" w:history="1">
        <w:r w:rsidR="00DB728D" w:rsidRPr="00BE150C">
          <w:rPr>
            <w:rStyle w:val="Hyperlink"/>
          </w:rPr>
          <w:t>www.industry.gov.au/aip</w:t>
        </w:r>
      </w:hyperlink>
    </w:p>
    <w:p w14:paraId="075192E7" w14:textId="3FCBE39B" w:rsidR="00823901" w:rsidRDefault="00823901" w:rsidP="00970B54">
      <w:pPr>
        <w:ind w:right="662"/>
        <w:rPr>
          <w:color w:val="005677" w:themeColor="hyperlink"/>
          <w:u w:val="single"/>
        </w:rPr>
      </w:pPr>
    </w:p>
    <w:p w14:paraId="1CDC0581" w14:textId="77777777" w:rsidR="00823901" w:rsidRDefault="00823901" w:rsidP="00970B54">
      <w:pPr>
        <w:ind w:right="662"/>
        <w:rPr>
          <w:color w:val="005677" w:themeColor="hyperlink"/>
          <w:u w:val="single"/>
        </w:rPr>
      </w:pPr>
    </w:p>
    <w:p w14:paraId="44A60147" w14:textId="77777777" w:rsidR="00823901" w:rsidRDefault="00823901" w:rsidP="00970B54">
      <w:pPr>
        <w:ind w:right="662"/>
        <w:rPr>
          <w:color w:val="005677" w:themeColor="hyperlink"/>
          <w:u w:val="single"/>
        </w:rPr>
      </w:pPr>
    </w:p>
    <w:p w14:paraId="4550894A" w14:textId="77777777" w:rsidR="00823901" w:rsidRDefault="00823901" w:rsidP="00970B54">
      <w:pPr>
        <w:ind w:right="662"/>
        <w:rPr>
          <w:color w:val="005677" w:themeColor="hyperlink"/>
          <w:u w:val="single"/>
        </w:rPr>
      </w:pPr>
    </w:p>
    <w:p w14:paraId="4BB8A317" w14:textId="77777777" w:rsidR="00823901" w:rsidRDefault="00823901" w:rsidP="00970B54">
      <w:pPr>
        <w:ind w:right="662"/>
        <w:rPr>
          <w:color w:val="005677" w:themeColor="hyperlink"/>
          <w:u w:val="single"/>
        </w:rPr>
      </w:pPr>
    </w:p>
    <w:p w14:paraId="34802A8D" w14:textId="77777777" w:rsidR="00823901" w:rsidRDefault="00823901" w:rsidP="00970B54">
      <w:pPr>
        <w:ind w:right="662"/>
        <w:rPr>
          <w:color w:val="005677" w:themeColor="hyperlink"/>
          <w:u w:val="single"/>
        </w:rPr>
      </w:pPr>
    </w:p>
    <w:p w14:paraId="03CD3E4A" w14:textId="77777777" w:rsidR="00823901" w:rsidRDefault="00823901" w:rsidP="00970B54">
      <w:pPr>
        <w:ind w:right="662"/>
        <w:rPr>
          <w:color w:val="005677" w:themeColor="hyperlink"/>
          <w:u w:val="single"/>
        </w:rPr>
      </w:pPr>
    </w:p>
    <w:p w14:paraId="3856D288" w14:textId="77777777" w:rsidR="00823901" w:rsidRDefault="00823901" w:rsidP="00970B54">
      <w:pPr>
        <w:ind w:right="662"/>
        <w:rPr>
          <w:color w:val="005677" w:themeColor="hyperlink"/>
          <w:u w:val="single"/>
        </w:rPr>
      </w:pPr>
    </w:p>
    <w:p w14:paraId="58618901" w14:textId="77777777" w:rsidR="00823901" w:rsidRPr="00DB728D" w:rsidRDefault="00823901" w:rsidP="00970B54">
      <w:pPr>
        <w:ind w:right="662"/>
        <w:rPr>
          <w:color w:val="005677" w:themeColor="hyperlink"/>
          <w:u w:val="single"/>
        </w:rPr>
      </w:pPr>
    </w:p>
    <w:p w14:paraId="4778A100" w14:textId="77777777" w:rsidR="00CB2680" w:rsidRPr="00BE150C" w:rsidRDefault="00CB2680" w:rsidP="00DC7B51">
      <w:pPr>
        <w:pStyle w:val="Heading1"/>
        <w:numPr>
          <w:ilvl w:val="0"/>
          <w:numId w:val="0"/>
        </w:numPr>
        <w:ind w:right="5169"/>
        <w:rPr>
          <w:rStyle w:val="Tabletitle"/>
          <w:b/>
        </w:rPr>
      </w:pPr>
      <w:bookmarkStart w:id="1" w:name="_Toc326942572"/>
      <w:bookmarkStart w:id="2" w:name="_Toc51247674"/>
      <w:r w:rsidRPr="00BE150C">
        <w:rPr>
          <w:rStyle w:val="Tabletitle"/>
          <w:b/>
        </w:rPr>
        <w:lastRenderedPageBreak/>
        <w:t>Contents</w:t>
      </w:r>
      <w:bookmarkEnd w:id="1"/>
      <w:bookmarkEnd w:id="2"/>
    </w:p>
    <w:p w14:paraId="5E2B5583" w14:textId="77777777" w:rsidR="00446A07" w:rsidRDefault="00B37916">
      <w:pPr>
        <w:pStyle w:val="TOC1"/>
        <w:tabs>
          <w:tab w:val="right" w:leader="dot" w:pos="9736"/>
        </w:tabs>
        <w:rPr>
          <w:rFonts w:eastAsiaTheme="minorEastAsia"/>
          <w:noProof/>
          <w:sz w:val="22"/>
          <w:lang w:eastAsia="en-AU"/>
        </w:rPr>
      </w:pPr>
      <w:r w:rsidRPr="00BE150C">
        <w:fldChar w:fldCharType="begin"/>
      </w:r>
      <w:r w:rsidRPr="00BE150C">
        <w:instrText xml:space="preserve"> TOC \o "1-4" </w:instrText>
      </w:r>
      <w:r w:rsidRPr="00BE150C">
        <w:fldChar w:fldCharType="separate"/>
      </w:r>
      <w:r w:rsidR="00446A07" w:rsidRPr="001171AF">
        <w:rPr>
          <w:noProof/>
          <w:color w:val="005677" w:themeColor="accent1"/>
        </w:rPr>
        <w:t>Contents</w:t>
      </w:r>
      <w:r w:rsidR="00446A07">
        <w:rPr>
          <w:noProof/>
        </w:rPr>
        <w:tab/>
      </w:r>
      <w:r w:rsidR="00446A07">
        <w:rPr>
          <w:noProof/>
        </w:rPr>
        <w:fldChar w:fldCharType="begin"/>
      </w:r>
      <w:r w:rsidR="00446A07">
        <w:rPr>
          <w:noProof/>
        </w:rPr>
        <w:instrText xml:space="preserve"> PAGEREF _Toc51247674 \h </w:instrText>
      </w:r>
      <w:r w:rsidR="00446A07">
        <w:rPr>
          <w:noProof/>
        </w:rPr>
      </w:r>
      <w:r w:rsidR="00446A07">
        <w:rPr>
          <w:noProof/>
        </w:rPr>
        <w:fldChar w:fldCharType="separate"/>
      </w:r>
      <w:r w:rsidR="00446A07">
        <w:rPr>
          <w:noProof/>
        </w:rPr>
        <w:t>2</w:t>
      </w:r>
      <w:r w:rsidR="00446A07">
        <w:rPr>
          <w:noProof/>
        </w:rPr>
        <w:fldChar w:fldCharType="end"/>
      </w:r>
    </w:p>
    <w:p w14:paraId="3F7C68CB" w14:textId="77777777" w:rsidR="00446A07" w:rsidRDefault="00446A07">
      <w:pPr>
        <w:pStyle w:val="TOC1"/>
        <w:tabs>
          <w:tab w:val="left" w:pos="400"/>
          <w:tab w:val="right" w:leader="dot" w:pos="9736"/>
        </w:tabs>
        <w:rPr>
          <w:rFonts w:eastAsiaTheme="minorEastAsia"/>
          <w:noProof/>
          <w:sz w:val="22"/>
          <w:lang w:eastAsia="en-AU"/>
        </w:rPr>
      </w:pPr>
      <w:r>
        <w:rPr>
          <w:noProof/>
        </w:rPr>
        <w:t>1</w:t>
      </w:r>
      <w:r>
        <w:rPr>
          <w:rFonts w:eastAsiaTheme="minorEastAsia"/>
          <w:noProof/>
          <w:sz w:val="22"/>
          <w:lang w:eastAsia="en-AU"/>
        </w:rPr>
        <w:tab/>
      </w:r>
      <w:r>
        <w:rPr>
          <w:noProof/>
        </w:rPr>
        <w:t>Introduction</w:t>
      </w:r>
      <w:r>
        <w:rPr>
          <w:noProof/>
        </w:rPr>
        <w:tab/>
      </w:r>
      <w:r>
        <w:rPr>
          <w:noProof/>
        </w:rPr>
        <w:fldChar w:fldCharType="begin"/>
      </w:r>
      <w:r>
        <w:rPr>
          <w:noProof/>
        </w:rPr>
        <w:instrText xml:space="preserve"> PAGEREF _Toc51247675 \h </w:instrText>
      </w:r>
      <w:r>
        <w:rPr>
          <w:noProof/>
        </w:rPr>
      </w:r>
      <w:r>
        <w:rPr>
          <w:noProof/>
        </w:rPr>
        <w:fldChar w:fldCharType="separate"/>
      </w:r>
      <w:r>
        <w:rPr>
          <w:noProof/>
        </w:rPr>
        <w:t>3</w:t>
      </w:r>
      <w:r>
        <w:rPr>
          <w:noProof/>
        </w:rPr>
        <w:fldChar w:fldCharType="end"/>
      </w:r>
    </w:p>
    <w:p w14:paraId="22CD044C" w14:textId="77777777" w:rsidR="00446A07" w:rsidRDefault="00446A07">
      <w:pPr>
        <w:pStyle w:val="TOC2"/>
        <w:rPr>
          <w:rFonts w:eastAsiaTheme="minorEastAsia"/>
          <w:noProof/>
          <w:color w:val="auto"/>
          <w:sz w:val="22"/>
          <w:lang w:eastAsia="en-AU"/>
        </w:rPr>
      </w:pPr>
      <w:r>
        <w:rPr>
          <w:noProof/>
        </w:rPr>
        <w:t>1.1</w:t>
      </w:r>
      <w:r>
        <w:rPr>
          <w:rFonts w:eastAsiaTheme="minorEastAsia"/>
          <w:noProof/>
          <w:color w:val="auto"/>
          <w:sz w:val="22"/>
          <w:lang w:eastAsia="en-AU"/>
        </w:rPr>
        <w:tab/>
      </w:r>
      <w:r>
        <w:rPr>
          <w:noProof/>
        </w:rPr>
        <w:t>About the regulator</w:t>
      </w:r>
      <w:r>
        <w:rPr>
          <w:noProof/>
        </w:rPr>
        <w:tab/>
      </w:r>
      <w:r>
        <w:rPr>
          <w:noProof/>
        </w:rPr>
        <w:fldChar w:fldCharType="begin"/>
      </w:r>
      <w:r>
        <w:rPr>
          <w:noProof/>
        </w:rPr>
        <w:instrText xml:space="preserve"> PAGEREF _Toc51247676 \h </w:instrText>
      </w:r>
      <w:r>
        <w:rPr>
          <w:noProof/>
        </w:rPr>
      </w:r>
      <w:r>
        <w:rPr>
          <w:noProof/>
        </w:rPr>
        <w:fldChar w:fldCharType="separate"/>
      </w:r>
      <w:r>
        <w:rPr>
          <w:noProof/>
        </w:rPr>
        <w:t>3</w:t>
      </w:r>
      <w:r>
        <w:rPr>
          <w:noProof/>
        </w:rPr>
        <w:fldChar w:fldCharType="end"/>
      </w:r>
    </w:p>
    <w:p w14:paraId="2E2A9534" w14:textId="77777777" w:rsidR="00446A07" w:rsidRDefault="00446A07">
      <w:pPr>
        <w:pStyle w:val="TOC2"/>
        <w:rPr>
          <w:rFonts w:eastAsiaTheme="minorEastAsia"/>
          <w:noProof/>
          <w:color w:val="auto"/>
          <w:sz w:val="22"/>
          <w:lang w:eastAsia="en-AU"/>
        </w:rPr>
      </w:pPr>
      <w:r>
        <w:rPr>
          <w:noProof/>
        </w:rPr>
        <w:t>1.2</w:t>
      </w:r>
      <w:r>
        <w:rPr>
          <w:rFonts w:eastAsiaTheme="minorEastAsia"/>
          <w:noProof/>
          <w:color w:val="auto"/>
          <w:sz w:val="22"/>
          <w:lang w:eastAsia="en-AU"/>
        </w:rPr>
        <w:tab/>
      </w:r>
      <w:r>
        <w:rPr>
          <w:noProof/>
        </w:rPr>
        <w:t>The Australian Government Regulator Performance Framework</w:t>
      </w:r>
      <w:r>
        <w:rPr>
          <w:noProof/>
        </w:rPr>
        <w:tab/>
      </w:r>
      <w:r>
        <w:rPr>
          <w:noProof/>
        </w:rPr>
        <w:fldChar w:fldCharType="begin"/>
      </w:r>
      <w:r>
        <w:rPr>
          <w:noProof/>
        </w:rPr>
        <w:instrText xml:space="preserve"> PAGEREF _Toc51247677 \h </w:instrText>
      </w:r>
      <w:r>
        <w:rPr>
          <w:noProof/>
        </w:rPr>
      </w:r>
      <w:r>
        <w:rPr>
          <w:noProof/>
        </w:rPr>
        <w:fldChar w:fldCharType="separate"/>
      </w:r>
      <w:r>
        <w:rPr>
          <w:noProof/>
        </w:rPr>
        <w:t>4</w:t>
      </w:r>
      <w:r>
        <w:rPr>
          <w:noProof/>
        </w:rPr>
        <w:fldChar w:fldCharType="end"/>
      </w:r>
    </w:p>
    <w:p w14:paraId="5876D663" w14:textId="77777777" w:rsidR="00446A07" w:rsidRDefault="00446A07">
      <w:pPr>
        <w:pStyle w:val="TOC2"/>
        <w:rPr>
          <w:rFonts w:eastAsiaTheme="minorEastAsia"/>
          <w:noProof/>
          <w:color w:val="auto"/>
          <w:sz w:val="22"/>
          <w:lang w:eastAsia="en-AU"/>
        </w:rPr>
      </w:pPr>
      <w:r>
        <w:rPr>
          <w:noProof/>
        </w:rPr>
        <w:t>1.3</w:t>
      </w:r>
      <w:r>
        <w:rPr>
          <w:rFonts w:eastAsiaTheme="minorEastAsia"/>
          <w:noProof/>
          <w:color w:val="auto"/>
          <w:sz w:val="22"/>
          <w:lang w:eastAsia="en-AU"/>
        </w:rPr>
        <w:tab/>
      </w:r>
      <w:r>
        <w:rPr>
          <w:noProof/>
        </w:rPr>
        <w:t>Common resources</w:t>
      </w:r>
      <w:r>
        <w:rPr>
          <w:noProof/>
        </w:rPr>
        <w:tab/>
      </w:r>
      <w:r>
        <w:rPr>
          <w:noProof/>
        </w:rPr>
        <w:fldChar w:fldCharType="begin"/>
      </w:r>
      <w:r>
        <w:rPr>
          <w:noProof/>
        </w:rPr>
        <w:instrText xml:space="preserve"> PAGEREF _Toc51247679 \h </w:instrText>
      </w:r>
      <w:r>
        <w:rPr>
          <w:noProof/>
        </w:rPr>
      </w:r>
      <w:r>
        <w:rPr>
          <w:noProof/>
        </w:rPr>
        <w:fldChar w:fldCharType="separate"/>
      </w:r>
      <w:r>
        <w:rPr>
          <w:noProof/>
        </w:rPr>
        <w:t>5</w:t>
      </w:r>
      <w:r>
        <w:rPr>
          <w:noProof/>
        </w:rPr>
        <w:fldChar w:fldCharType="end"/>
      </w:r>
    </w:p>
    <w:p w14:paraId="620B6E67" w14:textId="77777777" w:rsidR="00446A07" w:rsidRDefault="00446A07">
      <w:pPr>
        <w:pStyle w:val="TOC1"/>
        <w:tabs>
          <w:tab w:val="left" w:pos="400"/>
          <w:tab w:val="right" w:leader="dot" w:pos="9736"/>
        </w:tabs>
        <w:rPr>
          <w:rFonts w:eastAsiaTheme="minorEastAsia"/>
          <w:noProof/>
          <w:sz w:val="22"/>
          <w:lang w:eastAsia="en-AU"/>
        </w:rPr>
      </w:pPr>
      <w:r>
        <w:rPr>
          <w:noProof/>
        </w:rPr>
        <w:t>2</w:t>
      </w:r>
      <w:r>
        <w:rPr>
          <w:rFonts w:eastAsiaTheme="minorEastAsia"/>
          <w:noProof/>
          <w:sz w:val="22"/>
          <w:lang w:eastAsia="en-AU"/>
        </w:rPr>
        <w:tab/>
      </w:r>
      <w:r>
        <w:rPr>
          <w:noProof/>
        </w:rPr>
        <w:t>Performance Scorecard</w:t>
      </w:r>
      <w:r>
        <w:rPr>
          <w:noProof/>
        </w:rPr>
        <w:tab/>
      </w:r>
      <w:r>
        <w:rPr>
          <w:noProof/>
        </w:rPr>
        <w:fldChar w:fldCharType="begin"/>
      </w:r>
      <w:r>
        <w:rPr>
          <w:noProof/>
        </w:rPr>
        <w:instrText xml:space="preserve"> PAGEREF _Toc51247680 \h </w:instrText>
      </w:r>
      <w:r>
        <w:rPr>
          <w:noProof/>
        </w:rPr>
      </w:r>
      <w:r>
        <w:rPr>
          <w:noProof/>
        </w:rPr>
        <w:fldChar w:fldCharType="separate"/>
      </w:r>
      <w:r>
        <w:rPr>
          <w:noProof/>
        </w:rPr>
        <w:t>6</w:t>
      </w:r>
      <w:r>
        <w:rPr>
          <w:noProof/>
        </w:rPr>
        <w:fldChar w:fldCharType="end"/>
      </w:r>
    </w:p>
    <w:p w14:paraId="7A2864B3" w14:textId="2E448525" w:rsidR="00394252" w:rsidRPr="00440A83" w:rsidRDefault="00B37916" w:rsidP="00095250">
      <w:pPr>
        <w:pStyle w:val="Heading2"/>
      </w:pPr>
      <w:r w:rsidRPr="00BE150C">
        <w:rPr>
          <w:rFonts w:asciiTheme="minorHAnsi" w:eastAsiaTheme="minorHAnsi" w:hAnsiTheme="minorHAnsi" w:cstheme="minorBidi"/>
          <w:color w:val="auto"/>
          <w:sz w:val="24"/>
          <w:szCs w:val="22"/>
        </w:rPr>
        <w:fldChar w:fldCharType="end"/>
      </w:r>
      <w:r w:rsidR="00FD5DE8" w:rsidRPr="00BE150C">
        <w:br w:type="page"/>
      </w:r>
    </w:p>
    <w:p w14:paraId="6160FF7B" w14:textId="77777777" w:rsidR="009116B1" w:rsidRPr="00BE150C" w:rsidRDefault="00C81ADD" w:rsidP="00105AE0">
      <w:pPr>
        <w:pStyle w:val="Heading1"/>
        <w:numPr>
          <w:ilvl w:val="0"/>
          <w:numId w:val="36"/>
        </w:numPr>
        <w:spacing w:before="0" w:line="240" w:lineRule="auto"/>
      </w:pPr>
      <w:bookmarkStart w:id="3" w:name="_Toc51247675"/>
      <w:r w:rsidRPr="00BE150C">
        <w:t>Introduction</w:t>
      </w:r>
      <w:bookmarkEnd w:id="3"/>
    </w:p>
    <w:p w14:paraId="61360346" w14:textId="09325143" w:rsidR="009116B1" w:rsidRPr="00BE150C" w:rsidRDefault="009116B1" w:rsidP="00E73BB1">
      <w:pPr>
        <w:spacing w:after="0" w:line="240" w:lineRule="auto"/>
      </w:pPr>
    </w:p>
    <w:tbl>
      <w:tblPr>
        <w:tblStyle w:val="TableGrid"/>
        <w:tblW w:w="9923"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779"/>
        <w:gridCol w:w="144"/>
      </w:tblGrid>
      <w:tr w:rsidR="009116B1" w:rsidRPr="00BE150C" w14:paraId="5C37866C" w14:textId="77777777" w:rsidTr="00446A07">
        <w:trPr>
          <w:gridAfter w:val="1"/>
          <w:wAfter w:w="144" w:type="dxa"/>
          <w:trHeight w:val="161"/>
        </w:trPr>
        <w:tc>
          <w:tcPr>
            <w:tcW w:w="9779" w:type="dxa"/>
            <w:shd w:val="clear" w:color="auto" w:fill="005677" w:themeFill="accent1"/>
            <w:vAlign w:val="center"/>
          </w:tcPr>
          <w:p w14:paraId="70287C5A" w14:textId="08613091" w:rsidR="009116B1" w:rsidRPr="00BE150C" w:rsidRDefault="009116B1" w:rsidP="003B487B">
            <w:pPr>
              <w:pStyle w:val="Heading2"/>
              <w:outlineLvl w:val="1"/>
            </w:pPr>
            <w:bookmarkStart w:id="4" w:name="_Toc51247676"/>
            <w:r w:rsidRPr="00BE150C">
              <w:t>About the regulator</w:t>
            </w:r>
            <w:bookmarkEnd w:id="4"/>
          </w:p>
        </w:tc>
      </w:tr>
      <w:tr w:rsidR="009116B1" w:rsidRPr="00BE150C" w14:paraId="476C1B8B" w14:textId="77777777" w:rsidTr="00446A07">
        <w:trPr>
          <w:gridAfter w:val="1"/>
          <w:wAfter w:w="144" w:type="dxa"/>
          <w:trHeight w:val="369"/>
        </w:trPr>
        <w:tc>
          <w:tcPr>
            <w:tcW w:w="9779" w:type="dxa"/>
          </w:tcPr>
          <w:p w14:paraId="592CD5A5" w14:textId="77777777" w:rsidR="00DB7554" w:rsidRPr="00BE150C" w:rsidRDefault="005422FF" w:rsidP="00446A07">
            <w:pPr>
              <w:jc w:val="both"/>
            </w:pPr>
            <w:r w:rsidRPr="00BE150C">
              <w:t>The A</w:t>
            </w:r>
            <w:r w:rsidR="002C7404" w:rsidRPr="00BE150C">
              <w:t xml:space="preserve">ustralian Industry </w:t>
            </w:r>
            <w:r w:rsidRPr="00BE150C">
              <w:t>P</w:t>
            </w:r>
            <w:r w:rsidR="002C7404" w:rsidRPr="00BE150C">
              <w:t xml:space="preserve">articipation </w:t>
            </w:r>
            <w:r w:rsidRPr="00BE150C">
              <w:t>Authority</w:t>
            </w:r>
            <w:r w:rsidR="00634A05" w:rsidRPr="00BE150C">
              <w:t xml:space="preserve"> (the</w:t>
            </w:r>
            <w:r w:rsidR="00AC4886" w:rsidRPr="00BE150C">
              <w:t xml:space="preserve"> </w:t>
            </w:r>
            <w:r w:rsidR="00634A05" w:rsidRPr="00BE150C">
              <w:t>Authority)</w:t>
            </w:r>
            <w:r w:rsidRPr="00BE150C">
              <w:t xml:space="preserve"> </w:t>
            </w:r>
            <w:r w:rsidR="00216834" w:rsidRPr="00BE150C">
              <w:t xml:space="preserve">administers </w:t>
            </w:r>
            <w:r w:rsidR="00634A05" w:rsidRPr="00BE150C">
              <w:t>the</w:t>
            </w:r>
            <w:r w:rsidR="009770B8" w:rsidRPr="00BE150C">
              <w:t xml:space="preserve"> </w:t>
            </w:r>
            <w:r w:rsidR="009770B8" w:rsidRPr="00BE150C">
              <w:rPr>
                <w:i/>
              </w:rPr>
              <w:t xml:space="preserve">Australian Jobs </w:t>
            </w:r>
            <w:r w:rsidR="002C7404" w:rsidRPr="00BE150C">
              <w:rPr>
                <w:i/>
              </w:rPr>
              <w:t>Act</w:t>
            </w:r>
            <w:r w:rsidR="00634A05" w:rsidRPr="00BE150C">
              <w:rPr>
                <w:i/>
              </w:rPr>
              <w:t xml:space="preserve"> 2013 </w:t>
            </w:r>
            <w:r w:rsidR="00634A05" w:rsidRPr="00BE150C">
              <w:t>(</w:t>
            </w:r>
            <w:r w:rsidR="00DB7554" w:rsidRPr="00BE150C">
              <w:t>the</w:t>
            </w:r>
            <w:r w:rsidR="00446A07">
              <w:t> </w:t>
            </w:r>
            <w:r w:rsidR="00A71E4A" w:rsidRPr="00BE150C">
              <w:t>Jobs</w:t>
            </w:r>
            <w:r w:rsidR="00216834" w:rsidRPr="00BE150C">
              <w:t xml:space="preserve"> </w:t>
            </w:r>
            <w:r w:rsidR="00634A05" w:rsidRPr="00BE150C">
              <w:t>Act)</w:t>
            </w:r>
            <w:r w:rsidR="002C7404" w:rsidRPr="00BE150C">
              <w:t xml:space="preserve">. </w:t>
            </w:r>
            <w:r w:rsidR="00C73449" w:rsidRPr="00BE150C">
              <w:t>The</w:t>
            </w:r>
            <w:r w:rsidR="00A71E4A" w:rsidRPr="00BE150C">
              <w:t xml:space="preserve"> Jobs</w:t>
            </w:r>
            <w:r w:rsidRPr="00BE150C">
              <w:t xml:space="preserve"> </w:t>
            </w:r>
            <w:r w:rsidR="00C73449" w:rsidRPr="00BE150C">
              <w:t xml:space="preserve">Act </w:t>
            </w:r>
            <w:r w:rsidR="00634A05" w:rsidRPr="00BE150C">
              <w:t>applies</w:t>
            </w:r>
            <w:r w:rsidRPr="00BE150C">
              <w:t xml:space="preserve"> to</w:t>
            </w:r>
            <w:r w:rsidR="00634A05" w:rsidRPr="00BE150C">
              <w:t xml:space="preserve"> </w:t>
            </w:r>
            <w:r w:rsidR="00B75755">
              <w:t>eligible major</w:t>
            </w:r>
            <w:r w:rsidRPr="00BE150C">
              <w:t xml:space="preserve"> public and private projects with </w:t>
            </w:r>
            <w:r w:rsidR="00634A05" w:rsidRPr="00BE150C">
              <w:t xml:space="preserve">a </w:t>
            </w:r>
            <w:r w:rsidRPr="00BE150C">
              <w:t>capital expenditure of</w:t>
            </w:r>
            <w:r w:rsidR="009564B4">
              <w:t> </w:t>
            </w:r>
            <w:r w:rsidR="00217960" w:rsidRPr="00BE150C">
              <w:t>AUD</w:t>
            </w:r>
            <w:r w:rsidRPr="00BE150C">
              <w:t>500 million or more.</w:t>
            </w:r>
            <w:r w:rsidR="008C1AA1" w:rsidRPr="00BE150C">
              <w:t xml:space="preserve"> </w:t>
            </w:r>
            <w:r w:rsidR="00B75755">
              <w:t xml:space="preserve">Regulated entities under the Jobs Act are the proponents and operators of these projects. </w:t>
            </w:r>
            <w:r w:rsidR="008C1AA1" w:rsidRPr="00BE150C">
              <w:t>Proponents are required to develop and implement</w:t>
            </w:r>
            <w:r w:rsidR="00767933" w:rsidRPr="00BE150C">
              <w:t xml:space="preserve"> an</w:t>
            </w:r>
            <w:r w:rsidRPr="00BE150C">
              <w:t xml:space="preserve"> A</w:t>
            </w:r>
            <w:r w:rsidR="00634A05" w:rsidRPr="00BE150C">
              <w:t xml:space="preserve">ustralian </w:t>
            </w:r>
            <w:r w:rsidRPr="00BE150C">
              <w:t>I</w:t>
            </w:r>
            <w:r w:rsidR="00634A05" w:rsidRPr="00BE150C">
              <w:t xml:space="preserve">ndustry </w:t>
            </w:r>
            <w:r w:rsidRPr="00BE150C">
              <w:t>P</w:t>
            </w:r>
            <w:r w:rsidR="00634A05" w:rsidRPr="00BE150C">
              <w:t>articipation (AIP)</w:t>
            </w:r>
            <w:r w:rsidRPr="00BE150C">
              <w:t xml:space="preserve"> plan </w:t>
            </w:r>
            <w:r w:rsidR="008C1AA1" w:rsidRPr="00BE150C">
              <w:t>detailing how</w:t>
            </w:r>
            <w:r w:rsidR="002C7404" w:rsidRPr="00BE150C">
              <w:t xml:space="preserve"> </w:t>
            </w:r>
            <w:r w:rsidR="008C1AA1" w:rsidRPr="00BE150C">
              <w:t>they</w:t>
            </w:r>
            <w:r w:rsidR="002C7404" w:rsidRPr="00BE150C">
              <w:t xml:space="preserve"> will </w:t>
            </w:r>
            <w:r w:rsidR="008C1AA1" w:rsidRPr="00BE150C">
              <w:t xml:space="preserve">ensure Australian entities have </w:t>
            </w:r>
            <w:r w:rsidR="002C7404" w:rsidRPr="00BE150C">
              <w:t xml:space="preserve">full, fair and reasonable opportunity </w:t>
            </w:r>
            <w:r w:rsidR="00634A05" w:rsidRPr="00BE150C">
              <w:t xml:space="preserve">to </w:t>
            </w:r>
            <w:r w:rsidR="00767933" w:rsidRPr="00BE150C">
              <w:t xml:space="preserve">bid </w:t>
            </w:r>
            <w:r w:rsidR="00446A07">
              <w:t>to supply key </w:t>
            </w:r>
            <w:r w:rsidR="008143DD" w:rsidRPr="00BE150C">
              <w:t>goods and services</w:t>
            </w:r>
            <w:r w:rsidR="00B75755">
              <w:t xml:space="preserve"> to the project</w:t>
            </w:r>
            <w:r w:rsidR="00634A05" w:rsidRPr="00BE150C">
              <w:t xml:space="preserve">. </w:t>
            </w:r>
          </w:p>
          <w:p w14:paraId="3E24E94B" w14:textId="699DAB2C" w:rsidR="008C1AA1" w:rsidRPr="00AE4755" w:rsidRDefault="00634A05" w:rsidP="00446A07">
            <w:pPr>
              <w:jc w:val="both"/>
              <w:rPr>
                <w:szCs w:val="20"/>
              </w:rPr>
            </w:pPr>
            <w:r w:rsidRPr="00BE150C">
              <w:t>A</w:t>
            </w:r>
            <w:r w:rsidR="00823901">
              <w:t xml:space="preserve">ustralian </w:t>
            </w:r>
            <w:r w:rsidRPr="00BE150C">
              <w:t>I</w:t>
            </w:r>
            <w:r w:rsidR="00823901">
              <w:t xml:space="preserve">ndustry </w:t>
            </w:r>
            <w:r w:rsidRPr="00BE150C">
              <w:t>P</w:t>
            </w:r>
            <w:r w:rsidR="00823901">
              <w:t xml:space="preserve">articipation </w:t>
            </w:r>
            <w:r w:rsidR="005C2485">
              <w:t>p</w:t>
            </w:r>
            <w:r w:rsidR="00941F18">
              <w:t>lans</w:t>
            </w:r>
            <w:r w:rsidR="008C1AA1" w:rsidRPr="00AE4755">
              <w:rPr>
                <w:szCs w:val="20"/>
              </w:rPr>
              <w:t>:</w:t>
            </w:r>
          </w:p>
          <w:p w14:paraId="2A432467" w14:textId="5B58F013" w:rsidR="008C1AA1" w:rsidRPr="00AE4755" w:rsidRDefault="008C1AA1" w:rsidP="00446A07">
            <w:pPr>
              <w:pStyle w:val="ListParagraph"/>
              <w:numPr>
                <w:ilvl w:val="0"/>
                <w:numId w:val="33"/>
              </w:numPr>
              <w:jc w:val="both"/>
              <w:rPr>
                <w:sz w:val="20"/>
                <w:szCs w:val="20"/>
              </w:rPr>
            </w:pPr>
            <w:r w:rsidRPr="00BE150C">
              <w:rPr>
                <w:sz w:val="20"/>
                <w:szCs w:val="20"/>
              </w:rPr>
              <w:t xml:space="preserve">detail </w:t>
            </w:r>
            <w:r w:rsidR="005422FF" w:rsidRPr="00BE150C">
              <w:rPr>
                <w:sz w:val="20"/>
                <w:szCs w:val="20"/>
              </w:rPr>
              <w:t xml:space="preserve">expected opportunities </w:t>
            </w:r>
            <w:r w:rsidR="00634A05" w:rsidRPr="00BE150C">
              <w:rPr>
                <w:sz w:val="20"/>
                <w:szCs w:val="20"/>
              </w:rPr>
              <w:t>for the</w:t>
            </w:r>
            <w:r w:rsidR="005422FF" w:rsidRPr="00BE150C">
              <w:rPr>
                <w:sz w:val="20"/>
                <w:szCs w:val="20"/>
              </w:rPr>
              <w:t xml:space="preserve"> supply</w:t>
            </w:r>
            <w:r w:rsidR="00634A05" w:rsidRPr="00BE150C">
              <w:rPr>
                <w:sz w:val="20"/>
                <w:szCs w:val="20"/>
              </w:rPr>
              <w:t xml:space="preserve"> of</w:t>
            </w:r>
            <w:r w:rsidR="005422FF" w:rsidRPr="00BE150C">
              <w:rPr>
                <w:sz w:val="20"/>
                <w:szCs w:val="20"/>
              </w:rPr>
              <w:t xml:space="preserve"> </w:t>
            </w:r>
            <w:r w:rsidR="004D63F1">
              <w:rPr>
                <w:sz w:val="20"/>
                <w:szCs w:val="20"/>
              </w:rPr>
              <w:t xml:space="preserve">key </w:t>
            </w:r>
            <w:r w:rsidR="005422FF" w:rsidRPr="00BE150C">
              <w:rPr>
                <w:sz w:val="20"/>
                <w:szCs w:val="20"/>
              </w:rPr>
              <w:t xml:space="preserve">goods and services to the project </w:t>
            </w:r>
            <w:r w:rsidR="00B75755">
              <w:rPr>
                <w:sz w:val="20"/>
                <w:szCs w:val="20"/>
              </w:rPr>
              <w:t>and the initial operational phase</w:t>
            </w:r>
            <w:r w:rsidR="00094DEE">
              <w:rPr>
                <w:sz w:val="20"/>
                <w:szCs w:val="20"/>
              </w:rPr>
              <w:t>;</w:t>
            </w:r>
          </w:p>
          <w:p w14:paraId="3F768D14" w14:textId="419EABB0" w:rsidR="008C1AA1" w:rsidRPr="00AE4755" w:rsidRDefault="00B75755" w:rsidP="00446A07">
            <w:pPr>
              <w:pStyle w:val="ListParagraph"/>
              <w:numPr>
                <w:ilvl w:val="0"/>
                <w:numId w:val="33"/>
              </w:numPr>
              <w:jc w:val="both"/>
              <w:rPr>
                <w:sz w:val="20"/>
                <w:szCs w:val="20"/>
              </w:rPr>
            </w:pPr>
            <w:r>
              <w:rPr>
                <w:sz w:val="20"/>
                <w:szCs w:val="20"/>
              </w:rPr>
              <w:t>describe</w:t>
            </w:r>
            <w:r w:rsidR="002C7404" w:rsidRPr="00BE150C">
              <w:rPr>
                <w:sz w:val="20"/>
                <w:szCs w:val="20"/>
              </w:rPr>
              <w:t xml:space="preserve"> </w:t>
            </w:r>
            <w:r w:rsidR="005422FF" w:rsidRPr="00BE150C">
              <w:rPr>
                <w:sz w:val="20"/>
                <w:szCs w:val="20"/>
              </w:rPr>
              <w:t>how these opportunities will be commun</w:t>
            </w:r>
            <w:r w:rsidR="002C6A4C" w:rsidRPr="00BE150C">
              <w:rPr>
                <w:sz w:val="20"/>
                <w:szCs w:val="20"/>
              </w:rPr>
              <w:t xml:space="preserve">icated to potential </w:t>
            </w:r>
            <w:r>
              <w:rPr>
                <w:sz w:val="20"/>
                <w:szCs w:val="20"/>
              </w:rPr>
              <w:t xml:space="preserve">Australian </w:t>
            </w:r>
            <w:r w:rsidR="002C6A4C" w:rsidRPr="00BE150C">
              <w:rPr>
                <w:sz w:val="20"/>
                <w:szCs w:val="20"/>
              </w:rPr>
              <w:t>suppliers</w:t>
            </w:r>
            <w:r w:rsidR="00094DEE">
              <w:rPr>
                <w:sz w:val="20"/>
                <w:szCs w:val="20"/>
              </w:rPr>
              <w:t>; and</w:t>
            </w:r>
          </w:p>
          <w:p w14:paraId="340583CE" w14:textId="43410382" w:rsidR="00455EAE" w:rsidRPr="00AE4755" w:rsidRDefault="00455EAE" w:rsidP="00446A07">
            <w:pPr>
              <w:pStyle w:val="ListParagraph"/>
              <w:numPr>
                <w:ilvl w:val="0"/>
                <w:numId w:val="33"/>
              </w:numPr>
              <w:spacing w:after="120"/>
              <w:jc w:val="both"/>
              <w:rPr>
                <w:sz w:val="20"/>
                <w:szCs w:val="20"/>
              </w:rPr>
            </w:pPr>
            <w:r w:rsidRPr="00BE150C">
              <w:rPr>
                <w:sz w:val="20"/>
                <w:szCs w:val="20"/>
              </w:rPr>
              <w:t>detail how Australian businesses will be assisted in longer-term participation, including encouraging capability development and integration into global supply chains.</w:t>
            </w:r>
          </w:p>
          <w:p w14:paraId="18E714F9" w14:textId="40369958" w:rsidR="000A7901" w:rsidRDefault="000A7901" w:rsidP="00446A07">
            <w:pPr>
              <w:jc w:val="both"/>
            </w:pPr>
            <w:r w:rsidRPr="000A7901">
              <w:t>The Jobs Act also requires compliance reporting on each AIP plan, during the project’s construction phase and two years into the operations phase</w:t>
            </w:r>
            <w:r w:rsidR="002513BD">
              <w:t xml:space="preserve"> (for projects that establish new facilities)</w:t>
            </w:r>
            <w:r w:rsidRPr="000A7901">
              <w:t>.</w:t>
            </w:r>
          </w:p>
          <w:p w14:paraId="14EA2B71" w14:textId="47370F26" w:rsidR="000A7901" w:rsidRDefault="00DB7554" w:rsidP="00446A07">
            <w:pPr>
              <w:pStyle w:val="CommentText"/>
              <w:spacing w:after="0"/>
              <w:jc w:val="both"/>
              <w:rPr>
                <w:sz w:val="20"/>
                <w:szCs w:val="22"/>
              </w:rPr>
            </w:pPr>
            <w:r w:rsidRPr="00BE150C">
              <w:rPr>
                <w:sz w:val="20"/>
                <w:szCs w:val="22"/>
              </w:rPr>
              <w:t>The Authority is a statutory position established under the</w:t>
            </w:r>
            <w:r w:rsidR="004C6F04" w:rsidRPr="00BE150C">
              <w:rPr>
                <w:sz w:val="20"/>
                <w:szCs w:val="22"/>
              </w:rPr>
              <w:t xml:space="preserve"> </w:t>
            </w:r>
            <w:r w:rsidR="008C1AA1" w:rsidRPr="00BE150C">
              <w:rPr>
                <w:sz w:val="20"/>
                <w:szCs w:val="22"/>
              </w:rPr>
              <w:t xml:space="preserve">Jobs </w:t>
            </w:r>
            <w:r w:rsidR="004C6F04" w:rsidRPr="00BE150C">
              <w:rPr>
                <w:sz w:val="20"/>
                <w:szCs w:val="22"/>
              </w:rPr>
              <w:t>Act</w:t>
            </w:r>
            <w:r w:rsidR="00941F18">
              <w:rPr>
                <w:sz w:val="20"/>
                <w:szCs w:val="22"/>
              </w:rPr>
              <w:t xml:space="preserve"> </w:t>
            </w:r>
            <w:r w:rsidR="008576C5" w:rsidRPr="00BE150C">
              <w:rPr>
                <w:sz w:val="20"/>
                <w:szCs w:val="22"/>
              </w:rPr>
              <w:t>to ensure compliance with the Act</w:t>
            </w:r>
            <w:r w:rsidR="008576C5">
              <w:rPr>
                <w:sz w:val="20"/>
                <w:szCs w:val="22"/>
              </w:rPr>
              <w:t xml:space="preserve">. Its role is to </w:t>
            </w:r>
            <w:r w:rsidR="008576C5" w:rsidRPr="00BE150C">
              <w:rPr>
                <w:sz w:val="20"/>
                <w:szCs w:val="22"/>
              </w:rPr>
              <w:t>evaluate, approve and publish summaries of AIP plans, monitor the implementation of AIP plans</w:t>
            </w:r>
            <w:r w:rsidR="00446A07">
              <w:rPr>
                <w:sz w:val="20"/>
                <w:szCs w:val="22"/>
              </w:rPr>
              <w:t xml:space="preserve"> and </w:t>
            </w:r>
            <w:r w:rsidR="002513BD">
              <w:rPr>
                <w:sz w:val="20"/>
                <w:szCs w:val="22"/>
              </w:rPr>
              <w:t>report on its activities</w:t>
            </w:r>
            <w:r w:rsidR="008576C5">
              <w:rPr>
                <w:sz w:val="20"/>
                <w:szCs w:val="22"/>
              </w:rPr>
              <w:t xml:space="preserve">. </w:t>
            </w:r>
            <w:r w:rsidR="00217960" w:rsidRPr="00BE150C">
              <w:rPr>
                <w:sz w:val="20"/>
                <w:szCs w:val="22"/>
              </w:rPr>
              <w:t xml:space="preserve">A permanent Authority has not been appointed. </w:t>
            </w:r>
            <w:r w:rsidR="001E0C4F" w:rsidRPr="00BE150C">
              <w:rPr>
                <w:sz w:val="20"/>
                <w:szCs w:val="22"/>
              </w:rPr>
              <w:t>T</w:t>
            </w:r>
            <w:r w:rsidR="00446A07">
              <w:rPr>
                <w:sz w:val="20"/>
                <w:szCs w:val="22"/>
              </w:rPr>
              <w:t>he Australian Government has </w:t>
            </w:r>
            <w:r w:rsidR="00217960" w:rsidRPr="00BE150C">
              <w:rPr>
                <w:sz w:val="20"/>
                <w:szCs w:val="22"/>
              </w:rPr>
              <w:t xml:space="preserve">appointed officers from the </w:t>
            </w:r>
            <w:r w:rsidR="0074062C">
              <w:rPr>
                <w:sz w:val="20"/>
                <w:szCs w:val="22"/>
              </w:rPr>
              <w:t xml:space="preserve">Department of </w:t>
            </w:r>
            <w:r w:rsidR="00F626D0" w:rsidRPr="00446A07">
              <w:rPr>
                <w:sz w:val="20"/>
                <w:szCs w:val="22"/>
              </w:rPr>
              <w:t>Industry</w:t>
            </w:r>
            <w:r w:rsidR="0074062C">
              <w:rPr>
                <w:sz w:val="20"/>
                <w:szCs w:val="22"/>
              </w:rPr>
              <w:t>, Science, Energy and Resources</w:t>
            </w:r>
            <w:r w:rsidR="0074062C" w:rsidRPr="00BE150C">
              <w:rPr>
                <w:sz w:val="20"/>
                <w:szCs w:val="22"/>
              </w:rPr>
              <w:t xml:space="preserve"> </w:t>
            </w:r>
            <w:r w:rsidR="00217960" w:rsidRPr="00BE150C">
              <w:rPr>
                <w:sz w:val="20"/>
                <w:szCs w:val="22"/>
              </w:rPr>
              <w:t>as the Acting Authority (in accordance with section 71 of the Jobs Act).</w:t>
            </w:r>
            <w:r w:rsidR="00A4519B" w:rsidRPr="00A4519B">
              <w:rPr>
                <w:rFonts w:ascii="Times New Roman" w:hAnsi="Times New Roman" w:cs="Times New Roman"/>
                <w:lang w:eastAsia="en-AU"/>
              </w:rPr>
              <w:t xml:space="preserve"> </w:t>
            </w:r>
            <w:r w:rsidR="00A4519B" w:rsidRPr="00A4519B">
              <w:rPr>
                <w:sz w:val="20"/>
                <w:szCs w:val="22"/>
              </w:rPr>
              <w:t xml:space="preserve">The Authority interacts with major project proponents with an emphasis on engagement and encouragement to ensure compliance. </w:t>
            </w:r>
            <w:r w:rsidR="008576C5">
              <w:rPr>
                <w:sz w:val="20"/>
                <w:szCs w:val="22"/>
              </w:rPr>
              <w:t>It is supported by departmental employees</w:t>
            </w:r>
            <w:r w:rsidR="008576C5" w:rsidRPr="00BE150C">
              <w:rPr>
                <w:sz w:val="20"/>
                <w:szCs w:val="22"/>
              </w:rPr>
              <w:t>.</w:t>
            </w:r>
          </w:p>
          <w:p w14:paraId="7CB23ACF" w14:textId="77777777" w:rsidR="005C2485" w:rsidRDefault="005C2485" w:rsidP="00446A07">
            <w:pPr>
              <w:pStyle w:val="CommentText"/>
              <w:spacing w:after="0"/>
              <w:jc w:val="both"/>
              <w:rPr>
                <w:sz w:val="20"/>
                <w:szCs w:val="22"/>
              </w:rPr>
            </w:pPr>
          </w:p>
          <w:p w14:paraId="2FB5A8C3" w14:textId="58FA1E26" w:rsidR="00DB7554" w:rsidRPr="00F55AF7" w:rsidRDefault="00455EAE" w:rsidP="00446A07">
            <w:pPr>
              <w:pStyle w:val="CommentText"/>
              <w:jc w:val="both"/>
              <w:rPr>
                <w:sz w:val="20"/>
                <w:szCs w:val="20"/>
              </w:rPr>
            </w:pPr>
            <w:r w:rsidRPr="00F55AF7">
              <w:rPr>
                <w:sz w:val="20"/>
                <w:szCs w:val="20"/>
              </w:rPr>
              <w:t>As a first step</w:t>
            </w:r>
            <w:r w:rsidR="005C2485" w:rsidRPr="00F55AF7">
              <w:rPr>
                <w:sz w:val="20"/>
                <w:szCs w:val="20"/>
              </w:rPr>
              <w:t>,</w:t>
            </w:r>
            <w:r w:rsidRPr="00F55AF7">
              <w:rPr>
                <w:sz w:val="20"/>
                <w:szCs w:val="20"/>
              </w:rPr>
              <w:t xml:space="preserve"> the Authority promotes awareness of the Jobs Act among </w:t>
            </w:r>
            <w:r w:rsidR="002513BD">
              <w:rPr>
                <w:sz w:val="20"/>
                <w:szCs w:val="20"/>
              </w:rPr>
              <w:t xml:space="preserve">regulated </w:t>
            </w:r>
            <w:r w:rsidRPr="00F55AF7">
              <w:rPr>
                <w:sz w:val="20"/>
                <w:szCs w:val="20"/>
              </w:rPr>
              <w:t xml:space="preserve">entities to </w:t>
            </w:r>
            <w:r w:rsidR="009122EE">
              <w:rPr>
                <w:sz w:val="20"/>
                <w:szCs w:val="20"/>
              </w:rPr>
              <w:t>explain</w:t>
            </w:r>
            <w:r w:rsidRPr="00F55AF7">
              <w:rPr>
                <w:sz w:val="20"/>
                <w:szCs w:val="20"/>
              </w:rPr>
              <w:t xml:space="preserve"> their </w:t>
            </w:r>
            <w:r w:rsidR="009122EE">
              <w:rPr>
                <w:sz w:val="20"/>
                <w:szCs w:val="20"/>
              </w:rPr>
              <w:t>obligations under the Act</w:t>
            </w:r>
            <w:r w:rsidRPr="00F55AF7">
              <w:rPr>
                <w:sz w:val="20"/>
                <w:szCs w:val="20"/>
              </w:rPr>
              <w:t xml:space="preserve">. </w:t>
            </w:r>
            <w:r w:rsidR="002513BD">
              <w:rPr>
                <w:sz w:val="20"/>
                <w:szCs w:val="20"/>
              </w:rPr>
              <w:t>W</w:t>
            </w:r>
            <w:r w:rsidRPr="00F55AF7">
              <w:rPr>
                <w:sz w:val="20"/>
                <w:szCs w:val="20"/>
              </w:rPr>
              <w:t xml:space="preserve">here evidence of a </w:t>
            </w:r>
            <w:r w:rsidR="000820BC">
              <w:rPr>
                <w:sz w:val="20"/>
                <w:szCs w:val="20"/>
              </w:rPr>
              <w:t xml:space="preserve">possible </w:t>
            </w:r>
            <w:r w:rsidRPr="00F55AF7">
              <w:rPr>
                <w:sz w:val="20"/>
                <w:szCs w:val="20"/>
              </w:rPr>
              <w:t xml:space="preserve">contravention </w:t>
            </w:r>
            <w:r w:rsidR="002513BD">
              <w:rPr>
                <w:sz w:val="20"/>
                <w:szCs w:val="20"/>
              </w:rPr>
              <w:t xml:space="preserve">of the Act’s requirements </w:t>
            </w:r>
            <w:r w:rsidRPr="00F55AF7">
              <w:rPr>
                <w:sz w:val="20"/>
                <w:szCs w:val="20"/>
              </w:rPr>
              <w:t xml:space="preserve">is detected, targeted advice and assistance is provided to ensure proponents are aware of </w:t>
            </w:r>
            <w:r w:rsidR="000820BC">
              <w:rPr>
                <w:sz w:val="20"/>
                <w:szCs w:val="20"/>
              </w:rPr>
              <w:t>their</w:t>
            </w:r>
            <w:r w:rsidRPr="00F55AF7">
              <w:rPr>
                <w:sz w:val="20"/>
                <w:szCs w:val="20"/>
              </w:rPr>
              <w:t xml:space="preserve"> obligations and remedy any contravention. For continuing contraventions, the Authority may seek to use administrative or court assisted enforcement methods.</w:t>
            </w:r>
          </w:p>
          <w:p w14:paraId="55F9BD28" w14:textId="537DE0C5" w:rsidR="006F6A2F" w:rsidRPr="006F6A2F" w:rsidRDefault="004D2716" w:rsidP="00446A07">
            <w:pPr>
              <w:jc w:val="both"/>
            </w:pPr>
            <w:r>
              <w:t xml:space="preserve">As at 30 </w:t>
            </w:r>
            <w:r w:rsidRPr="004C05C8">
              <w:t xml:space="preserve">June </w:t>
            </w:r>
            <w:r w:rsidR="00235E87" w:rsidRPr="004C05C8">
              <w:t>2020</w:t>
            </w:r>
            <w:r w:rsidRPr="004C05C8">
              <w:t>, the</w:t>
            </w:r>
            <w:r>
              <w:t xml:space="preserve"> Authority, and the Jobs Act, have operated for </w:t>
            </w:r>
            <w:r w:rsidR="00A2312F">
              <w:t xml:space="preserve">six </w:t>
            </w:r>
            <w:r>
              <w:t xml:space="preserve">and a half years, with a legislated five year review of the implementation of the Jobs Act completed in late 2018. </w:t>
            </w:r>
            <w:r w:rsidR="00446A07">
              <w:rPr>
                <w:rFonts w:cs="Segoe UI"/>
                <w:szCs w:val="20"/>
              </w:rPr>
              <w:t>The Authority considered and </w:t>
            </w:r>
            <w:r w:rsidR="006F6A2F" w:rsidRPr="00D37D2A">
              <w:rPr>
                <w:rFonts w:cs="Segoe UI"/>
                <w:szCs w:val="20"/>
              </w:rPr>
              <w:t>accepted all eight of the review’s recommendations and has implemented four to date</w:t>
            </w:r>
            <w:r w:rsidR="006F6A2F">
              <w:rPr>
                <w:rFonts w:cs="Segoe UI"/>
                <w:szCs w:val="20"/>
              </w:rPr>
              <w:t xml:space="preserve"> which gi</w:t>
            </w:r>
            <w:r w:rsidR="00446A07">
              <w:rPr>
                <w:rFonts w:cs="Segoe UI"/>
                <w:szCs w:val="20"/>
              </w:rPr>
              <w:t>ve the </w:t>
            </w:r>
            <w:r w:rsidR="006F6A2F" w:rsidRPr="00D37D2A">
              <w:rPr>
                <w:rFonts w:cs="Segoe UI"/>
                <w:szCs w:val="20"/>
              </w:rPr>
              <w:t>maximum benefit to proponents:</w:t>
            </w:r>
          </w:p>
          <w:p w14:paraId="68DA8FE7" w14:textId="12AFCB27" w:rsidR="006F6A2F" w:rsidRPr="00433C00" w:rsidRDefault="006F6A2F" w:rsidP="00446A07">
            <w:pPr>
              <w:pStyle w:val="ListParagraph"/>
              <w:numPr>
                <w:ilvl w:val="0"/>
                <w:numId w:val="38"/>
              </w:numPr>
              <w:spacing w:after="0"/>
              <w:jc w:val="both"/>
              <w:rPr>
                <w:rFonts w:cstheme="minorHAnsi"/>
                <w:sz w:val="20"/>
                <w:szCs w:val="20"/>
              </w:rPr>
            </w:pPr>
            <w:r w:rsidRPr="00433C00">
              <w:rPr>
                <w:rFonts w:cstheme="minorHAnsi"/>
                <w:sz w:val="20"/>
                <w:szCs w:val="20"/>
              </w:rPr>
              <w:t>streamlined the AIP plan and compliance report templates</w:t>
            </w:r>
            <w:r w:rsidR="00FA39D7">
              <w:rPr>
                <w:rFonts w:cstheme="minorHAnsi"/>
                <w:sz w:val="20"/>
                <w:szCs w:val="20"/>
              </w:rPr>
              <w:t>;</w:t>
            </w:r>
          </w:p>
          <w:p w14:paraId="23CF9219" w14:textId="48397294" w:rsidR="006F6A2F" w:rsidRPr="00433C00" w:rsidRDefault="006F6A2F" w:rsidP="00446A07">
            <w:pPr>
              <w:pStyle w:val="ListParagraph"/>
              <w:numPr>
                <w:ilvl w:val="0"/>
                <w:numId w:val="38"/>
              </w:numPr>
              <w:spacing w:after="0"/>
              <w:jc w:val="both"/>
              <w:rPr>
                <w:rFonts w:cstheme="minorHAnsi"/>
                <w:sz w:val="20"/>
                <w:szCs w:val="20"/>
              </w:rPr>
            </w:pPr>
            <w:r w:rsidRPr="00433C00">
              <w:rPr>
                <w:rFonts w:cstheme="minorHAnsi"/>
                <w:sz w:val="20"/>
                <w:szCs w:val="20"/>
              </w:rPr>
              <w:t>developed standard operating procedures for Authority staff</w:t>
            </w:r>
            <w:r w:rsidR="00FA39D7">
              <w:rPr>
                <w:rFonts w:cstheme="minorHAnsi"/>
                <w:sz w:val="20"/>
                <w:szCs w:val="20"/>
              </w:rPr>
              <w:t>;</w:t>
            </w:r>
          </w:p>
          <w:p w14:paraId="6D248240" w14:textId="28A5E191" w:rsidR="006F6A2F" w:rsidRPr="00433C00" w:rsidRDefault="006F6A2F" w:rsidP="00446A07">
            <w:pPr>
              <w:pStyle w:val="ListParagraph"/>
              <w:numPr>
                <w:ilvl w:val="0"/>
                <w:numId w:val="38"/>
              </w:numPr>
              <w:spacing w:after="0"/>
              <w:jc w:val="both"/>
              <w:rPr>
                <w:rFonts w:cstheme="minorHAnsi"/>
                <w:sz w:val="20"/>
                <w:szCs w:val="20"/>
              </w:rPr>
            </w:pPr>
            <w:r w:rsidRPr="00433C00">
              <w:rPr>
                <w:rFonts w:cstheme="minorHAnsi"/>
                <w:sz w:val="20"/>
                <w:szCs w:val="20"/>
              </w:rPr>
              <w:t>published guidance information on compliance dates for AIP plans</w:t>
            </w:r>
            <w:r w:rsidR="00FA39D7">
              <w:rPr>
                <w:rFonts w:cstheme="minorHAnsi"/>
                <w:sz w:val="20"/>
                <w:szCs w:val="20"/>
              </w:rPr>
              <w:t>; and</w:t>
            </w:r>
          </w:p>
          <w:p w14:paraId="2CA5C1CB" w14:textId="77777777" w:rsidR="006F6A2F" w:rsidRDefault="006F6A2F" w:rsidP="00446A07">
            <w:pPr>
              <w:pStyle w:val="ListParagraph"/>
              <w:numPr>
                <w:ilvl w:val="0"/>
                <w:numId w:val="38"/>
              </w:numPr>
              <w:spacing w:after="0"/>
              <w:jc w:val="both"/>
              <w:rPr>
                <w:rFonts w:cstheme="minorHAnsi"/>
                <w:sz w:val="20"/>
                <w:szCs w:val="20"/>
              </w:rPr>
            </w:pPr>
            <w:r w:rsidRPr="00433C00">
              <w:rPr>
                <w:rFonts w:cstheme="minorHAnsi"/>
                <w:sz w:val="20"/>
                <w:szCs w:val="20"/>
              </w:rPr>
              <w:t>developed an AIP plan exceptions process.</w:t>
            </w:r>
          </w:p>
          <w:p w14:paraId="7234CA2B" w14:textId="77777777" w:rsidR="00C20341" w:rsidRPr="00C20341" w:rsidRDefault="00C20341" w:rsidP="00446A07">
            <w:pPr>
              <w:spacing w:after="0"/>
              <w:jc w:val="both"/>
              <w:rPr>
                <w:rFonts w:cstheme="minorHAnsi"/>
                <w:szCs w:val="20"/>
              </w:rPr>
            </w:pPr>
          </w:p>
          <w:p w14:paraId="2FCE38E8" w14:textId="606B8543" w:rsidR="004D2716" w:rsidRPr="00FA39D7" w:rsidRDefault="00912680" w:rsidP="00446A07">
            <w:pPr>
              <w:jc w:val="both"/>
              <w:rPr>
                <w:rFonts w:cs="Segoe UI"/>
                <w:szCs w:val="20"/>
              </w:rPr>
            </w:pPr>
            <w:r>
              <w:rPr>
                <w:rFonts w:cs="Segoe UI"/>
                <w:szCs w:val="20"/>
              </w:rPr>
              <w:t xml:space="preserve">The remaining </w:t>
            </w:r>
            <w:r w:rsidR="006F6A2F" w:rsidRPr="00D37D2A">
              <w:rPr>
                <w:rFonts w:cs="Segoe UI"/>
                <w:szCs w:val="20"/>
              </w:rPr>
              <w:t xml:space="preserve">recommendations are being addressed including the monitoring and evaluation framework, communication strategy, review of the AIP website and information sharing with the states and territories. </w:t>
            </w:r>
            <w:r w:rsidR="004D2716">
              <w:rPr>
                <w:color w:val="000000"/>
                <w:lang w:eastAsia="en-AU"/>
              </w:rPr>
              <w:t xml:space="preserve"> </w:t>
            </w:r>
          </w:p>
          <w:p w14:paraId="46945BB7" w14:textId="0EF0198B" w:rsidR="00BF72D3" w:rsidRPr="004C05C8" w:rsidRDefault="00DB5C76" w:rsidP="00446A07">
            <w:pPr>
              <w:jc w:val="both"/>
            </w:pPr>
            <w:r w:rsidRPr="004C05C8">
              <w:t>In 20</w:t>
            </w:r>
            <w:r w:rsidR="00235E87" w:rsidRPr="004C05C8">
              <w:t>19</w:t>
            </w:r>
            <w:r w:rsidR="00FD51AE" w:rsidRPr="004C05C8">
              <w:noBreakHyphen/>
            </w:r>
            <w:r w:rsidR="00235E87" w:rsidRPr="004C05C8">
              <w:t>2020</w:t>
            </w:r>
            <w:r w:rsidR="00BF72D3" w:rsidRPr="004C05C8">
              <w:t>, the Authority:</w:t>
            </w:r>
          </w:p>
          <w:p w14:paraId="483C6583" w14:textId="0AA21440" w:rsidR="00C965C6" w:rsidRPr="004C05C8" w:rsidRDefault="005A3668" w:rsidP="00446A07">
            <w:pPr>
              <w:pStyle w:val="ListParagraph"/>
              <w:numPr>
                <w:ilvl w:val="0"/>
                <w:numId w:val="7"/>
              </w:numPr>
              <w:spacing w:after="120"/>
              <w:jc w:val="both"/>
              <w:rPr>
                <w:sz w:val="20"/>
                <w:szCs w:val="20"/>
              </w:rPr>
            </w:pPr>
            <w:r w:rsidRPr="004C05C8">
              <w:rPr>
                <w:sz w:val="20"/>
                <w:szCs w:val="20"/>
              </w:rPr>
              <w:t xml:space="preserve">wrote to </w:t>
            </w:r>
            <w:r w:rsidR="00DC1889" w:rsidRPr="004C05C8">
              <w:rPr>
                <w:sz w:val="20"/>
                <w:szCs w:val="20"/>
              </w:rPr>
              <w:t xml:space="preserve">21 </w:t>
            </w:r>
            <w:r w:rsidR="00C965C6" w:rsidRPr="004C05C8">
              <w:rPr>
                <w:sz w:val="20"/>
                <w:szCs w:val="20"/>
              </w:rPr>
              <w:t>project proponents alerting them to their potential obl</w:t>
            </w:r>
            <w:r w:rsidR="00446A07">
              <w:rPr>
                <w:sz w:val="20"/>
                <w:szCs w:val="20"/>
              </w:rPr>
              <w:t>igations under the Jobs Act and </w:t>
            </w:r>
            <w:r w:rsidR="00C965C6" w:rsidRPr="004C05C8">
              <w:rPr>
                <w:sz w:val="20"/>
                <w:szCs w:val="20"/>
              </w:rPr>
              <w:t xml:space="preserve">providing guidance on meeting the </w:t>
            </w:r>
            <w:r w:rsidR="00FA39D7">
              <w:rPr>
                <w:sz w:val="20"/>
                <w:szCs w:val="20"/>
              </w:rPr>
              <w:t xml:space="preserve">requirements; </w:t>
            </w:r>
          </w:p>
          <w:p w14:paraId="500F1E57" w14:textId="3FBFBE74" w:rsidR="00C965C6" w:rsidRPr="004C05C8" w:rsidRDefault="00C965C6" w:rsidP="00446A07">
            <w:pPr>
              <w:pStyle w:val="ListParagraph"/>
              <w:numPr>
                <w:ilvl w:val="0"/>
                <w:numId w:val="7"/>
              </w:numPr>
              <w:spacing w:after="120"/>
              <w:jc w:val="both"/>
              <w:rPr>
                <w:sz w:val="20"/>
                <w:szCs w:val="20"/>
              </w:rPr>
            </w:pPr>
            <w:r w:rsidRPr="004C05C8">
              <w:rPr>
                <w:sz w:val="20"/>
                <w:szCs w:val="20"/>
              </w:rPr>
              <w:t xml:space="preserve">received formal notification of </w:t>
            </w:r>
            <w:r w:rsidR="00DC1889" w:rsidRPr="004C05C8">
              <w:rPr>
                <w:sz w:val="20"/>
                <w:szCs w:val="20"/>
              </w:rPr>
              <w:t xml:space="preserve">31 </w:t>
            </w:r>
            <w:r w:rsidRPr="004C05C8">
              <w:rPr>
                <w:sz w:val="20"/>
                <w:szCs w:val="20"/>
              </w:rPr>
              <w:t>major projects with current or future obligation</w:t>
            </w:r>
            <w:r w:rsidR="00DB5C76" w:rsidRPr="004C05C8">
              <w:rPr>
                <w:sz w:val="20"/>
                <w:szCs w:val="20"/>
              </w:rPr>
              <w:t>s under the Jobs Act</w:t>
            </w:r>
            <w:r w:rsidR="00FA39D7">
              <w:rPr>
                <w:sz w:val="20"/>
                <w:szCs w:val="20"/>
              </w:rPr>
              <w:t>;</w:t>
            </w:r>
            <w:r w:rsidR="00DB5C76" w:rsidRPr="004C05C8">
              <w:rPr>
                <w:sz w:val="20"/>
                <w:szCs w:val="20"/>
              </w:rPr>
              <w:t xml:space="preserve"> </w:t>
            </w:r>
          </w:p>
          <w:p w14:paraId="6F0BE1F2" w14:textId="196FEEC9" w:rsidR="00C965C6" w:rsidRPr="004C05C8" w:rsidRDefault="00C965C6" w:rsidP="00446A07">
            <w:pPr>
              <w:pStyle w:val="ListParagraph"/>
              <w:numPr>
                <w:ilvl w:val="0"/>
                <w:numId w:val="7"/>
              </w:numPr>
              <w:spacing w:after="120"/>
              <w:jc w:val="both"/>
              <w:rPr>
                <w:sz w:val="20"/>
                <w:szCs w:val="20"/>
              </w:rPr>
            </w:pPr>
            <w:r w:rsidRPr="004C05C8">
              <w:rPr>
                <w:sz w:val="20"/>
                <w:szCs w:val="20"/>
              </w:rPr>
              <w:t xml:space="preserve">approved </w:t>
            </w:r>
            <w:r w:rsidR="00DC1889" w:rsidRPr="004C05C8">
              <w:rPr>
                <w:sz w:val="20"/>
                <w:szCs w:val="20"/>
              </w:rPr>
              <w:t xml:space="preserve">17 </w:t>
            </w:r>
            <w:r w:rsidRPr="004C05C8">
              <w:rPr>
                <w:sz w:val="20"/>
                <w:szCs w:val="20"/>
              </w:rPr>
              <w:t>draft AIP plans and publ</w:t>
            </w:r>
            <w:r w:rsidR="00285A86">
              <w:rPr>
                <w:sz w:val="20"/>
                <w:szCs w:val="20"/>
              </w:rPr>
              <w:t xml:space="preserve">ished the AIP plan summaries at </w:t>
            </w:r>
            <w:hyperlink r:id="rId14" w:history="1">
              <w:r w:rsidR="00285A86" w:rsidRPr="00297D45">
                <w:rPr>
                  <w:rStyle w:val="Hyperlink"/>
                  <w:sz w:val="20"/>
                  <w:szCs w:val="20"/>
                </w:rPr>
                <w:t>www.industry.gov.au/aip</w:t>
              </w:r>
            </w:hyperlink>
            <w:r w:rsidR="00285A86">
              <w:rPr>
                <w:sz w:val="20"/>
                <w:szCs w:val="20"/>
              </w:rPr>
              <w:t>; and</w:t>
            </w:r>
          </w:p>
          <w:p w14:paraId="4CFAD4FA" w14:textId="7D1D3A30" w:rsidR="000E1046" w:rsidRPr="004C05C8" w:rsidRDefault="00C965C6" w:rsidP="00446A07">
            <w:pPr>
              <w:pStyle w:val="ListParagraph"/>
              <w:numPr>
                <w:ilvl w:val="0"/>
                <w:numId w:val="7"/>
              </w:numPr>
              <w:spacing w:after="0"/>
              <w:jc w:val="both"/>
            </w:pPr>
            <w:r w:rsidRPr="004C05C8">
              <w:rPr>
                <w:sz w:val="20"/>
                <w:szCs w:val="20"/>
              </w:rPr>
              <w:t xml:space="preserve">received, evaluated and accepted </w:t>
            </w:r>
            <w:r w:rsidR="00DC1889" w:rsidRPr="004C05C8">
              <w:rPr>
                <w:sz w:val="20"/>
                <w:szCs w:val="20"/>
              </w:rPr>
              <w:t xml:space="preserve">78 </w:t>
            </w:r>
            <w:r w:rsidRPr="004C05C8">
              <w:rPr>
                <w:sz w:val="20"/>
                <w:szCs w:val="20"/>
              </w:rPr>
              <w:t>AIP pla</w:t>
            </w:r>
            <w:r w:rsidR="00DB5C76" w:rsidRPr="004C05C8">
              <w:rPr>
                <w:sz w:val="20"/>
                <w:szCs w:val="20"/>
              </w:rPr>
              <w:t>n compliance reports</w:t>
            </w:r>
            <w:r w:rsidRPr="004C05C8">
              <w:rPr>
                <w:sz w:val="20"/>
                <w:szCs w:val="20"/>
              </w:rPr>
              <w:t>.</w:t>
            </w:r>
          </w:p>
          <w:p w14:paraId="5ECEFD34" w14:textId="77777777" w:rsidR="008576C5" w:rsidRPr="004C05C8" w:rsidRDefault="008576C5" w:rsidP="00446A07">
            <w:pPr>
              <w:spacing w:after="0"/>
              <w:jc w:val="both"/>
            </w:pPr>
          </w:p>
          <w:p w14:paraId="649569E6" w14:textId="76C02CCC" w:rsidR="00566032" w:rsidRDefault="009122EE" w:rsidP="00446A07">
            <w:pPr>
              <w:jc w:val="both"/>
              <w:rPr>
                <w:szCs w:val="20"/>
              </w:rPr>
            </w:pPr>
            <w:r w:rsidRPr="004C05C8">
              <w:rPr>
                <w:szCs w:val="20"/>
              </w:rPr>
              <w:t>No applications were made</w:t>
            </w:r>
            <w:r w:rsidR="00BB0FDE">
              <w:rPr>
                <w:szCs w:val="20"/>
              </w:rPr>
              <w:t xml:space="preserve"> in 2019-2020</w:t>
            </w:r>
            <w:r w:rsidRPr="004C05C8">
              <w:rPr>
                <w:szCs w:val="20"/>
              </w:rPr>
              <w:t xml:space="preserve"> that met the requirements under the Australian Jobs (Australian Industry Participation) Rule 2014 for an exception to providing a draft AIP plan.</w:t>
            </w:r>
            <w:r w:rsidR="0064045C">
              <w:rPr>
                <w:szCs w:val="20"/>
              </w:rPr>
              <w:t xml:space="preserve"> </w:t>
            </w:r>
            <w:r w:rsidR="008576C5">
              <w:rPr>
                <w:szCs w:val="20"/>
              </w:rPr>
              <w:t>T</w:t>
            </w:r>
            <w:r w:rsidR="008576C5" w:rsidRPr="00F55AF7">
              <w:rPr>
                <w:szCs w:val="20"/>
              </w:rPr>
              <w:t>o date</w:t>
            </w:r>
            <w:r w:rsidR="008576C5">
              <w:rPr>
                <w:szCs w:val="20"/>
              </w:rPr>
              <w:t>, the Authority</w:t>
            </w:r>
            <w:r w:rsidR="008576C5" w:rsidRPr="00F55AF7">
              <w:rPr>
                <w:szCs w:val="20"/>
              </w:rPr>
              <w:t xml:space="preserve"> has provided </w:t>
            </w:r>
            <w:r w:rsidR="008576C5" w:rsidRPr="004C05C8">
              <w:rPr>
                <w:szCs w:val="20"/>
              </w:rPr>
              <w:t xml:space="preserve">nine </w:t>
            </w:r>
            <w:r w:rsidR="008576C5" w:rsidRPr="00105AE0">
              <w:rPr>
                <w:szCs w:val="20"/>
              </w:rPr>
              <w:t>exceptions</w:t>
            </w:r>
            <w:r w:rsidR="008576C5" w:rsidRPr="00F55AF7">
              <w:rPr>
                <w:szCs w:val="20"/>
              </w:rPr>
              <w:t xml:space="preserve"> to the requirement to submit an AIP plan where a compliant state or territory industry participation plan is in place</w:t>
            </w:r>
            <w:r w:rsidR="00566032" w:rsidRPr="00F55AF7">
              <w:rPr>
                <w:szCs w:val="20"/>
              </w:rPr>
              <w:t>.</w:t>
            </w:r>
          </w:p>
          <w:p w14:paraId="23DF4523" w14:textId="530C981C" w:rsidR="008576C5" w:rsidRPr="008576C5" w:rsidRDefault="008576C5" w:rsidP="00446A07">
            <w:pPr>
              <w:spacing w:after="0"/>
              <w:jc w:val="both"/>
              <w:rPr>
                <w:szCs w:val="20"/>
              </w:rPr>
            </w:pPr>
            <w:r w:rsidRPr="00F55AF7">
              <w:rPr>
                <w:szCs w:val="20"/>
              </w:rPr>
              <w:t>The Authority is yet to impose a penalty for a case of non-compliance.</w:t>
            </w:r>
          </w:p>
        </w:tc>
      </w:tr>
      <w:tr w:rsidR="003B487B" w:rsidRPr="00BE150C" w14:paraId="4A3F2EC5" w14:textId="77777777" w:rsidTr="00446A07">
        <w:tblPrEx>
          <w:tblBorders>
            <w:top w:val="single" w:sz="8" w:space="0" w:color="58595B" w:themeColor="text2"/>
            <w:left w:val="single" w:sz="8" w:space="0" w:color="58595B" w:themeColor="text2"/>
            <w:bottom w:val="single" w:sz="8" w:space="0" w:color="58595B" w:themeColor="text2"/>
            <w:right w:val="single" w:sz="8" w:space="0" w:color="58595B" w:themeColor="text2"/>
          </w:tblBorders>
        </w:tblPrEx>
        <w:tc>
          <w:tcPr>
            <w:tcW w:w="9923" w:type="dxa"/>
            <w:gridSpan w:val="2"/>
            <w:shd w:val="clear" w:color="auto" w:fill="005677" w:themeFill="accent1"/>
          </w:tcPr>
          <w:p w14:paraId="6A97525A" w14:textId="28493455" w:rsidR="003B487B" w:rsidRPr="00BE150C" w:rsidRDefault="003B487B" w:rsidP="007E1B0F">
            <w:pPr>
              <w:pStyle w:val="Heading2"/>
              <w:ind w:left="556" w:hanging="556"/>
              <w:outlineLvl w:val="1"/>
            </w:pPr>
            <w:bookmarkStart w:id="5" w:name="_Toc51247677"/>
            <w:r w:rsidRPr="00BE150C">
              <w:t>The Australian Government Regulator Performance Framework</w:t>
            </w:r>
            <w:bookmarkEnd w:id="5"/>
          </w:p>
        </w:tc>
      </w:tr>
      <w:tr w:rsidR="003B487B" w:rsidRPr="00BE150C" w14:paraId="334FC967" w14:textId="77777777" w:rsidTr="00446A07">
        <w:tblPrEx>
          <w:tblBorders>
            <w:top w:val="single" w:sz="8" w:space="0" w:color="58595B" w:themeColor="text2"/>
            <w:left w:val="single" w:sz="8" w:space="0" w:color="58595B" w:themeColor="text2"/>
            <w:bottom w:val="single" w:sz="8" w:space="0" w:color="58595B" w:themeColor="text2"/>
            <w:right w:val="single" w:sz="8" w:space="0" w:color="58595B" w:themeColor="text2"/>
          </w:tblBorders>
        </w:tblPrEx>
        <w:trPr>
          <w:trHeight w:val="369"/>
        </w:trPr>
        <w:tc>
          <w:tcPr>
            <w:tcW w:w="9923" w:type="dxa"/>
            <w:gridSpan w:val="2"/>
          </w:tcPr>
          <w:p w14:paraId="2CD7A1D0" w14:textId="4031A746" w:rsidR="003B487B" w:rsidRPr="00BE150C" w:rsidRDefault="003B487B" w:rsidP="00446A07">
            <w:pPr>
              <w:jc w:val="both"/>
            </w:pPr>
            <w:r w:rsidRPr="00BE150C">
              <w:t xml:space="preserve">The Regulator Performance Framework (the Framework) is an important part of the Government’s commitment to reduce the cost of unnecessary or inefficient regulation imposed on individuals, business and community organisations. The Framework </w:t>
            </w:r>
            <w:r w:rsidR="001707D8">
              <w:t>was</w:t>
            </w:r>
            <w:r w:rsidRPr="00BE150C">
              <w:t xml:space="preserve"> developed following consultation with a range of stakeholders and consists of six outcome-based key performance indicators (KPIs): </w:t>
            </w:r>
          </w:p>
          <w:p w14:paraId="67677E34" w14:textId="783FE139" w:rsidR="003B487B" w:rsidRPr="00424900" w:rsidRDefault="00E6538D" w:rsidP="00446A07">
            <w:pPr>
              <w:pStyle w:val="ListParagraph"/>
              <w:numPr>
                <w:ilvl w:val="0"/>
                <w:numId w:val="6"/>
              </w:numPr>
              <w:spacing w:after="120"/>
              <w:jc w:val="both"/>
              <w:rPr>
                <w:sz w:val="20"/>
                <w:szCs w:val="20"/>
              </w:rPr>
            </w:pPr>
            <w:r w:rsidRPr="00424900">
              <w:rPr>
                <w:sz w:val="20"/>
                <w:szCs w:val="20"/>
              </w:rPr>
              <w:t>R</w:t>
            </w:r>
            <w:r w:rsidR="003B487B" w:rsidRPr="00424900">
              <w:rPr>
                <w:sz w:val="20"/>
                <w:szCs w:val="20"/>
              </w:rPr>
              <w:t>educing regulatory burden</w:t>
            </w:r>
            <w:r w:rsidRPr="00424900">
              <w:rPr>
                <w:sz w:val="20"/>
                <w:szCs w:val="20"/>
              </w:rPr>
              <w:t>.</w:t>
            </w:r>
            <w:r w:rsidR="003B487B" w:rsidRPr="00424900">
              <w:rPr>
                <w:sz w:val="20"/>
                <w:szCs w:val="20"/>
              </w:rPr>
              <w:t xml:space="preserve"> </w:t>
            </w:r>
          </w:p>
          <w:p w14:paraId="08618256" w14:textId="2DB2B188" w:rsidR="003B487B" w:rsidRPr="00424900" w:rsidRDefault="00E6538D" w:rsidP="00446A07">
            <w:pPr>
              <w:pStyle w:val="ListParagraph"/>
              <w:numPr>
                <w:ilvl w:val="0"/>
                <w:numId w:val="6"/>
              </w:numPr>
              <w:spacing w:after="120"/>
              <w:jc w:val="both"/>
              <w:rPr>
                <w:sz w:val="20"/>
                <w:szCs w:val="20"/>
              </w:rPr>
            </w:pPr>
            <w:r w:rsidRPr="00424900">
              <w:rPr>
                <w:sz w:val="20"/>
                <w:szCs w:val="20"/>
              </w:rPr>
              <w:t>T</w:t>
            </w:r>
            <w:r w:rsidR="003B487B" w:rsidRPr="00424900">
              <w:rPr>
                <w:sz w:val="20"/>
                <w:szCs w:val="20"/>
              </w:rPr>
              <w:t>argeted communications</w:t>
            </w:r>
            <w:r w:rsidRPr="00424900">
              <w:rPr>
                <w:sz w:val="20"/>
                <w:szCs w:val="20"/>
              </w:rPr>
              <w:t>.</w:t>
            </w:r>
            <w:r w:rsidR="003B487B" w:rsidRPr="00424900">
              <w:rPr>
                <w:sz w:val="20"/>
                <w:szCs w:val="20"/>
              </w:rPr>
              <w:t xml:space="preserve"> </w:t>
            </w:r>
          </w:p>
          <w:p w14:paraId="1FD1D0DF" w14:textId="6191563B" w:rsidR="003B487B" w:rsidRPr="00424900" w:rsidRDefault="00E6538D" w:rsidP="00446A07">
            <w:pPr>
              <w:pStyle w:val="ListParagraph"/>
              <w:numPr>
                <w:ilvl w:val="0"/>
                <w:numId w:val="6"/>
              </w:numPr>
              <w:spacing w:after="120"/>
              <w:jc w:val="both"/>
              <w:rPr>
                <w:sz w:val="20"/>
                <w:szCs w:val="20"/>
              </w:rPr>
            </w:pPr>
            <w:r w:rsidRPr="00424900">
              <w:rPr>
                <w:sz w:val="20"/>
                <w:szCs w:val="20"/>
              </w:rPr>
              <w:t>R</w:t>
            </w:r>
            <w:r w:rsidR="003B487B" w:rsidRPr="00424900">
              <w:rPr>
                <w:sz w:val="20"/>
                <w:szCs w:val="20"/>
              </w:rPr>
              <w:t>isk-based and proportionate approaches</w:t>
            </w:r>
            <w:r w:rsidRPr="00424900">
              <w:rPr>
                <w:sz w:val="20"/>
                <w:szCs w:val="20"/>
              </w:rPr>
              <w:t>.</w:t>
            </w:r>
          </w:p>
          <w:p w14:paraId="4F46B442" w14:textId="7C519C51" w:rsidR="003B487B" w:rsidRPr="00424900" w:rsidRDefault="00E6538D" w:rsidP="00446A07">
            <w:pPr>
              <w:pStyle w:val="ListParagraph"/>
              <w:numPr>
                <w:ilvl w:val="0"/>
                <w:numId w:val="6"/>
              </w:numPr>
              <w:spacing w:after="120"/>
              <w:jc w:val="both"/>
              <w:rPr>
                <w:sz w:val="20"/>
                <w:szCs w:val="20"/>
              </w:rPr>
            </w:pPr>
            <w:r w:rsidRPr="00424900">
              <w:rPr>
                <w:sz w:val="20"/>
                <w:szCs w:val="20"/>
              </w:rPr>
              <w:t>E</w:t>
            </w:r>
            <w:r w:rsidR="003B487B" w:rsidRPr="00424900">
              <w:rPr>
                <w:sz w:val="20"/>
                <w:szCs w:val="20"/>
              </w:rPr>
              <w:t>fficient and coordinated monitoring</w:t>
            </w:r>
            <w:r w:rsidRPr="00424900">
              <w:rPr>
                <w:sz w:val="20"/>
                <w:szCs w:val="20"/>
              </w:rPr>
              <w:t>.</w:t>
            </w:r>
            <w:r w:rsidR="003B487B" w:rsidRPr="00424900">
              <w:rPr>
                <w:sz w:val="20"/>
                <w:szCs w:val="20"/>
              </w:rPr>
              <w:t xml:space="preserve"> </w:t>
            </w:r>
          </w:p>
          <w:p w14:paraId="667E191F" w14:textId="01D25FA4" w:rsidR="003B487B" w:rsidRPr="00424900" w:rsidRDefault="00E6538D" w:rsidP="00446A07">
            <w:pPr>
              <w:pStyle w:val="ListParagraph"/>
              <w:numPr>
                <w:ilvl w:val="0"/>
                <w:numId w:val="6"/>
              </w:numPr>
              <w:spacing w:after="120"/>
              <w:jc w:val="both"/>
              <w:rPr>
                <w:sz w:val="20"/>
                <w:szCs w:val="20"/>
              </w:rPr>
            </w:pPr>
            <w:r w:rsidRPr="00424900">
              <w:rPr>
                <w:sz w:val="20"/>
                <w:szCs w:val="20"/>
              </w:rPr>
              <w:t>T</w:t>
            </w:r>
            <w:r w:rsidR="003B487B" w:rsidRPr="00424900">
              <w:rPr>
                <w:sz w:val="20"/>
                <w:szCs w:val="20"/>
              </w:rPr>
              <w:t>ransparency</w:t>
            </w:r>
            <w:r w:rsidRPr="00424900">
              <w:rPr>
                <w:sz w:val="20"/>
                <w:szCs w:val="20"/>
              </w:rPr>
              <w:t>.</w:t>
            </w:r>
            <w:r w:rsidR="003B487B" w:rsidRPr="00424900">
              <w:rPr>
                <w:sz w:val="20"/>
                <w:szCs w:val="20"/>
              </w:rPr>
              <w:t xml:space="preserve"> </w:t>
            </w:r>
          </w:p>
          <w:p w14:paraId="0E96AF9A" w14:textId="29E16189" w:rsidR="003B487B" w:rsidRDefault="00E6538D" w:rsidP="00446A07">
            <w:pPr>
              <w:pStyle w:val="ListParagraph"/>
              <w:numPr>
                <w:ilvl w:val="0"/>
                <w:numId w:val="6"/>
              </w:numPr>
              <w:spacing w:after="120"/>
              <w:jc w:val="both"/>
              <w:rPr>
                <w:sz w:val="20"/>
                <w:szCs w:val="20"/>
              </w:rPr>
            </w:pPr>
            <w:r w:rsidRPr="00424900">
              <w:rPr>
                <w:sz w:val="20"/>
                <w:szCs w:val="20"/>
              </w:rPr>
              <w:t>C</w:t>
            </w:r>
            <w:r w:rsidR="003B487B" w:rsidRPr="00424900">
              <w:rPr>
                <w:sz w:val="20"/>
                <w:szCs w:val="20"/>
              </w:rPr>
              <w:t>ontinuous improvement.</w:t>
            </w:r>
          </w:p>
          <w:p w14:paraId="45DB6BA8" w14:textId="492F89DC" w:rsidR="003B487B" w:rsidRDefault="003B487B" w:rsidP="00446A07">
            <w:pPr>
              <w:pStyle w:val="Heading3"/>
              <w:numPr>
                <w:ilvl w:val="0"/>
                <w:numId w:val="0"/>
              </w:numPr>
              <w:jc w:val="both"/>
              <w:outlineLvl w:val="2"/>
              <w:rPr>
                <w:color w:val="auto"/>
              </w:rPr>
            </w:pPr>
            <w:bookmarkStart w:id="6" w:name="_Toc516671344"/>
            <w:bookmarkStart w:id="7" w:name="_Toc51247678"/>
            <w:r w:rsidRPr="00BE150C">
              <w:rPr>
                <w:color w:val="auto"/>
              </w:rPr>
              <w:t>Performance measures (PM)</w:t>
            </w:r>
            <w:bookmarkEnd w:id="6"/>
            <w:bookmarkEnd w:id="7"/>
          </w:p>
          <w:p w14:paraId="0DBDD52A" w14:textId="513A6CFA" w:rsidR="003B487B" w:rsidRPr="00BE150C" w:rsidRDefault="003B487B" w:rsidP="00446A07">
            <w:pPr>
              <w:jc w:val="both"/>
            </w:pPr>
            <w:r w:rsidRPr="00BE150C">
              <w:t>The following five performance measures were agreed upon by the Hon Ian Macf</w:t>
            </w:r>
            <w:r w:rsidR="00446A07">
              <w:t>arlane, the former Minister for </w:t>
            </w:r>
            <w:r w:rsidRPr="00BE150C">
              <w:t xml:space="preserve">Industry and Science on 21 July 2015, for the assessment of the Authority under the Framework.  </w:t>
            </w:r>
          </w:p>
          <w:p w14:paraId="46A76A86" w14:textId="787BEB74" w:rsidR="003B487B" w:rsidRPr="00BE150C" w:rsidRDefault="003B487B" w:rsidP="00446A07">
            <w:pPr>
              <w:pStyle w:val="ListParagraph"/>
              <w:numPr>
                <w:ilvl w:val="0"/>
                <w:numId w:val="31"/>
              </w:numPr>
              <w:spacing w:after="120"/>
              <w:jc w:val="both"/>
              <w:rPr>
                <w:sz w:val="20"/>
                <w:szCs w:val="20"/>
              </w:rPr>
            </w:pPr>
            <w:r w:rsidRPr="00BE150C">
              <w:rPr>
                <w:b/>
                <w:sz w:val="20"/>
                <w:szCs w:val="20"/>
              </w:rPr>
              <w:t>Performance commitment (PM 1):</w:t>
            </w:r>
            <w:r w:rsidRPr="00BE150C">
              <w:rPr>
                <w:sz w:val="20"/>
                <w:szCs w:val="20"/>
              </w:rPr>
              <w:t xml:space="preserve"> Demonstrating a clear commitment to</w:t>
            </w:r>
            <w:r w:rsidR="00446A07">
              <w:rPr>
                <w:sz w:val="20"/>
                <w:szCs w:val="20"/>
              </w:rPr>
              <w:t xml:space="preserve"> performance standards that are </w:t>
            </w:r>
            <w:r w:rsidRPr="00BE150C">
              <w:rPr>
                <w:sz w:val="20"/>
                <w:szCs w:val="20"/>
              </w:rPr>
              <w:t>transparent to all stakeholders and monitoring progress against these standards.</w:t>
            </w:r>
          </w:p>
          <w:p w14:paraId="1FAE6E59" w14:textId="005B2F94" w:rsidR="003B487B" w:rsidRPr="00CB09B0" w:rsidRDefault="003B487B" w:rsidP="00446A07">
            <w:pPr>
              <w:pStyle w:val="ListParagraph"/>
              <w:numPr>
                <w:ilvl w:val="0"/>
                <w:numId w:val="31"/>
              </w:numPr>
              <w:spacing w:after="120"/>
              <w:jc w:val="both"/>
              <w:rPr>
                <w:sz w:val="20"/>
                <w:szCs w:val="20"/>
              </w:rPr>
            </w:pPr>
            <w:r w:rsidRPr="00BE150C">
              <w:rPr>
                <w:b/>
                <w:sz w:val="20"/>
                <w:szCs w:val="20"/>
              </w:rPr>
              <w:t>Risk-based compliance (PM 2):</w:t>
            </w:r>
            <w:r w:rsidRPr="00BE150C">
              <w:rPr>
                <w:sz w:val="20"/>
                <w:szCs w:val="20"/>
              </w:rPr>
              <w:t xml:space="preserve"> Evidence of implementing risk-based approaches and streamlined compliance approaches.</w:t>
            </w:r>
          </w:p>
          <w:p w14:paraId="01CC13BE" w14:textId="5541CC83" w:rsidR="003B487B" w:rsidRPr="00BE150C" w:rsidRDefault="003B487B" w:rsidP="00446A07">
            <w:pPr>
              <w:pStyle w:val="ListParagraph"/>
              <w:numPr>
                <w:ilvl w:val="0"/>
                <w:numId w:val="31"/>
              </w:numPr>
              <w:spacing w:after="0"/>
              <w:jc w:val="both"/>
              <w:rPr>
                <w:sz w:val="20"/>
                <w:szCs w:val="20"/>
              </w:rPr>
            </w:pPr>
            <w:r w:rsidRPr="00BE150C">
              <w:rPr>
                <w:b/>
                <w:sz w:val="20"/>
                <w:szCs w:val="20"/>
              </w:rPr>
              <w:t>Clarity of expectations and decision-making (PM 3):</w:t>
            </w:r>
            <w:r w:rsidRPr="00BE150C">
              <w:rPr>
                <w:sz w:val="20"/>
                <w:szCs w:val="20"/>
              </w:rPr>
              <w:t xml:space="preserve"> Regulated entities are clear as to the expectations of the Authority on requirements under the Jobs Act. In addition, entities ar</w:t>
            </w:r>
            <w:r w:rsidR="00446A07">
              <w:rPr>
                <w:sz w:val="20"/>
                <w:szCs w:val="20"/>
              </w:rPr>
              <w:t>e provided with informative and </w:t>
            </w:r>
            <w:r w:rsidRPr="00BE150C">
              <w:rPr>
                <w:sz w:val="20"/>
                <w:szCs w:val="20"/>
              </w:rPr>
              <w:t xml:space="preserve">clear advice as to reasons for an adverse decision given to them including avenues of appeal. </w:t>
            </w:r>
          </w:p>
          <w:p w14:paraId="0D1E1779" w14:textId="77777777" w:rsidR="003B487B" w:rsidRPr="00BE150C" w:rsidRDefault="003B487B" w:rsidP="00446A07">
            <w:pPr>
              <w:pStyle w:val="ListParagraph"/>
              <w:numPr>
                <w:ilvl w:val="0"/>
                <w:numId w:val="31"/>
              </w:numPr>
              <w:spacing w:after="120"/>
              <w:jc w:val="both"/>
              <w:rPr>
                <w:sz w:val="20"/>
                <w:szCs w:val="20"/>
              </w:rPr>
            </w:pPr>
            <w:r w:rsidRPr="00BE150C">
              <w:rPr>
                <w:b/>
                <w:sz w:val="20"/>
                <w:szCs w:val="20"/>
              </w:rPr>
              <w:t>Stakeholder engagement (PM 4):</w:t>
            </w:r>
            <w:r w:rsidRPr="00BE150C">
              <w:rPr>
                <w:sz w:val="20"/>
                <w:szCs w:val="20"/>
              </w:rPr>
              <w:t xml:space="preserve"> Evidence of targeted, effective and relevant engagement with stakeholders to gain feedback or input on policy or administration changes, organisational improvements and better understanding of the regulatory cost impact.</w:t>
            </w:r>
          </w:p>
          <w:p w14:paraId="56774052" w14:textId="77777777" w:rsidR="003B487B" w:rsidRPr="00BE150C" w:rsidRDefault="003B487B" w:rsidP="00446A07">
            <w:pPr>
              <w:pStyle w:val="ListParagraph"/>
              <w:numPr>
                <w:ilvl w:val="0"/>
                <w:numId w:val="31"/>
              </w:numPr>
              <w:spacing w:after="120"/>
              <w:jc w:val="both"/>
              <w:rPr>
                <w:sz w:val="20"/>
                <w:szCs w:val="20"/>
              </w:rPr>
            </w:pPr>
            <w:r w:rsidRPr="00BE150C">
              <w:rPr>
                <w:b/>
                <w:sz w:val="20"/>
                <w:szCs w:val="20"/>
              </w:rPr>
              <w:t>Continuous improvement (PM 5):</w:t>
            </w:r>
            <w:r w:rsidRPr="00BE150C">
              <w:rPr>
                <w:sz w:val="20"/>
                <w:szCs w:val="20"/>
              </w:rPr>
              <w:t xml:space="preserve"> Evidence of a continuous improvement culture through changing practices in response to staff feedback, stakeholder suggestions, and internal or external reviews.</w:t>
            </w:r>
          </w:p>
          <w:p w14:paraId="0EF6C769" w14:textId="44CC486D" w:rsidR="003B487B" w:rsidRPr="00BE150C" w:rsidRDefault="003B487B" w:rsidP="00446A07">
            <w:pPr>
              <w:jc w:val="both"/>
            </w:pPr>
            <w:r w:rsidRPr="00BE150C">
              <w:t>The performance measures listed above were developed to assess the Author</w:t>
            </w:r>
            <w:r w:rsidR="00446A07">
              <w:t>ity against the Framework’s Key </w:t>
            </w:r>
            <w:r w:rsidRPr="00BE150C">
              <w:t>Performance Indicators (KPIs) (see below). They are used for annual assessment of continuous improvement within the Authority and its staff.</w:t>
            </w:r>
          </w:p>
          <w:tbl>
            <w:tblPr>
              <w:tblStyle w:val="TableGrid"/>
              <w:tblW w:w="0" w:type="auto"/>
              <w:tblLook w:val="04A0" w:firstRow="1" w:lastRow="0" w:firstColumn="1" w:lastColumn="0" w:noHBand="0" w:noVBand="1"/>
            </w:tblPr>
            <w:tblGrid>
              <w:gridCol w:w="567"/>
              <w:gridCol w:w="4216"/>
              <w:gridCol w:w="4914"/>
            </w:tblGrid>
            <w:tr w:rsidR="003B487B" w:rsidRPr="00BE150C" w14:paraId="7F9069BC" w14:textId="77777777" w:rsidTr="007E1B0F">
              <w:tc>
                <w:tcPr>
                  <w:tcW w:w="578" w:type="dxa"/>
                  <w:shd w:val="clear" w:color="auto" w:fill="005677" w:themeFill="accent1"/>
                </w:tcPr>
                <w:p w14:paraId="2C4CC0EA" w14:textId="77777777" w:rsidR="003B487B" w:rsidRPr="00BE150C" w:rsidRDefault="003B487B" w:rsidP="003B487B">
                  <w:pPr>
                    <w:rPr>
                      <w:b/>
                      <w:color w:val="FFFFFF" w:themeColor="background1"/>
                    </w:rPr>
                  </w:pPr>
                  <w:r w:rsidRPr="00BE150C">
                    <w:rPr>
                      <w:b/>
                      <w:color w:val="FFFFFF" w:themeColor="background1"/>
                    </w:rPr>
                    <w:t>KPI</w:t>
                  </w:r>
                </w:p>
              </w:tc>
              <w:tc>
                <w:tcPr>
                  <w:tcW w:w="5833" w:type="dxa"/>
                  <w:shd w:val="clear" w:color="auto" w:fill="005677" w:themeFill="accent1"/>
                </w:tcPr>
                <w:p w14:paraId="1791AC93" w14:textId="77777777" w:rsidR="003B487B" w:rsidRPr="00BE150C" w:rsidRDefault="003B487B" w:rsidP="003B487B">
                  <w:pPr>
                    <w:rPr>
                      <w:b/>
                      <w:color w:val="FFFFFF" w:themeColor="background1"/>
                    </w:rPr>
                  </w:pPr>
                  <w:r w:rsidRPr="00BE150C">
                    <w:rPr>
                      <w:b/>
                      <w:color w:val="FFFFFF" w:themeColor="background1"/>
                    </w:rPr>
                    <w:t>Regulator Performance Framework</w:t>
                  </w:r>
                </w:p>
              </w:tc>
              <w:tc>
                <w:tcPr>
                  <w:tcW w:w="7066" w:type="dxa"/>
                  <w:shd w:val="clear" w:color="auto" w:fill="005677" w:themeFill="accent1"/>
                </w:tcPr>
                <w:p w14:paraId="4A963587" w14:textId="77777777" w:rsidR="003B487B" w:rsidRPr="00BE150C" w:rsidRDefault="003B487B" w:rsidP="003B487B">
                  <w:pPr>
                    <w:rPr>
                      <w:b/>
                      <w:color w:val="FFFFFF" w:themeColor="background1"/>
                    </w:rPr>
                  </w:pPr>
                  <w:r w:rsidRPr="00BE150C">
                    <w:rPr>
                      <w:b/>
                      <w:color w:val="FFFFFF" w:themeColor="background1"/>
                    </w:rPr>
                    <w:t>Performance Measures</w:t>
                  </w:r>
                </w:p>
              </w:tc>
            </w:tr>
            <w:tr w:rsidR="003B487B" w:rsidRPr="00BE150C" w14:paraId="7FBDB4E0" w14:textId="77777777" w:rsidTr="007E1B0F">
              <w:tc>
                <w:tcPr>
                  <w:tcW w:w="578" w:type="dxa"/>
                </w:tcPr>
                <w:p w14:paraId="62354E80" w14:textId="77777777" w:rsidR="003B487B" w:rsidRPr="00BE150C" w:rsidRDefault="003B487B" w:rsidP="009564B4">
                  <w:r w:rsidRPr="00BE150C">
                    <w:t>1</w:t>
                  </w:r>
                </w:p>
              </w:tc>
              <w:tc>
                <w:tcPr>
                  <w:tcW w:w="5833" w:type="dxa"/>
                </w:tcPr>
                <w:p w14:paraId="3211726C" w14:textId="77777777" w:rsidR="003B487B" w:rsidRPr="00BE150C" w:rsidRDefault="003B487B" w:rsidP="00A90CDA">
                  <w:pPr>
                    <w:rPr>
                      <w:szCs w:val="20"/>
                    </w:rPr>
                  </w:pPr>
                  <w:r w:rsidRPr="00BE150C">
                    <w:rPr>
                      <w:szCs w:val="20"/>
                    </w:rPr>
                    <w:t>Regulators do not unnecessarily impede the efficient operation of regulated entities</w:t>
                  </w:r>
                </w:p>
              </w:tc>
              <w:tc>
                <w:tcPr>
                  <w:tcW w:w="7066" w:type="dxa"/>
                </w:tcPr>
                <w:p w14:paraId="625F5E9E" w14:textId="77777777" w:rsidR="003B487B" w:rsidRPr="00BE150C" w:rsidRDefault="003B487B" w:rsidP="00A90CDA">
                  <w:pPr>
                    <w:rPr>
                      <w:szCs w:val="20"/>
                    </w:rPr>
                  </w:pPr>
                  <w:r w:rsidRPr="00BE150C">
                    <w:rPr>
                      <w:szCs w:val="20"/>
                    </w:rPr>
                    <w:t>PM 2, PM 5</w:t>
                  </w:r>
                </w:p>
              </w:tc>
            </w:tr>
            <w:tr w:rsidR="003B487B" w:rsidRPr="00BE150C" w14:paraId="5D181822" w14:textId="77777777" w:rsidTr="007E1B0F">
              <w:tc>
                <w:tcPr>
                  <w:tcW w:w="578" w:type="dxa"/>
                </w:tcPr>
                <w:p w14:paraId="2BD101A4" w14:textId="77777777" w:rsidR="003B487B" w:rsidRPr="00BE150C" w:rsidRDefault="003B487B" w:rsidP="009564B4">
                  <w:r w:rsidRPr="00BE150C">
                    <w:t>2</w:t>
                  </w:r>
                </w:p>
              </w:tc>
              <w:tc>
                <w:tcPr>
                  <w:tcW w:w="5833" w:type="dxa"/>
                </w:tcPr>
                <w:p w14:paraId="0C38CB9F" w14:textId="77777777" w:rsidR="003B487B" w:rsidRPr="00BE150C" w:rsidRDefault="003B487B" w:rsidP="00A90CDA">
                  <w:pPr>
                    <w:rPr>
                      <w:szCs w:val="20"/>
                    </w:rPr>
                  </w:pPr>
                  <w:r w:rsidRPr="00BE150C">
                    <w:rPr>
                      <w:szCs w:val="20"/>
                    </w:rPr>
                    <w:t xml:space="preserve">Communication with regulated entities is clear, targeted </w:t>
                  </w:r>
                  <w:r w:rsidRPr="0044171D">
                    <w:rPr>
                      <w:szCs w:val="20"/>
                    </w:rPr>
                    <w:t>and</w:t>
                  </w:r>
                  <w:r w:rsidRPr="00BE150C">
                    <w:rPr>
                      <w:szCs w:val="20"/>
                    </w:rPr>
                    <w:t xml:space="preserve"> effective</w:t>
                  </w:r>
                </w:p>
              </w:tc>
              <w:tc>
                <w:tcPr>
                  <w:tcW w:w="7066" w:type="dxa"/>
                </w:tcPr>
                <w:p w14:paraId="79E83A78" w14:textId="77777777" w:rsidR="003B487B" w:rsidRPr="00BE150C" w:rsidRDefault="003B487B" w:rsidP="00A90CDA">
                  <w:pPr>
                    <w:rPr>
                      <w:szCs w:val="20"/>
                    </w:rPr>
                  </w:pPr>
                  <w:r w:rsidRPr="00BE150C">
                    <w:rPr>
                      <w:szCs w:val="20"/>
                    </w:rPr>
                    <w:t>PM 3, PM 4</w:t>
                  </w:r>
                </w:p>
              </w:tc>
            </w:tr>
            <w:tr w:rsidR="003B487B" w:rsidRPr="00BE150C" w14:paraId="24051DC2" w14:textId="77777777" w:rsidTr="007E1B0F">
              <w:tc>
                <w:tcPr>
                  <w:tcW w:w="578" w:type="dxa"/>
                </w:tcPr>
                <w:p w14:paraId="0062CB03" w14:textId="77777777" w:rsidR="003B487B" w:rsidRPr="00BE150C" w:rsidRDefault="003B487B" w:rsidP="009564B4">
                  <w:r w:rsidRPr="00BE150C">
                    <w:t>3</w:t>
                  </w:r>
                </w:p>
              </w:tc>
              <w:tc>
                <w:tcPr>
                  <w:tcW w:w="5833" w:type="dxa"/>
                </w:tcPr>
                <w:p w14:paraId="6912F2D3" w14:textId="77777777" w:rsidR="003B487B" w:rsidRPr="00BE150C" w:rsidRDefault="003B487B" w:rsidP="00A90CDA">
                  <w:pPr>
                    <w:rPr>
                      <w:szCs w:val="20"/>
                    </w:rPr>
                  </w:pPr>
                  <w:r w:rsidRPr="00BE150C">
                    <w:rPr>
                      <w:szCs w:val="20"/>
                    </w:rPr>
                    <w:t>Actions undertaken by regulators are proportionate to the regulatory risk being managed</w:t>
                  </w:r>
                </w:p>
              </w:tc>
              <w:tc>
                <w:tcPr>
                  <w:tcW w:w="7066" w:type="dxa"/>
                </w:tcPr>
                <w:p w14:paraId="16FA8676" w14:textId="628F127A" w:rsidR="003B487B" w:rsidRPr="00BE150C" w:rsidRDefault="003B487B" w:rsidP="00A90CDA">
                  <w:pPr>
                    <w:rPr>
                      <w:szCs w:val="20"/>
                    </w:rPr>
                  </w:pPr>
                  <w:r w:rsidRPr="00BE150C">
                    <w:rPr>
                      <w:szCs w:val="20"/>
                    </w:rPr>
                    <w:t>PM 2, PM 5</w:t>
                  </w:r>
                </w:p>
              </w:tc>
            </w:tr>
            <w:tr w:rsidR="003B487B" w:rsidRPr="00BE150C" w14:paraId="2B80A598" w14:textId="77777777" w:rsidTr="007E1B0F">
              <w:tc>
                <w:tcPr>
                  <w:tcW w:w="578" w:type="dxa"/>
                </w:tcPr>
                <w:p w14:paraId="73535A7D" w14:textId="77777777" w:rsidR="003B487B" w:rsidRPr="00BE150C" w:rsidRDefault="003B487B" w:rsidP="009564B4">
                  <w:r w:rsidRPr="00BE150C">
                    <w:t>4</w:t>
                  </w:r>
                </w:p>
              </w:tc>
              <w:tc>
                <w:tcPr>
                  <w:tcW w:w="5833" w:type="dxa"/>
                </w:tcPr>
                <w:p w14:paraId="5FC36465" w14:textId="77777777" w:rsidR="003B487B" w:rsidRPr="00BE150C" w:rsidRDefault="003B487B" w:rsidP="00A90CDA">
                  <w:pPr>
                    <w:rPr>
                      <w:szCs w:val="20"/>
                    </w:rPr>
                  </w:pPr>
                  <w:r w:rsidRPr="00BE150C">
                    <w:rPr>
                      <w:szCs w:val="20"/>
                    </w:rPr>
                    <w:t>Compliance and monitoring approaches are streamlined and co-ordinated</w:t>
                  </w:r>
                </w:p>
              </w:tc>
              <w:tc>
                <w:tcPr>
                  <w:tcW w:w="7066" w:type="dxa"/>
                </w:tcPr>
                <w:p w14:paraId="65EF619D" w14:textId="77777777" w:rsidR="003B487B" w:rsidRPr="00BE150C" w:rsidRDefault="003B487B" w:rsidP="00A90CDA">
                  <w:pPr>
                    <w:rPr>
                      <w:szCs w:val="20"/>
                    </w:rPr>
                  </w:pPr>
                  <w:r w:rsidRPr="00BE150C">
                    <w:rPr>
                      <w:szCs w:val="20"/>
                    </w:rPr>
                    <w:t>PM 2, PM 5</w:t>
                  </w:r>
                </w:p>
              </w:tc>
            </w:tr>
            <w:tr w:rsidR="003B487B" w:rsidRPr="00BE150C" w14:paraId="3A910532" w14:textId="77777777" w:rsidTr="007E1B0F">
              <w:tc>
                <w:tcPr>
                  <w:tcW w:w="578" w:type="dxa"/>
                </w:tcPr>
                <w:p w14:paraId="015D7EBB" w14:textId="77777777" w:rsidR="003B487B" w:rsidRPr="00BE150C" w:rsidRDefault="003B487B" w:rsidP="009564B4">
                  <w:r w:rsidRPr="00BE150C">
                    <w:t>5</w:t>
                  </w:r>
                </w:p>
              </w:tc>
              <w:tc>
                <w:tcPr>
                  <w:tcW w:w="5833" w:type="dxa"/>
                </w:tcPr>
                <w:p w14:paraId="7AD37C7C" w14:textId="77777777" w:rsidR="003B487B" w:rsidRPr="00BE150C" w:rsidRDefault="003B487B" w:rsidP="00A90CDA">
                  <w:pPr>
                    <w:rPr>
                      <w:szCs w:val="20"/>
                    </w:rPr>
                  </w:pPr>
                  <w:r w:rsidRPr="00BE150C">
                    <w:rPr>
                      <w:szCs w:val="20"/>
                    </w:rPr>
                    <w:t>Regulators are open and transparent in their dealings with regulated entities</w:t>
                  </w:r>
                </w:p>
              </w:tc>
              <w:tc>
                <w:tcPr>
                  <w:tcW w:w="7066" w:type="dxa"/>
                </w:tcPr>
                <w:p w14:paraId="1E5B95DD" w14:textId="0E6554A2" w:rsidR="003B487B" w:rsidRPr="00BE150C" w:rsidRDefault="003B487B" w:rsidP="00A90CDA">
                  <w:pPr>
                    <w:rPr>
                      <w:szCs w:val="20"/>
                    </w:rPr>
                  </w:pPr>
                  <w:r w:rsidRPr="00BE150C">
                    <w:rPr>
                      <w:szCs w:val="20"/>
                    </w:rPr>
                    <w:t>PM 1</w:t>
                  </w:r>
                  <w:r w:rsidR="000820BC">
                    <w:rPr>
                      <w:szCs w:val="20"/>
                    </w:rPr>
                    <w:t>, PM3</w:t>
                  </w:r>
                </w:p>
              </w:tc>
            </w:tr>
            <w:tr w:rsidR="003B487B" w:rsidRPr="00BE150C" w14:paraId="22C5E9AC" w14:textId="77777777" w:rsidTr="007E1B0F">
              <w:tc>
                <w:tcPr>
                  <w:tcW w:w="578" w:type="dxa"/>
                </w:tcPr>
                <w:p w14:paraId="688114B2" w14:textId="77777777" w:rsidR="003B487B" w:rsidRPr="00BE150C" w:rsidRDefault="003B487B" w:rsidP="009564B4">
                  <w:r w:rsidRPr="00BE150C">
                    <w:t>6</w:t>
                  </w:r>
                </w:p>
              </w:tc>
              <w:tc>
                <w:tcPr>
                  <w:tcW w:w="5833" w:type="dxa"/>
                </w:tcPr>
                <w:p w14:paraId="3B03E015" w14:textId="7669768C" w:rsidR="003B487B" w:rsidRPr="00BE150C" w:rsidRDefault="003B487B" w:rsidP="00A90CDA">
                  <w:pPr>
                    <w:rPr>
                      <w:szCs w:val="20"/>
                    </w:rPr>
                  </w:pPr>
                  <w:r w:rsidRPr="00BE150C">
                    <w:rPr>
                      <w:szCs w:val="20"/>
                    </w:rPr>
                    <w:t>Regulators actively contribute to the continuous improvement of regulatory frameworks</w:t>
                  </w:r>
                  <w:r w:rsidR="0044171D">
                    <w:rPr>
                      <w:szCs w:val="20"/>
                    </w:rPr>
                    <w:softHyphen/>
                  </w:r>
                </w:p>
              </w:tc>
              <w:tc>
                <w:tcPr>
                  <w:tcW w:w="7066" w:type="dxa"/>
                </w:tcPr>
                <w:p w14:paraId="1EB8634B" w14:textId="77777777" w:rsidR="003B487B" w:rsidRPr="00BE150C" w:rsidRDefault="003B487B" w:rsidP="00A90CDA">
                  <w:pPr>
                    <w:rPr>
                      <w:szCs w:val="20"/>
                    </w:rPr>
                  </w:pPr>
                  <w:r w:rsidRPr="00BE150C">
                    <w:rPr>
                      <w:szCs w:val="20"/>
                    </w:rPr>
                    <w:t>PM 1, PM 4, PM 5</w:t>
                  </w:r>
                </w:p>
              </w:tc>
            </w:tr>
          </w:tbl>
          <w:p w14:paraId="1DA23285" w14:textId="77777777" w:rsidR="003B487B" w:rsidRPr="00BE150C" w:rsidRDefault="003B487B" w:rsidP="003B487B">
            <w:pPr>
              <w:pStyle w:val="Heading5"/>
              <w:spacing w:before="0"/>
              <w:outlineLvl w:val="4"/>
            </w:pPr>
          </w:p>
          <w:p w14:paraId="320CE23B" w14:textId="192EE3FE" w:rsidR="003B487B" w:rsidRPr="00BE150C" w:rsidRDefault="003B487B" w:rsidP="00131D44">
            <w:pPr>
              <w:spacing w:after="0"/>
            </w:pPr>
          </w:p>
        </w:tc>
      </w:tr>
      <w:tr w:rsidR="00396C2B" w:rsidRPr="00BE150C" w14:paraId="2B669098" w14:textId="77777777" w:rsidTr="00446A07">
        <w:tblPrEx>
          <w:tblBorders>
            <w:top w:val="single" w:sz="8" w:space="0" w:color="58595B" w:themeColor="text2"/>
            <w:left w:val="single" w:sz="8" w:space="0" w:color="58595B" w:themeColor="text2"/>
            <w:bottom w:val="single" w:sz="8" w:space="0" w:color="58595B" w:themeColor="text2"/>
            <w:right w:val="single" w:sz="8" w:space="0" w:color="58595B" w:themeColor="text2"/>
          </w:tblBorders>
        </w:tblPrEx>
        <w:trPr>
          <w:gridAfter w:val="1"/>
          <w:wAfter w:w="144" w:type="dxa"/>
        </w:trPr>
        <w:tc>
          <w:tcPr>
            <w:tcW w:w="9779" w:type="dxa"/>
            <w:shd w:val="clear" w:color="auto" w:fill="005677" w:themeFill="accent1"/>
          </w:tcPr>
          <w:p w14:paraId="32380D64" w14:textId="0B65484F" w:rsidR="00396C2B" w:rsidRPr="00BE150C" w:rsidRDefault="00B12E3E" w:rsidP="00970B54">
            <w:pPr>
              <w:pStyle w:val="Heading2"/>
              <w:ind w:left="556" w:hanging="556"/>
              <w:outlineLvl w:val="1"/>
            </w:pPr>
            <w:r w:rsidRPr="00BE150C">
              <w:br w:type="page"/>
            </w:r>
            <w:bookmarkStart w:id="8" w:name="_Toc51247679"/>
            <w:r w:rsidR="00396C2B" w:rsidRPr="00BE150C">
              <w:t>Common resources</w:t>
            </w:r>
            <w:bookmarkEnd w:id="8"/>
          </w:p>
        </w:tc>
      </w:tr>
      <w:tr w:rsidR="00396C2B" w:rsidRPr="00BE150C" w14:paraId="2173F029" w14:textId="77777777" w:rsidTr="00446A07">
        <w:tblPrEx>
          <w:tblBorders>
            <w:top w:val="single" w:sz="8" w:space="0" w:color="58595B" w:themeColor="text2"/>
            <w:left w:val="single" w:sz="8" w:space="0" w:color="58595B" w:themeColor="text2"/>
            <w:bottom w:val="single" w:sz="8" w:space="0" w:color="58595B" w:themeColor="text2"/>
            <w:right w:val="single" w:sz="8" w:space="0" w:color="58595B" w:themeColor="text2"/>
          </w:tblBorders>
        </w:tblPrEx>
        <w:trPr>
          <w:gridAfter w:val="1"/>
          <w:wAfter w:w="144" w:type="dxa"/>
          <w:trHeight w:val="2250"/>
        </w:trPr>
        <w:tc>
          <w:tcPr>
            <w:tcW w:w="9779" w:type="dxa"/>
          </w:tcPr>
          <w:p w14:paraId="18C5D3D7" w14:textId="1CDDFCD4" w:rsidR="009904E2" w:rsidRPr="0027332B" w:rsidRDefault="00A81837" w:rsidP="00446A07">
            <w:pPr>
              <w:jc w:val="both"/>
              <w:rPr>
                <w:szCs w:val="20"/>
              </w:rPr>
            </w:pPr>
            <w:r w:rsidRPr="0027332B">
              <w:rPr>
                <w:szCs w:val="20"/>
              </w:rPr>
              <w:t>In 201</w:t>
            </w:r>
            <w:r w:rsidR="00235E87" w:rsidRPr="0027332B">
              <w:rPr>
                <w:szCs w:val="20"/>
              </w:rPr>
              <w:t>9</w:t>
            </w:r>
            <w:r w:rsidR="00DE2344" w:rsidRPr="0027332B">
              <w:rPr>
                <w:szCs w:val="20"/>
              </w:rPr>
              <w:noBreakHyphen/>
            </w:r>
            <w:r w:rsidR="00235E87" w:rsidRPr="0027332B">
              <w:rPr>
                <w:szCs w:val="20"/>
              </w:rPr>
              <w:t>20</w:t>
            </w:r>
            <w:r w:rsidR="00DE2344" w:rsidRPr="0027332B">
              <w:rPr>
                <w:szCs w:val="20"/>
              </w:rPr>
              <w:t>, the Authority</w:t>
            </w:r>
            <w:r w:rsidR="008822B4">
              <w:rPr>
                <w:szCs w:val="20"/>
              </w:rPr>
              <w:t xml:space="preserve"> continued the</w:t>
            </w:r>
            <w:r w:rsidR="00DE2344" w:rsidRPr="0027332B">
              <w:rPr>
                <w:szCs w:val="20"/>
              </w:rPr>
              <w:t xml:space="preserve"> evaluation survey for </w:t>
            </w:r>
            <w:r w:rsidR="000820BC" w:rsidRPr="0027332B">
              <w:rPr>
                <w:szCs w:val="20"/>
              </w:rPr>
              <w:t xml:space="preserve">regulated entities </w:t>
            </w:r>
            <w:r w:rsidR="00DE2344" w:rsidRPr="0027332B">
              <w:rPr>
                <w:szCs w:val="20"/>
              </w:rPr>
              <w:t xml:space="preserve">who had prepared their first AIP plan </w:t>
            </w:r>
            <w:r w:rsidR="00566032">
              <w:rPr>
                <w:szCs w:val="20"/>
              </w:rPr>
              <w:t xml:space="preserve">or </w:t>
            </w:r>
            <w:r w:rsidR="00DE2344" w:rsidRPr="0027332B">
              <w:rPr>
                <w:szCs w:val="20"/>
              </w:rPr>
              <w:t>first compliance report</w:t>
            </w:r>
            <w:r w:rsidR="00C72A26" w:rsidRPr="0027332B">
              <w:rPr>
                <w:szCs w:val="20"/>
              </w:rPr>
              <w:t>.</w:t>
            </w:r>
            <w:r w:rsidR="00D435C7" w:rsidRPr="0027332B">
              <w:rPr>
                <w:szCs w:val="20"/>
              </w:rPr>
              <w:t xml:space="preserve"> </w:t>
            </w:r>
            <w:r w:rsidR="00C72A26" w:rsidRPr="0027332B">
              <w:rPr>
                <w:szCs w:val="20"/>
              </w:rPr>
              <w:t>The responses received for</w:t>
            </w:r>
            <w:r w:rsidR="00941F18" w:rsidRPr="0027332B">
              <w:rPr>
                <w:szCs w:val="20"/>
              </w:rPr>
              <w:t xml:space="preserve"> the</w:t>
            </w:r>
            <w:r w:rsidR="00C72A26" w:rsidRPr="0027332B">
              <w:rPr>
                <w:szCs w:val="20"/>
              </w:rPr>
              <w:t xml:space="preserve"> 201</w:t>
            </w:r>
            <w:r w:rsidR="0027332B" w:rsidRPr="0027332B">
              <w:rPr>
                <w:szCs w:val="20"/>
              </w:rPr>
              <w:t>9</w:t>
            </w:r>
            <w:r w:rsidR="00C72A26" w:rsidRPr="0027332B">
              <w:rPr>
                <w:szCs w:val="20"/>
              </w:rPr>
              <w:t>-</w:t>
            </w:r>
            <w:r w:rsidR="0027332B" w:rsidRPr="0027332B">
              <w:rPr>
                <w:szCs w:val="20"/>
              </w:rPr>
              <w:t>20</w:t>
            </w:r>
            <w:r w:rsidR="00C72A26" w:rsidRPr="0027332B">
              <w:rPr>
                <w:szCs w:val="20"/>
              </w:rPr>
              <w:t xml:space="preserve"> </w:t>
            </w:r>
            <w:r w:rsidR="00941F18" w:rsidRPr="0027332B">
              <w:rPr>
                <w:szCs w:val="20"/>
              </w:rPr>
              <w:t>survey have been</w:t>
            </w:r>
            <w:r w:rsidR="00446A07">
              <w:rPr>
                <w:szCs w:val="20"/>
              </w:rPr>
              <w:t xml:space="preserve"> considered as </w:t>
            </w:r>
            <w:r w:rsidR="00C72A26" w:rsidRPr="0027332B">
              <w:rPr>
                <w:szCs w:val="20"/>
              </w:rPr>
              <w:t xml:space="preserve">part of an ongoing continuous improvement process </w:t>
            </w:r>
            <w:r w:rsidR="00941F18" w:rsidRPr="0027332B">
              <w:rPr>
                <w:szCs w:val="20"/>
              </w:rPr>
              <w:t>for the Authority</w:t>
            </w:r>
            <w:r w:rsidR="00C72A26" w:rsidRPr="0027332B">
              <w:rPr>
                <w:szCs w:val="20"/>
              </w:rPr>
              <w:t>.</w:t>
            </w:r>
          </w:p>
          <w:p w14:paraId="785C908E" w14:textId="5F09F01C" w:rsidR="00396C2B" w:rsidRPr="00105AE0" w:rsidRDefault="007C0022" w:rsidP="00446A07">
            <w:pPr>
              <w:jc w:val="both"/>
              <w:rPr>
                <w:szCs w:val="20"/>
              </w:rPr>
            </w:pPr>
            <w:r w:rsidRPr="0027332B">
              <w:rPr>
                <w:szCs w:val="20"/>
              </w:rPr>
              <w:t>R</w:t>
            </w:r>
            <w:r w:rsidR="005B0F4B" w:rsidRPr="0027332B">
              <w:rPr>
                <w:szCs w:val="20"/>
              </w:rPr>
              <w:t>esources</w:t>
            </w:r>
            <w:r w:rsidR="00BA3EF3" w:rsidRPr="0027332B">
              <w:rPr>
                <w:szCs w:val="20"/>
              </w:rPr>
              <w:t xml:space="preserve"> used to </w:t>
            </w:r>
            <w:r w:rsidR="00E97753" w:rsidRPr="0027332B">
              <w:rPr>
                <w:szCs w:val="20"/>
              </w:rPr>
              <w:t>inform the</w:t>
            </w:r>
            <w:r w:rsidR="006A26AB" w:rsidRPr="0027332B">
              <w:rPr>
                <w:szCs w:val="20"/>
              </w:rPr>
              <w:t xml:space="preserve"> 20</w:t>
            </w:r>
            <w:r w:rsidR="00A81837" w:rsidRPr="0027332B">
              <w:rPr>
                <w:szCs w:val="20"/>
              </w:rPr>
              <w:t>1</w:t>
            </w:r>
            <w:r w:rsidR="00235E87" w:rsidRPr="0027332B">
              <w:rPr>
                <w:szCs w:val="20"/>
              </w:rPr>
              <w:t>9</w:t>
            </w:r>
            <w:r w:rsidR="00A81837" w:rsidRPr="0027332B">
              <w:rPr>
                <w:szCs w:val="20"/>
              </w:rPr>
              <w:noBreakHyphen/>
            </w:r>
            <w:r w:rsidR="00235E87" w:rsidRPr="0027332B">
              <w:rPr>
                <w:szCs w:val="20"/>
              </w:rPr>
              <w:t>20</w:t>
            </w:r>
            <w:r w:rsidR="00235E87" w:rsidRPr="00105AE0">
              <w:rPr>
                <w:szCs w:val="20"/>
              </w:rPr>
              <w:t xml:space="preserve"> </w:t>
            </w:r>
            <w:r w:rsidR="00E97753" w:rsidRPr="00105AE0">
              <w:rPr>
                <w:szCs w:val="20"/>
              </w:rPr>
              <w:t>self-</w:t>
            </w:r>
            <w:r w:rsidR="00BA3EF3" w:rsidRPr="00105AE0">
              <w:rPr>
                <w:szCs w:val="20"/>
              </w:rPr>
              <w:t>assess</w:t>
            </w:r>
            <w:r w:rsidRPr="00105AE0">
              <w:rPr>
                <w:szCs w:val="20"/>
              </w:rPr>
              <w:t>ment</w:t>
            </w:r>
            <w:r w:rsidR="00396C2B" w:rsidRPr="00105AE0">
              <w:rPr>
                <w:szCs w:val="20"/>
              </w:rPr>
              <w:t>:</w:t>
            </w:r>
          </w:p>
          <w:p w14:paraId="537979E3" w14:textId="46C7B449" w:rsidR="00396C2B" w:rsidRDefault="00396C2B" w:rsidP="00670F6A">
            <w:pPr>
              <w:pStyle w:val="ListParagraph"/>
              <w:numPr>
                <w:ilvl w:val="0"/>
                <w:numId w:val="7"/>
              </w:numPr>
              <w:spacing w:after="120"/>
              <w:jc w:val="both"/>
              <w:rPr>
                <w:sz w:val="20"/>
                <w:szCs w:val="20"/>
              </w:rPr>
            </w:pPr>
            <w:r w:rsidRPr="00105AE0">
              <w:rPr>
                <w:sz w:val="20"/>
                <w:szCs w:val="20"/>
              </w:rPr>
              <w:t>notific</w:t>
            </w:r>
            <w:r w:rsidR="00BA3EF3" w:rsidRPr="00105AE0">
              <w:rPr>
                <w:sz w:val="20"/>
                <w:szCs w:val="20"/>
              </w:rPr>
              <w:t xml:space="preserve">ations register: </w:t>
            </w:r>
            <w:r w:rsidR="007C0022" w:rsidRPr="00105AE0">
              <w:rPr>
                <w:sz w:val="20"/>
                <w:szCs w:val="20"/>
              </w:rPr>
              <w:t>records</w:t>
            </w:r>
            <w:r w:rsidRPr="00105AE0">
              <w:rPr>
                <w:sz w:val="20"/>
                <w:szCs w:val="20"/>
              </w:rPr>
              <w:t xml:space="preserve"> project details, </w:t>
            </w:r>
            <w:r w:rsidR="00BA3EF3" w:rsidRPr="00105AE0">
              <w:rPr>
                <w:sz w:val="20"/>
                <w:szCs w:val="20"/>
              </w:rPr>
              <w:t>project milestone dates</w:t>
            </w:r>
            <w:r w:rsidRPr="00105AE0">
              <w:rPr>
                <w:sz w:val="20"/>
                <w:szCs w:val="20"/>
              </w:rPr>
              <w:t>, responsib</w:t>
            </w:r>
            <w:r w:rsidR="00BA3EF3" w:rsidRPr="00105AE0">
              <w:rPr>
                <w:sz w:val="20"/>
                <w:szCs w:val="20"/>
              </w:rPr>
              <w:t xml:space="preserve">le officers, </w:t>
            </w:r>
            <w:r w:rsidR="00446A07">
              <w:rPr>
                <w:sz w:val="20"/>
                <w:szCs w:val="20"/>
              </w:rPr>
              <w:t>and </w:t>
            </w:r>
            <w:r w:rsidR="00BA3EF3" w:rsidRPr="00105AE0">
              <w:rPr>
                <w:sz w:val="20"/>
                <w:szCs w:val="20"/>
              </w:rPr>
              <w:t>Authority</w:t>
            </w:r>
            <w:r w:rsidR="00241448" w:rsidRPr="00105AE0">
              <w:rPr>
                <w:sz w:val="20"/>
                <w:szCs w:val="20"/>
              </w:rPr>
              <w:t>’s</w:t>
            </w:r>
            <w:r w:rsidR="00BA3EF3" w:rsidRPr="00105AE0">
              <w:rPr>
                <w:sz w:val="20"/>
                <w:szCs w:val="20"/>
              </w:rPr>
              <w:t xml:space="preserve"> decision</w:t>
            </w:r>
            <w:r w:rsidRPr="00105AE0">
              <w:rPr>
                <w:sz w:val="20"/>
                <w:szCs w:val="20"/>
              </w:rPr>
              <w:t xml:space="preserve"> dates </w:t>
            </w:r>
            <w:r w:rsidR="00BA3EF3" w:rsidRPr="00105AE0">
              <w:rPr>
                <w:sz w:val="20"/>
                <w:szCs w:val="20"/>
              </w:rPr>
              <w:t>including</w:t>
            </w:r>
            <w:r w:rsidRPr="00105AE0">
              <w:rPr>
                <w:sz w:val="20"/>
                <w:szCs w:val="20"/>
              </w:rPr>
              <w:t xml:space="preserve"> exceptions granted</w:t>
            </w:r>
            <w:r w:rsidR="00EB49A6">
              <w:rPr>
                <w:sz w:val="20"/>
                <w:szCs w:val="20"/>
              </w:rPr>
              <w:t>;</w:t>
            </w:r>
          </w:p>
          <w:p w14:paraId="172D5420" w14:textId="69CE0A32" w:rsidR="00155D6E" w:rsidRDefault="00094DEE" w:rsidP="00670F6A">
            <w:pPr>
              <w:pStyle w:val="ListParagraph"/>
              <w:numPr>
                <w:ilvl w:val="0"/>
                <w:numId w:val="7"/>
              </w:numPr>
              <w:spacing w:after="120"/>
              <w:jc w:val="both"/>
              <w:rPr>
                <w:sz w:val="20"/>
                <w:szCs w:val="20"/>
              </w:rPr>
            </w:pPr>
            <w:r>
              <w:rPr>
                <w:sz w:val="20"/>
                <w:szCs w:val="20"/>
              </w:rPr>
              <w:t>standard operating procedures:</w:t>
            </w:r>
            <w:r w:rsidR="00155D6E">
              <w:rPr>
                <w:sz w:val="20"/>
                <w:szCs w:val="20"/>
              </w:rPr>
              <w:t xml:space="preserve"> provide</w:t>
            </w:r>
            <w:r>
              <w:rPr>
                <w:sz w:val="20"/>
                <w:szCs w:val="20"/>
              </w:rPr>
              <w:t>s</w:t>
            </w:r>
            <w:r w:rsidR="00155D6E">
              <w:rPr>
                <w:sz w:val="20"/>
                <w:szCs w:val="20"/>
              </w:rPr>
              <w:t xml:space="preserve"> guidance on regulatory processes for Authority staff</w:t>
            </w:r>
            <w:r w:rsidR="00EB49A6">
              <w:rPr>
                <w:sz w:val="20"/>
                <w:szCs w:val="20"/>
              </w:rPr>
              <w:t>;</w:t>
            </w:r>
          </w:p>
          <w:p w14:paraId="1F8E5D9A" w14:textId="7DFEF818" w:rsidR="00A2312F" w:rsidRPr="005E2B41" w:rsidRDefault="00572818" w:rsidP="00670F6A">
            <w:pPr>
              <w:pStyle w:val="ListParagraph"/>
              <w:numPr>
                <w:ilvl w:val="0"/>
                <w:numId w:val="7"/>
              </w:numPr>
              <w:jc w:val="both"/>
              <w:rPr>
                <w:sz w:val="20"/>
                <w:szCs w:val="20"/>
              </w:rPr>
            </w:pPr>
            <w:r w:rsidRPr="005E2B41">
              <w:rPr>
                <w:sz w:val="20"/>
                <w:szCs w:val="20"/>
              </w:rPr>
              <w:t>s</w:t>
            </w:r>
            <w:r w:rsidR="00A2312F" w:rsidRPr="005E2B41">
              <w:rPr>
                <w:sz w:val="20"/>
                <w:szCs w:val="20"/>
              </w:rPr>
              <w:t xml:space="preserve">takeholder engagement and </w:t>
            </w:r>
            <w:r w:rsidR="00155D6E">
              <w:rPr>
                <w:sz w:val="20"/>
                <w:szCs w:val="20"/>
              </w:rPr>
              <w:t>survey</w:t>
            </w:r>
            <w:r w:rsidR="004D63F1">
              <w:rPr>
                <w:sz w:val="20"/>
                <w:szCs w:val="20"/>
              </w:rPr>
              <w:t>:</w:t>
            </w:r>
            <w:r w:rsidR="00155D6E">
              <w:rPr>
                <w:sz w:val="20"/>
                <w:szCs w:val="20"/>
              </w:rPr>
              <w:t xml:space="preserve"> </w:t>
            </w:r>
            <w:r w:rsidR="00A2312F" w:rsidRPr="005E2B41">
              <w:rPr>
                <w:sz w:val="20"/>
                <w:szCs w:val="20"/>
              </w:rPr>
              <w:t>feedback</w:t>
            </w:r>
            <w:r w:rsidR="0027332B" w:rsidRPr="005E2B41">
              <w:rPr>
                <w:sz w:val="20"/>
                <w:szCs w:val="20"/>
              </w:rPr>
              <w:t xml:space="preserve"> obtained</w:t>
            </w:r>
            <w:r w:rsidR="00A2312F" w:rsidRPr="005E2B41">
              <w:rPr>
                <w:sz w:val="20"/>
                <w:szCs w:val="20"/>
              </w:rPr>
              <w:t xml:space="preserve"> </w:t>
            </w:r>
            <w:r w:rsidR="00E32080">
              <w:rPr>
                <w:sz w:val="20"/>
                <w:szCs w:val="20"/>
              </w:rPr>
              <w:t xml:space="preserve">using </w:t>
            </w:r>
            <w:r w:rsidR="0074062C">
              <w:rPr>
                <w:sz w:val="20"/>
                <w:szCs w:val="20"/>
              </w:rPr>
              <w:t>h</w:t>
            </w:r>
            <w:r w:rsidR="00E32080">
              <w:rPr>
                <w:sz w:val="20"/>
                <w:szCs w:val="20"/>
              </w:rPr>
              <w:t xml:space="preserve">uman centred design </w:t>
            </w:r>
            <w:r w:rsidR="00446A07">
              <w:rPr>
                <w:sz w:val="20"/>
                <w:szCs w:val="20"/>
              </w:rPr>
              <w:t>in developing a </w:t>
            </w:r>
            <w:r w:rsidR="0027332B" w:rsidRPr="005E2B41">
              <w:rPr>
                <w:sz w:val="20"/>
                <w:szCs w:val="20"/>
              </w:rPr>
              <w:t xml:space="preserve">Smartform </w:t>
            </w:r>
            <w:r w:rsidR="00D31424">
              <w:rPr>
                <w:sz w:val="20"/>
                <w:szCs w:val="20"/>
              </w:rPr>
              <w:t>for the Jobs Act AIP plans and compliance reports</w:t>
            </w:r>
            <w:r w:rsidR="00EB49A6">
              <w:rPr>
                <w:sz w:val="20"/>
                <w:szCs w:val="20"/>
              </w:rPr>
              <w:t>;</w:t>
            </w:r>
          </w:p>
          <w:p w14:paraId="7645EAE7" w14:textId="176176DD" w:rsidR="00396C2B" w:rsidRPr="00105AE0" w:rsidRDefault="00396C2B" w:rsidP="00670F6A">
            <w:pPr>
              <w:pStyle w:val="ListParagraph"/>
              <w:numPr>
                <w:ilvl w:val="0"/>
                <w:numId w:val="7"/>
              </w:numPr>
              <w:spacing w:after="120"/>
              <w:jc w:val="both"/>
              <w:rPr>
                <w:sz w:val="20"/>
                <w:szCs w:val="20"/>
              </w:rPr>
            </w:pPr>
            <w:r w:rsidRPr="00105AE0">
              <w:rPr>
                <w:sz w:val="20"/>
                <w:szCs w:val="20"/>
              </w:rPr>
              <w:t>compliance monitoring</w:t>
            </w:r>
            <w:r w:rsidR="00E00C40" w:rsidRPr="00105AE0">
              <w:rPr>
                <w:sz w:val="20"/>
                <w:szCs w:val="20"/>
              </w:rPr>
              <w:t xml:space="preserve"> </w:t>
            </w:r>
            <w:r w:rsidR="007915B5" w:rsidRPr="00105AE0">
              <w:rPr>
                <w:sz w:val="20"/>
                <w:szCs w:val="20"/>
              </w:rPr>
              <w:t>database</w:t>
            </w:r>
            <w:r w:rsidR="007C0022" w:rsidRPr="00105AE0">
              <w:rPr>
                <w:sz w:val="20"/>
                <w:szCs w:val="20"/>
              </w:rPr>
              <w:t>: tracks</w:t>
            </w:r>
            <w:r w:rsidR="00F71CD8" w:rsidRPr="00105AE0">
              <w:rPr>
                <w:sz w:val="20"/>
                <w:szCs w:val="20"/>
              </w:rPr>
              <w:t xml:space="preserve"> projects</w:t>
            </w:r>
            <w:r w:rsidRPr="00105AE0">
              <w:rPr>
                <w:sz w:val="20"/>
                <w:szCs w:val="20"/>
              </w:rPr>
              <w:t>, proponent details, industry information and letters sent to potential major project</w:t>
            </w:r>
            <w:r w:rsidR="00216834" w:rsidRPr="00105AE0">
              <w:rPr>
                <w:sz w:val="20"/>
                <w:szCs w:val="20"/>
              </w:rPr>
              <w:t xml:space="preserve"> proponents</w:t>
            </w:r>
            <w:r w:rsidR="00EB49A6">
              <w:rPr>
                <w:sz w:val="20"/>
                <w:szCs w:val="20"/>
              </w:rPr>
              <w:t>;</w:t>
            </w:r>
          </w:p>
          <w:p w14:paraId="7351A044" w14:textId="060490CF" w:rsidR="00396C2B" w:rsidRPr="00105AE0" w:rsidRDefault="002C6A4C" w:rsidP="00670F6A">
            <w:pPr>
              <w:pStyle w:val="ListParagraph"/>
              <w:numPr>
                <w:ilvl w:val="0"/>
                <w:numId w:val="7"/>
              </w:numPr>
              <w:spacing w:after="120"/>
              <w:jc w:val="both"/>
              <w:rPr>
                <w:sz w:val="20"/>
                <w:szCs w:val="20"/>
              </w:rPr>
            </w:pPr>
            <w:r w:rsidRPr="00105AE0">
              <w:rPr>
                <w:sz w:val="20"/>
                <w:szCs w:val="20"/>
              </w:rPr>
              <w:t>guidance</w:t>
            </w:r>
            <w:r w:rsidR="00396C2B" w:rsidRPr="00105AE0">
              <w:rPr>
                <w:sz w:val="20"/>
                <w:szCs w:val="20"/>
              </w:rPr>
              <w:t xml:space="preserve"> documents: instructional documents </w:t>
            </w:r>
            <w:r w:rsidR="00B4129E" w:rsidRPr="00105AE0">
              <w:rPr>
                <w:sz w:val="20"/>
                <w:szCs w:val="20"/>
              </w:rPr>
              <w:t xml:space="preserve">guiding </w:t>
            </w:r>
            <w:r w:rsidR="00396C2B" w:rsidRPr="00105AE0">
              <w:rPr>
                <w:sz w:val="20"/>
                <w:szCs w:val="20"/>
              </w:rPr>
              <w:t xml:space="preserve">proponents through the AIP process, including </w:t>
            </w:r>
            <w:r w:rsidR="00094DEE">
              <w:rPr>
                <w:sz w:val="20"/>
                <w:szCs w:val="20"/>
              </w:rPr>
              <w:t xml:space="preserve">AIP </w:t>
            </w:r>
            <w:r w:rsidR="00396C2B" w:rsidRPr="00105AE0">
              <w:rPr>
                <w:sz w:val="20"/>
                <w:szCs w:val="20"/>
              </w:rPr>
              <w:t>plan preparation and compliance reporting</w:t>
            </w:r>
            <w:r w:rsidR="00EB49A6">
              <w:rPr>
                <w:sz w:val="20"/>
                <w:szCs w:val="20"/>
              </w:rPr>
              <w:t>;</w:t>
            </w:r>
          </w:p>
          <w:p w14:paraId="1D7E56C1" w14:textId="3E6DBCD9" w:rsidR="00396C2B" w:rsidRPr="00EB49A6" w:rsidRDefault="00396C2B" w:rsidP="00670F6A">
            <w:pPr>
              <w:pStyle w:val="ListParagraph"/>
              <w:numPr>
                <w:ilvl w:val="0"/>
                <w:numId w:val="7"/>
              </w:numPr>
              <w:spacing w:after="120"/>
              <w:jc w:val="both"/>
              <w:rPr>
                <w:sz w:val="20"/>
                <w:szCs w:val="20"/>
              </w:rPr>
            </w:pPr>
            <w:r w:rsidRPr="00105AE0">
              <w:rPr>
                <w:sz w:val="20"/>
                <w:szCs w:val="20"/>
              </w:rPr>
              <w:t>the AIP inbox</w:t>
            </w:r>
            <w:r w:rsidR="007C0022" w:rsidRPr="00105AE0">
              <w:rPr>
                <w:sz w:val="20"/>
                <w:szCs w:val="20"/>
              </w:rPr>
              <w:t xml:space="preserve"> (</w:t>
            </w:r>
            <w:hyperlink r:id="rId15" w:tgtFrame="_blank" w:history="1">
              <w:r w:rsidR="007C0022" w:rsidRPr="00105AE0">
                <w:rPr>
                  <w:rStyle w:val="Hyperlink"/>
                  <w:sz w:val="20"/>
                  <w:szCs w:val="20"/>
                </w:rPr>
                <w:t>aip@industry.gov.au</w:t>
              </w:r>
            </w:hyperlink>
            <w:r w:rsidR="007C0022" w:rsidRPr="00105AE0">
              <w:rPr>
                <w:sz w:val="20"/>
                <w:szCs w:val="20"/>
              </w:rPr>
              <w:softHyphen/>
              <w:t>)</w:t>
            </w:r>
            <w:r w:rsidRPr="00105AE0">
              <w:rPr>
                <w:sz w:val="20"/>
                <w:szCs w:val="20"/>
              </w:rPr>
              <w:t>: email</w:t>
            </w:r>
            <w:r w:rsidR="007C0022" w:rsidRPr="00105AE0">
              <w:rPr>
                <w:sz w:val="20"/>
                <w:szCs w:val="20"/>
              </w:rPr>
              <w:t>s</w:t>
            </w:r>
            <w:r w:rsidRPr="00105AE0">
              <w:rPr>
                <w:sz w:val="20"/>
                <w:szCs w:val="20"/>
              </w:rPr>
              <w:t xml:space="preserve"> </w:t>
            </w:r>
            <w:r w:rsidR="00A70AA5" w:rsidRPr="00105AE0">
              <w:rPr>
                <w:sz w:val="20"/>
                <w:szCs w:val="20"/>
              </w:rPr>
              <w:t>received</w:t>
            </w:r>
            <w:r w:rsidRPr="00105AE0">
              <w:rPr>
                <w:sz w:val="20"/>
                <w:szCs w:val="20"/>
              </w:rPr>
              <w:t xml:space="preserve"> and sent from </w:t>
            </w:r>
            <w:r w:rsidR="007C0022" w:rsidRPr="00105AE0">
              <w:rPr>
                <w:sz w:val="20"/>
                <w:szCs w:val="20"/>
              </w:rPr>
              <w:t>the</w:t>
            </w:r>
            <w:r w:rsidR="00F71CD8" w:rsidRPr="00105AE0">
              <w:rPr>
                <w:sz w:val="20"/>
                <w:szCs w:val="20"/>
              </w:rPr>
              <w:t xml:space="preserve"> </w:t>
            </w:r>
            <w:r w:rsidRPr="00105AE0">
              <w:rPr>
                <w:sz w:val="20"/>
                <w:szCs w:val="20"/>
              </w:rPr>
              <w:t>email address</w:t>
            </w:r>
            <w:r w:rsidR="00EB49A6">
              <w:rPr>
                <w:sz w:val="20"/>
                <w:szCs w:val="20"/>
              </w:rPr>
              <w:t>;</w:t>
            </w:r>
            <w:r w:rsidRPr="00EB49A6">
              <w:rPr>
                <w:sz w:val="20"/>
                <w:szCs w:val="20"/>
              </w:rPr>
              <w:t xml:space="preserve"> </w:t>
            </w:r>
          </w:p>
          <w:p w14:paraId="12D2DBF2" w14:textId="38B1A4B9" w:rsidR="00396C2B" w:rsidRPr="00105AE0" w:rsidRDefault="00396C2B" w:rsidP="00670F6A">
            <w:pPr>
              <w:pStyle w:val="ListParagraph"/>
              <w:numPr>
                <w:ilvl w:val="0"/>
                <w:numId w:val="7"/>
              </w:numPr>
              <w:spacing w:after="120"/>
              <w:jc w:val="both"/>
              <w:rPr>
                <w:sz w:val="20"/>
                <w:szCs w:val="20"/>
              </w:rPr>
            </w:pPr>
            <w:r w:rsidRPr="00105AE0">
              <w:rPr>
                <w:sz w:val="20"/>
                <w:szCs w:val="20"/>
              </w:rPr>
              <w:t>the AIP website</w:t>
            </w:r>
            <w:r w:rsidR="00BA3EF3" w:rsidRPr="00105AE0">
              <w:rPr>
                <w:sz w:val="20"/>
                <w:szCs w:val="20"/>
              </w:rPr>
              <w:t xml:space="preserve"> </w:t>
            </w:r>
            <w:r w:rsidR="007C0022" w:rsidRPr="00105AE0">
              <w:rPr>
                <w:sz w:val="20"/>
                <w:szCs w:val="20"/>
              </w:rPr>
              <w:t>(</w:t>
            </w:r>
            <w:hyperlink r:id="rId16" w:history="1">
              <w:r w:rsidR="00F73A97" w:rsidRPr="00105AE0">
                <w:rPr>
                  <w:rStyle w:val="Hyperlink"/>
                  <w:sz w:val="20"/>
                  <w:szCs w:val="20"/>
                </w:rPr>
                <w:t>www.industry.gov.au/aip</w:t>
              </w:r>
            </w:hyperlink>
            <w:r w:rsidR="007C0022" w:rsidRPr="00105AE0">
              <w:rPr>
                <w:rStyle w:val="Hyperlink"/>
                <w:sz w:val="20"/>
                <w:szCs w:val="20"/>
              </w:rPr>
              <w:t>)</w:t>
            </w:r>
            <w:r w:rsidR="00BA3EF3" w:rsidRPr="00105AE0">
              <w:rPr>
                <w:sz w:val="20"/>
                <w:szCs w:val="20"/>
              </w:rPr>
              <w:t>:</w:t>
            </w:r>
            <w:r w:rsidRPr="00105AE0">
              <w:rPr>
                <w:sz w:val="20"/>
                <w:szCs w:val="20"/>
              </w:rPr>
              <w:t xml:space="preserve"> </w:t>
            </w:r>
            <w:r w:rsidR="00C32681" w:rsidRPr="00105AE0">
              <w:rPr>
                <w:sz w:val="20"/>
                <w:szCs w:val="20"/>
              </w:rPr>
              <w:t xml:space="preserve">hosts </w:t>
            </w:r>
            <w:r w:rsidRPr="00105AE0">
              <w:rPr>
                <w:sz w:val="20"/>
                <w:szCs w:val="20"/>
              </w:rPr>
              <w:t>information</w:t>
            </w:r>
            <w:r w:rsidR="007C0022" w:rsidRPr="00105AE0">
              <w:rPr>
                <w:sz w:val="20"/>
                <w:szCs w:val="20"/>
              </w:rPr>
              <w:t xml:space="preserve"> about the AIP </w:t>
            </w:r>
            <w:r w:rsidR="00C32681" w:rsidRPr="00105AE0">
              <w:rPr>
                <w:sz w:val="20"/>
                <w:szCs w:val="20"/>
              </w:rPr>
              <w:t>National F</w:t>
            </w:r>
            <w:r w:rsidR="007C0022" w:rsidRPr="00105AE0">
              <w:rPr>
                <w:sz w:val="20"/>
                <w:szCs w:val="20"/>
              </w:rPr>
              <w:t>ramework</w:t>
            </w:r>
            <w:r w:rsidRPr="00105AE0">
              <w:rPr>
                <w:sz w:val="20"/>
                <w:szCs w:val="20"/>
              </w:rPr>
              <w:t xml:space="preserve"> </w:t>
            </w:r>
            <w:r w:rsidR="00446A07">
              <w:rPr>
                <w:sz w:val="20"/>
                <w:szCs w:val="20"/>
              </w:rPr>
              <w:t>and </w:t>
            </w:r>
            <w:r w:rsidRPr="00105AE0">
              <w:rPr>
                <w:sz w:val="20"/>
                <w:szCs w:val="20"/>
              </w:rPr>
              <w:t>public resources (i.e. user guides, templates)</w:t>
            </w:r>
            <w:r w:rsidR="007C0022" w:rsidRPr="00105AE0">
              <w:rPr>
                <w:sz w:val="20"/>
                <w:szCs w:val="20"/>
              </w:rPr>
              <w:t xml:space="preserve"> to aid stakeholders and </w:t>
            </w:r>
            <w:r w:rsidR="00C32681" w:rsidRPr="00105AE0">
              <w:rPr>
                <w:sz w:val="20"/>
                <w:szCs w:val="20"/>
              </w:rPr>
              <w:t>regulated entities</w:t>
            </w:r>
            <w:r w:rsidR="00EB49A6">
              <w:rPr>
                <w:sz w:val="20"/>
                <w:szCs w:val="20"/>
              </w:rPr>
              <w:t>;</w:t>
            </w:r>
          </w:p>
          <w:p w14:paraId="5DA31558" w14:textId="24A776C9" w:rsidR="00554660" w:rsidRPr="00105AE0" w:rsidRDefault="00396C2B" w:rsidP="00670F6A">
            <w:pPr>
              <w:pStyle w:val="ListParagraph"/>
              <w:numPr>
                <w:ilvl w:val="0"/>
                <w:numId w:val="7"/>
              </w:numPr>
              <w:spacing w:after="120"/>
              <w:jc w:val="both"/>
              <w:rPr>
                <w:sz w:val="20"/>
                <w:szCs w:val="20"/>
              </w:rPr>
            </w:pPr>
            <w:r w:rsidRPr="00105AE0">
              <w:rPr>
                <w:sz w:val="20"/>
                <w:szCs w:val="20"/>
              </w:rPr>
              <w:t xml:space="preserve">project files: electronic </w:t>
            </w:r>
            <w:r w:rsidR="007C0022" w:rsidRPr="00105AE0">
              <w:rPr>
                <w:sz w:val="20"/>
                <w:szCs w:val="20"/>
              </w:rPr>
              <w:t>files kept on</w:t>
            </w:r>
            <w:r w:rsidRPr="00105AE0">
              <w:rPr>
                <w:sz w:val="20"/>
                <w:szCs w:val="20"/>
              </w:rPr>
              <w:t xml:space="preserve"> projects</w:t>
            </w:r>
            <w:r w:rsidR="00A70AA5" w:rsidRPr="00105AE0">
              <w:rPr>
                <w:sz w:val="20"/>
                <w:szCs w:val="20"/>
              </w:rPr>
              <w:t>, documenting</w:t>
            </w:r>
            <w:r w:rsidRPr="00105AE0">
              <w:rPr>
                <w:sz w:val="20"/>
                <w:szCs w:val="20"/>
              </w:rPr>
              <w:t xml:space="preserve"> </w:t>
            </w:r>
            <w:r w:rsidR="004D24AD" w:rsidRPr="00105AE0">
              <w:rPr>
                <w:sz w:val="20"/>
                <w:szCs w:val="20"/>
              </w:rPr>
              <w:t>regulatory processes</w:t>
            </w:r>
            <w:r w:rsidR="00277BE2" w:rsidRPr="00105AE0">
              <w:rPr>
                <w:sz w:val="20"/>
                <w:szCs w:val="20"/>
              </w:rPr>
              <w:t>,</w:t>
            </w:r>
            <w:r w:rsidR="00A138D5" w:rsidRPr="00105AE0">
              <w:rPr>
                <w:sz w:val="20"/>
                <w:szCs w:val="20"/>
              </w:rPr>
              <w:t xml:space="preserve"> AIP Plans, approvals,</w:t>
            </w:r>
            <w:r w:rsidR="00277BE2" w:rsidRPr="00105AE0">
              <w:rPr>
                <w:sz w:val="20"/>
                <w:szCs w:val="20"/>
              </w:rPr>
              <w:t xml:space="preserve"> </w:t>
            </w:r>
            <w:r w:rsidR="00A138D5" w:rsidRPr="00105AE0">
              <w:rPr>
                <w:sz w:val="20"/>
                <w:szCs w:val="20"/>
              </w:rPr>
              <w:t xml:space="preserve">stakeholder </w:t>
            </w:r>
            <w:r w:rsidR="00277BE2" w:rsidRPr="00105AE0">
              <w:rPr>
                <w:sz w:val="20"/>
                <w:szCs w:val="20"/>
              </w:rPr>
              <w:t>interactions</w:t>
            </w:r>
            <w:r w:rsidR="004D24AD" w:rsidRPr="00105AE0">
              <w:rPr>
                <w:sz w:val="20"/>
                <w:szCs w:val="20"/>
              </w:rPr>
              <w:t xml:space="preserve"> and </w:t>
            </w:r>
            <w:r w:rsidR="00A138D5" w:rsidRPr="00105AE0">
              <w:rPr>
                <w:sz w:val="20"/>
                <w:szCs w:val="20"/>
              </w:rPr>
              <w:t>compliance reports</w:t>
            </w:r>
            <w:r w:rsidR="00EB49A6">
              <w:rPr>
                <w:sz w:val="20"/>
                <w:szCs w:val="20"/>
              </w:rPr>
              <w:t>; and</w:t>
            </w:r>
          </w:p>
          <w:p w14:paraId="1826BED7" w14:textId="53625030" w:rsidR="006F7BE9" w:rsidRPr="004D63F1" w:rsidRDefault="00C5225B" w:rsidP="00DA06BD">
            <w:pPr>
              <w:pStyle w:val="ListParagraph"/>
              <w:numPr>
                <w:ilvl w:val="0"/>
                <w:numId w:val="7"/>
              </w:numPr>
              <w:spacing w:after="120"/>
              <w:jc w:val="both"/>
              <w:rPr>
                <w:sz w:val="20"/>
                <w:szCs w:val="20"/>
              </w:rPr>
            </w:pPr>
            <w:r w:rsidRPr="0027332B">
              <w:rPr>
                <w:sz w:val="20"/>
                <w:szCs w:val="20"/>
              </w:rPr>
              <w:t xml:space="preserve">the </w:t>
            </w:r>
            <w:r w:rsidR="00DE2344" w:rsidRPr="0027332B">
              <w:rPr>
                <w:sz w:val="20"/>
                <w:szCs w:val="20"/>
              </w:rPr>
              <w:t>201</w:t>
            </w:r>
            <w:r w:rsidR="00235E87" w:rsidRPr="0027332B">
              <w:rPr>
                <w:sz w:val="20"/>
                <w:szCs w:val="20"/>
              </w:rPr>
              <w:t>9</w:t>
            </w:r>
            <w:r w:rsidR="00DE2344" w:rsidRPr="0027332B">
              <w:rPr>
                <w:sz w:val="20"/>
                <w:szCs w:val="20"/>
              </w:rPr>
              <w:noBreakHyphen/>
            </w:r>
            <w:r w:rsidR="00235E87" w:rsidRPr="0027332B">
              <w:rPr>
                <w:sz w:val="20"/>
                <w:szCs w:val="20"/>
              </w:rPr>
              <w:t>2020</w:t>
            </w:r>
            <w:r w:rsidR="00DE2344" w:rsidRPr="0027332B">
              <w:rPr>
                <w:sz w:val="20"/>
                <w:szCs w:val="20"/>
              </w:rPr>
              <w:t xml:space="preserve"> </w:t>
            </w:r>
            <w:r w:rsidR="00C32681" w:rsidRPr="0027332B">
              <w:rPr>
                <w:sz w:val="20"/>
                <w:szCs w:val="20"/>
              </w:rPr>
              <w:t>evaluation</w:t>
            </w:r>
            <w:r w:rsidR="00C32681" w:rsidRPr="00105AE0">
              <w:rPr>
                <w:sz w:val="20"/>
                <w:szCs w:val="20"/>
              </w:rPr>
              <w:t xml:space="preserve"> </w:t>
            </w:r>
            <w:r w:rsidR="00DE2344" w:rsidRPr="00105AE0">
              <w:rPr>
                <w:sz w:val="20"/>
                <w:szCs w:val="20"/>
              </w:rPr>
              <w:t>survey</w:t>
            </w:r>
            <w:r w:rsidR="008822B4">
              <w:rPr>
                <w:sz w:val="20"/>
                <w:szCs w:val="20"/>
              </w:rPr>
              <w:t xml:space="preserve"> responses</w:t>
            </w:r>
            <w:r w:rsidR="00241448" w:rsidRPr="00105AE0">
              <w:rPr>
                <w:sz w:val="20"/>
                <w:szCs w:val="20"/>
              </w:rPr>
              <w:t>.</w:t>
            </w:r>
          </w:p>
        </w:tc>
      </w:tr>
    </w:tbl>
    <w:p w14:paraId="77D11541" w14:textId="5772C0AF" w:rsidR="00754B9A" w:rsidRDefault="00754B9A" w:rsidP="00B12E3E">
      <w:pPr>
        <w:spacing w:after="0" w:line="240" w:lineRule="auto"/>
      </w:pPr>
    </w:p>
    <w:p w14:paraId="6856DA9B" w14:textId="77777777" w:rsidR="00754B9A" w:rsidRDefault="00754B9A">
      <w:pPr>
        <w:spacing w:after="200"/>
      </w:pPr>
      <w:r>
        <w:br w:type="page"/>
      </w:r>
    </w:p>
    <w:p w14:paraId="37B8B28A" w14:textId="77777777" w:rsidR="009163EA" w:rsidRDefault="008A7D59" w:rsidP="009163EA">
      <w:pPr>
        <w:pStyle w:val="Heading1"/>
        <w:spacing w:before="0" w:line="240" w:lineRule="auto"/>
        <w:ind w:left="431" w:hanging="431"/>
      </w:pPr>
      <w:r>
        <w:t xml:space="preserve"> </w:t>
      </w:r>
      <w:bookmarkStart w:id="9" w:name="_Toc51247680"/>
      <w:r w:rsidR="009163EA">
        <w:t>Performance Scorecard</w:t>
      </w:r>
      <w:bookmarkEnd w:id="9"/>
    </w:p>
    <w:p w14:paraId="14CD231F" w14:textId="77777777" w:rsidR="00AE4755" w:rsidRPr="00AE4755" w:rsidRDefault="00AE4755" w:rsidP="00AE4755"/>
    <w:tbl>
      <w:tblPr>
        <w:tblStyle w:val="TableGrid"/>
        <w:tblW w:w="9776" w:type="dxa"/>
        <w:tblLook w:val="04A0" w:firstRow="1" w:lastRow="0" w:firstColumn="1" w:lastColumn="0" w:noHBand="0" w:noVBand="1"/>
      </w:tblPr>
      <w:tblGrid>
        <w:gridCol w:w="5382"/>
        <w:gridCol w:w="2551"/>
        <w:gridCol w:w="1843"/>
      </w:tblGrid>
      <w:tr w:rsidR="00773BD8" w:rsidRPr="00D16E1B" w14:paraId="4CC238F8" w14:textId="77777777" w:rsidTr="001634A7">
        <w:tc>
          <w:tcPr>
            <w:tcW w:w="5382" w:type="dxa"/>
            <w:tcBorders>
              <w:top w:val="single" w:sz="4" w:space="0" w:color="auto"/>
              <w:left w:val="single" w:sz="4" w:space="0" w:color="auto"/>
              <w:bottom w:val="single" w:sz="4" w:space="0" w:color="auto"/>
              <w:right w:val="nil"/>
            </w:tcBorders>
            <w:shd w:val="clear" w:color="auto" w:fill="005677" w:themeFill="accent1"/>
          </w:tcPr>
          <w:p w14:paraId="50DF441B" w14:textId="33A61D91" w:rsidR="00B169F4" w:rsidRPr="00D16E1B" w:rsidRDefault="00B169F4" w:rsidP="0027332B">
            <w:pPr>
              <w:rPr>
                <w:b/>
                <w:color w:val="FFFFFF" w:themeColor="background1"/>
                <w:sz w:val="22"/>
              </w:rPr>
            </w:pPr>
            <w:r w:rsidRPr="00D16E1B">
              <w:rPr>
                <w:b/>
                <w:color w:val="FFFFFF" w:themeColor="background1"/>
                <w:sz w:val="22"/>
              </w:rPr>
              <w:t xml:space="preserve">Improvements and activities in </w:t>
            </w:r>
            <w:r w:rsidRPr="0027332B">
              <w:rPr>
                <w:b/>
                <w:color w:val="FFFFFF" w:themeColor="background1"/>
                <w:sz w:val="22"/>
              </w:rPr>
              <w:t>201</w:t>
            </w:r>
            <w:r w:rsidR="0027332B">
              <w:rPr>
                <w:b/>
                <w:color w:val="FFFFFF" w:themeColor="background1"/>
                <w:sz w:val="22"/>
              </w:rPr>
              <w:t>9</w:t>
            </w:r>
            <w:r w:rsidRPr="0027332B">
              <w:rPr>
                <w:b/>
                <w:color w:val="FFFFFF" w:themeColor="background1"/>
                <w:sz w:val="22"/>
              </w:rPr>
              <w:noBreakHyphen/>
            </w:r>
            <w:r w:rsidR="0027332B">
              <w:rPr>
                <w:b/>
                <w:color w:val="FFFFFF" w:themeColor="background1"/>
                <w:sz w:val="22"/>
              </w:rPr>
              <w:t>20</w:t>
            </w:r>
          </w:p>
        </w:tc>
        <w:tc>
          <w:tcPr>
            <w:tcW w:w="2551" w:type="dxa"/>
            <w:tcBorders>
              <w:top w:val="single" w:sz="4" w:space="0" w:color="auto"/>
              <w:left w:val="nil"/>
              <w:bottom w:val="single" w:sz="4" w:space="0" w:color="auto"/>
              <w:right w:val="nil"/>
            </w:tcBorders>
            <w:shd w:val="clear" w:color="auto" w:fill="005677" w:themeFill="accent1"/>
          </w:tcPr>
          <w:p w14:paraId="2044ACE8" w14:textId="2185D727" w:rsidR="00B169F4" w:rsidRPr="00D16E1B" w:rsidRDefault="004831FA" w:rsidP="00970B54">
            <w:pPr>
              <w:rPr>
                <w:b/>
                <w:color w:val="FFFFFF" w:themeColor="background1"/>
                <w:sz w:val="22"/>
              </w:rPr>
            </w:pPr>
            <w:r w:rsidRPr="00D16E1B">
              <w:rPr>
                <w:b/>
                <w:color w:val="FFFFFF" w:themeColor="background1"/>
                <w:sz w:val="22"/>
              </w:rPr>
              <w:t>Performance measure</w:t>
            </w:r>
          </w:p>
        </w:tc>
        <w:tc>
          <w:tcPr>
            <w:tcW w:w="1843" w:type="dxa"/>
            <w:tcBorders>
              <w:top w:val="single" w:sz="4" w:space="0" w:color="auto"/>
              <w:left w:val="nil"/>
              <w:bottom w:val="single" w:sz="4" w:space="0" w:color="auto"/>
              <w:right w:val="single" w:sz="4" w:space="0" w:color="auto"/>
            </w:tcBorders>
            <w:shd w:val="clear" w:color="auto" w:fill="005677" w:themeFill="accent1"/>
          </w:tcPr>
          <w:p w14:paraId="3C05FCDB" w14:textId="648AD04A" w:rsidR="00B169F4" w:rsidRPr="00D16E1B" w:rsidRDefault="004831FA" w:rsidP="00970B54">
            <w:pPr>
              <w:rPr>
                <w:b/>
                <w:color w:val="FFFFFF" w:themeColor="background1"/>
                <w:sz w:val="22"/>
              </w:rPr>
            </w:pPr>
            <w:r w:rsidRPr="00D16E1B">
              <w:rPr>
                <w:b/>
                <w:color w:val="FFFFFF" w:themeColor="background1"/>
                <w:sz w:val="22"/>
              </w:rPr>
              <w:t>Regulatory KPI</w:t>
            </w:r>
          </w:p>
        </w:tc>
      </w:tr>
      <w:tr w:rsidR="00B169F4" w14:paraId="2A1F3DB9" w14:textId="77777777" w:rsidTr="001634A7">
        <w:tc>
          <w:tcPr>
            <w:tcW w:w="5382" w:type="dxa"/>
            <w:tcBorders>
              <w:top w:val="single" w:sz="4" w:space="0" w:color="auto"/>
            </w:tcBorders>
          </w:tcPr>
          <w:p w14:paraId="52107303" w14:textId="641036A9" w:rsidR="00B169F4" w:rsidRDefault="00B169F4" w:rsidP="0044014D">
            <w:pPr>
              <w:jc w:val="both"/>
            </w:pPr>
            <w:r w:rsidRPr="0027332B">
              <w:t>201</w:t>
            </w:r>
            <w:r w:rsidR="0027332B" w:rsidRPr="0027332B">
              <w:t>9-20</w:t>
            </w:r>
            <w:r>
              <w:t xml:space="preserve"> </w:t>
            </w:r>
            <w:r w:rsidR="00A138D5">
              <w:t xml:space="preserve">evaluation survey </w:t>
            </w:r>
            <w:r>
              <w:t>provide</w:t>
            </w:r>
            <w:r w:rsidR="00A138D5">
              <w:t>d</w:t>
            </w:r>
            <w:r>
              <w:t xml:space="preserve"> the Authority with feedback </w:t>
            </w:r>
            <w:r w:rsidR="005B61B8">
              <w:t xml:space="preserve">from regulated entities </w:t>
            </w:r>
            <w:r>
              <w:t>to continuously improve customer service and to ensure entities are able to access regulatory assistance and guidance documents in a way that</w:t>
            </w:r>
            <w:r w:rsidRPr="00051446">
              <w:t xml:space="preserve"> best </w:t>
            </w:r>
            <w:r w:rsidR="005B61B8">
              <w:t>enables them to</w:t>
            </w:r>
            <w:r w:rsidRPr="00051446">
              <w:t xml:space="preserve"> </w:t>
            </w:r>
            <w:r>
              <w:t>meet the</w:t>
            </w:r>
            <w:r w:rsidRPr="00051446">
              <w:t xml:space="preserve"> requirements of the Jobs Act</w:t>
            </w:r>
            <w:r>
              <w:t>. Responses have been collected for this financial year and any sugge</w:t>
            </w:r>
            <w:r w:rsidR="00446A07">
              <w:t xml:space="preserve">stions for improvements will be </w:t>
            </w:r>
            <w:r>
              <w:t xml:space="preserve">considered for implementation over the next 12 months. The survey will be continued next financial year. </w:t>
            </w:r>
          </w:p>
        </w:tc>
        <w:tc>
          <w:tcPr>
            <w:tcW w:w="2551" w:type="dxa"/>
            <w:tcBorders>
              <w:top w:val="single" w:sz="4" w:space="0" w:color="auto"/>
            </w:tcBorders>
          </w:tcPr>
          <w:p w14:paraId="5C1909AA" w14:textId="2A7F1C9B" w:rsidR="004831FA" w:rsidRPr="008C653E" w:rsidRDefault="004831FA" w:rsidP="001634A7">
            <w:pPr>
              <w:rPr>
                <w:szCs w:val="20"/>
              </w:rPr>
            </w:pPr>
            <w:r w:rsidRPr="008C653E">
              <w:rPr>
                <w:szCs w:val="20"/>
              </w:rPr>
              <w:t>PM 1</w:t>
            </w:r>
            <w:r w:rsidR="008C653E">
              <w:rPr>
                <w:szCs w:val="20"/>
              </w:rPr>
              <w:t xml:space="preserve">, </w:t>
            </w:r>
            <w:r w:rsidRPr="008C653E">
              <w:rPr>
                <w:szCs w:val="20"/>
              </w:rPr>
              <w:t>PM 4</w:t>
            </w:r>
            <w:r w:rsidR="008C653E">
              <w:rPr>
                <w:szCs w:val="20"/>
              </w:rPr>
              <w:t xml:space="preserve">, </w:t>
            </w:r>
            <w:r w:rsidRPr="008C653E">
              <w:rPr>
                <w:szCs w:val="20"/>
              </w:rPr>
              <w:t>PM 5</w:t>
            </w:r>
          </w:p>
        </w:tc>
        <w:tc>
          <w:tcPr>
            <w:tcW w:w="1843" w:type="dxa"/>
            <w:tcBorders>
              <w:top w:val="single" w:sz="4" w:space="0" w:color="auto"/>
            </w:tcBorders>
          </w:tcPr>
          <w:p w14:paraId="19CF0CAE" w14:textId="3A68F403" w:rsidR="004831FA" w:rsidRPr="008C653E" w:rsidRDefault="004831FA" w:rsidP="004831FA">
            <w:pPr>
              <w:rPr>
                <w:szCs w:val="20"/>
              </w:rPr>
            </w:pPr>
            <w:r w:rsidRPr="008C653E">
              <w:rPr>
                <w:szCs w:val="20"/>
              </w:rPr>
              <w:t>KPI 1</w:t>
            </w:r>
            <w:r w:rsidR="008C653E">
              <w:rPr>
                <w:szCs w:val="20"/>
              </w:rPr>
              <w:t xml:space="preserve">, </w:t>
            </w:r>
            <w:r w:rsidRPr="008C653E">
              <w:rPr>
                <w:szCs w:val="20"/>
              </w:rPr>
              <w:t>KPI 4</w:t>
            </w:r>
            <w:r w:rsidR="009A3D40">
              <w:rPr>
                <w:szCs w:val="20"/>
              </w:rPr>
              <w:t>,</w:t>
            </w:r>
          </w:p>
          <w:p w14:paraId="37262F0D" w14:textId="53595522" w:rsidR="004831FA" w:rsidRPr="008C653E" w:rsidRDefault="004831FA" w:rsidP="004831FA">
            <w:pPr>
              <w:rPr>
                <w:szCs w:val="20"/>
              </w:rPr>
            </w:pPr>
            <w:r w:rsidRPr="008C653E">
              <w:rPr>
                <w:szCs w:val="20"/>
              </w:rPr>
              <w:t>KPI 6</w:t>
            </w:r>
          </w:p>
          <w:p w14:paraId="479494DA" w14:textId="3A749EF6" w:rsidR="00B169F4" w:rsidRPr="008C653E" w:rsidRDefault="00B169F4" w:rsidP="00CB09B0">
            <w:pPr>
              <w:rPr>
                <w:szCs w:val="20"/>
              </w:rPr>
            </w:pPr>
          </w:p>
        </w:tc>
      </w:tr>
      <w:tr w:rsidR="00B169F4" w14:paraId="2F028554" w14:textId="77777777" w:rsidTr="001634A7">
        <w:trPr>
          <w:trHeight w:val="1667"/>
        </w:trPr>
        <w:tc>
          <w:tcPr>
            <w:tcW w:w="5382" w:type="dxa"/>
          </w:tcPr>
          <w:p w14:paraId="0B8FA379" w14:textId="5AFAC3B6" w:rsidR="00B169F4" w:rsidRPr="00D85825" w:rsidRDefault="00B169F4" w:rsidP="0044014D">
            <w:pPr>
              <w:jc w:val="both"/>
              <w:rPr>
                <w:szCs w:val="24"/>
              </w:rPr>
            </w:pPr>
            <w:r w:rsidRPr="00BE150C">
              <w:rPr>
                <w:szCs w:val="24"/>
              </w:rPr>
              <w:t xml:space="preserve">The </w:t>
            </w:r>
            <w:r w:rsidRPr="004831FA">
              <w:rPr>
                <w:szCs w:val="24"/>
              </w:rPr>
              <w:t xml:space="preserve">Authority has </w:t>
            </w:r>
            <w:r w:rsidR="009677BD" w:rsidRPr="004831FA">
              <w:rPr>
                <w:szCs w:val="24"/>
              </w:rPr>
              <w:t xml:space="preserve">updated </w:t>
            </w:r>
            <w:r w:rsidR="00156709">
              <w:rPr>
                <w:szCs w:val="24"/>
              </w:rPr>
              <w:t xml:space="preserve">all the </w:t>
            </w:r>
            <w:r w:rsidR="00604BAF">
              <w:rPr>
                <w:szCs w:val="24"/>
              </w:rPr>
              <w:t xml:space="preserve">templates and </w:t>
            </w:r>
            <w:r w:rsidR="009677BD" w:rsidRPr="004831FA">
              <w:rPr>
                <w:szCs w:val="24"/>
              </w:rPr>
              <w:t>user guides</w:t>
            </w:r>
            <w:r w:rsidR="005B61B8">
              <w:rPr>
                <w:szCs w:val="24"/>
              </w:rPr>
              <w:t xml:space="preserve"> to improve clari</w:t>
            </w:r>
            <w:r w:rsidR="00446A07">
              <w:rPr>
                <w:szCs w:val="24"/>
              </w:rPr>
              <w:t>ty and usability in response to </w:t>
            </w:r>
            <w:r w:rsidR="005B61B8">
              <w:rPr>
                <w:szCs w:val="24"/>
              </w:rPr>
              <w:t>stakeholder feedback</w:t>
            </w:r>
            <w:r w:rsidR="00A138D5">
              <w:rPr>
                <w:szCs w:val="24"/>
              </w:rPr>
              <w:t xml:space="preserve">, </w:t>
            </w:r>
            <w:r w:rsidR="00156709">
              <w:rPr>
                <w:szCs w:val="24"/>
              </w:rPr>
              <w:t>has provided guidelines on AIP plan trigger dates</w:t>
            </w:r>
            <w:r w:rsidR="00604BAF">
              <w:rPr>
                <w:szCs w:val="24"/>
              </w:rPr>
              <w:t xml:space="preserve"> </w:t>
            </w:r>
            <w:r w:rsidR="009677BD" w:rsidRPr="004831FA">
              <w:rPr>
                <w:szCs w:val="24"/>
              </w:rPr>
              <w:t>and</w:t>
            </w:r>
            <w:r w:rsidR="00446A07">
              <w:rPr>
                <w:szCs w:val="24"/>
              </w:rPr>
              <w:t xml:space="preserve"> continues to provide advice to </w:t>
            </w:r>
            <w:r w:rsidR="00A138D5">
              <w:rPr>
                <w:szCs w:val="24"/>
              </w:rPr>
              <w:t>regulated entities via</w:t>
            </w:r>
            <w:r w:rsidR="009677BD" w:rsidRPr="004831FA">
              <w:rPr>
                <w:szCs w:val="24"/>
              </w:rPr>
              <w:t xml:space="preserve"> a hotline and </w:t>
            </w:r>
            <w:r w:rsidR="00A138D5">
              <w:rPr>
                <w:szCs w:val="24"/>
              </w:rPr>
              <w:t xml:space="preserve">email </w:t>
            </w:r>
            <w:r w:rsidR="009677BD" w:rsidRPr="004831FA">
              <w:rPr>
                <w:szCs w:val="24"/>
              </w:rPr>
              <w:t>inbox</w:t>
            </w:r>
            <w:r w:rsidR="00A138D5">
              <w:rPr>
                <w:szCs w:val="24"/>
              </w:rPr>
              <w:t>. This ongoing engagement</w:t>
            </w:r>
            <w:r>
              <w:rPr>
                <w:szCs w:val="24"/>
              </w:rPr>
              <w:t xml:space="preserve"> support</w:t>
            </w:r>
            <w:r w:rsidR="00FC585D">
              <w:rPr>
                <w:szCs w:val="24"/>
              </w:rPr>
              <w:t>s</w:t>
            </w:r>
            <w:r w:rsidR="00B00EC7">
              <w:rPr>
                <w:szCs w:val="24"/>
              </w:rPr>
              <w:t xml:space="preserve"> and educates</w:t>
            </w:r>
            <w:r>
              <w:rPr>
                <w:szCs w:val="24"/>
              </w:rPr>
              <w:t xml:space="preserve"> proponents</w:t>
            </w:r>
            <w:r w:rsidR="00634807">
              <w:rPr>
                <w:szCs w:val="24"/>
              </w:rPr>
              <w:t xml:space="preserve"> </w:t>
            </w:r>
            <w:r w:rsidR="00B00EC7">
              <w:rPr>
                <w:szCs w:val="24"/>
              </w:rPr>
              <w:t>about</w:t>
            </w:r>
            <w:r w:rsidR="00FC585D">
              <w:rPr>
                <w:szCs w:val="24"/>
              </w:rPr>
              <w:t xml:space="preserve"> meeting</w:t>
            </w:r>
            <w:r w:rsidR="00A138D5">
              <w:rPr>
                <w:szCs w:val="24"/>
              </w:rPr>
              <w:t xml:space="preserve"> </w:t>
            </w:r>
            <w:r w:rsidR="00B00EC7">
              <w:rPr>
                <w:szCs w:val="24"/>
              </w:rPr>
              <w:t xml:space="preserve">Jobs Act </w:t>
            </w:r>
            <w:r w:rsidR="00634807" w:rsidRPr="004831FA">
              <w:rPr>
                <w:szCs w:val="24"/>
              </w:rPr>
              <w:t>obligations</w:t>
            </w:r>
            <w:r w:rsidR="00F66D46">
              <w:rPr>
                <w:szCs w:val="24"/>
              </w:rPr>
              <w:t>.</w:t>
            </w:r>
          </w:p>
        </w:tc>
        <w:tc>
          <w:tcPr>
            <w:tcW w:w="2551" w:type="dxa"/>
          </w:tcPr>
          <w:p w14:paraId="207F1474" w14:textId="1551E21D" w:rsidR="00F66D46" w:rsidRPr="008C653E" w:rsidRDefault="005B61B8" w:rsidP="004C05C8">
            <w:pPr>
              <w:rPr>
                <w:szCs w:val="20"/>
              </w:rPr>
            </w:pPr>
            <w:r w:rsidRPr="008C653E">
              <w:rPr>
                <w:szCs w:val="20"/>
              </w:rPr>
              <w:t>PM</w:t>
            </w:r>
            <w:r w:rsidR="00B756E2" w:rsidRPr="008C653E">
              <w:rPr>
                <w:szCs w:val="20"/>
              </w:rPr>
              <w:t xml:space="preserve"> </w:t>
            </w:r>
            <w:r w:rsidRPr="008C653E">
              <w:rPr>
                <w:szCs w:val="20"/>
              </w:rPr>
              <w:t>2</w:t>
            </w:r>
            <w:r w:rsidR="008C653E">
              <w:rPr>
                <w:szCs w:val="20"/>
              </w:rPr>
              <w:t xml:space="preserve">, </w:t>
            </w:r>
            <w:r w:rsidR="004831FA" w:rsidRPr="008C653E">
              <w:rPr>
                <w:szCs w:val="20"/>
              </w:rPr>
              <w:t>PM 3</w:t>
            </w:r>
            <w:r w:rsidR="008C653E">
              <w:rPr>
                <w:szCs w:val="20"/>
              </w:rPr>
              <w:t xml:space="preserve">, </w:t>
            </w:r>
            <w:r w:rsidR="004831FA" w:rsidRPr="008C653E">
              <w:rPr>
                <w:szCs w:val="20"/>
              </w:rPr>
              <w:t>PM 4</w:t>
            </w:r>
          </w:p>
        </w:tc>
        <w:tc>
          <w:tcPr>
            <w:tcW w:w="1843" w:type="dxa"/>
          </w:tcPr>
          <w:p w14:paraId="4B704A5B" w14:textId="2AC4E42A" w:rsidR="004831FA" w:rsidRPr="008C653E" w:rsidRDefault="004831FA" w:rsidP="004831FA">
            <w:pPr>
              <w:rPr>
                <w:szCs w:val="20"/>
              </w:rPr>
            </w:pPr>
            <w:r w:rsidRPr="008C653E">
              <w:rPr>
                <w:szCs w:val="20"/>
              </w:rPr>
              <w:t>KPI 2</w:t>
            </w:r>
            <w:r w:rsidR="008C653E">
              <w:rPr>
                <w:szCs w:val="20"/>
              </w:rPr>
              <w:t xml:space="preserve">, </w:t>
            </w:r>
            <w:r w:rsidRPr="008C653E">
              <w:rPr>
                <w:szCs w:val="20"/>
              </w:rPr>
              <w:t>KPI 3</w:t>
            </w:r>
            <w:r w:rsidR="009A3D40">
              <w:rPr>
                <w:szCs w:val="20"/>
              </w:rPr>
              <w:t>,</w:t>
            </w:r>
          </w:p>
          <w:p w14:paraId="38140579" w14:textId="40809D95" w:rsidR="004831FA" w:rsidRPr="008C653E" w:rsidRDefault="004831FA" w:rsidP="004831FA">
            <w:pPr>
              <w:rPr>
                <w:szCs w:val="20"/>
              </w:rPr>
            </w:pPr>
            <w:r w:rsidRPr="008C653E">
              <w:rPr>
                <w:szCs w:val="20"/>
              </w:rPr>
              <w:t>KPI 4</w:t>
            </w:r>
            <w:r w:rsidR="008C653E">
              <w:rPr>
                <w:szCs w:val="20"/>
              </w:rPr>
              <w:t xml:space="preserve">, </w:t>
            </w:r>
            <w:r w:rsidRPr="008C653E">
              <w:rPr>
                <w:szCs w:val="20"/>
              </w:rPr>
              <w:t>KPI 5</w:t>
            </w:r>
            <w:r w:rsidR="009A3D40">
              <w:rPr>
                <w:szCs w:val="20"/>
              </w:rPr>
              <w:t>,</w:t>
            </w:r>
          </w:p>
          <w:p w14:paraId="46406228" w14:textId="7ED86564" w:rsidR="004831FA" w:rsidRPr="008C653E" w:rsidRDefault="004831FA">
            <w:pPr>
              <w:rPr>
                <w:szCs w:val="20"/>
              </w:rPr>
            </w:pPr>
            <w:r w:rsidRPr="008C653E">
              <w:rPr>
                <w:szCs w:val="20"/>
              </w:rPr>
              <w:t>KPI 6</w:t>
            </w:r>
          </w:p>
        </w:tc>
      </w:tr>
      <w:tr w:rsidR="00CD5567" w14:paraId="0BCB2A9B" w14:textId="77777777" w:rsidTr="00BB6C32">
        <w:trPr>
          <w:trHeight w:val="1047"/>
        </w:trPr>
        <w:tc>
          <w:tcPr>
            <w:tcW w:w="5382" w:type="dxa"/>
          </w:tcPr>
          <w:p w14:paraId="57F20A80" w14:textId="1EDA970C" w:rsidR="00CD5567" w:rsidRDefault="00CD5567" w:rsidP="0044014D">
            <w:pPr>
              <w:spacing w:after="0"/>
              <w:jc w:val="both"/>
            </w:pPr>
            <w:r w:rsidRPr="00644F90">
              <w:t xml:space="preserve">The Authority </w:t>
            </w:r>
            <w:r w:rsidR="0027332B">
              <w:t xml:space="preserve">progressed to </w:t>
            </w:r>
            <w:r w:rsidRPr="00644F90">
              <w:t>mov</w:t>
            </w:r>
            <w:r w:rsidR="0027332B">
              <w:t>ing the</w:t>
            </w:r>
            <w:r w:rsidRPr="00644F90">
              <w:t xml:space="preserve"> AIP plan</w:t>
            </w:r>
            <w:r w:rsidR="000805F9">
              <w:t>s</w:t>
            </w:r>
            <w:r w:rsidRPr="00644F90">
              <w:t xml:space="preserve"> and compliance reporting to an online </w:t>
            </w:r>
            <w:r w:rsidR="00156709">
              <w:t>SmartForm system</w:t>
            </w:r>
            <w:r w:rsidRPr="00644F90">
              <w:t>, in line with Recommendation 1 of the Jobs Act Review</w:t>
            </w:r>
            <w:r>
              <w:t xml:space="preserve"> to streamline regulatory processes</w:t>
            </w:r>
            <w:r w:rsidR="00C15D3C">
              <w:t>.</w:t>
            </w:r>
            <w:r w:rsidR="00C32833">
              <w:t xml:space="preserve"> </w:t>
            </w:r>
            <w:r w:rsidR="00C32833" w:rsidRPr="005E2B41">
              <w:t>P</w:t>
            </w:r>
            <w:r w:rsidR="00C15D3C" w:rsidRPr="005E2B41">
              <w:t>roponents contribute</w:t>
            </w:r>
            <w:r w:rsidR="00C32833" w:rsidRPr="005E2B41">
              <w:t>d</w:t>
            </w:r>
            <w:r w:rsidR="00C15D3C" w:rsidRPr="005E2B41">
              <w:t xml:space="preserve"> to </w:t>
            </w:r>
            <w:r w:rsidR="00156709">
              <w:t>developing the system through</w:t>
            </w:r>
            <w:r w:rsidR="00C15D3C" w:rsidRPr="005E2B41">
              <w:t xml:space="preserve"> </w:t>
            </w:r>
            <w:r w:rsidR="00FF7129" w:rsidRPr="005E2B41">
              <w:t>a</w:t>
            </w:r>
            <w:r w:rsidR="00C15D3C" w:rsidRPr="005E2B41">
              <w:t xml:space="preserve"> focus group held in Perth</w:t>
            </w:r>
            <w:r w:rsidR="00156709">
              <w:t xml:space="preserve"> and a national</w:t>
            </w:r>
            <w:r w:rsidR="00C32833" w:rsidRPr="005E2B41">
              <w:t xml:space="preserve"> s</w:t>
            </w:r>
            <w:r w:rsidR="00C15D3C" w:rsidRPr="005E2B41">
              <w:t>urvey</w:t>
            </w:r>
            <w:r w:rsidR="0074062C">
              <w:t xml:space="preserve"> </w:t>
            </w:r>
            <w:r w:rsidR="00F3629B">
              <w:t xml:space="preserve">using </w:t>
            </w:r>
            <w:r w:rsidR="0074062C">
              <w:t>h</w:t>
            </w:r>
            <w:r w:rsidR="00F3629B">
              <w:t>uman centred design.</w:t>
            </w:r>
            <w:r w:rsidR="00C32833" w:rsidRPr="005E2B41">
              <w:t xml:space="preserve"> </w:t>
            </w:r>
            <w:r w:rsidR="00FA4381" w:rsidRPr="005E2B41">
              <w:t>F</w:t>
            </w:r>
            <w:r w:rsidR="00C32833" w:rsidRPr="005E2B41">
              <w:t xml:space="preserve">eedback has been </w:t>
            </w:r>
            <w:r w:rsidR="0027332B" w:rsidRPr="005E2B41">
              <w:t xml:space="preserve">captured and </w:t>
            </w:r>
            <w:r w:rsidR="00156709">
              <w:t>used in</w:t>
            </w:r>
            <w:r w:rsidR="00C15D3C" w:rsidRPr="005E2B41">
              <w:t xml:space="preserve"> the design of the </w:t>
            </w:r>
            <w:r w:rsidR="00B42B83" w:rsidRPr="005E2B41">
              <w:t>Smartform</w:t>
            </w:r>
            <w:r w:rsidR="00156709">
              <w:t xml:space="preserve"> system</w:t>
            </w:r>
            <w:r w:rsidR="00C15D3C" w:rsidRPr="005E2B41">
              <w:t xml:space="preserve">. </w:t>
            </w:r>
          </w:p>
        </w:tc>
        <w:tc>
          <w:tcPr>
            <w:tcW w:w="2551" w:type="dxa"/>
          </w:tcPr>
          <w:p w14:paraId="7B89B93F" w14:textId="77777777" w:rsidR="00CD5567" w:rsidRPr="008C653E" w:rsidRDefault="00CD5567" w:rsidP="00BB6C32">
            <w:pPr>
              <w:rPr>
                <w:szCs w:val="20"/>
              </w:rPr>
            </w:pPr>
            <w:r w:rsidRPr="008C653E">
              <w:rPr>
                <w:szCs w:val="20"/>
              </w:rPr>
              <w:t>PM 2</w:t>
            </w:r>
            <w:r>
              <w:rPr>
                <w:szCs w:val="20"/>
              </w:rPr>
              <w:t xml:space="preserve">, </w:t>
            </w:r>
            <w:r w:rsidRPr="008C653E">
              <w:rPr>
                <w:szCs w:val="20"/>
              </w:rPr>
              <w:t>PM 4</w:t>
            </w:r>
            <w:r>
              <w:rPr>
                <w:szCs w:val="20"/>
              </w:rPr>
              <w:t xml:space="preserve">, </w:t>
            </w:r>
            <w:r w:rsidRPr="008C653E">
              <w:rPr>
                <w:szCs w:val="20"/>
              </w:rPr>
              <w:t>PM 5</w:t>
            </w:r>
          </w:p>
        </w:tc>
        <w:tc>
          <w:tcPr>
            <w:tcW w:w="1843" w:type="dxa"/>
          </w:tcPr>
          <w:p w14:paraId="6D94B1ED" w14:textId="77777777" w:rsidR="00CD5567" w:rsidRPr="008C653E" w:rsidRDefault="00CD5567" w:rsidP="00BB6C32">
            <w:pPr>
              <w:rPr>
                <w:szCs w:val="20"/>
              </w:rPr>
            </w:pPr>
            <w:r w:rsidRPr="008C653E">
              <w:rPr>
                <w:szCs w:val="20"/>
              </w:rPr>
              <w:t>KPI 3</w:t>
            </w:r>
            <w:r>
              <w:rPr>
                <w:szCs w:val="20"/>
              </w:rPr>
              <w:t xml:space="preserve">, </w:t>
            </w:r>
            <w:r w:rsidRPr="008C653E">
              <w:rPr>
                <w:szCs w:val="20"/>
              </w:rPr>
              <w:t>KPI 4</w:t>
            </w:r>
            <w:r>
              <w:rPr>
                <w:szCs w:val="20"/>
              </w:rPr>
              <w:t>,</w:t>
            </w:r>
          </w:p>
          <w:p w14:paraId="7C7ABDAA" w14:textId="77777777" w:rsidR="00CD5567" w:rsidRPr="008C653E" w:rsidRDefault="00CD5567" w:rsidP="00BB6C32">
            <w:pPr>
              <w:rPr>
                <w:szCs w:val="20"/>
              </w:rPr>
            </w:pPr>
            <w:r w:rsidRPr="008C653E">
              <w:rPr>
                <w:szCs w:val="20"/>
              </w:rPr>
              <w:t>KPI 6</w:t>
            </w:r>
          </w:p>
        </w:tc>
      </w:tr>
      <w:tr w:rsidR="00B169F4" w14:paraId="6DACBF9C" w14:textId="77777777" w:rsidTr="001634A7">
        <w:tc>
          <w:tcPr>
            <w:tcW w:w="5382" w:type="dxa"/>
          </w:tcPr>
          <w:p w14:paraId="334ED882" w14:textId="33853A90" w:rsidR="0009020C" w:rsidRDefault="00530B56" w:rsidP="0044014D">
            <w:pPr>
              <w:jc w:val="both"/>
            </w:pPr>
            <w:r w:rsidRPr="00C15D3C">
              <w:t xml:space="preserve">Authority staff </w:t>
            </w:r>
            <w:r w:rsidRPr="005E2B41">
              <w:t xml:space="preserve"> </w:t>
            </w:r>
            <w:r w:rsidR="00EB49A6">
              <w:t xml:space="preserve">held </w:t>
            </w:r>
            <w:r w:rsidR="00FA4381" w:rsidRPr="005E2B41">
              <w:t>34</w:t>
            </w:r>
            <w:r w:rsidR="000F22A2" w:rsidRPr="005E2B41">
              <w:t xml:space="preserve"> </w:t>
            </w:r>
            <w:r w:rsidR="00773BD8" w:rsidRPr="005E2B41">
              <w:t>meeting</w:t>
            </w:r>
            <w:r w:rsidRPr="005E2B41">
              <w:t>s</w:t>
            </w:r>
            <w:r w:rsidR="00773BD8" w:rsidRPr="005E2B41">
              <w:t xml:space="preserve"> </w:t>
            </w:r>
            <w:r w:rsidR="00773BD8" w:rsidRPr="00C15D3C">
              <w:t xml:space="preserve">with potential </w:t>
            </w:r>
            <w:r w:rsidR="00773BD8" w:rsidRPr="0027332B">
              <w:t>proponents in 201</w:t>
            </w:r>
            <w:r w:rsidR="00FA4381">
              <w:t>9</w:t>
            </w:r>
            <w:r w:rsidR="00773BD8" w:rsidRPr="0027332B">
              <w:t>-</w:t>
            </w:r>
            <w:r w:rsidR="00FA4381">
              <w:t>20</w:t>
            </w:r>
            <w:r w:rsidR="00773BD8" w:rsidRPr="0027332B">
              <w:t xml:space="preserve"> to communicate Jobs Act obligations, AIP plan requirements and  approval process</w:t>
            </w:r>
            <w:r w:rsidR="00EB49A6">
              <w:t>es</w:t>
            </w:r>
            <w:r w:rsidR="00FA4381">
              <w:t xml:space="preserve"> (up from 19 in 2018</w:t>
            </w:r>
            <w:r w:rsidR="00C33904">
              <w:t>-</w:t>
            </w:r>
            <w:r w:rsidR="00FA4381">
              <w:t>19)</w:t>
            </w:r>
            <w:r w:rsidR="000805F9">
              <w:t>.</w:t>
            </w:r>
          </w:p>
          <w:p w14:paraId="0EC1B778" w14:textId="1DE22E6C" w:rsidR="00B169F4" w:rsidRDefault="009A4419" w:rsidP="0044014D">
            <w:pPr>
              <w:jc w:val="both"/>
            </w:pPr>
            <w:r w:rsidRPr="0009020C">
              <w:t>During these</w:t>
            </w:r>
            <w:r w:rsidR="00773BD8" w:rsidRPr="0009020C">
              <w:t xml:space="preserve"> meeting</w:t>
            </w:r>
            <w:r w:rsidR="00604BAF">
              <w:t>s</w:t>
            </w:r>
            <w:r w:rsidR="00773BD8" w:rsidRPr="0009020C">
              <w:t>, proponents’ project-specific</w:t>
            </w:r>
            <w:r w:rsidR="00773BD8" w:rsidRPr="00DC7A73">
              <w:t xml:space="preserve"> queries were discussed and staff provided targeted responses, providing clarity and</w:t>
            </w:r>
            <w:r w:rsidR="00C45B4B">
              <w:t xml:space="preserve"> advice on the</w:t>
            </w:r>
            <w:r w:rsidR="00773BD8" w:rsidRPr="00DC7A73">
              <w:t xml:space="preserve"> expectations of the Authority. Staff also provided ongoing support by following up with proponent</w:t>
            </w:r>
            <w:r w:rsidR="00C45B4B">
              <w:t>s</w:t>
            </w:r>
            <w:r w:rsidR="00773BD8" w:rsidRPr="00DC7A73">
              <w:t xml:space="preserve"> via email and telephone after the meetings, providing information resources to assist proponents in understanding AIP obligations and answer any further queries.</w:t>
            </w:r>
          </w:p>
        </w:tc>
        <w:tc>
          <w:tcPr>
            <w:tcW w:w="2551" w:type="dxa"/>
          </w:tcPr>
          <w:p w14:paraId="38A822CD" w14:textId="34549D08" w:rsidR="00B169F4" w:rsidRPr="008C653E" w:rsidRDefault="004831FA" w:rsidP="008C653E">
            <w:pPr>
              <w:rPr>
                <w:szCs w:val="20"/>
              </w:rPr>
            </w:pPr>
            <w:r w:rsidRPr="008C653E">
              <w:rPr>
                <w:szCs w:val="20"/>
              </w:rPr>
              <w:t>PM 1</w:t>
            </w:r>
            <w:r w:rsidR="008C653E">
              <w:rPr>
                <w:szCs w:val="20"/>
              </w:rPr>
              <w:t xml:space="preserve">, </w:t>
            </w:r>
            <w:r w:rsidRPr="008C653E">
              <w:rPr>
                <w:szCs w:val="20"/>
              </w:rPr>
              <w:t>PM 3</w:t>
            </w:r>
            <w:r w:rsidR="008C653E">
              <w:rPr>
                <w:szCs w:val="20"/>
              </w:rPr>
              <w:t xml:space="preserve">, </w:t>
            </w:r>
            <w:r w:rsidRPr="008C653E">
              <w:rPr>
                <w:szCs w:val="20"/>
              </w:rPr>
              <w:t>PM 4</w:t>
            </w:r>
            <w:r w:rsidR="008C653E">
              <w:rPr>
                <w:szCs w:val="20"/>
              </w:rPr>
              <w:t xml:space="preserve">, </w:t>
            </w:r>
            <w:r w:rsidRPr="008C653E">
              <w:rPr>
                <w:szCs w:val="20"/>
              </w:rPr>
              <w:t>PM 5</w:t>
            </w:r>
          </w:p>
        </w:tc>
        <w:tc>
          <w:tcPr>
            <w:tcW w:w="1843" w:type="dxa"/>
          </w:tcPr>
          <w:p w14:paraId="254BF2C2" w14:textId="3183D11C" w:rsidR="00B169F4" w:rsidRPr="008C653E" w:rsidRDefault="004831FA" w:rsidP="004C05C8">
            <w:pPr>
              <w:rPr>
                <w:szCs w:val="20"/>
              </w:rPr>
            </w:pPr>
            <w:r w:rsidRPr="008C653E">
              <w:rPr>
                <w:szCs w:val="20"/>
              </w:rPr>
              <w:t>KPI 2</w:t>
            </w:r>
            <w:r w:rsidR="008C653E">
              <w:rPr>
                <w:szCs w:val="20"/>
              </w:rPr>
              <w:t xml:space="preserve">, </w:t>
            </w:r>
            <w:r w:rsidRPr="008C653E">
              <w:rPr>
                <w:szCs w:val="20"/>
              </w:rPr>
              <w:t>KPI 6</w:t>
            </w:r>
          </w:p>
        </w:tc>
      </w:tr>
      <w:tr w:rsidR="00B169F4" w14:paraId="55315EEA" w14:textId="77777777" w:rsidTr="001634A7">
        <w:tc>
          <w:tcPr>
            <w:tcW w:w="5382" w:type="dxa"/>
          </w:tcPr>
          <w:p w14:paraId="173FBA49" w14:textId="735AB55D" w:rsidR="00B169F4" w:rsidRDefault="00773BD8" w:rsidP="0044014D">
            <w:pPr>
              <w:jc w:val="both"/>
            </w:pPr>
            <w:r w:rsidRPr="005E2B41">
              <w:t xml:space="preserve">Authority staff attended </w:t>
            </w:r>
            <w:r w:rsidR="009163EA" w:rsidRPr="005E2B41">
              <w:t>three</w:t>
            </w:r>
            <w:r w:rsidR="00446A07">
              <w:t xml:space="preserve"> conferences for</w:t>
            </w:r>
            <w:r w:rsidR="00F54DC6">
              <w:t xml:space="preserve"> </w:t>
            </w:r>
            <w:r w:rsidRPr="005E2B41">
              <w:t>infrastructure,</w:t>
            </w:r>
            <w:r w:rsidR="00DC7A73" w:rsidRPr="005E2B41">
              <w:t xml:space="preserve"> </w:t>
            </w:r>
            <w:r w:rsidRPr="005E2B41">
              <w:t>mine, oil and gas projects to engage with proponents, SMEs</w:t>
            </w:r>
            <w:r w:rsidRPr="00DC7A73">
              <w:t>, industry associations and/or state government to discuss Jobs Act obligations, the objective of AIP plans and promote awareness of the Jobs Act and the Authority for future projects. These conferences also provided an opportunity for Authority staff to develop industry specific knowledge on procurement practices.</w:t>
            </w:r>
            <w:r w:rsidRPr="00BE150C">
              <w:t xml:space="preserve">   </w:t>
            </w:r>
          </w:p>
        </w:tc>
        <w:tc>
          <w:tcPr>
            <w:tcW w:w="2551" w:type="dxa"/>
          </w:tcPr>
          <w:p w14:paraId="02DA4AAE" w14:textId="19C6E0EB" w:rsidR="00B169F4" w:rsidRPr="008C653E" w:rsidRDefault="004831FA" w:rsidP="00B756E2">
            <w:pPr>
              <w:rPr>
                <w:szCs w:val="20"/>
              </w:rPr>
            </w:pPr>
            <w:r w:rsidRPr="008C653E">
              <w:rPr>
                <w:szCs w:val="20"/>
              </w:rPr>
              <w:t>PM 1</w:t>
            </w:r>
            <w:r w:rsidR="008C653E">
              <w:rPr>
                <w:szCs w:val="20"/>
              </w:rPr>
              <w:t xml:space="preserve">, </w:t>
            </w:r>
            <w:r w:rsidRPr="008C653E">
              <w:rPr>
                <w:szCs w:val="20"/>
              </w:rPr>
              <w:t>PM 3</w:t>
            </w:r>
            <w:r w:rsidR="008C653E">
              <w:rPr>
                <w:szCs w:val="20"/>
              </w:rPr>
              <w:t xml:space="preserve">, </w:t>
            </w:r>
            <w:r w:rsidRPr="008C653E">
              <w:rPr>
                <w:szCs w:val="20"/>
              </w:rPr>
              <w:t>PM 4</w:t>
            </w:r>
            <w:r w:rsidR="008C653E">
              <w:rPr>
                <w:szCs w:val="20"/>
              </w:rPr>
              <w:t xml:space="preserve">, </w:t>
            </w:r>
            <w:r w:rsidRPr="008C653E">
              <w:rPr>
                <w:szCs w:val="20"/>
              </w:rPr>
              <w:t>PM 5</w:t>
            </w:r>
          </w:p>
        </w:tc>
        <w:tc>
          <w:tcPr>
            <w:tcW w:w="1843" w:type="dxa"/>
          </w:tcPr>
          <w:p w14:paraId="335303D3" w14:textId="4B8359B9" w:rsidR="004831FA" w:rsidRPr="008C653E" w:rsidRDefault="004831FA" w:rsidP="004831FA">
            <w:pPr>
              <w:rPr>
                <w:szCs w:val="20"/>
              </w:rPr>
            </w:pPr>
            <w:r w:rsidRPr="008C653E">
              <w:rPr>
                <w:szCs w:val="20"/>
              </w:rPr>
              <w:t>KPI 2</w:t>
            </w:r>
            <w:r w:rsidR="008C653E">
              <w:rPr>
                <w:szCs w:val="20"/>
              </w:rPr>
              <w:t xml:space="preserve">, </w:t>
            </w:r>
            <w:r w:rsidRPr="008C653E">
              <w:rPr>
                <w:szCs w:val="20"/>
              </w:rPr>
              <w:t>KPI 6</w:t>
            </w:r>
          </w:p>
          <w:p w14:paraId="0B6FA59E" w14:textId="01835C2C" w:rsidR="00B169F4" w:rsidRPr="008C653E" w:rsidRDefault="00B169F4" w:rsidP="00970B54">
            <w:pPr>
              <w:rPr>
                <w:szCs w:val="20"/>
              </w:rPr>
            </w:pPr>
          </w:p>
        </w:tc>
      </w:tr>
      <w:tr w:rsidR="00D85825" w14:paraId="28635B8E" w14:textId="77777777" w:rsidTr="001634A7">
        <w:trPr>
          <w:trHeight w:val="662"/>
        </w:trPr>
        <w:tc>
          <w:tcPr>
            <w:tcW w:w="5382" w:type="dxa"/>
          </w:tcPr>
          <w:p w14:paraId="6A4F4803" w14:textId="0D1B0EF5" w:rsidR="00D85825" w:rsidRPr="00DC7A73" w:rsidRDefault="00530B56" w:rsidP="0044014D">
            <w:pPr>
              <w:jc w:val="both"/>
            </w:pPr>
            <w:r>
              <w:t>Authority staff attended</w:t>
            </w:r>
            <w:r w:rsidR="00D85825">
              <w:t xml:space="preserve"> internal and external learning and development</w:t>
            </w:r>
            <w:r>
              <w:t xml:space="preserve"> activities</w:t>
            </w:r>
            <w:r w:rsidR="00D85825">
              <w:t xml:space="preserve"> to improve </w:t>
            </w:r>
            <w:r w:rsidR="00B00EC7">
              <w:t>their capacity to engage</w:t>
            </w:r>
            <w:r w:rsidR="00D85825">
              <w:t xml:space="preserve"> with stakeholders</w:t>
            </w:r>
            <w:r w:rsidR="00D659E7">
              <w:t>.</w:t>
            </w:r>
          </w:p>
        </w:tc>
        <w:tc>
          <w:tcPr>
            <w:tcW w:w="2551" w:type="dxa"/>
          </w:tcPr>
          <w:p w14:paraId="7E8A796C" w14:textId="762A39B5" w:rsidR="00644F90" w:rsidRPr="008C653E" w:rsidRDefault="004831FA" w:rsidP="001634A7">
            <w:pPr>
              <w:rPr>
                <w:szCs w:val="20"/>
              </w:rPr>
            </w:pPr>
            <w:r w:rsidRPr="008C653E">
              <w:rPr>
                <w:szCs w:val="20"/>
              </w:rPr>
              <w:t>PM 5</w:t>
            </w:r>
          </w:p>
        </w:tc>
        <w:tc>
          <w:tcPr>
            <w:tcW w:w="1843" w:type="dxa"/>
          </w:tcPr>
          <w:p w14:paraId="21612F61" w14:textId="5788C85F" w:rsidR="00D85825" w:rsidRPr="008C653E" w:rsidRDefault="004831FA" w:rsidP="001634A7">
            <w:pPr>
              <w:rPr>
                <w:szCs w:val="20"/>
              </w:rPr>
            </w:pPr>
            <w:r w:rsidRPr="008C653E">
              <w:rPr>
                <w:szCs w:val="20"/>
              </w:rPr>
              <w:t>KPI 6</w:t>
            </w:r>
          </w:p>
        </w:tc>
      </w:tr>
      <w:tr w:rsidR="00644F90" w14:paraId="7C52219A" w14:textId="77777777" w:rsidTr="001634A7">
        <w:trPr>
          <w:trHeight w:val="186"/>
        </w:trPr>
        <w:tc>
          <w:tcPr>
            <w:tcW w:w="5382" w:type="dxa"/>
          </w:tcPr>
          <w:p w14:paraId="256C4384" w14:textId="4102C4CA" w:rsidR="00644F90" w:rsidRDefault="00644F90" w:rsidP="0044014D">
            <w:pPr>
              <w:spacing w:after="0"/>
              <w:jc w:val="both"/>
            </w:pPr>
            <w:r w:rsidRPr="00644F90">
              <w:t xml:space="preserve">The Authority </w:t>
            </w:r>
            <w:r w:rsidR="00FA4381">
              <w:t>continued</w:t>
            </w:r>
            <w:r w:rsidR="00C15D3C">
              <w:t xml:space="preserve"> to</w:t>
            </w:r>
            <w:r w:rsidR="00C15D3C" w:rsidRPr="00644F90">
              <w:t xml:space="preserve"> </w:t>
            </w:r>
            <w:r w:rsidRPr="00644F90">
              <w:t>examin</w:t>
            </w:r>
            <w:r w:rsidR="00C15D3C">
              <w:t xml:space="preserve">e </w:t>
            </w:r>
            <w:r w:rsidRPr="00644F90">
              <w:t xml:space="preserve">whether </w:t>
            </w:r>
            <w:r w:rsidR="0007715B">
              <w:t>its current</w:t>
            </w:r>
            <w:r w:rsidR="0007715B" w:rsidRPr="00644F90">
              <w:t xml:space="preserve"> </w:t>
            </w:r>
            <w:r w:rsidRPr="00644F90">
              <w:t xml:space="preserve">metrics are appropriate to understand AIP activities and outcomes, in line with </w:t>
            </w:r>
            <w:r w:rsidRPr="005E2B41">
              <w:t>Recommendation 5 of the Jobs Act Review, with further work planned in 20</w:t>
            </w:r>
            <w:r w:rsidR="00C15D3C" w:rsidRPr="005E2B41">
              <w:t>20</w:t>
            </w:r>
            <w:r w:rsidRPr="005E2B41">
              <w:t>-2</w:t>
            </w:r>
            <w:r w:rsidR="00C15D3C" w:rsidRPr="005E2B41">
              <w:t>1</w:t>
            </w:r>
            <w:r w:rsidRPr="005E2B41">
              <w:t>.</w:t>
            </w:r>
          </w:p>
        </w:tc>
        <w:tc>
          <w:tcPr>
            <w:tcW w:w="2551" w:type="dxa"/>
          </w:tcPr>
          <w:p w14:paraId="4566DD25" w14:textId="2291D1C8" w:rsidR="00644F90" w:rsidRPr="008C653E" w:rsidRDefault="00FB46C7" w:rsidP="001634A7">
            <w:pPr>
              <w:rPr>
                <w:szCs w:val="20"/>
              </w:rPr>
            </w:pPr>
            <w:r w:rsidRPr="008C653E">
              <w:rPr>
                <w:szCs w:val="20"/>
              </w:rPr>
              <w:t>PM 4</w:t>
            </w:r>
            <w:r w:rsidR="008C653E">
              <w:rPr>
                <w:szCs w:val="20"/>
              </w:rPr>
              <w:t xml:space="preserve">, </w:t>
            </w:r>
            <w:r w:rsidR="009A4419" w:rsidRPr="008C653E">
              <w:rPr>
                <w:szCs w:val="20"/>
              </w:rPr>
              <w:t>PM 5</w:t>
            </w:r>
          </w:p>
        </w:tc>
        <w:tc>
          <w:tcPr>
            <w:tcW w:w="1843" w:type="dxa"/>
          </w:tcPr>
          <w:p w14:paraId="7DF31ADD" w14:textId="0E90493A" w:rsidR="009A4419" w:rsidRPr="008C653E" w:rsidRDefault="009A4419" w:rsidP="009A4419">
            <w:pPr>
              <w:rPr>
                <w:szCs w:val="20"/>
              </w:rPr>
            </w:pPr>
            <w:r w:rsidRPr="008C653E">
              <w:rPr>
                <w:szCs w:val="20"/>
              </w:rPr>
              <w:t>KPI 4</w:t>
            </w:r>
            <w:r w:rsidR="008C653E">
              <w:rPr>
                <w:szCs w:val="20"/>
              </w:rPr>
              <w:t xml:space="preserve">, </w:t>
            </w:r>
            <w:r w:rsidRPr="008C653E">
              <w:rPr>
                <w:szCs w:val="20"/>
              </w:rPr>
              <w:t>KPI 6</w:t>
            </w:r>
          </w:p>
          <w:p w14:paraId="163EA524" w14:textId="77777777" w:rsidR="00644F90" w:rsidRPr="008C653E" w:rsidRDefault="00644F90" w:rsidP="004831FA">
            <w:pPr>
              <w:spacing w:after="0"/>
              <w:rPr>
                <w:szCs w:val="20"/>
              </w:rPr>
            </w:pPr>
          </w:p>
        </w:tc>
      </w:tr>
    </w:tbl>
    <w:p w14:paraId="58B08F6B" w14:textId="4A47BAB2" w:rsidR="0017615B" w:rsidRDefault="0017615B"/>
    <w:sectPr w:rsidR="0017615B" w:rsidSect="00446A07">
      <w:headerReference w:type="default" r:id="rId17"/>
      <w:footerReference w:type="default" r:id="rId18"/>
      <w:footerReference w:type="firs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39012" w14:textId="77777777" w:rsidR="00BB6C32" w:rsidRDefault="00BB6C32" w:rsidP="00B526AB">
      <w:pPr>
        <w:spacing w:after="0" w:line="240" w:lineRule="auto"/>
      </w:pPr>
      <w:r>
        <w:separator/>
      </w:r>
    </w:p>
  </w:endnote>
  <w:endnote w:type="continuationSeparator" w:id="0">
    <w:p w14:paraId="2AEF068A" w14:textId="77777777" w:rsidR="00BB6C32" w:rsidRDefault="00BB6C32" w:rsidP="00B526AB">
      <w:pPr>
        <w:spacing w:after="0" w:line="240" w:lineRule="auto"/>
      </w:pPr>
      <w:r>
        <w:continuationSeparator/>
      </w:r>
    </w:p>
  </w:endnote>
  <w:endnote w:type="continuationNotice" w:id="1">
    <w:p w14:paraId="169DED7A" w14:textId="77777777" w:rsidR="00BB6C32" w:rsidRDefault="00BB6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17E75" w14:textId="77777777" w:rsidR="00BB6C32" w:rsidRDefault="00BB6C32" w:rsidP="00915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69F7">
      <w:rPr>
        <w:rStyle w:val="PageNumber"/>
        <w:noProof/>
      </w:rPr>
      <w:t>1</w:t>
    </w:r>
    <w:r>
      <w:rPr>
        <w:rStyle w:val="PageNumber"/>
      </w:rPr>
      <w:fldChar w:fldCharType="end"/>
    </w:r>
  </w:p>
  <w:p w14:paraId="33DD2AF7" w14:textId="64DB51D6" w:rsidR="00BB6C32" w:rsidRDefault="00BB6C32" w:rsidP="0031658C">
    <w:pPr>
      <w:pStyle w:val="Footer"/>
      <w:ind w:right="360"/>
    </w:pPr>
    <w:r>
      <w:t>AIP Authority</w:t>
    </w:r>
    <w:r>
      <w:tab/>
    </w:r>
    <w:r w:rsidRPr="009F2AC2">
      <w:rPr>
        <w:rStyle w:val="Hyperlink"/>
        <w:color w:val="000000" w:themeColor="text1"/>
      </w:rPr>
      <w:t>industry.gov.au/AIP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B1875" w14:textId="77777777" w:rsidR="00BB6C32" w:rsidRDefault="00BB6C32" w:rsidP="00915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861459" w14:textId="77777777" w:rsidR="00BB6C32" w:rsidRDefault="00BB6C32" w:rsidP="0031658C">
    <w:pPr>
      <w:pStyle w:val="Footer"/>
      <w:tabs>
        <w:tab w:val="clear" w:pos="8640"/>
      </w:tabs>
      <w:ind w:right="379"/>
    </w:pPr>
    <w:r>
      <w:t>Document Title</w:t>
    </w:r>
    <w:r>
      <w:tab/>
      <w:t>industry.gov.au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8F78B" w14:textId="77777777" w:rsidR="00BB6C32" w:rsidRDefault="00BB6C32" w:rsidP="00B526AB">
      <w:pPr>
        <w:spacing w:after="0" w:line="240" w:lineRule="auto"/>
      </w:pPr>
      <w:r>
        <w:separator/>
      </w:r>
    </w:p>
  </w:footnote>
  <w:footnote w:type="continuationSeparator" w:id="0">
    <w:p w14:paraId="0F8C1501" w14:textId="77777777" w:rsidR="00BB6C32" w:rsidRDefault="00BB6C32" w:rsidP="00B526AB">
      <w:pPr>
        <w:spacing w:after="0" w:line="240" w:lineRule="auto"/>
      </w:pPr>
      <w:r>
        <w:continuationSeparator/>
      </w:r>
    </w:p>
  </w:footnote>
  <w:footnote w:type="continuationNotice" w:id="1">
    <w:p w14:paraId="220161FD" w14:textId="77777777" w:rsidR="00BB6C32" w:rsidRDefault="00BB6C3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8892E" w14:textId="4FCE534A" w:rsidR="00BB6C32" w:rsidRPr="001B199F" w:rsidRDefault="00BB6C32" w:rsidP="007B6E7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0F05DB2"/>
    <w:lvl w:ilvl="0">
      <w:start w:val="1"/>
      <w:numFmt w:val="bullet"/>
      <w:pStyle w:val="ListBullet2"/>
      <w:lvlText w:val=""/>
      <w:lvlJc w:val="left"/>
      <w:pPr>
        <w:ind w:left="644" w:hanging="360"/>
      </w:pPr>
      <w:rPr>
        <w:rFonts w:ascii="Symbol" w:hAnsi="Symbol" w:hint="default"/>
        <w:b/>
        <w:i w:val="0"/>
        <w:color w:val="005677" w:themeColor="accent1"/>
      </w:rPr>
    </w:lvl>
  </w:abstractNum>
  <w:abstractNum w:abstractNumId="1" w15:restartNumberingAfterBreak="0">
    <w:nsid w:val="FFFFFF89"/>
    <w:multiLevelType w:val="singleLevel"/>
    <w:tmpl w:val="131A1AA8"/>
    <w:lvl w:ilvl="0">
      <w:start w:val="1"/>
      <w:numFmt w:val="bullet"/>
      <w:pStyle w:val="ListBullet"/>
      <w:lvlText w:val=""/>
      <w:lvlJc w:val="left"/>
      <w:pPr>
        <w:ind w:left="360" w:hanging="360"/>
      </w:pPr>
      <w:rPr>
        <w:rFonts w:ascii="Symbol" w:hAnsi="Symbol" w:hint="default"/>
        <w:color w:val="005677" w:themeColor="accent1"/>
      </w:rPr>
    </w:lvl>
  </w:abstractNum>
  <w:abstractNum w:abstractNumId="2" w15:restartNumberingAfterBreak="0">
    <w:nsid w:val="01734CDE"/>
    <w:multiLevelType w:val="hybridMultilevel"/>
    <w:tmpl w:val="284A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A1100A"/>
    <w:multiLevelType w:val="hybridMultilevel"/>
    <w:tmpl w:val="347A9A4C"/>
    <w:lvl w:ilvl="0" w:tplc="8E2A808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38C531A"/>
    <w:multiLevelType w:val="hybridMultilevel"/>
    <w:tmpl w:val="A74A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BD7DD8"/>
    <w:multiLevelType w:val="hybridMultilevel"/>
    <w:tmpl w:val="67521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273727"/>
    <w:multiLevelType w:val="hybridMultilevel"/>
    <w:tmpl w:val="CF1059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DF4101"/>
    <w:multiLevelType w:val="hybridMultilevel"/>
    <w:tmpl w:val="2626D5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784AE2"/>
    <w:multiLevelType w:val="multilevel"/>
    <w:tmpl w:val="A6F4884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FFFFFF" w:themeColor="background1"/>
      </w:rPr>
    </w:lvl>
    <w:lvl w:ilvl="3">
      <w:start w:val="1"/>
      <w:numFmt w:val="decimal"/>
      <w:pStyle w:val="Heading4"/>
      <w:lvlText w:val="%1.%2.%3.%4"/>
      <w:lvlJc w:val="left"/>
      <w:pPr>
        <w:ind w:left="864" w:hanging="864"/>
      </w:pPr>
      <w:rPr>
        <w:color w:val="FFFFFF" w:themeColor="background1"/>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3490236"/>
    <w:multiLevelType w:val="hybridMultilevel"/>
    <w:tmpl w:val="D89EBF3A"/>
    <w:lvl w:ilvl="0" w:tplc="83FA728C">
      <w:start w:val="1"/>
      <w:numFmt w:val="bullet"/>
      <w:pStyle w:val="Bullet"/>
      <w:lvlText w:val="•"/>
      <w:lvlJc w:val="left"/>
      <w:pPr>
        <w:tabs>
          <w:tab w:val="num" w:pos="360"/>
        </w:tabs>
        <w:ind w:left="360" w:hanging="360"/>
      </w:pPr>
      <w:rPr>
        <w:rFonts w:ascii="Verdana" w:hAnsi="Verdana"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5D4F69"/>
    <w:multiLevelType w:val="hybridMultilevel"/>
    <w:tmpl w:val="60F88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D771DC"/>
    <w:multiLevelType w:val="hybridMultilevel"/>
    <w:tmpl w:val="EC38AF8C"/>
    <w:lvl w:ilvl="0" w:tplc="DD3CC3FA">
      <w:start w:val="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2E665E"/>
    <w:multiLevelType w:val="hybridMultilevel"/>
    <w:tmpl w:val="E22EABFC"/>
    <w:lvl w:ilvl="0" w:tplc="0C09000F">
      <w:start w:val="1"/>
      <w:numFmt w:val="decimal"/>
      <w:lvlText w:val="%1."/>
      <w:lvlJc w:val="left"/>
      <w:pPr>
        <w:tabs>
          <w:tab w:val="num" w:pos="360"/>
        </w:tabs>
        <w:ind w:left="360" w:hanging="360"/>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FB0DDA"/>
    <w:multiLevelType w:val="hybridMultilevel"/>
    <w:tmpl w:val="806E6A5A"/>
    <w:lvl w:ilvl="0" w:tplc="65807344">
      <w:start w:val="1"/>
      <w:numFmt w:val="decimal"/>
      <w:lvlText w:val="%1."/>
      <w:lvlJc w:val="left"/>
      <w:pPr>
        <w:ind w:left="720" w:hanging="360"/>
      </w:pPr>
      <w:rPr>
        <w:b/>
        <w:sz w:val="20"/>
        <w:szCs w:val="20"/>
      </w:rPr>
    </w:lvl>
    <w:lvl w:ilvl="1" w:tplc="3EE061B4">
      <w:start w:val="1"/>
      <w:numFmt w:val="lowerLetter"/>
      <w:lvlText w:val="%2."/>
      <w:lvlJc w:val="left"/>
      <w:pPr>
        <w:ind w:left="1440" w:hanging="360"/>
      </w:pPr>
      <w:rPr>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BA08D7"/>
    <w:multiLevelType w:val="hybridMultilevel"/>
    <w:tmpl w:val="5824D0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384322A"/>
    <w:multiLevelType w:val="hybridMultilevel"/>
    <w:tmpl w:val="40268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A20BD"/>
    <w:multiLevelType w:val="hybridMultilevel"/>
    <w:tmpl w:val="4A2CC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D23A58"/>
    <w:multiLevelType w:val="hybridMultilevel"/>
    <w:tmpl w:val="0A746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C96A0D"/>
    <w:multiLevelType w:val="hybridMultilevel"/>
    <w:tmpl w:val="61E6130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2E427F"/>
    <w:multiLevelType w:val="hybridMultilevel"/>
    <w:tmpl w:val="9FA4C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3C61B0"/>
    <w:multiLevelType w:val="hybridMultilevel"/>
    <w:tmpl w:val="ABFA2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9A51F8"/>
    <w:multiLevelType w:val="hybridMultilevel"/>
    <w:tmpl w:val="A2D44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EF53F4"/>
    <w:multiLevelType w:val="hybridMultilevel"/>
    <w:tmpl w:val="E604A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C04E3D"/>
    <w:multiLevelType w:val="hybridMultilevel"/>
    <w:tmpl w:val="5DBAFB32"/>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BB2C69"/>
    <w:multiLevelType w:val="hybridMultilevel"/>
    <w:tmpl w:val="E5F6C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7FC773F"/>
    <w:multiLevelType w:val="hybridMultilevel"/>
    <w:tmpl w:val="B4B06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71457"/>
    <w:multiLevelType w:val="hybridMultilevel"/>
    <w:tmpl w:val="15662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4E45B2"/>
    <w:multiLevelType w:val="hybridMultilevel"/>
    <w:tmpl w:val="A79EC896"/>
    <w:lvl w:ilvl="0" w:tplc="9D0ECEE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030824"/>
    <w:multiLevelType w:val="hybridMultilevel"/>
    <w:tmpl w:val="00A4D77A"/>
    <w:lvl w:ilvl="0" w:tplc="0C09000F">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406674E"/>
    <w:multiLevelType w:val="hybridMultilevel"/>
    <w:tmpl w:val="E2F8FFF0"/>
    <w:lvl w:ilvl="0" w:tplc="341EDA50">
      <w:start w:val="1"/>
      <w:numFmt w:val="bullet"/>
      <w:pStyle w:val="BulletLast"/>
      <w:lvlText w:val="•"/>
      <w:lvlJc w:val="left"/>
      <w:pPr>
        <w:tabs>
          <w:tab w:val="num" w:pos="360"/>
        </w:tabs>
        <w:ind w:left="360" w:hanging="360"/>
      </w:pPr>
      <w:rPr>
        <w:rFonts w:ascii="Verdana" w:hAnsi="Verdana"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2175BA"/>
    <w:multiLevelType w:val="hybridMultilevel"/>
    <w:tmpl w:val="56184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7100BB"/>
    <w:multiLevelType w:val="hybridMultilevel"/>
    <w:tmpl w:val="68D2B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0B56FB"/>
    <w:multiLevelType w:val="hybridMultilevel"/>
    <w:tmpl w:val="DECCB8C0"/>
    <w:lvl w:ilvl="0" w:tplc="0C090001">
      <w:start w:val="1"/>
      <w:numFmt w:val="bullet"/>
      <w:lvlText w:val=""/>
      <w:lvlJc w:val="left"/>
      <w:pPr>
        <w:ind w:left="720" w:hanging="360"/>
      </w:pPr>
      <w:rPr>
        <w:rFonts w:ascii="Symbol" w:hAnsi="Symbol" w:hint="default"/>
      </w:rPr>
    </w:lvl>
    <w:lvl w:ilvl="1" w:tplc="0EDC65B6">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8"/>
    <w:lvlOverride w:ilvl="0">
      <w:startOverride w:val="1"/>
    </w:lvlOverride>
  </w:num>
  <w:num w:numId="5">
    <w:abstractNumId w:val="13"/>
  </w:num>
  <w:num w:numId="6">
    <w:abstractNumId w:val="27"/>
  </w:num>
  <w:num w:numId="7">
    <w:abstractNumId w:val="5"/>
  </w:num>
  <w:num w:numId="8">
    <w:abstractNumId w:val="17"/>
  </w:num>
  <w:num w:numId="9">
    <w:abstractNumId w:val="6"/>
  </w:num>
  <w:num w:numId="10">
    <w:abstractNumId w:val="31"/>
  </w:num>
  <w:num w:numId="11">
    <w:abstractNumId w:val="2"/>
  </w:num>
  <w:num w:numId="12">
    <w:abstractNumId w:val="32"/>
  </w:num>
  <w:num w:numId="13">
    <w:abstractNumId w:val="15"/>
  </w:num>
  <w:num w:numId="14">
    <w:abstractNumId w:val="26"/>
  </w:num>
  <w:num w:numId="15">
    <w:abstractNumId w:val="22"/>
  </w:num>
  <w:num w:numId="16">
    <w:abstractNumId w:val="19"/>
  </w:num>
  <w:num w:numId="17">
    <w:abstractNumId w:val="10"/>
  </w:num>
  <w:num w:numId="18">
    <w:abstractNumId w:val="4"/>
  </w:num>
  <w:num w:numId="19">
    <w:abstractNumId w:val="24"/>
  </w:num>
  <w:num w:numId="20">
    <w:abstractNumId w:val="7"/>
  </w:num>
  <w:num w:numId="21">
    <w:abstractNumId w:val="2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8"/>
  </w:num>
  <w:num w:numId="25">
    <w:abstractNumId w:val="9"/>
  </w:num>
  <w:num w:numId="26">
    <w:abstractNumId w:val="29"/>
  </w:num>
  <w:num w:numId="27">
    <w:abstractNumId w:val="30"/>
  </w:num>
  <w:num w:numId="28">
    <w:abstractNumId w:val="25"/>
  </w:num>
  <w:num w:numId="29">
    <w:abstractNumId w:val="9"/>
  </w:num>
  <w:num w:numId="30">
    <w:abstractNumId w:val="12"/>
  </w:num>
  <w:num w:numId="31">
    <w:abstractNumId w:val="28"/>
  </w:num>
  <w:num w:numId="32">
    <w:abstractNumId w:val="9"/>
  </w:num>
  <w:num w:numId="33">
    <w:abstractNumId w:val="20"/>
  </w:num>
  <w:num w:numId="34">
    <w:abstractNumId w:val="9"/>
  </w:num>
  <w:num w:numId="35">
    <w:abstractNumId w:val="3"/>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F5"/>
    <w:rsid w:val="00003DCE"/>
    <w:rsid w:val="00007472"/>
    <w:rsid w:val="00011746"/>
    <w:rsid w:val="00017662"/>
    <w:rsid w:val="00023F88"/>
    <w:rsid w:val="00025569"/>
    <w:rsid w:val="00025B0B"/>
    <w:rsid w:val="00025C76"/>
    <w:rsid w:val="00030B3F"/>
    <w:rsid w:val="00033C03"/>
    <w:rsid w:val="00033CAC"/>
    <w:rsid w:val="00033FEE"/>
    <w:rsid w:val="0003562A"/>
    <w:rsid w:val="0005493D"/>
    <w:rsid w:val="00060A61"/>
    <w:rsid w:val="00061432"/>
    <w:rsid w:val="00061A9F"/>
    <w:rsid w:val="00062C6A"/>
    <w:rsid w:val="00063A4B"/>
    <w:rsid w:val="00067BE7"/>
    <w:rsid w:val="0007518E"/>
    <w:rsid w:val="0007715B"/>
    <w:rsid w:val="00077A1B"/>
    <w:rsid w:val="000805F9"/>
    <w:rsid w:val="000820BC"/>
    <w:rsid w:val="0008722E"/>
    <w:rsid w:val="0009020C"/>
    <w:rsid w:val="00090407"/>
    <w:rsid w:val="0009283D"/>
    <w:rsid w:val="00094DEE"/>
    <w:rsid w:val="00095250"/>
    <w:rsid w:val="000966FC"/>
    <w:rsid w:val="000A0EAF"/>
    <w:rsid w:val="000A1D7F"/>
    <w:rsid w:val="000A220D"/>
    <w:rsid w:val="000A2FAD"/>
    <w:rsid w:val="000A7901"/>
    <w:rsid w:val="000B1770"/>
    <w:rsid w:val="000B28E8"/>
    <w:rsid w:val="000B3A42"/>
    <w:rsid w:val="000B4146"/>
    <w:rsid w:val="000B5520"/>
    <w:rsid w:val="000B673B"/>
    <w:rsid w:val="000C0BFD"/>
    <w:rsid w:val="000C297B"/>
    <w:rsid w:val="000C4059"/>
    <w:rsid w:val="000D0105"/>
    <w:rsid w:val="000D1FEA"/>
    <w:rsid w:val="000D24B5"/>
    <w:rsid w:val="000D4D93"/>
    <w:rsid w:val="000D70D1"/>
    <w:rsid w:val="000E008F"/>
    <w:rsid w:val="000E0F04"/>
    <w:rsid w:val="000E1046"/>
    <w:rsid w:val="000E50FA"/>
    <w:rsid w:val="000E70A0"/>
    <w:rsid w:val="000F22A2"/>
    <w:rsid w:val="000F3AD1"/>
    <w:rsid w:val="0010136C"/>
    <w:rsid w:val="001016A9"/>
    <w:rsid w:val="0010312C"/>
    <w:rsid w:val="00105AE0"/>
    <w:rsid w:val="0010616C"/>
    <w:rsid w:val="00106565"/>
    <w:rsid w:val="00106E03"/>
    <w:rsid w:val="001107BB"/>
    <w:rsid w:val="00110E50"/>
    <w:rsid w:val="00116BEE"/>
    <w:rsid w:val="00122C7E"/>
    <w:rsid w:val="00123613"/>
    <w:rsid w:val="00123A01"/>
    <w:rsid w:val="001242D7"/>
    <w:rsid w:val="00130065"/>
    <w:rsid w:val="00130FC9"/>
    <w:rsid w:val="0013135A"/>
    <w:rsid w:val="00131D44"/>
    <w:rsid w:val="00132524"/>
    <w:rsid w:val="0013260E"/>
    <w:rsid w:val="00133195"/>
    <w:rsid w:val="00133CE4"/>
    <w:rsid w:val="00141463"/>
    <w:rsid w:val="001427A2"/>
    <w:rsid w:val="00143EF3"/>
    <w:rsid w:val="001529BD"/>
    <w:rsid w:val="00153819"/>
    <w:rsid w:val="0015541A"/>
    <w:rsid w:val="00155D6E"/>
    <w:rsid w:val="00156709"/>
    <w:rsid w:val="001600D3"/>
    <w:rsid w:val="0016056F"/>
    <w:rsid w:val="00160C19"/>
    <w:rsid w:val="0016167F"/>
    <w:rsid w:val="00163388"/>
    <w:rsid w:val="001634A7"/>
    <w:rsid w:val="00163B54"/>
    <w:rsid w:val="001707D8"/>
    <w:rsid w:val="001718A2"/>
    <w:rsid w:val="00173ACD"/>
    <w:rsid w:val="00173E06"/>
    <w:rsid w:val="00174885"/>
    <w:rsid w:val="001756C5"/>
    <w:rsid w:val="00175FD8"/>
    <w:rsid w:val="0017615B"/>
    <w:rsid w:val="001831FF"/>
    <w:rsid w:val="001963C0"/>
    <w:rsid w:val="001A13A4"/>
    <w:rsid w:val="001A25AE"/>
    <w:rsid w:val="001A2DC6"/>
    <w:rsid w:val="001B199F"/>
    <w:rsid w:val="001B1EA7"/>
    <w:rsid w:val="001B27A6"/>
    <w:rsid w:val="001B30DE"/>
    <w:rsid w:val="001B37D0"/>
    <w:rsid w:val="001B47BC"/>
    <w:rsid w:val="001B6AE1"/>
    <w:rsid w:val="001C0BC1"/>
    <w:rsid w:val="001C3540"/>
    <w:rsid w:val="001C366A"/>
    <w:rsid w:val="001C4158"/>
    <w:rsid w:val="001D0DE7"/>
    <w:rsid w:val="001D11F4"/>
    <w:rsid w:val="001D238E"/>
    <w:rsid w:val="001D4A9A"/>
    <w:rsid w:val="001E0C4F"/>
    <w:rsid w:val="001E161B"/>
    <w:rsid w:val="001F0F30"/>
    <w:rsid w:val="001F3329"/>
    <w:rsid w:val="001F36C7"/>
    <w:rsid w:val="001F6F46"/>
    <w:rsid w:val="00200B50"/>
    <w:rsid w:val="00201508"/>
    <w:rsid w:val="00203FD9"/>
    <w:rsid w:val="002040C7"/>
    <w:rsid w:val="0020462F"/>
    <w:rsid w:val="00206A09"/>
    <w:rsid w:val="00206E4B"/>
    <w:rsid w:val="00207E25"/>
    <w:rsid w:val="0021194E"/>
    <w:rsid w:val="00213E83"/>
    <w:rsid w:val="00215B83"/>
    <w:rsid w:val="00216834"/>
    <w:rsid w:val="00216942"/>
    <w:rsid w:val="00217960"/>
    <w:rsid w:val="00217E56"/>
    <w:rsid w:val="002205B4"/>
    <w:rsid w:val="0022106D"/>
    <w:rsid w:val="00221334"/>
    <w:rsid w:val="00221BE1"/>
    <w:rsid w:val="0022349B"/>
    <w:rsid w:val="002300AC"/>
    <w:rsid w:val="002328E1"/>
    <w:rsid w:val="0023462B"/>
    <w:rsid w:val="00235790"/>
    <w:rsid w:val="00235E87"/>
    <w:rsid w:val="00241448"/>
    <w:rsid w:val="00244596"/>
    <w:rsid w:val="00246511"/>
    <w:rsid w:val="0025032E"/>
    <w:rsid w:val="00250A0B"/>
    <w:rsid w:val="00251169"/>
    <w:rsid w:val="002513BD"/>
    <w:rsid w:val="00251777"/>
    <w:rsid w:val="00251FF7"/>
    <w:rsid w:val="00253AB2"/>
    <w:rsid w:val="00254D7A"/>
    <w:rsid w:val="0025779C"/>
    <w:rsid w:val="00260178"/>
    <w:rsid w:val="00260471"/>
    <w:rsid w:val="00263E00"/>
    <w:rsid w:val="002642B1"/>
    <w:rsid w:val="00265EE5"/>
    <w:rsid w:val="00266927"/>
    <w:rsid w:val="00271FD0"/>
    <w:rsid w:val="0027332B"/>
    <w:rsid w:val="00273FD3"/>
    <w:rsid w:val="00274599"/>
    <w:rsid w:val="002748C3"/>
    <w:rsid w:val="0027602A"/>
    <w:rsid w:val="0027788C"/>
    <w:rsid w:val="00277BE2"/>
    <w:rsid w:val="002810CD"/>
    <w:rsid w:val="002831AD"/>
    <w:rsid w:val="00283D86"/>
    <w:rsid w:val="00285A86"/>
    <w:rsid w:val="0029105C"/>
    <w:rsid w:val="0029122C"/>
    <w:rsid w:val="00291795"/>
    <w:rsid w:val="00291972"/>
    <w:rsid w:val="00292180"/>
    <w:rsid w:val="002950CF"/>
    <w:rsid w:val="00295EA5"/>
    <w:rsid w:val="002A06C6"/>
    <w:rsid w:val="002B57BF"/>
    <w:rsid w:val="002C6A4C"/>
    <w:rsid w:val="002C7404"/>
    <w:rsid w:val="002D1B3D"/>
    <w:rsid w:val="002D35F4"/>
    <w:rsid w:val="002D3954"/>
    <w:rsid w:val="002D6614"/>
    <w:rsid w:val="002E14EA"/>
    <w:rsid w:val="002E1D8B"/>
    <w:rsid w:val="002E201E"/>
    <w:rsid w:val="002E4A5C"/>
    <w:rsid w:val="002E6206"/>
    <w:rsid w:val="002F1525"/>
    <w:rsid w:val="002F3C68"/>
    <w:rsid w:val="002F65AF"/>
    <w:rsid w:val="002F6C60"/>
    <w:rsid w:val="00300404"/>
    <w:rsid w:val="003014B5"/>
    <w:rsid w:val="00301FA4"/>
    <w:rsid w:val="003024C6"/>
    <w:rsid w:val="00304F04"/>
    <w:rsid w:val="00306066"/>
    <w:rsid w:val="0030685A"/>
    <w:rsid w:val="00314128"/>
    <w:rsid w:val="00315B7B"/>
    <w:rsid w:val="00315C97"/>
    <w:rsid w:val="0031658C"/>
    <w:rsid w:val="00316D88"/>
    <w:rsid w:val="003210F5"/>
    <w:rsid w:val="00324F06"/>
    <w:rsid w:val="00325FB1"/>
    <w:rsid w:val="00332706"/>
    <w:rsid w:val="00333C59"/>
    <w:rsid w:val="00334C41"/>
    <w:rsid w:val="00335D05"/>
    <w:rsid w:val="003423CA"/>
    <w:rsid w:val="00343C30"/>
    <w:rsid w:val="0034484A"/>
    <w:rsid w:val="003461C5"/>
    <w:rsid w:val="003473AF"/>
    <w:rsid w:val="00351B77"/>
    <w:rsid w:val="00356E42"/>
    <w:rsid w:val="0036078A"/>
    <w:rsid w:val="00361393"/>
    <w:rsid w:val="003630F9"/>
    <w:rsid w:val="003673D5"/>
    <w:rsid w:val="0037135B"/>
    <w:rsid w:val="00372978"/>
    <w:rsid w:val="003739EA"/>
    <w:rsid w:val="003758DA"/>
    <w:rsid w:val="00375A2F"/>
    <w:rsid w:val="003769E7"/>
    <w:rsid w:val="00376E2C"/>
    <w:rsid w:val="003822D5"/>
    <w:rsid w:val="0038442D"/>
    <w:rsid w:val="00385FA0"/>
    <w:rsid w:val="00386560"/>
    <w:rsid w:val="00387E69"/>
    <w:rsid w:val="00391A52"/>
    <w:rsid w:val="0039288E"/>
    <w:rsid w:val="0039358E"/>
    <w:rsid w:val="00393890"/>
    <w:rsid w:val="00393BBB"/>
    <w:rsid w:val="00394252"/>
    <w:rsid w:val="00395BA9"/>
    <w:rsid w:val="00396C2B"/>
    <w:rsid w:val="003A00F3"/>
    <w:rsid w:val="003A0138"/>
    <w:rsid w:val="003A0995"/>
    <w:rsid w:val="003A7940"/>
    <w:rsid w:val="003B3DC6"/>
    <w:rsid w:val="003B467E"/>
    <w:rsid w:val="003B487B"/>
    <w:rsid w:val="003B5F0E"/>
    <w:rsid w:val="003B7BB9"/>
    <w:rsid w:val="003C0984"/>
    <w:rsid w:val="003C0E45"/>
    <w:rsid w:val="003C2244"/>
    <w:rsid w:val="003C2EAB"/>
    <w:rsid w:val="003C4425"/>
    <w:rsid w:val="003D0232"/>
    <w:rsid w:val="003D75D0"/>
    <w:rsid w:val="003F31DF"/>
    <w:rsid w:val="003F3BF5"/>
    <w:rsid w:val="003F6430"/>
    <w:rsid w:val="00402E42"/>
    <w:rsid w:val="00404340"/>
    <w:rsid w:val="004059C2"/>
    <w:rsid w:val="00405AC3"/>
    <w:rsid w:val="004075E2"/>
    <w:rsid w:val="00407ECA"/>
    <w:rsid w:val="004111E9"/>
    <w:rsid w:val="0041276F"/>
    <w:rsid w:val="0041282D"/>
    <w:rsid w:val="00413DAE"/>
    <w:rsid w:val="00414D3E"/>
    <w:rsid w:val="0041562F"/>
    <w:rsid w:val="00420D3E"/>
    <w:rsid w:val="00424900"/>
    <w:rsid w:val="00425793"/>
    <w:rsid w:val="004337E3"/>
    <w:rsid w:val="00433C00"/>
    <w:rsid w:val="0043402E"/>
    <w:rsid w:val="00436903"/>
    <w:rsid w:val="00436B60"/>
    <w:rsid w:val="004376E7"/>
    <w:rsid w:val="0044014D"/>
    <w:rsid w:val="00440A83"/>
    <w:rsid w:val="0044171D"/>
    <w:rsid w:val="00441F8D"/>
    <w:rsid w:val="00446405"/>
    <w:rsid w:val="00446A07"/>
    <w:rsid w:val="004509AF"/>
    <w:rsid w:val="00452BA6"/>
    <w:rsid w:val="00455EAE"/>
    <w:rsid w:val="00456ECC"/>
    <w:rsid w:val="0046084B"/>
    <w:rsid w:val="004608F8"/>
    <w:rsid w:val="00461B62"/>
    <w:rsid w:val="00463148"/>
    <w:rsid w:val="004643FC"/>
    <w:rsid w:val="004653A2"/>
    <w:rsid w:val="00472AFC"/>
    <w:rsid w:val="00473588"/>
    <w:rsid w:val="004737E5"/>
    <w:rsid w:val="00476967"/>
    <w:rsid w:val="004769F9"/>
    <w:rsid w:val="00477A1C"/>
    <w:rsid w:val="00482082"/>
    <w:rsid w:val="00482466"/>
    <w:rsid w:val="00482AF8"/>
    <w:rsid w:val="004831FA"/>
    <w:rsid w:val="00483D04"/>
    <w:rsid w:val="00484C89"/>
    <w:rsid w:val="00484D8D"/>
    <w:rsid w:val="0048578B"/>
    <w:rsid w:val="0048600E"/>
    <w:rsid w:val="004873ED"/>
    <w:rsid w:val="0049024D"/>
    <w:rsid w:val="004906F3"/>
    <w:rsid w:val="004913BB"/>
    <w:rsid w:val="0049379C"/>
    <w:rsid w:val="004942F9"/>
    <w:rsid w:val="004A33B1"/>
    <w:rsid w:val="004A59F7"/>
    <w:rsid w:val="004B08E2"/>
    <w:rsid w:val="004B530B"/>
    <w:rsid w:val="004B5944"/>
    <w:rsid w:val="004B6826"/>
    <w:rsid w:val="004C05BB"/>
    <w:rsid w:val="004C05C8"/>
    <w:rsid w:val="004C0833"/>
    <w:rsid w:val="004C488F"/>
    <w:rsid w:val="004C5DAB"/>
    <w:rsid w:val="004C68AB"/>
    <w:rsid w:val="004C6F04"/>
    <w:rsid w:val="004C79BA"/>
    <w:rsid w:val="004C7A25"/>
    <w:rsid w:val="004D1250"/>
    <w:rsid w:val="004D24AD"/>
    <w:rsid w:val="004D2716"/>
    <w:rsid w:val="004D37C1"/>
    <w:rsid w:val="004D63F1"/>
    <w:rsid w:val="004E15CB"/>
    <w:rsid w:val="004E1AE3"/>
    <w:rsid w:val="004E457B"/>
    <w:rsid w:val="004F179A"/>
    <w:rsid w:val="0050029C"/>
    <w:rsid w:val="0050463D"/>
    <w:rsid w:val="00506EF2"/>
    <w:rsid w:val="0050786C"/>
    <w:rsid w:val="00507A07"/>
    <w:rsid w:val="00510E97"/>
    <w:rsid w:val="0051586F"/>
    <w:rsid w:val="005255D5"/>
    <w:rsid w:val="00526FED"/>
    <w:rsid w:val="00527386"/>
    <w:rsid w:val="00530B56"/>
    <w:rsid w:val="00532DD7"/>
    <w:rsid w:val="00533C17"/>
    <w:rsid w:val="00535DB3"/>
    <w:rsid w:val="005401F9"/>
    <w:rsid w:val="00540789"/>
    <w:rsid w:val="00540DD1"/>
    <w:rsid w:val="00541BAD"/>
    <w:rsid w:val="005422FF"/>
    <w:rsid w:val="005460B6"/>
    <w:rsid w:val="00550764"/>
    <w:rsid w:val="00554660"/>
    <w:rsid w:val="00557701"/>
    <w:rsid w:val="00560092"/>
    <w:rsid w:val="0056046F"/>
    <w:rsid w:val="00561A7E"/>
    <w:rsid w:val="00563864"/>
    <w:rsid w:val="005642F2"/>
    <w:rsid w:val="00566032"/>
    <w:rsid w:val="00567B83"/>
    <w:rsid w:val="00570B99"/>
    <w:rsid w:val="00572818"/>
    <w:rsid w:val="005765E8"/>
    <w:rsid w:val="005777C8"/>
    <w:rsid w:val="00577D46"/>
    <w:rsid w:val="00585806"/>
    <w:rsid w:val="005864ED"/>
    <w:rsid w:val="00587194"/>
    <w:rsid w:val="005875FC"/>
    <w:rsid w:val="005879A2"/>
    <w:rsid w:val="00587CEB"/>
    <w:rsid w:val="005907A9"/>
    <w:rsid w:val="00594C71"/>
    <w:rsid w:val="00597A0D"/>
    <w:rsid w:val="005A2013"/>
    <w:rsid w:val="005A3668"/>
    <w:rsid w:val="005A577C"/>
    <w:rsid w:val="005A5D25"/>
    <w:rsid w:val="005B0C2F"/>
    <w:rsid w:val="005B0E5B"/>
    <w:rsid w:val="005B0F4B"/>
    <w:rsid w:val="005B126E"/>
    <w:rsid w:val="005B2FE1"/>
    <w:rsid w:val="005B61B8"/>
    <w:rsid w:val="005C069F"/>
    <w:rsid w:val="005C2485"/>
    <w:rsid w:val="005C61CF"/>
    <w:rsid w:val="005D0228"/>
    <w:rsid w:val="005D03DE"/>
    <w:rsid w:val="005D0FC0"/>
    <w:rsid w:val="005D3307"/>
    <w:rsid w:val="005D4044"/>
    <w:rsid w:val="005E0248"/>
    <w:rsid w:val="005E170A"/>
    <w:rsid w:val="005E2B41"/>
    <w:rsid w:val="005E338F"/>
    <w:rsid w:val="005E534F"/>
    <w:rsid w:val="005F123F"/>
    <w:rsid w:val="005F1934"/>
    <w:rsid w:val="005F33A3"/>
    <w:rsid w:val="005F49A4"/>
    <w:rsid w:val="005F4D14"/>
    <w:rsid w:val="005F6A0D"/>
    <w:rsid w:val="005F73C1"/>
    <w:rsid w:val="00600FA3"/>
    <w:rsid w:val="00601A2F"/>
    <w:rsid w:val="00602C92"/>
    <w:rsid w:val="00604BAF"/>
    <w:rsid w:val="006138AE"/>
    <w:rsid w:val="00614932"/>
    <w:rsid w:val="00621D6E"/>
    <w:rsid w:val="00623061"/>
    <w:rsid w:val="006232D1"/>
    <w:rsid w:val="00625EB0"/>
    <w:rsid w:val="006261BA"/>
    <w:rsid w:val="00627671"/>
    <w:rsid w:val="00630C93"/>
    <w:rsid w:val="00632893"/>
    <w:rsid w:val="006336E4"/>
    <w:rsid w:val="00634807"/>
    <w:rsid w:val="00634A05"/>
    <w:rsid w:val="00640181"/>
    <w:rsid w:val="0064045C"/>
    <w:rsid w:val="00641A3C"/>
    <w:rsid w:val="00642139"/>
    <w:rsid w:val="00642229"/>
    <w:rsid w:val="0064420B"/>
    <w:rsid w:val="00644F90"/>
    <w:rsid w:val="00646EE1"/>
    <w:rsid w:val="00647520"/>
    <w:rsid w:val="00653BD4"/>
    <w:rsid w:val="006541CE"/>
    <w:rsid w:val="0065574F"/>
    <w:rsid w:val="00656191"/>
    <w:rsid w:val="00661509"/>
    <w:rsid w:val="00661F3B"/>
    <w:rsid w:val="00662403"/>
    <w:rsid w:val="00670F6A"/>
    <w:rsid w:val="006714B7"/>
    <w:rsid w:val="0067272E"/>
    <w:rsid w:val="00673AF3"/>
    <w:rsid w:val="0067745C"/>
    <w:rsid w:val="00680AF8"/>
    <w:rsid w:val="00681031"/>
    <w:rsid w:val="00681DD9"/>
    <w:rsid w:val="006820A5"/>
    <w:rsid w:val="00682484"/>
    <w:rsid w:val="006853AE"/>
    <w:rsid w:val="006862F9"/>
    <w:rsid w:val="00687F0B"/>
    <w:rsid w:val="006945D1"/>
    <w:rsid w:val="006A08E2"/>
    <w:rsid w:val="006A26AB"/>
    <w:rsid w:val="006A29F8"/>
    <w:rsid w:val="006A2B43"/>
    <w:rsid w:val="006A3587"/>
    <w:rsid w:val="006A42D1"/>
    <w:rsid w:val="006A5C75"/>
    <w:rsid w:val="006A7A33"/>
    <w:rsid w:val="006B1B15"/>
    <w:rsid w:val="006B57F5"/>
    <w:rsid w:val="006B7192"/>
    <w:rsid w:val="006B7A69"/>
    <w:rsid w:val="006C0235"/>
    <w:rsid w:val="006C2852"/>
    <w:rsid w:val="006C39A3"/>
    <w:rsid w:val="006C57E8"/>
    <w:rsid w:val="006C71A8"/>
    <w:rsid w:val="006E0019"/>
    <w:rsid w:val="006E2594"/>
    <w:rsid w:val="006E26BE"/>
    <w:rsid w:val="006E7170"/>
    <w:rsid w:val="006F000A"/>
    <w:rsid w:val="006F568F"/>
    <w:rsid w:val="006F6A2F"/>
    <w:rsid w:val="006F7BE9"/>
    <w:rsid w:val="00701E72"/>
    <w:rsid w:val="00706764"/>
    <w:rsid w:val="00707AB7"/>
    <w:rsid w:val="007142E2"/>
    <w:rsid w:val="007148AF"/>
    <w:rsid w:val="00720B1C"/>
    <w:rsid w:val="00721DAE"/>
    <w:rsid w:val="00723B30"/>
    <w:rsid w:val="00725E88"/>
    <w:rsid w:val="00726A6B"/>
    <w:rsid w:val="0073046D"/>
    <w:rsid w:val="007365C9"/>
    <w:rsid w:val="0074062C"/>
    <w:rsid w:val="00744B58"/>
    <w:rsid w:val="00745291"/>
    <w:rsid w:val="007464B3"/>
    <w:rsid w:val="0074726F"/>
    <w:rsid w:val="0074792C"/>
    <w:rsid w:val="0075363B"/>
    <w:rsid w:val="00753D72"/>
    <w:rsid w:val="00754B9A"/>
    <w:rsid w:val="00755ADC"/>
    <w:rsid w:val="007568B2"/>
    <w:rsid w:val="00757A3E"/>
    <w:rsid w:val="00760174"/>
    <w:rsid w:val="00767933"/>
    <w:rsid w:val="00770061"/>
    <w:rsid w:val="00770BE2"/>
    <w:rsid w:val="007710DD"/>
    <w:rsid w:val="00773BD8"/>
    <w:rsid w:val="007741BD"/>
    <w:rsid w:val="007777B6"/>
    <w:rsid w:val="00780664"/>
    <w:rsid w:val="00784205"/>
    <w:rsid w:val="00790BF8"/>
    <w:rsid w:val="007915B5"/>
    <w:rsid w:val="00791864"/>
    <w:rsid w:val="00794099"/>
    <w:rsid w:val="0079471D"/>
    <w:rsid w:val="007A521B"/>
    <w:rsid w:val="007A699D"/>
    <w:rsid w:val="007B4B80"/>
    <w:rsid w:val="007B4E7E"/>
    <w:rsid w:val="007B6E7A"/>
    <w:rsid w:val="007C0022"/>
    <w:rsid w:val="007C0B80"/>
    <w:rsid w:val="007C353B"/>
    <w:rsid w:val="007C610A"/>
    <w:rsid w:val="007C7019"/>
    <w:rsid w:val="007D0A74"/>
    <w:rsid w:val="007D412B"/>
    <w:rsid w:val="007D4926"/>
    <w:rsid w:val="007D5328"/>
    <w:rsid w:val="007E1021"/>
    <w:rsid w:val="007E137F"/>
    <w:rsid w:val="007E1B0F"/>
    <w:rsid w:val="007E2033"/>
    <w:rsid w:val="007E2B90"/>
    <w:rsid w:val="007E4E3C"/>
    <w:rsid w:val="007E53F5"/>
    <w:rsid w:val="007F075E"/>
    <w:rsid w:val="007F0804"/>
    <w:rsid w:val="007F1F34"/>
    <w:rsid w:val="007F2AE9"/>
    <w:rsid w:val="007F4E05"/>
    <w:rsid w:val="007F4E50"/>
    <w:rsid w:val="007F52F5"/>
    <w:rsid w:val="0080533E"/>
    <w:rsid w:val="00806964"/>
    <w:rsid w:val="00807494"/>
    <w:rsid w:val="00811D43"/>
    <w:rsid w:val="00811F01"/>
    <w:rsid w:val="008143D5"/>
    <w:rsid w:val="008143DD"/>
    <w:rsid w:val="00817A17"/>
    <w:rsid w:val="00817CD7"/>
    <w:rsid w:val="00820515"/>
    <w:rsid w:val="00822068"/>
    <w:rsid w:val="00823901"/>
    <w:rsid w:val="008268FE"/>
    <w:rsid w:val="0083279B"/>
    <w:rsid w:val="00835EE6"/>
    <w:rsid w:val="0084167E"/>
    <w:rsid w:val="00843B2A"/>
    <w:rsid w:val="00844FAA"/>
    <w:rsid w:val="00850038"/>
    <w:rsid w:val="008576A3"/>
    <w:rsid w:val="008576C5"/>
    <w:rsid w:val="008602BC"/>
    <w:rsid w:val="0086300E"/>
    <w:rsid w:val="00864CD7"/>
    <w:rsid w:val="00871C56"/>
    <w:rsid w:val="0087414B"/>
    <w:rsid w:val="008761BE"/>
    <w:rsid w:val="008802AC"/>
    <w:rsid w:val="00880B3F"/>
    <w:rsid w:val="008822B4"/>
    <w:rsid w:val="008860F4"/>
    <w:rsid w:val="0088639D"/>
    <w:rsid w:val="00886B92"/>
    <w:rsid w:val="008875AB"/>
    <w:rsid w:val="00891D44"/>
    <w:rsid w:val="008925BC"/>
    <w:rsid w:val="008925DB"/>
    <w:rsid w:val="00893EFF"/>
    <w:rsid w:val="00896822"/>
    <w:rsid w:val="008A457E"/>
    <w:rsid w:val="008A65DF"/>
    <w:rsid w:val="008A676F"/>
    <w:rsid w:val="008A7D59"/>
    <w:rsid w:val="008A7E0A"/>
    <w:rsid w:val="008B5B68"/>
    <w:rsid w:val="008B5BEC"/>
    <w:rsid w:val="008B6ECC"/>
    <w:rsid w:val="008B795A"/>
    <w:rsid w:val="008C1393"/>
    <w:rsid w:val="008C1AA1"/>
    <w:rsid w:val="008C3B5E"/>
    <w:rsid w:val="008C3BD9"/>
    <w:rsid w:val="008C505D"/>
    <w:rsid w:val="008C653E"/>
    <w:rsid w:val="008C6763"/>
    <w:rsid w:val="008D1823"/>
    <w:rsid w:val="008D40CB"/>
    <w:rsid w:val="008D4ACD"/>
    <w:rsid w:val="008D4BDF"/>
    <w:rsid w:val="008D5A85"/>
    <w:rsid w:val="008E3DA9"/>
    <w:rsid w:val="008E62DB"/>
    <w:rsid w:val="008F325D"/>
    <w:rsid w:val="008F5B2A"/>
    <w:rsid w:val="008F5FE8"/>
    <w:rsid w:val="009018BA"/>
    <w:rsid w:val="009031F8"/>
    <w:rsid w:val="009054B5"/>
    <w:rsid w:val="00906D3F"/>
    <w:rsid w:val="009116B1"/>
    <w:rsid w:val="009122EE"/>
    <w:rsid w:val="00912680"/>
    <w:rsid w:val="00914692"/>
    <w:rsid w:val="00915145"/>
    <w:rsid w:val="00916186"/>
    <w:rsid w:val="009163EA"/>
    <w:rsid w:val="00921631"/>
    <w:rsid w:val="00921E6A"/>
    <w:rsid w:val="00924A5D"/>
    <w:rsid w:val="00934981"/>
    <w:rsid w:val="00934EF7"/>
    <w:rsid w:val="00940D9E"/>
    <w:rsid w:val="00940E57"/>
    <w:rsid w:val="00941F18"/>
    <w:rsid w:val="00944D37"/>
    <w:rsid w:val="0094670E"/>
    <w:rsid w:val="009469F7"/>
    <w:rsid w:val="0094779F"/>
    <w:rsid w:val="009525EE"/>
    <w:rsid w:val="0095324D"/>
    <w:rsid w:val="00953372"/>
    <w:rsid w:val="00955407"/>
    <w:rsid w:val="009564B4"/>
    <w:rsid w:val="00956813"/>
    <w:rsid w:val="00956918"/>
    <w:rsid w:val="00960171"/>
    <w:rsid w:val="009640BC"/>
    <w:rsid w:val="009664DA"/>
    <w:rsid w:val="009677BD"/>
    <w:rsid w:val="00970B54"/>
    <w:rsid w:val="0097152B"/>
    <w:rsid w:val="00975726"/>
    <w:rsid w:val="009770B8"/>
    <w:rsid w:val="00980D65"/>
    <w:rsid w:val="00983244"/>
    <w:rsid w:val="00983E05"/>
    <w:rsid w:val="0098655C"/>
    <w:rsid w:val="00987226"/>
    <w:rsid w:val="009904E2"/>
    <w:rsid w:val="00990EE7"/>
    <w:rsid w:val="00991464"/>
    <w:rsid w:val="00991FDD"/>
    <w:rsid w:val="0099218D"/>
    <w:rsid w:val="00992441"/>
    <w:rsid w:val="00995DD5"/>
    <w:rsid w:val="009A0EF0"/>
    <w:rsid w:val="009A19F8"/>
    <w:rsid w:val="009A1CF3"/>
    <w:rsid w:val="009A2D8A"/>
    <w:rsid w:val="009A2F6B"/>
    <w:rsid w:val="009A3D40"/>
    <w:rsid w:val="009A4419"/>
    <w:rsid w:val="009A5036"/>
    <w:rsid w:val="009A57EC"/>
    <w:rsid w:val="009B600C"/>
    <w:rsid w:val="009D2962"/>
    <w:rsid w:val="009D5FD2"/>
    <w:rsid w:val="009D7BB6"/>
    <w:rsid w:val="009E65F9"/>
    <w:rsid w:val="009E6B32"/>
    <w:rsid w:val="009F00A2"/>
    <w:rsid w:val="009F070D"/>
    <w:rsid w:val="009F0F4D"/>
    <w:rsid w:val="009F1EFD"/>
    <w:rsid w:val="009F2AC2"/>
    <w:rsid w:val="009F62C9"/>
    <w:rsid w:val="00A02522"/>
    <w:rsid w:val="00A104B4"/>
    <w:rsid w:val="00A117F3"/>
    <w:rsid w:val="00A11A7E"/>
    <w:rsid w:val="00A138D5"/>
    <w:rsid w:val="00A142D3"/>
    <w:rsid w:val="00A21CA6"/>
    <w:rsid w:val="00A2312F"/>
    <w:rsid w:val="00A23945"/>
    <w:rsid w:val="00A31FEB"/>
    <w:rsid w:val="00A33BC3"/>
    <w:rsid w:val="00A37AD8"/>
    <w:rsid w:val="00A37E6D"/>
    <w:rsid w:val="00A40D45"/>
    <w:rsid w:val="00A41EDD"/>
    <w:rsid w:val="00A42136"/>
    <w:rsid w:val="00A422F3"/>
    <w:rsid w:val="00A43048"/>
    <w:rsid w:val="00A4519B"/>
    <w:rsid w:val="00A452D4"/>
    <w:rsid w:val="00A45D77"/>
    <w:rsid w:val="00A46AB8"/>
    <w:rsid w:val="00A51967"/>
    <w:rsid w:val="00A51E16"/>
    <w:rsid w:val="00A53BCA"/>
    <w:rsid w:val="00A5579C"/>
    <w:rsid w:val="00A57B71"/>
    <w:rsid w:val="00A61DA6"/>
    <w:rsid w:val="00A6459C"/>
    <w:rsid w:val="00A65121"/>
    <w:rsid w:val="00A6527B"/>
    <w:rsid w:val="00A66BB7"/>
    <w:rsid w:val="00A67648"/>
    <w:rsid w:val="00A70AA5"/>
    <w:rsid w:val="00A71E4A"/>
    <w:rsid w:val="00A75FB9"/>
    <w:rsid w:val="00A81837"/>
    <w:rsid w:val="00A83162"/>
    <w:rsid w:val="00A841A3"/>
    <w:rsid w:val="00A848C5"/>
    <w:rsid w:val="00A85BA1"/>
    <w:rsid w:val="00A8635B"/>
    <w:rsid w:val="00A87A6C"/>
    <w:rsid w:val="00A90AE5"/>
    <w:rsid w:val="00A90CDA"/>
    <w:rsid w:val="00A97D12"/>
    <w:rsid w:val="00AA375A"/>
    <w:rsid w:val="00AB57C9"/>
    <w:rsid w:val="00AB5EFC"/>
    <w:rsid w:val="00AB6FB2"/>
    <w:rsid w:val="00AB79D6"/>
    <w:rsid w:val="00AB7DD8"/>
    <w:rsid w:val="00AC19EC"/>
    <w:rsid w:val="00AC4886"/>
    <w:rsid w:val="00AC4EF6"/>
    <w:rsid w:val="00AD0A3D"/>
    <w:rsid w:val="00AD130F"/>
    <w:rsid w:val="00AD3630"/>
    <w:rsid w:val="00AD4DDF"/>
    <w:rsid w:val="00AD584A"/>
    <w:rsid w:val="00AD6A18"/>
    <w:rsid w:val="00AE0597"/>
    <w:rsid w:val="00AE2D0E"/>
    <w:rsid w:val="00AE4755"/>
    <w:rsid w:val="00AE63EC"/>
    <w:rsid w:val="00AF315A"/>
    <w:rsid w:val="00B00EC7"/>
    <w:rsid w:val="00B02336"/>
    <w:rsid w:val="00B10EE9"/>
    <w:rsid w:val="00B12E3E"/>
    <w:rsid w:val="00B169F4"/>
    <w:rsid w:val="00B17BC0"/>
    <w:rsid w:val="00B17F19"/>
    <w:rsid w:val="00B20607"/>
    <w:rsid w:val="00B2317D"/>
    <w:rsid w:val="00B24117"/>
    <w:rsid w:val="00B30EEB"/>
    <w:rsid w:val="00B32C73"/>
    <w:rsid w:val="00B33AA7"/>
    <w:rsid w:val="00B37916"/>
    <w:rsid w:val="00B4129E"/>
    <w:rsid w:val="00B4249B"/>
    <w:rsid w:val="00B42B83"/>
    <w:rsid w:val="00B43EAD"/>
    <w:rsid w:val="00B44B21"/>
    <w:rsid w:val="00B4671D"/>
    <w:rsid w:val="00B46E10"/>
    <w:rsid w:val="00B47AEC"/>
    <w:rsid w:val="00B50156"/>
    <w:rsid w:val="00B50D07"/>
    <w:rsid w:val="00B51215"/>
    <w:rsid w:val="00B51F45"/>
    <w:rsid w:val="00B526AB"/>
    <w:rsid w:val="00B5316B"/>
    <w:rsid w:val="00B55101"/>
    <w:rsid w:val="00B55855"/>
    <w:rsid w:val="00B60FFB"/>
    <w:rsid w:val="00B6666B"/>
    <w:rsid w:val="00B7534B"/>
    <w:rsid w:val="00B756E2"/>
    <w:rsid w:val="00B75755"/>
    <w:rsid w:val="00B761E8"/>
    <w:rsid w:val="00B76EE4"/>
    <w:rsid w:val="00B82251"/>
    <w:rsid w:val="00B822EC"/>
    <w:rsid w:val="00B87286"/>
    <w:rsid w:val="00B87B79"/>
    <w:rsid w:val="00B90D7E"/>
    <w:rsid w:val="00B96CFE"/>
    <w:rsid w:val="00BA066D"/>
    <w:rsid w:val="00BA3EF3"/>
    <w:rsid w:val="00BA4563"/>
    <w:rsid w:val="00BB0FDE"/>
    <w:rsid w:val="00BB4547"/>
    <w:rsid w:val="00BB6C32"/>
    <w:rsid w:val="00BB7DE0"/>
    <w:rsid w:val="00BC1B6C"/>
    <w:rsid w:val="00BC1DBB"/>
    <w:rsid w:val="00BC2ED1"/>
    <w:rsid w:val="00BC6C45"/>
    <w:rsid w:val="00BD07EC"/>
    <w:rsid w:val="00BD57C3"/>
    <w:rsid w:val="00BE05D3"/>
    <w:rsid w:val="00BE0A04"/>
    <w:rsid w:val="00BE150C"/>
    <w:rsid w:val="00BE3196"/>
    <w:rsid w:val="00BE3282"/>
    <w:rsid w:val="00BE5AAA"/>
    <w:rsid w:val="00BE60F5"/>
    <w:rsid w:val="00BE634C"/>
    <w:rsid w:val="00BF245C"/>
    <w:rsid w:val="00BF39B2"/>
    <w:rsid w:val="00BF72D3"/>
    <w:rsid w:val="00BF76D3"/>
    <w:rsid w:val="00C0093D"/>
    <w:rsid w:val="00C034D0"/>
    <w:rsid w:val="00C038BB"/>
    <w:rsid w:val="00C03D52"/>
    <w:rsid w:val="00C0403E"/>
    <w:rsid w:val="00C07312"/>
    <w:rsid w:val="00C073B1"/>
    <w:rsid w:val="00C109A4"/>
    <w:rsid w:val="00C12F6A"/>
    <w:rsid w:val="00C1401D"/>
    <w:rsid w:val="00C14C8F"/>
    <w:rsid w:val="00C14E1D"/>
    <w:rsid w:val="00C15D3C"/>
    <w:rsid w:val="00C1790C"/>
    <w:rsid w:val="00C20341"/>
    <w:rsid w:val="00C22F6E"/>
    <w:rsid w:val="00C251E5"/>
    <w:rsid w:val="00C268FC"/>
    <w:rsid w:val="00C27F5E"/>
    <w:rsid w:val="00C30821"/>
    <w:rsid w:val="00C32681"/>
    <w:rsid w:val="00C32833"/>
    <w:rsid w:val="00C332F2"/>
    <w:rsid w:val="00C33904"/>
    <w:rsid w:val="00C34343"/>
    <w:rsid w:val="00C344EB"/>
    <w:rsid w:val="00C400CD"/>
    <w:rsid w:val="00C4315B"/>
    <w:rsid w:val="00C43DE2"/>
    <w:rsid w:val="00C45532"/>
    <w:rsid w:val="00C45AAC"/>
    <w:rsid w:val="00C45B4B"/>
    <w:rsid w:val="00C5225B"/>
    <w:rsid w:val="00C5226C"/>
    <w:rsid w:val="00C52287"/>
    <w:rsid w:val="00C53F4F"/>
    <w:rsid w:val="00C54892"/>
    <w:rsid w:val="00C60B6E"/>
    <w:rsid w:val="00C63A73"/>
    <w:rsid w:val="00C65354"/>
    <w:rsid w:val="00C654C6"/>
    <w:rsid w:val="00C661BB"/>
    <w:rsid w:val="00C66C18"/>
    <w:rsid w:val="00C721F5"/>
    <w:rsid w:val="00C72A26"/>
    <w:rsid w:val="00C72F2A"/>
    <w:rsid w:val="00C73449"/>
    <w:rsid w:val="00C7371E"/>
    <w:rsid w:val="00C81ADD"/>
    <w:rsid w:val="00C81F83"/>
    <w:rsid w:val="00C83C28"/>
    <w:rsid w:val="00C85D68"/>
    <w:rsid w:val="00C9065A"/>
    <w:rsid w:val="00C92051"/>
    <w:rsid w:val="00C920F7"/>
    <w:rsid w:val="00C934B7"/>
    <w:rsid w:val="00C939DE"/>
    <w:rsid w:val="00C965C6"/>
    <w:rsid w:val="00CA2D8A"/>
    <w:rsid w:val="00CB068A"/>
    <w:rsid w:val="00CB09B0"/>
    <w:rsid w:val="00CB2680"/>
    <w:rsid w:val="00CB5D3D"/>
    <w:rsid w:val="00CB5F1C"/>
    <w:rsid w:val="00CB7694"/>
    <w:rsid w:val="00CC0DE9"/>
    <w:rsid w:val="00CC3F10"/>
    <w:rsid w:val="00CC73B0"/>
    <w:rsid w:val="00CC7875"/>
    <w:rsid w:val="00CD26A9"/>
    <w:rsid w:val="00CD4BFB"/>
    <w:rsid w:val="00CD5567"/>
    <w:rsid w:val="00CD74E4"/>
    <w:rsid w:val="00CE1124"/>
    <w:rsid w:val="00CE1F04"/>
    <w:rsid w:val="00CE21EB"/>
    <w:rsid w:val="00CE49AD"/>
    <w:rsid w:val="00CE6328"/>
    <w:rsid w:val="00CF2B43"/>
    <w:rsid w:val="00D02C39"/>
    <w:rsid w:val="00D0468B"/>
    <w:rsid w:val="00D06588"/>
    <w:rsid w:val="00D073F3"/>
    <w:rsid w:val="00D0799F"/>
    <w:rsid w:val="00D07EB9"/>
    <w:rsid w:val="00D11BEE"/>
    <w:rsid w:val="00D126DF"/>
    <w:rsid w:val="00D1560B"/>
    <w:rsid w:val="00D16E1B"/>
    <w:rsid w:val="00D21F03"/>
    <w:rsid w:val="00D23A66"/>
    <w:rsid w:val="00D24209"/>
    <w:rsid w:val="00D25351"/>
    <w:rsid w:val="00D30D2F"/>
    <w:rsid w:val="00D31424"/>
    <w:rsid w:val="00D34470"/>
    <w:rsid w:val="00D36420"/>
    <w:rsid w:val="00D37A59"/>
    <w:rsid w:val="00D40E3E"/>
    <w:rsid w:val="00D40FD6"/>
    <w:rsid w:val="00D4197E"/>
    <w:rsid w:val="00D434CA"/>
    <w:rsid w:val="00D435C7"/>
    <w:rsid w:val="00D46D83"/>
    <w:rsid w:val="00D47060"/>
    <w:rsid w:val="00D53233"/>
    <w:rsid w:val="00D53384"/>
    <w:rsid w:val="00D533A4"/>
    <w:rsid w:val="00D60F4D"/>
    <w:rsid w:val="00D6221B"/>
    <w:rsid w:val="00D62612"/>
    <w:rsid w:val="00D64921"/>
    <w:rsid w:val="00D659E7"/>
    <w:rsid w:val="00D6748A"/>
    <w:rsid w:val="00D76910"/>
    <w:rsid w:val="00D85825"/>
    <w:rsid w:val="00D87BC8"/>
    <w:rsid w:val="00D90210"/>
    <w:rsid w:val="00D90EE0"/>
    <w:rsid w:val="00D94E21"/>
    <w:rsid w:val="00D969AB"/>
    <w:rsid w:val="00DA06BD"/>
    <w:rsid w:val="00DA0F02"/>
    <w:rsid w:val="00DA1607"/>
    <w:rsid w:val="00DA1A35"/>
    <w:rsid w:val="00DA6081"/>
    <w:rsid w:val="00DB4FEA"/>
    <w:rsid w:val="00DB52E8"/>
    <w:rsid w:val="00DB5B35"/>
    <w:rsid w:val="00DB5C76"/>
    <w:rsid w:val="00DB5D54"/>
    <w:rsid w:val="00DB708B"/>
    <w:rsid w:val="00DB728D"/>
    <w:rsid w:val="00DB7554"/>
    <w:rsid w:val="00DC01D6"/>
    <w:rsid w:val="00DC1889"/>
    <w:rsid w:val="00DC1B30"/>
    <w:rsid w:val="00DC1ED5"/>
    <w:rsid w:val="00DC2BF1"/>
    <w:rsid w:val="00DC7A73"/>
    <w:rsid w:val="00DC7B51"/>
    <w:rsid w:val="00DD00E5"/>
    <w:rsid w:val="00DD5666"/>
    <w:rsid w:val="00DE2344"/>
    <w:rsid w:val="00DE7440"/>
    <w:rsid w:val="00DF184B"/>
    <w:rsid w:val="00DF2698"/>
    <w:rsid w:val="00E00C40"/>
    <w:rsid w:val="00E0139A"/>
    <w:rsid w:val="00E0272F"/>
    <w:rsid w:val="00E029B2"/>
    <w:rsid w:val="00E034BA"/>
    <w:rsid w:val="00E04C9D"/>
    <w:rsid w:val="00E05416"/>
    <w:rsid w:val="00E073BF"/>
    <w:rsid w:val="00E11AAA"/>
    <w:rsid w:val="00E12B9B"/>
    <w:rsid w:val="00E15AFA"/>
    <w:rsid w:val="00E16F0E"/>
    <w:rsid w:val="00E17747"/>
    <w:rsid w:val="00E222AD"/>
    <w:rsid w:val="00E22C08"/>
    <w:rsid w:val="00E25FBA"/>
    <w:rsid w:val="00E32080"/>
    <w:rsid w:val="00E33866"/>
    <w:rsid w:val="00E33AD4"/>
    <w:rsid w:val="00E37D18"/>
    <w:rsid w:val="00E403D7"/>
    <w:rsid w:val="00E41392"/>
    <w:rsid w:val="00E41A31"/>
    <w:rsid w:val="00E52412"/>
    <w:rsid w:val="00E53DF7"/>
    <w:rsid w:val="00E54FB5"/>
    <w:rsid w:val="00E620DE"/>
    <w:rsid w:val="00E63320"/>
    <w:rsid w:val="00E6538D"/>
    <w:rsid w:val="00E7122C"/>
    <w:rsid w:val="00E72774"/>
    <w:rsid w:val="00E73BB1"/>
    <w:rsid w:val="00E742BD"/>
    <w:rsid w:val="00E76632"/>
    <w:rsid w:val="00E8452B"/>
    <w:rsid w:val="00E85961"/>
    <w:rsid w:val="00E868D9"/>
    <w:rsid w:val="00E91CF7"/>
    <w:rsid w:val="00E91D0B"/>
    <w:rsid w:val="00E92E6F"/>
    <w:rsid w:val="00E93814"/>
    <w:rsid w:val="00E97587"/>
    <w:rsid w:val="00E97753"/>
    <w:rsid w:val="00EA18B6"/>
    <w:rsid w:val="00EA2535"/>
    <w:rsid w:val="00EA25EC"/>
    <w:rsid w:val="00EA3AD9"/>
    <w:rsid w:val="00EA4131"/>
    <w:rsid w:val="00EA6530"/>
    <w:rsid w:val="00EA6BCB"/>
    <w:rsid w:val="00EA6CB2"/>
    <w:rsid w:val="00EB2821"/>
    <w:rsid w:val="00EB49A6"/>
    <w:rsid w:val="00EB6525"/>
    <w:rsid w:val="00EB70AB"/>
    <w:rsid w:val="00EB72BD"/>
    <w:rsid w:val="00EC0D15"/>
    <w:rsid w:val="00EC2AC8"/>
    <w:rsid w:val="00EC2EE0"/>
    <w:rsid w:val="00EC3515"/>
    <w:rsid w:val="00ED01AE"/>
    <w:rsid w:val="00ED17D8"/>
    <w:rsid w:val="00ED24BA"/>
    <w:rsid w:val="00ED6A30"/>
    <w:rsid w:val="00EE2E72"/>
    <w:rsid w:val="00EE3AD2"/>
    <w:rsid w:val="00EE581C"/>
    <w:rsid w:val="00EE5D6F"/>
    <w:rsid w:val="00EE77CB"/>
    <w:rsid w:val="00EF16A0"/>
    <w:rsid w:val="00EF1A4E"/>
    <w:rsid w:val="00EF29D4"/>
    <w:rsid w:val="00EF2A37"/>
    <w:rsid w:val="00EF5F7E"/>
    <w:rsid w:val="00EF7E6E"/>
    <w:rsid w:val="00F00554"/>
    <w:rsid w:val="00F036E3"/>
    <w:rsid w:val="00F07853"/>
    <w:rsid w:val="00F101FF"/>
    <w:rsid w:val="00F11C75"/>
    <w:rsid w:val="00F16758"/>
    <w:rsid w:val="00F20CAE"/>
    <w:rsid w:val="00F2211C"/>
    <w:rsid w:val="00F231CF"/>
    <w:rsid w:val="00F24450"/>
    <w:rsid w:val="00F25F29"/>
    <w:rsid w:val="00F27748"/>
    <w:rsid w:val="00F302A6"/>
    <w:rsid w:val="00F324A4"/>
    <w:rsid w:val="00F32BD0"/>
    <w:rsid w:val="00F32D36"/>
    <w:rsid w:val="00F33BD6"/>
    <w:rsid w:val="00F35519"/>
    <w:rsid w:val="00F3629B"/>
    <w:rsid w:val="00F41F64"/>
    <w:rsid w:val="00F44734"/>
    <w:rsid w:val="00F500BB"/>
    <w:rsid w:val="00F52277"/>
    <w:rsid w:val="00F54DC6"/>
    <w:rsid w:val="00F55049"/>
    <w:rsid w:val="00F557E5"/>
    <w:rsid w:val="00F55AF7"/>
    <w:rsid w:val="00F56FE7"/>
    <w:rsid w:val="00F605EE"/>
    <w:rsid w:val="00F606B5"/>
    <w:rsid w:val="00F626D0"/>
    <w:rsid w:val="00F63DAD"/>
    <w:rsid w:val="00F644B9"/>
    <w:rsid w:val="00F66396"/>
    <w:rsid w:val="00F66D46"/>
    <w:rsid w:val="00F67374"/>
    <w:rsid w:val="00F6766D"/>
    <w:rsid w:val="00F71CD8"/>
    <w:rsid w:val="00F72349"/>
    <w:rsid w:val="00F7393D"/>
    <w:rsid w:val="00F73A97"/>
    <w:rsid w:val="00F73D31"/>
    <w:rsid w:val="00F74CA3"/>
    <w:rsid w:val="00F80799"/>
    <w:rsid w:val="00F82086"/>
    <w:rsid w:val="00F84767"/>
    <w:rsid w:val="00F84FD6"/>
    <w:rsid w:val="00F922DE"/>
    <w:rsid w:val="00F92D13"/>
    <w:rsid w:val="00F941AB"/>
    <w:rsid w:val="00F94DF3"/>
    <w:rsid w:val="00FA2614"/>
    <w:rsid w:val="00FA3205"/>
    <w:rsid w:val="00FA39D7"/>
    <w:rsid w:val="00FA4381"/>
    <w:rsid w:val="00FA5754"/>
    <w:rsid w:val="00FA727F"/>
    <w:rsid w:val="00FB0E47"/>
    <w:rsid w:val="00FB208D"/>
    <w:rsid w:val="00FB46C7"/>
    <w:rsid w:val="00FB6722"/>
    <w:rsid w:val="00FC3B27"/>
    <w:rsid w:val="00FC585D"/>
    <w:rsid w:val="00FC5A59"/>
    <w:rsid w:val="00FC70DE"/>
    <w:rsid w:val="00FD01FB"/>
    <w:rsid w:val="00FD0D74"/>
    <w:rsid w:val="00FD1F85"/>
    <w:rsid w:val="00FD2B33"/>
    <w:rsid w:val="00FD2DDE"/>
    <w:rsid w:val="00FD2E6F"/>
    <w:rsid w:val="00FD5048"/>
    <w:rsid w:val="00FD51AE"/>
    <w:rsid w:val="00FD5DE8"/>
    <w:rsid w:val="00FD6AFF"/>
    <w:rsid w:val="00FE19A9"/>
    <w:rsid w:val="00FE2274"/>
    <w:rsid w:val="00FE24DB"/>
    <w:rsid w:val="00FE3B1D"/>
    <w:rsid w:val="00FE3B5F"/>
    <w:rsid w:val="00FE3EA2"/>
    <w:rsid w:val="00FF0FE8"/>
    <w:rsid w:val="00FF2A7B"/>
    <w:rsid w:val="00FF4E10"/>
    <w:rsid w:val="00FF5B0B"/>
    <w:rsid w:val="00FF632F"/>
    <w:rsid w:val="00FF7129"/>
    <w:rsid w:val="00FF744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37B2BECE"/>
  <w15:docId w15:val="{D4C92910-2C83-41EE-9E18-CEEBB2AC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4A4"/>
    <w:pPr>
      <w:spacing w:after="120"/>
    </w:pPr>
    <w:rPr>
      <w:sz w:val="20"/>
    </w:rPr>
  </w:style>
  <w:style w:type="paragraph" w:styleId="Heading1">
    <w:name w:val="heading 1"/>
    <w:basedOn w:val="Normal"/>
    <w:next w:val="Normal"/>
    <w:link w:val="Heading1Char"/>
    <w:uiPriority w:val="9"/>
    <w:qFormat/>
    <w:rsid w:val="00C81ADD"/>
    <w:pPr>
      <w:keepNext/>
      <w:keepLines/>
      <w:numPr>
        <w:numId w:val="3"/>
      </w:numPr>
      <w:spacing w:before="480" w:after="0"/>
      <w:outlineLvl w:val="0"/>
    </w:pPr>
    <w:rPr>
      <w:rFonts w:asciiTheme="majorHAnsi" w:eastAsiaTheme="majorEastAsia" w:hAnsiTheme="majorHAnsi" w:cstheme="majorBidi"/>
      <w:b/>
      <w:bCs/>
      <w:color w:val="004059" w:themeColor="accent1" w:themeShade="BF"/>
      <w:sz w:val="28"/>
      <w:szCs w:val="28"/>
    </w:rPr>
  </w:style>
  <w:style w:type="paragraph" w:styleId="Heading2">
    <w:name w:val="heading 2"/>
    <w:basedOn w:val="Heading1"/>
    <w:next w:val="Heading3"/>
    <w:link w:val="Heading2Char"/>
    <w:uiPriority w:val="9"/>
    <w:unhideWhenUsed/>
    <w:qFormat/>
    <w:rsid w:val="009116B1"/>
    <w:pPr>
      <w:numPr>
        <w:ilvl w:val="1"/>
      </w:numPr>
      <w:spacing w:before="0"/>
      <w:ind w:left="578" w:hanging="578"/>
      <w:outlineLvl w:val="1"/>
    </w:pPr>
    <w:rPr>
      <w:bCs w:val="0"/>
      <w:color w:val="FFFFFF" w:themeColor="background1"/>
      <w:sz w:val="22"/>
      <w:szCs w:val="26"/>
    </w:rPr>
  </w:style>
  <w:style w:type="paragraph" w:styleId="Heading3">
    <w:name w:val="heading 3"/>
    <w:basedOn w:val="Heading2"/>
    <w:next w:val="Heading4"/>
    <w:link w:val="Heading3Char"/>
    <w:uiPriority w:val="9"/>
    <w:unhideWhenUsed/>
    <w:qFormat/>
    <w:rsid w:val="00EA4131"/>
    <w:pPr>
      <w:numPr>
        <w:ilvl w:val="2"/>
      </w:numPr>
      <w:outlineLvl w:val="2"/>
    </w:pPr>
    <w:rPr>
      <w:bCs/>
      <w:szCs w:val="24"/>
    </w:rPr>
  </w:style>
  <w:style w:type="paragraph" w:styleId="Heading4">
    <w:name w:val="heading 4"/>
    <w:basedOn w:val="Heading3"/>
    <w:next w:val="Heading5"/>
    <w:link w:val="Heading4Char"/>
    <w:uiPriority w:val="9"/>
    <w:unhideWhenUsed/>
    <w:qFormat/>
    <w:rsid w:val="0098655C"/>
    <w:pPr>
      <w:numPr>
        <w:ilvl w:val="3"/>
      </w:numPr>
      <w:spacing w:line="240" w:lineRule="auto"/>
      <w:outlineLvl w:val="3"/>
    </w:pPr>
    <w:rPr>
      <w:b w:val="0"/>
      <w:bCs w:val="0"/>
      <w:iCs/>
      <w:color w:val="auto"/>
    </w:rPr>
  </w:style>
  <w:style w:type="paragraph" w:styleId="Heading5">
    <w:name w:val="heading 5"/>
    <w:basedOn w:val="Normal"/>
    <w:next w:val="Normal"/>
    <w:link w:val="Heading5Char"/>
    <w:uiPriority w:val="9"/>
    <w:unhideWhenUsed/>
    <w:qFormat/>
    <w:rsid w:val="00E620DE"/>
    <w:pPr>
      <w:keepNext/>
      <w:keepLines/>
      <w:spacing w:before="200" w:after="0"/>
      <w:outlineLvl w:val="4"/>
    </w:pPr>
    <w:rPr>
      <w:rFonts w:asciiTheme="majorHAnsi" w:eastAsiaTheme="majorEastAsia" w:hAnsiTheme="majorHAnsi" w:cstheme="majorBidi"/>
      <w:b/>
      <w:color w:val="002A3B" w:themeColor="accent1" w:themeShade="7F"/>
    </w:rPr>
  </w:style>
  <w:style w:type="paragraph" w:styleId="Heading6">
    <w:name w:val="heading 6"/>
    <w:basedOn w:val="Normal"/>
    <w:next w:val="Normal"/>
    <w:link w:val="Heading6Char"/>
    <w:uiPriority w:val="9"/>
    <w:unhideWhenUsed/>
    <w:qFormat/>
    <w:rsid w:val="00E620DE"/>
    <w:pPr>
      <w:keepNext/>
      <w:keepLines/>
      <w:spacing w:before="200" w:after="0"/>
      <w:outlineLvl w:val="5"/>
    </w:pPr>
    <w:rPr>
      <w:rFonts w:asciiTheme="majorHAnsi" w:eastAsiaTheme="majorEastAsia" w:hAnsiTheme="majorHAnsi" w:cstheme="majorBidi"/>
      <w:b/>
      <w:i/>
      <w:iCs/>
      <w:color w:val="002A3B" w:themeColor="accent1" w:themeShade="7F"/>
    </w:rPr>
  </w:style>
  <w:style w:type="paragraph" w:styleId="Heading7">
    <w:name w:val="heading 7"/>
    <w:basedOn w:val="Normal"/>
    <w:next w:val="Normal"/>
    <w:link w:val="Heading7Char"/>
    <w:uiPriority w:val="9"/>
    <w:unhideWhenUsed/>
    <w:qFormat/>
    <w:rsid w:val="00E620D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D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E620D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726"/>
    <w:pPr>
      <w:spacing w:after="0" w:line="240" w:lineRule="auto"/>
    </w:pPr>
  </w:style>
  <w:style w:type="character" w:customStyle="1" w:styleId="Heading1Char">
    <w:name w:val="Heading 1 Char"/>
    <w:basedOn w:val="DefaultParagraphFont"/>
    <w:link w:val="Heading1"/>
    <w:uiPriority w:val="9"/>
    <w:rsid w:val="00C81ADD"/>
    <w:rPr>
      <w:rFonts w:asciiTheme="majorHAnsi" w:eastAsiaTheme="majorEastAsia" w:hAnsiTheme="majorHAnsi" w:cstheme="majorBidi"/>
      <w:b/>
      <w:bCs/>
      <w:color w:val="004059" w:themeColor="accent1" w:themeShade="BF"/>
      <w:sz w:val="28"/>
      <w:szCs w:val="28"/>
    </w:rPr>
  </w:style>
  <w:style w:type="character" w:customStyle="1" w:styleId="Heading2Char">
    <w:name w:val="Heading 2 Char"/>
    <w:basedOn w:val="DefaultParagraphFont"/>
    <w:link w:val="Heading2"/>
    <w:uiPriority w:val="9"/>
    <w:rsid w:val="009116B1"/>
    <w:rPr>
      <w:rFonts w:asciiTheme="majorHAnsi" w:eastAsiaTheme="majorEastAsia" w:hAnsiTheme="majorHAnsi" w:cstheme="majorBidi"/>
      <w:b/>
      <w:color w:val="FFFFFF" w:themeColor="background1"/>
      <w:szCs w:val="26"/>
    </w:rPr>
  </w:style>
  <w:style w:type="paragraph" w:styleId="Title">
    <w:name w:val="Title"/>
    <w:basedOn w:val="Normal"/>
    <w:next w:val="Normal"/>
    <w:link w:val="TitleChar"/>
    <w:uiPriority w:val="10"/>
    <w:qFormat/>
    <w:rsid w:val="00FC70DE"/>
    <w:pPr>
      <w:spacing w:before="4480" w:after="480" w:line="240" w:lineRule="auto"/>
      <w:contextualSpacing/>
    </w:pPr>
    <w:rPr>
      <w:rFonts w:asciiTheme="majorHAnsi" w:eastAsiaTheme="majorEastAsia" w:hAnsiTheme="majorHAnsi" w:cstheme="majorBidi"/>
      <w:b/>
      <w:color w:val="2C2C2D" w:themeColor="text2" w:themeShade="80"/>
      <w:spacing w:val="5"/>
      <w:kern w:val="28"/>
      <w:sz w:val="64"/>
      <w:szCs w:val="52"/>
    </w:rPr>
  </w:style>
  <w:style w:type="character" w:customStyle="1" w:styleId="TitleChar">
    <w:name w:val="Title Char"/>
    <w:basedOn w:val="DefaultParagraphFont"/>
    <w:link w:val="Title"/>
    <w:uiPriority w:val="10"/>
    <w:rsid w:val="00FC70DE"/>
    <w:rPr>
      <w:rFonts w:asciiTheme="majorHAnsi" w:eastAsiaTheme="majorEastAsia" w:hAnsiTheme="majorHAnsi" w:cstheme="majorBidi"/>
      <w:b/>
      <w:color w:val="2C2C2D" w:themeColor="text2" w:themeShade="80"/>
      <w:spacing w:val="5"/>
      <w:kern w:val="28"/>
      <w:sz w:val="64"/>
      <w:szCs w:val="52"/>
    </w:rPr>
  </w:style>
  <w:style w:type="paragraph" w:styleId="Subtitle">
    <w:name w:val="Subtitle"/>
    <w:basedOn w:val="Normal"/>
    <w:next w:val="Normal"/>
    <w:link w:val="SubtitleChar"/>
    <w:uiPriority w:val="11"/>
    <w:qFormat/>
    <w:rsid w:val="005F1934"/>
    <w:pPr>
      <w:numPr>
        <w:ilvl w:val="1"/>
      </w:numPr>
    </w:pPr>
    <w:rPr>
      <w:rFonts w:asciiTheme="majorHAnsi" w:eastAsiaTheme="majorEastAsia" w:hAnsiTheme="majorHAnsi" w:cstheme="majorBidi"/>
      <w:iCs/>
      <w:color w:val="939598" w:themeColor="background2"/>
      <w:spacing w:val="15"/>
      <w:sz w:val="40"/>
      <w:szCs w:val="24"/>
    </w:rPr>
  </w:style>
  <w:style w:type="character" w:customStyle="1" w:styleId="SubtitleChar">
    <w:name w:val="Subtitle Char"/>
    <w:basedOn w:val="DefaultParagraphFont"/>
    <w:link w:val="Subtitle"/>
    <w:uiPriority w:val="11"/>
    <w:rsid w:val="005F1934"/>
    <w:rPr>
      <w:rFonts w:asciiTheme="majorHAnsi" w:eastAsiaTheme="majorEastAsia" w:hAnsiTheme="majorHAnsi" w:cstheme="majorBidi"/>
      <w:iCs/>
      <w:color w:val="939598" w:themeColor="background2"/>
      <w:spacing w:val="15"/>
      <w:sz w:val="40"/>
      <w:szCs w:val="24"/>
    </w:rPr>
  </w:style>
  <w:style w:type="character" w:styleId="Emphasis">
    <w:name w:val="Emphasis"/>
    <w:basedOn w:val="DefaultParagraphFont"/>
    <w:uiPriority w:val="20"/>
    <w:qFormat/>
    <w:rsid w:val="00975726"/>
    <w:rPr>
      <w:i/>
      <w:iCs/>
    </w:rPr>
  </w:style>
  <w:style w:type="character" w:styleId="Strong">
    <w:name w:val="Strong"/>
    <w:basedOn w:val="DefaultParagraphFont"/>
    <w:uiPriority w:val="22"/>
    <w:qFormat/>
    <w:rsid w:val="00975726"/>
    <w:rPr>
      <w:b/>
      <w:bCs/>
    </w:rPr>
  </w:style>
  <w:style w:type="character" w:styleId="Hyperlink">
    <w:name w:val="Hyperlink"/>
    <w:basedOn w:val="DefaultParagraphFont"/>
    <w:uiPriority w:val="99"/>
    <w:unhideWhenUsed/>
    <w:rsid w:val="00822068"/>
    <w:rPr>
      <w:color w:val="005677" w:themeColor="hyperlink"/>
      <w:u w:val="single"/>
    </w:rPr>
  </w:style>
  <w:style w:type="character" w:customStyle="1" w:styleId="Heading3Char">
    <w:name w:val="Heading 3 Char"/>
    <w:basedOn w:val="DefaultParagraphFont"/>
    <w:link w:val="Heading3"/>
    <w:uiPriority w:val="9"/>
    <w:rsid w:val="00EA4131"/>
    <w:rPr>
      <w:rFonts w:asciiTheme="majorHAnsi" w:eastAsiaTheme="majorEastAsia" w:hAnsiTheme="majorHAnsi" w:cstheme="majorBidi"/>
      <w:b/>
      <w:bCs/>
      <w:color w:val="FFFFFF" w:themeColor="background1"/>
      <w:szCs w:val="24"/>
    </w:rPr>
  </w:style>
  <w:style w:type="character" w:customStyle="1" w:styleId="Heading4Char">
    <w:name w:val="Heading 4 Char"/>
    <w:basedOn w:val="DefaultParagraphFont"/>
    <w:link w:val="Heading4"/>
    <w:uiPriority w:val="9"/>
    <w:rsid w:val="0098655C"/>
    <w:rPr>
      <w:rFonts w:asciiTheme="majorHAnsi" w:eastAsiaTheme="majorEastAsia" w:hAnsiTheme="majorHAnsi" w:cstheme="majorBidi"/>
      <w:iCs/>
      <w:szCs w:val="24"/>
    </w:rPr>
  </w:style>
  <w:style w:type="character" w:customStyle="1" w:styleId="Heading5Char">
    <w:name w:val="Heading 5 Char"/>
    <w:basedOn w:val="DefaultParagraphFont"/>
    <w:link w:val="Heading5"/>
    <w:uiPriority w:val="9"/>
    <w:rsid w:val="00C81ADD"/>
    <w:rPr>
      <w:rFonts w:asciiTheme="majorHAnsi" w:eastAsiaTheme="majorEastAsia" w:hAnsiTheme="majorHAnsi" w:cstheme="majorBidi"/>
      <w:b/>
      <w:color w:val="002A3B" w:themeColor="accent1" w:themeShade="7F"/>
      <w:sz w:val="20"/>
    </w:rPr>
  </w:style>
  <w:style w:type="table" w:styleId="TableGrid">
    <w:name w:val="Table Grid"/>
    <w:basedOn w:val="TableNormal"/>
    <w:uiPriority w:val="59"/>
    <w:rsid w:val="0082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C81ADD"/>
    <w:pPr>
      <w:spacing w:after="0" w:line="240" w:lineRule="auto"/>
    </w:pPr>
    <w:tblPr>
      <w:tblStyleRowBandSize w:val="1"/>
      <w:tblStyleColBandSize w:val="1"/>
      <w:tblBorders>
        <w:top w:val="single" w:sz="8" w:space="0" w:color="005677" w:themeColor="accent1"/>
        <w:left w:val="single" w:sz="8" w:space="0" w:color="005677" w:themeColor="accent1"/>
        <w:bottom w:val="single" w:sz="8" w:space="0" w:color="005677" w:themeColor="accent1"/>
        <w:right w:val="single" w:sz="8" w:space="0" w:color="005677" w:themeColor="accent1"/>
      </w:tblBorders>
      <w:tblCellMar>
        <w:top w:w="57" w:type="dxa"/>
        <w:left w:w="57" w:type="dxa"/>
        <w:bottom w:w="57" w:type="dxa"/>
        <w:right w:w="57" w:type="dxa"/>
      </w:tblCellMar>
    </w:tblPr>
    <w:tblStylePr w:type="firstRow">
      <w:pPr>
        <w:spacing w:before="0" w:after="0" w:line="240" w:lineRule="auto"/>
      </w:pPr>
      <w:rPr>
        <w:b/>
        <w:bCs/>
        <w:color w:val="FFFFFF" w:themeColor="background1"/>
      </w:rPr>
      <w:tblPr/>
      <w:tcPr>
        <w:shd w:val="clear" w:color="auto" w:fill="005677" w:themeFill="accent1"/>
      </w:tcPr>
    </w:tblStylePr>
    <w:tblStylePr w:type="lastRow">
      <w:pPr>
        <w:spacing w:before="0" w:after="0" w:line="240" w:lineRule="auto"/>
      </w:pPr>
      <w:rPr>
        <w:rFonts w:ascii="Adobe Caslon Pro" w:hAnsi="Adobe Caslon Pro"/>
        <w:b w:val="0"/>
        <w:bCs/>
      </w:rPr>
      <w:tblPr/>
      <w:tcPr>
        <w:tcBorders>
          <w:top w:val="double" w:sz="6" w:space="0" w:color="005677" w:themeColor="accent1"/>
          <w:left w:val="single" w:sz="8" w:space="0" w:color="005677" w:themeColor="accent1"/>
          <w:bottom w:val="single" w:sz="8" w:space="0" w:color="005677" w:themeColor="accent1"/>
          <w:right w:val="single" w:sz="8" w:space="0" w:color="005677" w:themeColor="accent1"/>
        </w:tcBorders>
      </w:tcPr>
    </w:tblStylePr>
    <w:tblStylePr w:type="firstCol">
      <w:rPr>
        <w:b/>
        <w:bCs/>
      </w:rPr>
    </w:tblStylePr>
    <w:tblStylePr w:type="lastCol">
      <w:rPr>
        <w:b/>
        <w:bCs/>
      </w:rPr>
    </w:tblStylePr>
    <w:tblStylePr w:type="band1Vert">
      <w:tblPr/>
      <w:tcPr>
        <w:tcBorders>
          <w:top w:val="single" w:sz="8" w:space="0" w:color="005677" w:themeColor="accent1"/>
          <w:left w:val="single" w:sz="8" w:space="0" w:color="005677" w:themeColor="accent1"/>
          <w:bottom w:val="single" w:sz="8" w:space="0" w:color="005677" w:themeColor="accent1"/>
          <w:right w:val="single" w:sz="8" w:space="0" w:color="005677" w:themeColor="accent1"/>
        </w:tcBorders>
      </w:tcPr>
    </w:tblStylePr>
    <w:tblStylePr w:type="band1Horz">
      <w:tblPr/>
      <w:tcPr>
        <w:tcBorders>
          <w:top w:val="single" w:sz="8" w:space="0" w:color="005677" w:themeColor="accent1"/>
          <w:left w:val="single" w:sz="8" w:space="0" w:color="005677" w:themeColor="accent1"/>
          <w:bottom w:val="single" w:sz="8" w:space="0" w:color="005677" w:themeColor="accent1"/>
          <w:right w:val="single" w:sz="8" w:space="0" w:color="005677" w:themeColor="accent1"/>
        </w:tcBorders>
      </w:tcPr>
    </w:tblStylePr>
  </w:style>
  <w:style w:type="table" w:styleId="LightList-Accent2">
    <w:name w:val="Light List Accent 2"/>
    <w:basedOn w:val="TableNormal"/>
    <w:uiPriority w:val="61"/>
    <w:rsid w:val="00822068"/>
    <w:pPr>
      <w:spacing w:after="0" w:line="240" w:lineRule="auto"/>
    </w:pPr>
    <w:tblPr>
      <w:tblStyleRowBandSize w:val="1"/>
      <w:tblStyleColBandSize w:val="1"/>
      <w:tblBorders>
        <w:top w:val="single" w:sz="8" w:space="0" w:color="00283E" w:themeColor="accent2"/>
        <w:left w:val="single" w:sz="8" w:space="0" w:color="00283E" w:themeColor="accent2"/>
        <w:bottom w:val="single" w:sz="8" w:space="0" w:color="00283E" w:themeColor="accent2"/>
        <w:right w:val="single" w:sz="8" w:space="0" w:color="00283E" w:themeColor="accent2"/>
      </w:tblBorders>
    </w:tblPr>
    <w:tblStylePr w:type="firstRow">
      <w:pPr>
        <w:spacing w:before="0" w:after="0" w:line="240" w:lineRule="auto"/>
      </w:pPr>
      <w:rPr>
        <w:b/>
        <w:bCs/>
        <w:color w:val="FFFFFF" w:themeColor="background1"/>
      </w:rPr>
      <w:tblPr/>
      <w:tcPr>
        <w:shd w:val="clear" w:color="auto" w:fill="00283E" w:themeFill="accent2"/>
      </w:tcPr>
    </w:tblStylePr>
    <w:tblStylePr w:type="lastRow">
      <w:pPr>
        <w:spacing w:before="0" w:after="0" w:line="240" w:lineRule="auto"/>
      </w:pPr>
      <w:rPr>
        <w:b/>
        <w:bCs/>
      </w:rPr>
      <w:tblPr/>
      <w:tcPr>
        <w:tcBorders>
          <w:top w:val="double" w:sz="6" w:space="0" w:color="00283E" w:themeColor="accent2"/>
          <w:left w:val="single" w:sz="8" w:space="0" w:color="00283E" w:themeColor="accent2"/>
          <w:bottom w:val="single" w:sz="8" w:space="0" w:color="00283E" w:themeColor="accent2"/>
          <w:right w:val="single" w:sz="8" w:space="0" w:color="00283E" w:themeColor="accent2"/>
        </w:tcBorders>
      </w:tcPr>
    </w:tblStylePr>
    <w:tblStylePr w:type="firstCol">
      <w:rPr>
        <w:b/>
        <w:bCs/>
      </w:rPr>
    </w:tblStylePr>
    <w:tblStylePr w:type="lastCol">
      <w:rPr>
        <w:b/>
        <w:bCs/>
      </w:rPr>
    </w:tblStylePr>
    <w:tblStylePr w:type="band1Vert">
      <w:tblPr/>
      <w:tcPr>
        <w:tcBorders>
          <w:top w:val="single" w:sz="8" w:space="0" w:color="00283E" w:themeColor="accent2"/>
          <w:left w:val="single" w:sz="8" w:space="0" w:color="00283E" w:themeColor="accent2"/>
          <w:bottom w:val="single" w:sz="8" w:space="0" w:color="00283E" w:themeColor="accent2"/>
          <w:right w:val="single" w:sz="8" w:space="0" w:color="00283E" w:themeColor="accent2"/>
        </w:tcBorders>
      </w:tcPr>
    </w:tblStylePr>
    <w:tblStylePr w:type="band1Horz">
      <w:tblPr/>
      <w:tcPr>
        <w:tcBorders>
          <w:top w:val="single" w:sz="8" w:space="0" w:color="00283E" w:themeColor="accent2"/>
          <w:left w:val="single" w:sz="8" w:space="0" w:color="00283E" w:themeColor="accent2"/>
          <w:bottom w:val="single" w:sz="8" w:space="0" w:color="00283E" w:themeColor="accent2"/>
          <w:right w:val="single" w:sz="8" w:space="0" w:color="00283E" w:themeColor="accent2"/>
        </w:tcBorders>
      </w:tcPr>
    </w:tblStylePr>
  </w:style>
  <w:style w:type="table" w:styleId="LightList-Accent3">
    <w:name w:val="Light List Accent 3"/>
    <w:basedOn w:val="TableNormal"/>
    <w:uiPriority w:val="61"/>
    <w:rsid w:val="00822068"/>
    <w:pPr>
      <w:spacing w:after="0" w:line="240" w:lineRule="auto"/>
    </w:pPr>
    <w:tblPr>
      <w:tblStyleRowBandSize w:val="1"/>
      <w:tblStyleColBandSize w:val="1"/>
      <w:tblBorders>
        <w:top w:val="single" w:sz="8" w:space="0" w:color="1B9590" w:themeColor="accent3"/>
        <w:left w:val="single" w:sz="8" w:space="0" w:color="1B9590" w:themeColor="accent3"/>
        <w:bottom w:val="single" w:sz="8" w:space="0" w:color="1B9590" w:themeColor="accent3"/>
        <w:right w:val="single" w:sz="8" w:space="0" w:color="1B9590" w:themeColor="accent3"/>
      </w:tblBorders>
    </w:tblPr>
    <w:tblStylePr w:type="firstRow">
      <w:pPr>
        <w:spacing w:before="0" w:after="0" w:line="240" w:lineRule="auto"/>
      </w:pPr>
      <w:rPr>
        <w:b/>
        <w:bCs/>
        <w:color w:val="FFFFFF" w:themeColor="background1"/>
      </w:rPr>
      <w:tblPr/>
      <w:tcPr>
        <w:shd w:val="clear" w:color="auto" w:fill="1B9590" w:themeFill="accent3"/>
      </w:tcPr>
    </w:tblStylePr>
    <w:tblStylePr w:type="lastRow">
      <w:pPr>
        <w:spacing w:before="0" w:after="0" w:line="240" w:lineRule="auto"/>
      </w:pPr>
      <w:rPr>
        <w:b/>
        <w:bCs/>
      </w:rPr>
      <w:tblPr/>
      <w:tcPr>
        <w:tcBorders>
          <w:top w:val="double" w:sz="6" w:space="0" w:color="1B9590" w:themeColor="accent3"/>
          <w:left w:val="single" w:sz="8" w:space="0" w:color="1B9590" w:themeColor="accent3"/>
          <w:bottom w:val="single" w:sz="8" w:space="0" w:color="1B9590" w:themeColor="accent3"/>
          <w:right w:val="single" w:sz="8" w:space="0" w:color="1B9590" w:themeColor="accent3"/>
        </w:tcBorders>
      </w:tcPr>
    </w:tblStylePr>
    <w:tblStylePr w:type="firstCol">
      <w:rPr>
        <w:b/>
        <w:bCs/>
      </w:rPr>
    </w:tblStylePr>
    <w:tblStylePr w:type="lastCol">
      <w:rPr>
        <w:b/>
        <w:bCs/>
      </w:rPr>
    </w:tblStylePr>
    <w:tblStylePr w:type="band1Vert">
      <w:tblPr/>
      <w:tcPr>
        <w:tcBorders>
          <w:top w:val="single" w:sz="8" w:space="0" w:color="1B9590" w:themeColor="accent3"/>
          <w:left w:val="single" w:sz="8" w:space="0" w:color="1B9590" w:themeColor="accent3"/>
          <w:bottom w:val="single" w:sz="8" w:space="0" w:color="1B9590" w:themeColor="accent3"/>
          <w:right w:val="single" w:sz="8" w:space="0" w:color="1B9590" w:themeColor="accent3"/>
        </w:tcBorders>
      </w:tcPr>
    </w:tblStylePr>
    <w:tblStylePr w:type="band1Horz">
      <w:tblPr/>
      <w:tcPr>
        <w:tcBorders>
          <w:top w:val="single" w:sz="8" w:space="0" w:color="1B9590" w:themeColor="accent3"/>
          <w:left w:val="single" w:sz="8" w:space="0" w:color="1B9590" w:themeColor="accent3"/>
          <w:bottom w:val="single" w:sz="8" w:space="0" w:color="1B9590" w:themeColor="accent3"/>
          <w:right w:val="single" w:sz="8" w:space="0" w:color="1B9590" w:themeColor="accent3"/>
        </w:tcBorders>
      </w:tcPr>
    </w:tblStylePr>
  </w:style>
  <w:style w:type="table" w:styleId="LightList-Accent4">
    <w:name w:val="Light List Accent 4"/>
    <w:basedOn w:val="TableNormal"/>
    <w:uiPriority w:val="61"/>
    <w:rsid w:val="00822068"/>
    <w:pPr>
      <w:spacing w:after="0" w:line="240" w:lineRule="auto"/>
    </w:pPr>
    <w:tblPr>
      <w:tblStyleRowBandSize w:val="1"/>
      <w:tblStyleColBandSize w:val="1"/>
      <w:tblBorders>
        <w:top w:val="single" w:sz="8" w:space="0" w:color="61C6C6" w:themeColor="accent4"/>
        <w:left w:val="single" w:sz="8" w:space="0" w:color="61C6C6" w:themeColor="accent4"/>
        <w:bottom w:val="single" w:sz="8" w:space="0" w:color="61C6C6" w:themeColor="accent4"/>
        <w:right w:val="single" w:sz="8" w:space="0" w:color="61C6C6" w:themeColor="accent4"/>
      </w:tblBorders>
    </w:tblPr>
    <w:tblStylePr w:type="firstRow">
      <w:pPr>
        <w:spacing w:before="0" w:after="0" w:line="240" w:lineRule="auto"/>
      </w:pPr>
      <w:rPr>
        <w:b/>
        <w:bCs/>
        <w:color w:val="FFFFFF" w:themeColor="background1"/>
      </w:rPr>
      <w:tblPr/>
      <w:tcPr>
        <w:shd w:val="clear" w:color="auto" w:fill="61C6C6" w:themeFill="accent4"/>
      </w:tcPr>
    </w:tblStylePr>
    <w:tblStylePr w:type="lastRow">
      <w:pPr>
        <w:spacing w:before="0" w:after="0" w:line="240" w:lineRule="auto"/>
      </w:pPr>
      <w:rPr>
        <w:b/>
        <w:bCs/>
      </w:rPr>
      <w:tblPr/>
      <w:tcPr>
        <w:tcBorders>
          <w:top w:val="double" w:sz="6" w:space="0" w:color="61C6C6" w:themeColor="accent4"/>
          <w:left w:val="single" w:sz="8" w:space="0" w:color="61C6C6" w:themeColor="accent4"/>
          <w:bottom w:val="single" w:sz="8" w:space="0" w:color="61C6C6" w:themeColor="accent4"/>
          <w:right w:val="single" w:sz="8" w:space="0" w:color="61C6C6" w:themeColor="accent4"/>
        </w:tcBorders>
      </w:tcPr>
    </w:tblStylePr>
    <w:tblStylePr w:type="firstCol">
      <w:rPr>
        <w:b/>
        <w:bCs/>
      </w:rPr>
    </w:tblStylePr>
    <w:tblStylePr w:type="lastCol">
      <w:rPr>
        <w:b/>
        <w:bCs/>
      </w:rPr>
    </w:tblStylePr>
    <w:tblStylePr w:type="band1Vert">
      <w:tblPr/>
      <w:tcPr>
        <w:tcBorders>
          <w:top w:val="single" w:sz="8" w:space="0" w:color="61C6C6" w:themeColor="accent4"/>
          <w:left w:val="single" w:sz="8" w:space="0" w:color="61C6C6" w:themeColor="accent4"/>
          <w:bottom w:val="single" w:sz="8" w:space="0" w:color="61C6C6" w:themeColor="accent4"/>
          <w:right w:val="single" w:sz="8" w:space="0" w:color="61C6C6" w:themeColor="accent4"/>
        </w:tcBorders>
      </w:tcPr>
    </w:tblStylePr>
    <w:tblStylePr w:type="band1Horz">
      <w:tblPr/>
      <w:tcPr>
        <w:tcBorders>
          <w:top w:val="single" w:sz="8" w:space="0" w:color="61C6C6" w:themeColor="accent4"/>
          <w:left w:val="single" w:sz="8" w:space="0" w:color="61C6C6" w:themeColor="accent4"/>
          <w:bottom w:val="single" w:sz="8" w:space="0" w:color="61C6C6" w:themeColor="accent4"/>
          <w:right w:val="single" w:sz="8" w:space="0" w:color="61C6C6" w:themeColor="accent4"/>
        </w:tcBorders>
      </w:tcPr>
    </w:tblStylePr>
  </w:style>
  <w:style w:type="table" w:customStyle="1" w:styleId="Style1">
    <w:name w:val="Style1"/>
    <w:basedOn w:val="TableNormal"/>
    <w:uiPriority w:val="99"/>
    <w:rsid w:val="00DA0F02"/>
    <w:pPr>
      <w:spacing w:after="0" w:line="240" w:lineRule="auto"/>
    </w:pPr>
    <w:rPr>
      <w:rFonts w:ascii="Arial" w:hAnsi="Arial"/>
      <w:color w:val="000000" w:themeColor="text1"/>
      <w:sz w:val="24"/>
    </w:rPr>
    <w:tblPr>
      <w:tblBorders>
        <w:bottom w:val="single" w:sz="2" w:space="0" w:color="005677" w:themeColor="accent1"/>
        <w:insideH w:val="single" w:sz="2" w:space="0" w:color="005677" w:themeColor="accent1"/>
      </w:tblBorders>
    </w:tblPr>
    <w:tcPr>
      <w:shd w:val="clear" w:color="auto" w:fill="auto"/>
      <w:vAlign w:val="center"/>
    </w:tcPr>
    <w:tblStylePr w:type="firstRow">
      <w:pPr>
        <w:jc w:val="left"/>
      </w:pPr>
      <w:rPr>
        <w:rFonts w:ascii="Arial" w:hAnsi="Arial"/>
        <w:b/>
        <w:color w:val="FFFFFF" w:themeColor="background1"/>
        <w:sz w:val="28"/>
      </w:rPr>
      <w:tblPr/>
      <w:tcPr>
        <w:shd w:val="clear" w:color="auto" w:fill="005677" w:themeFill="accent1"/>
      </w:tcPr>
    </w:tblStylePr>
    <w:tblStylePr w:type="lastRow">
      <w:pPr>
        <w:jc w:val="left"/>
      </w:pPr>
      <w:rPr>
        <w:rFonts w:ascii="Arial" w:hAnsi="Arial"/>
        <w:b/>
      </w:rPr>
    </w:tblStylePr>
    <w:tblStylePr w:type="firstCol">
      <w:rPr>
        <w:b/>
      </w:rPr>
    </w:tblStylePr>
  </w:style>
  <w:style w:type="paragraph" w:styleId="TOCHeading">
    <w:name w:val="TOC Heading"/>
    <w:basedOn w:val="Heading1"/>
    <w:next w:val="Normal"/>
    <w:uiPriority w:val="39"/>
    <w:unhideWhenUsed/>
    <w:qFormat/>
    <w:rsid w:val="00CB2680"/>
    <w:pPr>
      <w:spacing w:before="0" w:after="240"/>
      <w:outlineLvl w:val="9"/>
    </w:pPr>
    <w:rPr>
      <w:lang w:val="en-US" w:eastAsia="ja-JP"/>
    </w:rPr>
  </w:style>
  <w:style w:type="paragraph" w:styleId="TOC1">
    <w:name w:val="toc 1"/>
    <w:basedOn w:val="Normal"/>
    <w:next w:val="Normal"/>
    <w:autoRedefine/>
    <w:uiPriority w:val="39"/>
    <w:unhideWhenUsed/>
    <w:qFormat/>
    <w:rsid w:val="00163B54"/>
    <w:pPr>
      <w:spacing w:after="100"/>
    </w:pPr>
    <w:rPr>
      <w:sz w:val="24"/>
    </w:rPr>
  </w:style>
  <w:style w:type="paragraph" w:styleId="TOC2">
    <w:name w:val="toc 2"/>
    <w:basedOn w:val="Normal"/>
    <w:next w:val="Normal"/>
    <w:autoRedefine/>
    <w:uiPriority w:val="39"/>
    <w:unhideWhenUsed/>
    <w:qFormat/>
    <w:rsid w:val="00DC7B51"/>
    <w:pPr>
      <w:tabs>
        <w:tab w:val="left" w:pos="567"/>
        <w:tab w:val="right" w:leader="dot" w:pos="8896"/>
        <w:tab w:val="left" w:pos="9498"/>
      </w:tabs>
      <w:spacing w:after="100"/>
      <w:ind w:left="200"/>
    </w:pPr>
    <w:rPr>
      <w:color w:val="58595B" w:themeColor="text2"/>
    </w:rPr>
  </w:style>
  <w:style w:type="paragraph" w:styleId="TOC3">
    <w:name w:val="toc 3"/>
    <w:basedOn w:val="Normal"/>
    <w:next w:val="Normal"/>
    <w:autoRedefine/>
    <w:uiPriority w:val="39"/>
    <w:unhideWhenUsed/>
    <w:qFormat/>
    <w:rsid w:val="002E14EA"/>
    <w:pPr>
      <w:spacing w:after="100"/>
      <w:ind w:left="400"/>
    </w:pPr>
  </w:style>
  <w:style w:type="paragraph" w:styleId="BalloonText">
    <w:name w:val="Balloon Text"/>
    <w:basedOn w:val="Normal"/>
    <w:link w:val="BalloonTextChar"/>
    <w:uiPriority w:val="99"/>
    <w:semiHidden/>
    <w:unhideWhenUsed/>
    <w:rsid w:val="002E1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4EA"/>
    <w:rPr>
      <w:rFonts w:ascii="Tahoma" w:hAnsi="Tahoma" w:cs="Tahoma"/>
      <w:sz w:val="16"/>
      <w:szCs w:val="16"/>
    </w:rPr>
  </w:style>
  <w:style w:type="paragraph" w:styleId="ListBullet">
    <w:name w:val="List Bullet"/>
    <w:basedOn w:val="Normal"/>
    <w:uiPriority w:val="99"/>
    <w:unhideWhenUsed/>
    <w:rsid w:val="009D7BB6"/>
    <w:pPr>
      <w:numPr>
        <w:numId w:val="1"/>
      </w:numPr>
      <w:ind w:left="284" w:hanging="284"/>
      <w:contextualSpacing/>
    </w:pPr>
  </w:style>
  <w:style w:type="paragraph" w:styleId="ListBullet2">
    <w:name w:val="List Bullet 2"/>
    <w:basedOn w:val="Normal"/>
    <w:uiPriority w:val="99"/>
    <w:unhideWhenUsed/>
    <w:rsid w:val="002F65AF"/>
    <w:pPr>
      <w:numPr>
        <w:numId w:val="2"/>
      </w:numPr>
      <w:contextualSpacing/>
    </w:pPr>
  </w:style>
  <w:style w:type="paragraph" w:styleId="Quote">
    <w:name w:val="Quote"/>
    <w:basedOn w:val="Normal"/>
    <w:next w:val="Normal"/>
    <w:link w:val="QuoteChar"/>
    <w:uiPriority w:val="29"/>
    <w:qFormat/>
    <w:rsid w:val="009D7BB6"/>
    <w:pPr>
      <w:pBdr>
        <w:top w:val="single" w:sz="4" w:space="1" w:color="1B9590" w:themeColor="accent3"/>
        <w:bottom w:val="single" w:sz="4" w:space="1" w:color="1B9590" w:themeColor="accent3"/>
      </w:pBdr>
      <w:spacing w:before="240" w:after="240"/>
    </w:pPr>
    <w:rPr>
      <w:i/>
      <w:iCs/>
      <w:color w:val="005677" w:themeColor="accent1"/>
      <w:sz w:val="24"/>
    </w:rPr>
  </w:style>
  <w:style w:type="character" w:customStyle="1" w:styleId="QuoteChar">
    <w:name w:val="Quote Char"/>
    <w:basedOn w:val="DefaultParagraphFont"/>
    <w:link w:val="Quote"/>
    <w:uiPriority w:val="29"/>
    <w:rsid w:val="009D7BB6"/>
    <w:rPr>
      <w:i/>
      <w:iCs/>
      <w:color w:val="005677" w:themeColor="accent1"/>
      <w:sz w:val="24"/>
    </w:rPr>
  </w:style>
  <w:style w:type="character" w:styleId="SubtleEmphasis">
    <w:name w:val="Subtle Emphasis"/>
    <w:basedOn w:val="DefaultParagraphFont"/>
    <w:uiPriority w:val="19"/>
    <w:rsid w:val="005D0228"/>
    <w:rPr>
      <w:i/>
      <w:iCs/>
      <w:color w:val="808080" w:themeColor="text1" w:themeTint="7F"/>
      <w:sz w:val="28"/>
    </w:rPr>
  </w:style>
  <w:style w:type="character" w:styleId="IntenseEmphasis">
    <w:name w:val="Intense Emphasis"/>
    <w:basedOn w:val="DefaultParagraphFont"/>
    <w:uiPriority w:val="21"/>
    <w:qFormat/>
    <w:rsid w:val="005D0228"/>
    <w:rPr>
      <w:b/>
      <w:bCs/>
      <w:i/>
      <w:iCs/>
      <w:color w:val="005677" w:themeColor="accent1"/>
    </w:rPr>
  </w:style>
  <w:style w:type="paragraph" w:styleId="Caption">
    <w:name w:val="caption"/>
    <w:basedOn w:val="Normal"/>
    <w:next w:val="Normal"/>
    <w:uiPriority w:val="35"/>
    <w:unhideWhenUsed/>
    <w:qFormat/>
    <w:rsid w:val="00B526AB"/>
    <w:pPr>
      <w:spacing w:after="360" w:line="240" w:lineRule="auto"/>
    </w:pPr>
    <w:rPr>
      <w:bCs/>
      <w:color w:val="005677" w:themeColor="accent1"/>
      <w:sz w:val="18"/>
      <w:szCs w:val="18"/>
    </w:rPr>
  </w:style>
  <w:style w:type="character" w:customStyle="1" w:styleId="Tabletitle">
    <w:name w:val="Table title"/>
    <w:basedOn w:val="DefaultParagraphFont"/>
    <w:uiPriority w:val="1"/>
    <w:qFormat/>
    <w:rsid w:val="00D87BC8"/>
    <w:rPr>
      <w:b/>
      <w:color w:val="005677" w:themeColor="accent1"/>
    </w:rPr>
  </w:style>
  <w:style w:type="character" w:customStyle="1" w:styleId="Figuretitle">
    <w:name w:val="Figure title"/>
    <w:basedOn w:val="Tabletitle"/>
    <w:uiPriority w:val="1"/>
    <w:qFormat/>
    <w:rsid w:val="00D87BC8"/>
    <w:rPr>
      <w:b/>
      <w:color w:val="005677" w:themeColor="accent1"/>
    </w:rPr>
  </w:style>
  <w:style w:type="paragraph" w:customStyle="1" w:styleId="Credit">
    <w:name w:val="Credit"/>
    <w:basedOn w:val="Caption"/>
    <w:qFormat/>
    <w:rsid w:val="00A51E16"/>
    <w:rPr>
      <w:color w:val="58595B" w:themeColor="text2"/>
    </w:rPr>
  </w:style>
  <w:style w:type="paragraph" w:styleId="EndnoteText">
    <w:name w:val="endnote text"/>
    <w:basedOn w:val="Normal"/>
    <w:link w:val="EndnoteTextChar"/>
    <w:uiPriority w:val="99"/>
    <w:semiHidden/>
    <w:unhideWhenUsed/>
    <w:rsid w:val="00B526AB"/>
    <w:pPr>
      <w:spacing w:after="0" w:line="240" w:lineRule="auto"/>
    </w:pPr>
    <w:rPr>
      <w:szCs w:val="20"/>
    </w:rPr>
  </w:style>
  <w:style w:type="character" w:customStyle="1" w:styleId="EndnoteTextChar">
    <w:name w:val="Endnote Text Char"/>
    <w:basedOn w:val="DefaultParagraphFont"/>
    <w:link w:val="EndnoteText"/>
    <w:uiPriority w:val="99"/>
    <w:semiHidden/>
    <w:rsid w:val="00B526AB"/>
    <w:rPr>
      <w:sz w:val="20"/>
      <w:szCs w:val="20"/>
    </w:rPr>
  </w:style>
  <w:style w:type="character" w:styleId="EndnoteReference">
    <w:name w:val="endnote reference"/>
    <w:basedOn w:val="DefaultParagraphFont"/>
    <w:uiPriority w:val="99"/>
    <w:semiHidden/>
    <w:unhideWhenUsed/>
    <w:rsid w:val="00B526AB"/>
    <w:rPr>
      <w:vertAlign w:val="superscript"/>
    </w:rPr>
  </w:style>
  <w:style w:type="paragraph" w:styleId="FootnoteText">
    <w:name w:val="footnote text"/>
    <w:basedOn w:val="Normal"/>
    <w:link w:val="FootnoteTextChar"/>
    <w:uiPriority w:val="99"/>
    <w:unhideWhenUsed/>
    <w:rsid w:val="00B526AB"/>
    <w:pPr>
      <w:spacing w:after="60" w:line="240" w:lineRule="auto"/>
    </w:pPr>
    <w:rPr>
      <w:sz w:val="16"/>
      <w:szCs w:val="20"/>
    </w:rPr>
  </w:style>
  <w:style w:type="character" w:customStyle="1" w:styleId="FootnoteTextChar">
    <w:name w:val="Footnote Text Char"/>
    <w:basedOn w:val="DefaultParagraphFont"/>
    <w:link w:val="FootnoteText"/>
    <w:uiPriority w:val="99"/>
    <w:rsid w:val="00B526AB"/>
    <w:rPr>
      <w:sz w:val="16"/>
      <w:szCs w:val="20"/>
    </w:rPr>
  </w:style>
  <w:style w:type="character" w:styleId="FootnoteReference">
    <w:name w:val="footnote reference"/>
    <w:basedOn w:val="DefaultParagraphFont"/>
    <w:uiPriority w:val="99"/>
    <w:semiHidden/>
    <w:unhideWhenUsed/>
    <w:rsid w:val="00B526AB"/>
    <w:rPr>
      <w:vertAlign w:val="superscript"/>
    </w:rPr>
  </w:style>
  <w:style w:type="paragraph" w:customStyle="1" w:styleId="Casestudy">
    <w:name w:val="Case study"/>
    <w:basedOn w:val="Normal"/>
    <w:qFormat/>
    <w:rsid w:val="00244596"/>
    <w:pPr>
      <w:pBdr>
        <w:top w:val="single" w:sz="4" w:space="4" w:color="00283E" w:themeColor="accent2"/>
        <w:left w:val="single" w:sz="4" w:space="4" w:color="00283E" w:themeColor="accent2"/>
        <w:bottom w:val="single" w:sz="4" w:space="4" w:color="00283E" w:themeColor="accent2"/>
        <w:right w:val="single" w:sz="4" w:space="4" w:color="00283E" w:themeColor="accent2"/>
      </w:pBdr>
      <w:shd w:val="clear" w:color="auto" w:fill="D1EEFF" w:themeFill="accent2" w:themeFillTint="1A"/>
      <w:ind w:left="113" w:right="113"/>
    </w:pPr>
  </w:style>
  <w:style w:type="paragraph" w:customStyle="1" w:styleId="Casestudytitle">
    <w:name w:val="Case study title"/>
    <w:basedOn w:val="Casestudy"/>
    <w:qFormat/>
    <w:rsid w:val="002D3954"/>
    <w:pPr>
      <w:spacing w:before="360"/>
    </w:pPr>
    <w:rPr>
      <w:color w:val="00283E" w:themeColor="accent2"/>
      <w:sz w:val="28"/>
    </w:rPr>
  </w:style>
  <w:style w:type="paragraph" w:customStyle="1" w:styleId="Casestudysource">
    <w:name w:val="Case study source"/>
    <w:basedOn w:val="Casestudy"/>
    <w:qFormat/>
    <w:rsid w:val="00F25F29"/>
    <w:pPr>
      <w:spacing w:before="240" w:after="480"/>
    </w:pPr>
    <w:rPr>
      <w:color w:val="00283E" w:themeColor="accent2"/>
      <w:sz w:val="16"/>
    </w:rPr>
  </w:style>
  <w:style w:type="paragraph" w:styleId="Header">
    <w:name w:val="header"/>
    <w:basedOn w:val="Normal"/>
    <w:link w:val="HeaderChar"/>
    <w:uiPriority w:val="99"/>
    <w:unhideWhenUsed/>
    <w:rsid w:val="00991F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91FDD"/>
    <w:rPr>
      <w:sz w:val="20"/>
    </w:rPr>
  </w:style>
  <w:style w:type="paragraph" w:styleId="Footer">
    <w:name w:val="footer"/>
    <w:basedOn w:val="Normal"/>
    <w:link w:val="FooterChar"/>
    <w:uiPriority w:val="99"/>
    <w:unhideWhenUsed/>
    <w:rsid w:val="00991F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91FDD"/>
    <w:rPr>
      <w:sz w:val="20"/>
    </w:rPr>
  </w:style>
  <w:style w:type="character" w:styleId="PageNumber">
    <w:name w:val="page number"/>
    <w:basedOn w:val="DefaultParagraphFont"/>
    <w:uiPriority w:val="99"/>
    <w:semiHidden/>
    <w:unhideWhenUsed/>
    <w:rsid w:val="0031658C"/>
  </w:style>
  <w:style w:type="character" w:customStyle="1" w:styleId="Heading6Char">
    <w:name w:val="Heading 6 Char"/>
    <w:basedOn w:val="DefaultParagraphFont"/>
    <w:link w:val="Heading6"/>
    <w:uiPriority w:val="9"/>
    <w:rsid w:val="00C81ADD"/>
    <w:rPr>
      <w:rFonts w:asciiTheme="majorHAnsi" w:eastAsiaTheme="majorEastAsia" w:hAnsiTheme="majorHAnsi" w:cstheme="majorBidi"/>
      <w:b/>
      <w:i/>
      <w:iCs/>
      <w:color w:val="002A3B" w:themeColor="accent1" w:themeShade="7F"/>
      <w:sz w:val="20"/>
    </w:rPr>
  </w:style>
  <w:style w:type="character" w:customStyle="1" w:styleId="Heading7Char">
    <w:name w:val="Heading 7 Char"/>
    <w:basedOn w:val="DefaultParagraphFont"/>
    <w:link w:val="Heading7"/>
    <w:uiPriority w:val="9"/>
    <w:rsid w:val="00C81ADD"/>
    <w:rPr>
      <w:rFonts w:asciiTheme="majorHAnsi" w:eastAsiaTheme="majorEastAsia" w:hAnsiTheme="majorHAnsi" w:cstheme="majorBidi"/>
      <w:i/>
      <w:iCs/>
      <w:color w:val="404040" w:themeColor="text1" w:themeTint="BF"/>
      <w:sz w:val="20"/>
    </w:rPr>
  </w:style>
  <w:style w:type="paragraph" w:styleId="TOC4">
    <w:name w:val="toc 4"/>
    <w:basedOn w:val="Normal"/>
    <w:next w:val="Normal"/>
    <w:autoRedefine/>
    <w:uiPriority w:val="39"/>
    <w:unhideWhenUsed/>
    <w:rsid w:val="00B37916"/>
    <w:pPr>
      <w:ind w:left="600"/>
    </w:pPr>
  </w:style>
  <w:style w:type="paragraph" w:styleId="TOC5">
    <w:name w:val="toc 5"/>
    <w:basedOn w:val="Normal"/>
    <w:next w:val="Normal"/>
    <w:autoRedefine/>
    <w:uiPriority w:val="39"/>
    <w:unhideWhenUsed/>
    <w:rsid w:val="00B37916"/>
    <w:pPr>
      <w:ind w:left="800"/>
    </w:pPr>
  </w:style>
  <w:style w:type="paragraph" w:styleId="TOC6">
    <w:name w:val="toc 6"/>
    <w:basedOn w:val="Normal"/>
    <w:next w:val="Normal"/>
    <w:autoRedefine/>
    <w:uiPriority w:val="39"/>
    <w:unhideWhenUsed/>
    <w:rsid w:val="00B37916"/>
    <w:pPr>
      <w:ind w:left="1000"/>
    </w:pPr>
  </w:style>
  <w:style w:type="paragraph" w:styleId="TOC7">
    <w:name w:val="toc 7"/>
    <w:basedOn w:val="Normal"/>
    <w:next w:val="Normal"/>
    <w:autoRedefine/>
    <w:uiPriority w:val="39"/>
    <w:unhideWhenUsed/>
    <w:rsid w:val="00B37916"/>
    <w:pPr>
      <w:ind w:left="1200"/>
    </w:pPr>
  </w:style>
  <w:style w:type="paragraph" w:styleId="TOC8">
    <w:name w:val="toc 8"/>
    <w:basedOn w:val="Normal"/>
    <w:next w:val="Normal"/>
    <w:autoRedefine/>
    <w:uiPriority w:val="39"/>
    <w:unhideWhenUsed/>
    <w:rsid w:val="00B37916"/>
    <w:pPr>
      <w:ind w:left="1400"/>
    </w:pPr>
  </w:style>
  <w:style w:type="paragraph" w:styleId="TOC9">
    <w:name w:val="toc 9"/>
    <w:basedOn w:val="Normal"/>
    <w:next w:val="Normal"/>
    <w:autoRedefine/>
    <w:uiPriority w:val="39"/>
    <w:unhideWhenUsed/>
    <w:rsid w:val="00B37916"/>
    <w:pPr>
      <w:ind w:left="1600"/>
    </w:pPr>
  </w:style>
  <w:style w:type="paragraph" w:styleId="ListParagraph">
    <w:name w:val="List Paragraph"/>
    <w:basedOn w:val="Normal"/>
    <w:uiPriority w:val="34"/>
    <w:qFormat/>
    <w:rsid w:val="006B57F5"/>
    <w:pPr>
      <w:spacing w:after="200"/>
      <w:ind w:left="720"/>
      <w:contextualSpacing/>
    </w:pPr>
    <w:rPr>
      <w:sz w:val="22"/>
    </w:rPr>
  </w:style>
  <w:style w:type="character" w:styleId="CommentReference">
    <w:name w:val="annotation reference"/>
    <w:basedOn w:val="DefaultParagraphFont"/>
    <w:uiPriority w:val="99"/>
    <w:semiHidden/>
    <w:unhideWhenUsed/>
    <w:rsid w:val="001B37D0"/>
    <w:rPr>
      <w:sz w:val="18"/>
      <w:szCs w:val="18"/>
    </w:rPr>
  </w:style>
  <w:style w:type="character" w:customStyle="1" w:styleId="Heading8Char">
    <w:name w:val="Heading 8 Char"/>
    <w:basedOn w:val="DefaultParagraphFont"/>
    <w:link w:val="Heading8"/>
    <w:uiPriority w:val="9"/>
    <w:semiHidden/>
    <w:rsid w:val="00C81AD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1ADD"/>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uiPriority w:val="99"/>
    <w:unhideWhenUsed/>
    <w:rsid w:val="001B37D0"/>
    <w:pPr>
      <w:spacing w:line="240" w:lineRule="auto"/>
    </w:pPr>
    <w:rPr>
      <w:sz w:val="24"/>
      <w:szCs w:val="24"/>
    </w:rPr>
  </w:style>
  <w:style w:type="character" w:customStyle="1" w:styleId="CommentTextChar">
    <w:name w:val="Comment Text Char"/>
    <w:basedOn w:val="DefaultParagraphFont"/>
    <w:link w:val="CommentText"/>
    <w:uiPriority w:val="99"/>
    <w:rsid w:val="001B37D0"/>
    <w:rPr>
      <w:sz w:val="24"/>
      <w:szCs w:val="24"/>
    </w:rPr>
  </w:style>
  <w:style w:type="paragraph" w:styleId="CommentSubject">
    <w:name w:val="annotation subject"/>
    <w:basedOn w:val="CommentText"/>
    <w:next w:val="CommentText"/>
    <w:link w:val="CommentSubjectChar"/>
    <w:uiPriority w:val="99"/>
    <w:semiHidden/>
    <w:unhideWhenUsed/>
    <w:rsid w:val="001B37D0"/>
    <w:rPr>
      <w:b/>
      <w:bCs/>
      <w:sz w:val="20"/>
      <w:szCs w:val="20"/>
    </w:rPr>
  </w:style>
  <w:style w:type="character" w:customStyle="1" w:styleId="CommentSubjectChar">
    <w:name w:val="Comment Subject Char"/>
    <w:basedOn w:val="CommentTextChar"/>
    <w:link w:val="CommentSubject"/>
    <w:uiPriority w:val="99"/>
    <w:semiHidden/>
    <w:rsid w:val="001B37D0"/>
    <w:rPr>
      <w:b/>
      <w:bCs/>
      <w:sz w:val="20"/>
      <w:szCs w:val="20"/>
    </w:rPr>
  </w:style>
  <w:style w:type="character" w:styleId="FollowedHyperlink">
    <w:name w:val="FollowedHyperlink"/>
    <w:basedOn w:val="DefaultParagraphFont"/>
    <w:uiPriority w:val="99"/>
    <w:semiHidden/>
    <w:unhideWhenUsed/>
    <w:rsid w:val="00A5579C"/>
    <w:rPr>
      <w:color w:val="C973AF" w:themeColor="followedHyperlink"/>
      <w:u w:val="single"/>
    </w:rPr>
  </w:style>
  <w:style w:type="paragraph" w:styleId="PlainText">
    <w:name w:val="Plain Text"/>
    <w:basedOn w:val="Normal"/>
    <w:link w:val="PlainTextChar"/>
    <w:uiPriority w:val="99"/>
    <w:semiHidden/>
    <w:unhideWhenUsed/>
    <w:rsid w:val="006261B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6261BA"/>
    <w:rPr>
      <w:rFonts w:ascii="Calibri" w:hAnsi="Calibri"/>
      <w:szCs w:val="21"/>
    </w:rPr>
  </w:style>
  <w:style w:type="paragraph" w:styleId="Revision">
    <w:name w:val="Revision"/>
    <w:hidden/>
    <w:uiPriority w:val="99"/>
    <w:semiHidden/>
    <w:rsid w:val="00BF39B2"/>
    <w:pPr>
      <w:spacing w:after="0" w:line="240" w:lineRule="auto"/>
    </w:pPr>
    <w:rPr>
      <w:sz w:val="20"/>
    </w:rPr>
  </w:style>
  <w:style w:type="paragraph" w:customStyle="1" w:styleId="Bullet">
    <w:name w:val="Bullet"/>
    <w:basedOn w:val="Normal"/>
    <w:qFormat/>
    <w:rsid w:val="00BF72D3"/>
    <w:pPr>
      <w:numPr>
        <w:numId w:val="25"/>
      </w:numPr>
      <w:spacing w:line="240" w:lineRule="auto"/>
    </w:pPr>
    <w:rPr>
      <w:rFonts w:eastAsia="Times New Roman" w:cs="Times New Roman"/>
      <w:sz w:val="24"/>
      <w:szCs w:val="20"/>
    </w:rPr>
  </w:style>
  <w:style w:type="paragraph" w:customStyle="1" w:styleId="BulletIntro">
    <w:name w:val="BulletIntro"/>
    <w:basedOn w:val="Normal"/>
    <w:next w:val="Bullet"/>
    <w:qFormat/>
    <w:rsid w:val="00BF72D3"/>
    <w:pPr>
      <w:keepNext/>
      <w:spacing w:line="240" w:lineRule="auto"/>
    </w:pPr>
    <w:rPr>
      <w:rFonts w:eastAsia="Times New Roman" w:cs="Times New Roman"/>
      <w:sz w:val="24"/>
      <w:szCs w:val="20"/>
    </w:rPr>
  </w:style>
  <w:style w:type="paragraph" w:customStyle="1" w:styleId="BulletLast">
    <w:name w:val="BulletLast"/>
    <w:basedOn w:val="Bullet"/>
    <w:qFormat/>
    <w:rsid w:val="00BF72D3"/>
    <w:pPr>
      <w:numPr>
        <w:numId w:val="26"/>
      </w:numPr>
      <w:spacing w:after="240"/>
    </w:pPr>
  </w:style>
  <w:style w:type="paragraph" w:styleId="NormalWeb">
    <w:name w:val="Normal (Web)"/>
    <w:basedOn w:val="Normal"/>
    <w:uiPriority w:val="99"/>
    <w:semiHidden/>
    <w:unhideWhenUsed/>
    <w:rsid w:val="00A451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4274">
      <w:bodyDiv w:val="1"/>
      <w:marLeft w:val="0"/>
      <w:marRight w:val="0"/>
      <w:marTop w:val="0"/>
      <w:marBottom w:val="0"/>
      <w:divBdr>
        <w:top w:val="none" w:sz="0" w:space="0" w:color="auto"/>
        <w:left w:val="none" w:sz="0" w:space="0" w:color="auto"/>
        <w:bottom w:val="none" w:sz="0" w:space="0" w:color="auto"/>
        <w:right w:val="none" w:sz="0" w:space="0" w:color="auto"/>
      </w:divBdr>
    </w:div>
    <w:div w:id="260799066">
      <w:bodyDiv w:val="1"/>
      <w:marLeft w:val="0"/>
      <w:marRight w:val="0"/>
      <w:marTop w:val="0"/>
      <w:marBottom w:val="0"/>
      <w:divBdr>
        <w:top w:val="none" w:sz="0" w:space="0" w:color="auto"/>
        <w:left w:val="none" w:sz="0" w:space="0" w:color="auto"/>
        <w:bottom w:val="none" w:sz="0" w:space="0" w:color="auto"/>
        <w:right w:val="none" w:sz="0" w:space="0" w:color="auto"/>
      </w:divBdr>
    </w:div>
    <w:div w:id="293953576">
      <w:bodyDiv w:val="1"/>
      <w:marLeft w:val="0"/>
      <w:marRight w:val="0"/>
      <w:marTop w:val="0"/>
      <w:marBottom w:val="0"/>
      <w:divBdr>
        <w:top w:val="none" w:sz="0" w:space="0" w:color="auto"/>
        <w:left w:val="none" w:sz="0" w:space="0" w:color="auto"/>
        <w:bottom w:val="none" w:sz="0" w:space="0" w:color="auto"/>
        <w:right w:val="none" w:sz="0" w:space="0" w:color="auto"/>
      </w:divBdr>
    </w:div>
    <w:div w:id="311562920">
      <w:bodyDiv w:val="1"/>
      <w:marLeft w:val="0"/>
      <w:marRight w:val="0"/>
      <w:marTop w:val="0"/>
      <w:marBottom w:val="0"/>
      <w:divBdr>
        <w:top w:val="none" w:sz="0" w:space="0" w:color="auto"/>
        <w:left w:val="none" w:sz="0" w:space="0" w:color="auto"/>
        <w:bottom w:val="none" w:sz="0" w:space="0" w:color="auto"/>
        <w:right w:val="none" w:sz="0" w:space="0" w:color="auto"/>
      </w:divBdr>
    </w:div>
    <w:div w:id="313993938">
      <w:bodyDiv w:val="1"/>
      <w:marLeft w:val="0"/>
      <w:marRight w:val="0"/>
      <w:marTop w:val="0"/>
      <w:marBottom w:val="0"/>
      <w:divBdr>
        <w:top w:val="none" w:sz="0" w:space="0" w:color="auto"/>
        <w:left w:val="none" w:sz="0" w:space="0" w:color="auto"/>
        <w:bottom w:val="none" w:sz="0" w:space="0" w:color="auto"/>
        <w:right w:val="none" w:sz="0" w:space="0" w:color="auto"/>
      </w:divBdr>
    </w:div>
    <w:div w:id="456729129">
      <w:bodyDiv w:val="1"/>
      <w:marLeft w:val="0"/>
      <w:marRight w:val="0"/>
      <w:marTop w:val="0"/>
      <w:marBottom w:val="0"/>
      <w:divBdr>
        <w:top w:val="none" w:sz="0" w:space="0" w:color="auto"/>
        <w:left w:val="none" w:sz="0" w:space="0" w:color="auto"/>
        <w:bottom w:val="none" w:sz="0" w:space="0" w:color="auto"/>
        <w:right w:val="none" w:sz="0" w:space="0" w:color="auto"/>
      </w:divBdr>
      <w:divsChild>
        <w:div w:id="633953027">
          <w:marLeft w:val="0"/>
          <w:marRight w:val="0"/>
          <w:marTop w:val="0"/>
          <w:marBottom w:val="0"/>
          <w:divBdr>
            <w:top w:val="none" w:sz="0" w:space="0" w:color="auto"/>
            <w:left w:val="none" w:sz="0" w:space="0" w:color="auto"/>
            <w:bottom w:val="none" w:sz="0" w:space="0" w:color="auto"/>
            <w:right w:val="none" w:sz="0" w:space="0" w:color="auto"/>
          </w:divBdr>
          <w:divsChild>
            <w:div w:id="1817914288">
              <w:marLeft w:val="0"/>
              <w:marRight w:val="0"/>
              <w:marTop w:val="0"/>
              <w:marBottom w:val="0"/>
              <w:divBdr>
                <w:top w:val="none" w:sz="0" w:space="0" w:color="auto"/>
                <w:left w:val="none" w:sz="0" w:space="0" w:color="auto"/>
                <w:bottom w:val="none" w:sz="0" w:space="0" w:color="auto"/>
                <w:right w:val="none" w:sz="0" w:space="0" w:color="auto"/>
              </w:divBdr>
              <w:divsChild>
                <w:div w:id="1358309889">
                  <w:marLeft w:val="0"/>
                  <w:marRight w:val="0"/>
                  <w:marTop w:val="0"/>
                  <w:marBottom w:val="0"/>
                  <w:divBdr>
                    <w:top w:val="none" w:sz="0" w:space="0" w:color="auto"/>
                    <w:left w:val="none" w:sz="0" w:space="0" w:color="auto"/>
                    <w:bottom w:val="none" w:sz="0" w:space="0" w:color="auto"/>
                    <w:right w:val="none" w:sz="0" w:space="0" w:color="auto"/>
                  </w:divBdr>
                  <w:divsChild>
                    <w:div w:id="1174225947">
                      <w:marLeft w:val="150"/>
                      <w:marRight w:val="150"/>
                      <w:marTop w:val="0"/>
                      <w:marBottom w:val="0"/>
                      <w:divBdr>
                        <w:top w:val="none" w:sz="0" w:space="0" w:color="auto"/>
                        <w:left w:val="none" w:sz="0" w:space="0" w:color="auto"/>
                        <w:bottom w:val="none" w:sz="0" w:space="0" w:color="auto"/>
                        <w:right w:val="none" w:sz="0" w:space="0" w:color="auto"/>
                      </w:divBdr>
                      <w:divsChild>
                        <w:div w:id="907038400">
                          <w:marLeft w:val="0"/>
                          <w:marRight w:val="0"/>
                          <w:marTop w:val="0"/>
                          <w:marBottom w:val="0"/>
                          <w:divBdr>
                            <w:top w:val="none" w:sz="0" w:space="0" w:color="auto"/>
                            <w:left w:val="none" w:sz="0" w:space="0" w:color="auto"/>
                            <w:bottom w:val="none" w:sz="0" w:space="0" w:color="auto"/>
                            <w:right w:val="none" w:sz="0" w:space="0" w:color="auto"/>
                          </w:divBdr>
                          <w:divsChild>
                            <w:div w:id="1687099575">
                              <w:marLeft w:val="0"/>
                              <w:marRight w:val="0"/>
                              <w:marTop w:val="0"/>
                              <w:marBottom w:val="0"/>
                              <w:divBdr>
                                <w:top w:val="none" w:sz="0" w:space="0" w:color="auto"/>
                                <w:left w:val="none" w:sz="0" w:space="0" w:color="auto"/>
                                <w:bottom w:val="none" w:sz="0" w:space="0" w:color="auto"/>
                                <w:right w:val="none" w:sz="0" w:space="0" w:color="auto"/>
                              </w:divBdr>
                              <w:divsChild>
                                <w:div w:id="1626959602">
                                  <w:marLeft w:val="0"/>
                                  <w:marRight w:val="0"/>
                                  <w:marTop w:val="0"/>
                                  <w:marBottom w:val="0"/>
                                  <w:divBdr>
                                    <w:top w:val="none" w:sz="0" w:space="0" w:color="auto"/>
                                    <w:left w:val="none" w:sz="0" w:space="0" w:color="auto"/>
                                    <w:bottom w:val="none" w:sz="0" w:space="0" w:color="auto"/>
                                    <w:right w:val="none" w:sz="0" w:space="0" w:color="auto"/>
                                  </w:divBdr>
                                  <w:divsChild>
                                    <w:div w:id="1285695670">
                                      <w:marLeft w:val="0"/>
                                      <w:marRight w:val="0"/>
                                      <w:marTop w:val="0"/>
                                      <w:marBottom w:val="0"/>
                                      <w:divBdr>
                                        <w:top w:val="none" w:sz="0" w:space="0" w:color="auto"/>
                                        <w:left w:val="none" w:sz="0" w:space="0" w:color="auto"/>
                                        <w:bottom w:val="none" w:sz="0" w:space="0" w:color="auto"/>
                                        <w:right w:val="none" w:sz="0" w:space="0" w:color="auto"/>
                                      </w:divBdr>
                                      <w:divsChild>
                                        <w:div w:id="1959485072">
                                          <w:marLeft w:val="0"/>
                                          <w:marRight w:val="0"/>
                                          <w:marTop w:val="0"/>
                                          <w:marBottom w:val="0"/>
                                          <w:divBdr>
                                            <w:top w:val="none" w:sz="0" w:space="0" w:color="auto"/>
                                            <w:left w:val="none" w:sz="0" w:space="0" w:color="auto"/>
                                            <w:bottom w:val="none" w:sz="0" w:space="0" w:color="auto"/>
                                            <w:right w:val="none" w:sz="0" w:space="0" w:color="auto"/>
                                          </w:divBdr>
                                          <w:divsChild>
                                            <w:div w:id="463238052">
                                              <w:marLeft w:val="0"/>
                                              <w:marRight w:val="0"/>
                                              <w:marTop w:val="0"/>
                                              <w:marBottom w:val="0"/>
                                              <w:divBdr>
                                                <w:top w:val="none" w:sz="0" w:space="0" w:color="auto"/>
                                                <w:left w:val="none" w:sz="0" w:space="0" w:color="auto"/>
                                                <w:bottom w:val="none" w:sz="0" w:space="0" w:color="auto"/>
                                                <w:right w:val="none" w:sz="0" w:space="0" w:color="auto"/>
                                              </w:divBdr>
                                              <w:divsChild>
                                                <w:div w:id="639774967">
                                                  <w:marLeft w:val="0"/>
                                                  <w:marRight w:val="0"/>
                                                  <w:marTop w:val="0"/>
                                                  <w:marBottom w:val="0"/>
                                                  <w:divBdr>
                                                    <w:top w:val="none" w:sz="0" w:space="0" w:color="auto"/>
                                                    <w:left w:val="none" w:sz="0" w:space="0" w:color="auto"/>
                                                    <w:bottom w:val="none" w:sz="0" w:space="0" w:color="auto"/>
                                                    <w:right w:val="none" w:sz="0" w:space="0" w:color="auto"/>
                                                  </w:divBdr>
                                                  <w:divsChild>
                                                    <w:div w:id="9780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181455">
      <w:bodyDiv w:val="1"/>
      <w:marLeft w:val="0"/>
      <w:marRight w:val="0"/>
      <w:marTop w:val="0"/>
      <w:marBottom w:val="0"/>
      <w:divBdr>
        <w:top w:val="none" w:sz="0" w:space="0" w:color="auto"/>
        <w:left w:val="none" w:sz="0" w:space="0" w:color="auto"/>
        <w:bottom w:val="none" w:sz="0" w:space="0" w:color="auto"/>
        <w:right w:val="none" w:sz="0" w:space="0" w:color="auto"/>
      </w:divBdr>
    </w:div>
    <w:div w:id="516507241">
      <w:bodyDiv w:val="1"/>
      <w:marLeft w:val="0"/>
      <w:marRight w:val="0"/>
      <w:marTop w:val="0"/>
      <w:marBottom w:val="0"/>
      <w:divBdr>
        <w:top w:val="none" w:sz="0" w:space="0" w:color="auto"/>
        <w:left w:val="none" w:sz="0" w:space="0" w:color="auto"/>
        <w:bottom w:val="none" w:sz="0" w:space="0" w:color="auto"/>
        <w:right w:val="none" w:sz="0" w:space="0" w:color="auto"/>
      </w:divBdr>
    </w:div>
    <w:div w:id="755368683">
      <w:bodyDiv w:val="1"/>
      <w:marLeft w:val="0"/>
      <w:marRight w:val="0"/>
      <w:marTop w:val="0"/>
      <w:marBottom w:val="0"/>
      <w:divBdr>
        <w:top w:val="none" w:sz="0" w:space="0" w:color="auto"/>
        <w:left w:val="none" w:sz="0" w:space="0" w:color="auto"/>
        <w:bottom w:val="none" w:sz="0" w:space="0" w:color="auto"/>
        <w:right w:val="none" w:sz="0" w:space="0" w:color="auto"/>
      </w:divBdr>
    </w:div>
    <w:div w:id="887765981">
      <w:bodyDiv w:val="1"/>
      <w:marLeft w:val="0"/>
      <w:marRight w:val="0"/>
      <w:marTop w:val="0"/>
      <w:marBottom w:val="0"/>
      <w:divBdr>
        <w:top w:val="none" w:sz="0" w:space="0" w:color="auto"/>
        <w:left w:val="none" w:sz="0" w:space="0" w:color="auto"/>
        <w:bottom w:val="none" w:sz="0" w:space="0" w:color="auto"/>
        <w:right w:val="none" w:sz="0" w:space="0" w:color="auto"/>
      </w:divBdr>
    </w:div>
    <w:div w:id="962660638">
      <w:bodyDiv w:val="1"/>
      <w:marLeft w:val="0"/>
      <w:marRight w:val="0"/>
      <w:marTop w:val="0"/>
      <w:marBottom w:val="0"/>
      <w:divBdr>
        <w:top w:val="none" w:sz="0" w:space="0" w:color="auto"/>
        <w:left w:val="none" w:sz="0" w:space="0" w:color="auto"/>
        <w:bottom w:val="none" w:sz="0" w:space="0" w:color="auto"/>
        <w:right w:val="none" w:sz="0" w:space="0" w:color="auto"/>
      </w:divBdr>
    </w:div>
    <w:div w:id="1128890033">
      <w:bodyDiv w:val="1"/>
      <w:marLeft w:val="0"/>
      <w:marRight w:val="0"/>
      <w:marTop w:val="0"/>
      <w:marBottom w:val="0"/>
      <w:divBdr>
        <w:top w:val="none" w:sz="0" w:space="0" w:color="auto"/>
        <w:left w:val="none" w:sz="0" w:space="0" w:color="auto"/>
        <w:bottom w:val="none" w:sz="0" w:space="0" w:color="auto"/>
        <w:right w:val="none" w:sz="0" w:space="0" w:color="auto"/>
      </w:divBdr>
    </w:div>
    <w:div w:id="1354267282">
      <w:bodyDiv w:val="1"/>
      <w:marLeft w:val="0"/>
      <w:marRight w:val="0"/>
      <w:marTop w:val="0"/>
      <w:marBottom w:val="0"/>
      <w:divBdr>
        <w:top w:val="none" w:sz="0" w:space="0" w:color="auto"/>
        <w:left w:val="none" w:sz="0" w:space="0" w:color="auto"/>
        <w:bottom w:val="none" w:sz="0" w:space="0" w:color="auto"/>
        <w:right w:val="none" w:sz="0" w:space="0" w:color="auto"/>
      </w:divBdr>
    </w:div>
    <w:div w:id="1397824916">
      <w:bodyDiv w:val="1"/>
      <w:marLeft w:val="0"/>
      <w:marRight w:val="0"/>
      <w:marTop w:val="0"/>
      <w:marBottom w:val="0"/>
      <w:divBdr>
        <w:top w:val="none" w:sz="0" w:space="0" w:color="auto"/>
        <w:left w:val="none" w:sz="0" w:space="0" w:color="auto"/>
        <w:bottom w:val="none" w:sz="0" w:space="0" w:color="auto"/>
        <w:right w:val="none" w:sz="0" w:space="0" w:color="auto"/>
      </w:divBdr>
    </w:div>
    <w:div w:id="1559972912">
      <w:bodyDiv w:val="1"/>
      <w:marLeft w:val="0"/>
      <w:marRight w:val="0"/>
      <w:marTop w:val="0"/>
      <w:marBottom w:val="0"/>
      <w:divBdr>
        <w:top w:val="none" w:sz="0" w:space="0" w:color="auto"/>
        <w:left w:val="none" w:sz="0" w:space="0" w:color="auto"/>
        <w:bottom w:val="none" w:sz="0" w:space="0" w:color="auto"/>
        <w:right w:val="none" w:sz="0" w:space="0" w:color="auto"/>
      </w:divBdr>
    </w:div>
    <w:div w:id="1614557798">
      <w:bodyDiv w:val="1"/>
      <w:marLeft w:val="0"/>
      <w:marRight w:val="0"/>
      <w:marTop w:val="0"/>
      <w:marBottom w:val="0"/>
      <w:divBdr>
        <w:top w:val="none" w:sz="0" w:space="0" w:color="auto"/>
        <w:left w:val="none" w:sz="0" w:space="0" w:color="auto"/>
        <w:bottom w:val="none" w:sz="0" w:space="0" w:color="auto"/>
        <w:right w:val="none" w:sz="0" w:space="0" w:color="auto"/>
      </w:divBdr>
    </w:div>
    <w:div w:id="1698114435">
      <w:bodyDiv w:val="1"/>
      <w:marLeft w:val="0"/>
      <w:marRight w:val="0"/>
      <w:marTop w:val="0"/>
      <w:marBottom w:val="0"/>
      <w:divBdr>
        <w:top w:val="none" w:sz="0" w:space="0" w:color="auto"/>
        <w:left w:val="none" w:sz="0" w:space="0" w:color="auto"/>
        <w:bottom w:val="none" w:sz="0" w:space="0" w:color="auto"/>
        <w:right w:val="none" w:sz="0" w:space="0" w:color="auto"/>
      </w:divBdr>
    </w:div>
    <w:div w:id="1751930451">
      <w:bodyDiv w:val="1"/>
      <w:marLeft w:val="0"/>
      <w:marRight w:val="0"/>
      <w:marTop w:val="0"/>
      <w:marBottom w:val="0"/>
      <w:divBdr>
        <w:top w:val="none" w:sz="0" w:space="0" w:color="auto"/>
        <w:left w:val="none" w:sz="0" w:space="0" w:color="auto"/>
        <w:bottom w:val="none" w:sz="0" w:space="0" w:color="auto"/>
        <w:right w:val="none" w:sz="0" w:space="0" w:color="auto"/>
      </w:divBdr>
    </w:div>
    <w:div w:id="1810972100">
      <w:bodyDiv w:val="1"/>
      <w:marLeft w:val="0"/>
      <w:marRight w:val="0"/>
      <w:marTop w:val="0"/>
      <w:marBottom w:val="0"/>
      <w:divBdr>
        <w:top w:val="none" w:sz="0" w:space="0" w:color="auto"/>
        <w:left w:val="none" w:sz="0" w:space="0" w:color="auto"/>
        <w:bottom w:val="none" w:sz="0" w:space="0" w:color="auto"/>
        <w:right w:val="none" w:sz="0" w:space="0" w:color="auto"/>
      </w:divBdr>
    </w:div>
    <w:div w:id="1847750588">
      <w:bodyDiv w:val="1"/>
      <w:marLeft w:val="0"/>
      <w:marRight w:val="0"/>
      <w:marTop w:val="0"/>
      <w:marBottom w:val="0"/>
      <w:divBdr>
        <w:top w:val="none" w:sz="0" w:space="0" w:color="auto"/>
        <w:left w:val="none" w:sz="0" w:space="0" w:color="auto"/>
        <w:bottom w:val="none" w:sz="0" w:space="0" w:color="auto"/>
        <w:right w:val="none" w:sz="0" w:space="0" w:color="auto"/>
      </w:divBdr>
      <w:divsChild>
        <w:div w:id="1347515393">
          <w:marLeft w:val="0"/>
          <w:marRight w:val="0"/>
          <w:marTop w:val="0"/>
          <w:marBottom w:val="0"/>
          <w:divBdr>
            <w:top w:val="none" w:sz="0" w:space="0" w:color="auto"/>
            <w:left w:val="none" w:sz="0" w:space="0" w:color="auto"/>
            <w:bottom w:val="none" w:sz="0" w:space="0" w:color="auto"/>
            <w:right w:val="none" w:sz="0" w:space="0" w:color="auto"/>
          </w:divBdr>
          <w:divsChild>
            <w:div w:id="1017316651">
              <w:marLeft w:val="0"/>
              <w:marRight w:val="0"/>
              <w:marTop w:val="0"/>
              <w:marBottom w:val="0"/>
              <w:divBdr>
                <w:top w:val="none" w:sz="0" w:space="0" w:color="auto"/>
                <w:left w:val="none" w:sz="0" w:space="0" w:color="auto"/>
                <w:bottom w:val="none" w:sz="0" w:space="0" w:color="auto"/>
                <w:right w:val="none" w:sz="0" w:space="0" w:color="auto"/>
              </w:divBdr>
              <w:divsChild>
                <w:div w:id="2125885413">
                  <w:marLeft w:val="0"/>
                  <w:marRight w:val="0"/>
                  <w:marTop w:val="0"/>
                  <w:marBottom w:val="0"/>
                  <w:divBdr>
                    <w:top w:val="none" w:sz="0" w:space="0" w:color="auto"/>
                    <w:left w:val="none" w:sz="0" w:space="0" w:color="auto"/>
                    <w:bottom w:val="none" w:sz="0" w:space="0" w:color="auto"/>
                    <w:right w:val="none" w:sz="0" w:space="0" w:color="auto"/>
                  </w:divBdr>
                  <w:divsChild>
                    <w:div w:id="2053769880">
                      <w:marLeft w:val="150"/>
                      <w:marRight w:val="150"/>
                      <w:marTop w:val="0"/>
                      <w:marBottom w:val="0"/>
                      <w:divBdr>
                        <w:top w:val="none" w:sz="0" w:space="0" w:color="auto"/>
                        <w:left w:val="none" w:sz="0" w:space="0" w:color="auto"/>
                        <w:bottom w:val="none" w:sz="0" w:space="0" w:color="auto"/>
                        <w:right w:val="none" w:sz="0" w:space="0" w:color="auto"/>
                      </w:divBdr>
                      <w:divsChild>
                        <w:div w:id="1502311902">
                          <w:marLeft w:val="0"/>
                          <w:marRight w:val="0"/>
                          <w:marTop w:val="0"/>
                          <w:marBottom w:val="0"/>
                          <w:divBdr>
                            <w:top w:val="none" w:sz="0" w:space="0" w:color="auto"/>
                            <w:left w:val="none" w:sz="0" w:space="0" w:color="auto"/>
                            <w:bottom w:val="none" w:sz="0" w:space="0" w:color="auto"/>
                            <w:right w:val="none" w:sz="0" w:space="0" w:color="auto"/>
                          </w:divBdr>
                          <w:divsChild>
                            <w:div w:id="76944511">
                              <w:marLeft w:val="0"/>
                              <w:marRight w:val="0"/>
                              <w:marTop w:val="0"/>
                              <w:marBottom w:val="0"/>
                              <w:divBdr>
                                <w:top w:val="none" w:sz="0" w:space="0" w:color="auto"/>
                                <w:left w:val="none" w:sz="0" w:space="0" w:color="auto"/>
                                <w:bottom w:val="none" w:sz="0" w:space="0" w:color="auto"/>
                                <w:right w:val="none" w:sz="0" w:space="0" w:color="auto"/>
                              </w:divBdr>
                              <w:divsChild>
                                <w:div w:id="136148954">
                                  <w:marLeft w:val="0"/>
                                  <w:marRight w:val="0"/>
                                  <w:marTop w:val="0"/>
                                  <w:marBottom w:val="0"/>
                                  <w:divBdr>
                                    <w:top w:val="none" w:sz="0" w:space="0" w:color="auto"/>
                                    <w:left w:val="none" w:sz="0" w:space="0" w:color="auto"/>
                                    <w:bottom w:val="none" w:sz="0" w:space="0" w:color="auto"/>
                                    <w:right w:val="none" w:sz="0" w:space="0" w:color="auto"/>
                                  </w:divBdr>
                                  <w:divsChild>
                                    <w:div w:id="1345860435">
                                      <w:marLeft w:val="0"/>
                                      <w:marRight w:val="0"/>
                                      <w:marTop w:val="0"/>
                                      <w:marBottom w:val="0"/>
                                      <w:divBdr>
                                        <w:top w:val="none" w:sz="0" w:space="0" w:color="auto"/>
                                        <w:left w:val="none" w:sz="0" w:space="0" w:color="auto"/>
                                        <w:bottom w:val="none" w:sz="0" w:space="0" w:color="auto"/>
                                        <w:right w:val="none" w:sz="0" w:space="0" w:color="auto"/>
                                      </w:divBdr>
                                      <w:divsChild>
                                        <w:div w:id="205066440">
                                          <w:marLeft w:val="0"/>
                                          <w:marRight w:val="0"/>
                                          <w:marTop w:val="0"/>
                                          <w:marBottom w:val="0"/>
                                          <w:divBdr>
                                            <w:top w:val="none" w:sz="0" w:space="0" w:color="auto"/>
                                            <w:left w:val="none" w:sz="0" w:space="0" w:color="auto"/>
                                            <w:bottom w:val="none" w:sz="0" w:space="0" w:color="auto"/>
                                            <w:right w:val="none" w:sz="0" w:space="0" w:color="auto"/>
                                          </w:divBdr>
                                          <w:divsChild>
                                            <w:div w:id="120656584">
                                              <w:marLeft w:val="0"/>
                                              <w:marRight w:val="0"/>
                                              <w:marTop w:val="0"/>
                                              <w:marBottom w:val="0"/>
                                              <w:divBdr>
                                                <w:top w:val="none" w:sz="0" w:space="0" w:color="auto"/>
                                                <w:left w:val="none" w:sz="0" w:space="0" w:color="auto"/>
                                                <w:bottom w:val="none" w:sz="0" w:space="0" w:color="auto"/>
                                                <w:right w:val="none" w:sz="0" w:space="0" w:color="auto"/>
                                              </w:divBdr>
                                              <w:divsChild>
                                                <w:div w:id="550385698">
                                                  <w:marLeft w:val="0"/>
                                                  <w:marRight w:val="0"/>
                                                  <w:marTop w:val="0"/>
                                                  <w:marBottom w:val="0"/>
                                                  <w:divBdr>
                                                    <w:top w:val="none" w:sz="0" w:space="0" w:color="auto"/>
                                                    <w:left w:val="none" w:sz="0" w:space="0" w:color="auto"/>
                                                    <w:bottom w:val="none" w:sz="0" w:space="0" w:color="auto"/>
                                                    <w:right w:val="none" w:sz="0" w:space="0" w:color="auto"/>
                                                  </w:divBdr>
                                                  <w:divsChild>
                                                    <w:div w:id="1873759508">
                                                      <w:marLeft w:val="0"/>
                                                      <w:marRight w:val="0"/>
                                                      <w:marTop w:val="0"/>
                                                      <w:marBottom w:val="0"/>
                                                      <w:divBdr>
                                                        <w:top w:val="none" w:sz="0" w:space="0" w:color="auto"/>
                                                        <w:left w:val="none" w:sz="0" w:space="0" w:color="auto"/>
                                                        <w:bottom w:val="none" w:sz="0" w:space="0" w:color="auto"/>
                                                        <w:right w:val="none" w:sz="0" w:space="0" w:color="auto"/>
                                                      </w:divBdr>
                                                      <w:divsChild>
                                                        <w:div w:id="9560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3461807">
      <w:bodyDiv w:val="1"/>
      <w:marLeft w:val="0"/>
      <w:marRight w:val="0"/>
      <w:marTop w:val="0"/>
      <w:marBottom w:val="0"/>
      <w:divBdr>
        <w:top w:val="none" w:sz="0" w:space="0" w:color="auto"/>
        <w:left w:val="none" w:sz="0" w:space="0" w:color="auto"/>
        <w:bottom w:val="none" w:sz="0" w:space="0" w:color="auto"/>
        <w:right w:val="none" w:sz="0" w:space="0" w:color="auto"/>
      </w:divBdr>
    </w:div>
    <w:div w:id="200817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dustry.gov.au/a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ndustry.gov.au/a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ip@industry.gov.a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dustry.gov.au/a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im\AppData\Local\Microsoft\Windows\Temporary%20Internet%20Files\Content.MSO\30B5A49E.dotx" TargetMode="External"/></Relationships>
</file>

<file path=word/theme/theme1.xml><?xml version="1.0" encoding="utf-8"?>
<a:theme xmlns:a="http://schemas.openxmlformats.org/drawingml/2006/main" name="Office Theme">
  <a:themeElements>
    <a:clrScheme name="Corporate Test">
      <a:dk1>
        <a:sysClr val="windowText" lastClr="000000"/>
      </a:dk1>
      <a:lt1>
        <a:sysClr val="window" lastClr="FFFFFF"/>
      </a:lt1>
      <a:dk2>
        <a:srgbClr val="58595B"/>
      </a:dk2>
      <a:lt2>
        <a:srgbClr val="939598"/>
      </a:lt2>
      <a:accent1>
        <a:srgbClr val="005677"/>
      </a:accent1>
      <a:accent2>
        <a:srgbClr val="00283E"/>
      </a:accent2>
      <a:accent3>
        <a:srgbClr val="1B9590"/>
      </a:accent3>
      <a:accent4>
        <a:srgbClr val="61C6C6"/>
      </a:accent4>
      <a:accent5>
        <a:srgbClr val="9CD9E0"/>
      </a:accent5>
      <a:accent6>
        <a:srgbClr val="C973AF"/>
      </a:accent6>
      <a:hlink>
        <a:srgbClr val="005677"/>
      </a:hlink>
      <a:folHlink>
        <a:srgbClr val="C973A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pe2555c81638466f9eb614edb9ecde52 xmlns="cdd73b99-b600-467d-8b05-41f33179978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116a9244-cef6-47ce-a9a5-088c9cf21292</TermId>
        </TermInfo>
      </Terms>
    </pe2555c81638466f9eb614edb9ecde52>
    <TaxCatchAll xmlns="cdd73b99-b600-467d-8b05-41f33179978b">
      <Value>3603</Value>
      <Value>2805</Value>
      <Value>3</Value>
      <Value>58</Value>
      <Value>449</Value>
    </TaxCatchAll>
    <g7bcb40ba23249a78edca7d43a67c1c9 xmlns="cdd73b99-b600-467d-8b05-41f33179978b">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12af97d0-e555-43d0-b3d2-0f0b8e33cc04</TermId>
        </TermInfo>
      </Terms>
    </g7bcb40ba23249a78edca7d43a67c1c9>
    <n99e4c9942c6404eb103464a00e6097b xmlns="cdd73b99-b600-467d-8b05-41f33179978b">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e5d193cb-0c78-4fe3-8f0c-2a9a33b5d3c7</TermId>
        </TermInfo>
      </Terms>
    </n99e4c9942c6404eb103464a00e6097b>
    <adb9bed2e36e4a93af574aeb444da63e xmlns="cdd73b99-b600-467d-8b05-41f33179978b">
      <Terms xmlns="http://schemas.microsoft.com/office/infopath/2007/PartnerControls">
        <TermInfo xmlns="http://schemas.microsoft.com/office/infopath/2007/PartnerControls">
          <TermName xmlns="http://schemas.microsoft.com/office/infopath/2007/PartnerControls">Regulator Performance Framework</TermName>
          <TermId xmlns="http://schemas.microsoft.com/office/infopath/2007/PartnerControls">2de2864a-ab98-4164-8936-183663f5eafa</TermId>
        </TermInfo>
      </Terms>
    </adb9bed2e36e4a93af574aeb444da63e>
    <aa25a1a23adf4c92a153145de6afe324 xmlns="cdd73b99-b600-467d-8b05-41f33179978b">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11f6fb0b-52ce-4109-8f7f-521b2a62f692</TermId>
        </TermInfo>
      </Terms>
    </aa25a1a23adf4c92a153145de6afe324>
    <_dlc_DocId xmlns="cdd73b99-b600-467d-8b05-41f33179978b">2P6QMCT253UY-902866662-127</_dlc_DocId>
    <_dlc_DocIdUrl xmlns="cdd73b99-b600-467d-8b05-41f33179978b">
      <Url>https://dochub/div/portfoliostrategicpolicy/programmesprojectstaskforces/deregpolicy/regperfframework201617/_layouts/15/DocIdRedir.aspx?ID=2P6QMCT253UY-902866662-127</Url>
      <Description>2P6QMCT253UY-902866662-127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4BF4B45A72344EAA177C9F0621EBF5" ma:contentTypeVersion="14" ma:contentTypeDescription="Create a new document." ma:contentTypeScope="" ma:versionID="83df4d713aa75a6b045756c53d2f4bc5">
  <xsd:schema xmlns:xsd="http://www.w3.org/2001/XMLSchema" xmlns:xs="http://www.w3.org/2001/XMLSchema" xmlns:p="http://schemas.microsoft.com/office/2006/metadata/properties" xmlns:ns1="http://schemas.microsoft.com/sharepoint/v3" xmlns:ns2="cdd73b99-b600-467d-8b05-41f33179978b" targetNamespace="http://schemas.microsoft.com/office/2006/metadata/properties" ma:root="true" ma:fieldsID="e570fe36363c79f40ad48a8516fd2fc5" ns1:_="" ns2:_="">
    <xsd:import namespace="http://schemas.microsoft.com/sharepoint/v3"/>
    <xsd:import namespace="cdd73b99-b600-467d-8b05-41f33179978b"/>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73b99-b600-467d-8b05-41f3317997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948bbdd-aea7-4500-bcec-9d90307b1195}" ma:internalName="TaxCatchAll" ma:showField="CatchAllData" ma:web="cdd73b99-b600-467d-8b05-41f33179978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a26d3d30-c4fe-4058-8dc3-a710e5fd0727"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CE50A-D505-4128-B1FE-FF46A517CBBF}">
  <ds:schemaRefs>
    <ds:schemaRef ds:uri="http://schemas.microsoft.com/sharepoint/events"/>
  </ds:schemaRefs>
</ds:datastoreItem>
</file>

<file path=customXml/itemProps2.xml><?xml version="1.0" encoding="utf-8"?>
<ds:datastoreItem xmlns:ds="http://schemas.openxmlformats.org/officeDocument/2006/customXml" ds:itemID="{69ADAFFE-48E0-42D5-8489-9604C1823901}">
  <ds:schemaRefs>
    <ds:schemaRef ds:uri="http://schemas.microsoft.com/sharepoint/v3/contenttype/forms"/>
  </ds:schemaRefs>
</ds:datastoreItem>
</file>

<file path=customXml/itemProps3.xml><?xml version="1.0" encoding="utf-8"?>
<ds:datastoreItem xmlns:ds="http://schemas.openxmlformats.org/officeDocument/2006/customXml" ds:itemID="{59A772EF-6A77-48C1-A688-AF86952765D9}">
  <ds:schemaRefs>
    <ds:schemaRef ds:uri="http://purl.org/dc/terms/"/>
    <ds:schemaRef ds:uri="http://purl.org/dc/dcmitype/"/>
    <ds:schemaRef ds:uri="cdd73b99-b600-467d-8b05-41f33179978b"/>
    <ds:schemaRef ds:uri="http://purl.org/dc/elements/1.1/"/>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8BCF564-CE12-4952-92A1-F35E947BD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d73b99-b600-467d-8b05-41f33179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44BDF6-04CA-4B0D-B3F5-9D8D1848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30B5A49E.dotx</Template>
  <TotalTime>0</TotalTime>
  <Pages>6</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Report</vt:lpstr>
    </vt:vector>
  </TitlesOfParts>
  <Company>Australian Government | Department of Industry, Innovation and Science</Company>
  <LinksUpToDate>false</LinksUpToDate>
  <CharactersWithSpaces>11980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Avlonitis, Margetta</dc:creator>
  <cp:keywords>Report template</cp:keywords>
  <cp:lastModifiedBy>Ruth, Jodie</cp:lastModifiedBy>
  <cp:revision>2</cp:revision>
  <cp:lastPrinted>2018-11-01T03:56:00Z</cp:lastPrinted>
  <dcterms:created xsi:type="dcterms:W3CDTF">2020-12-14T05:09:00Z</dcterms:created>
  <dcterms:modified xsi:type="dcterms:W3CDTF">2020-12-14T05:09:00Z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0x010100B74BF4B45A72344EAA177C9F0621EBF5</vt:lpwstr>
  </property>
  <property fmtid="{D5CDD505-2E9C-101B-9397-08002B2CF9AE}" pid="7" name="DocHub_Year">
    <vt:lpwstr>3603;#2019-20|e5d193cb-0c78-4fe3-8f0c-2a9a33b5d3c7</vt:lpwstr>
  </property>
  <property fmtid="{D5CDD505-2E9C-101B-9397-08002B2CF9AE}" pid="8" name="DocHub_ProjectProponent">
    <vt:lpwstr/>
  </property>
  <property fmtid="{D5CDD505-2E9C-101B-9397-08002B2CF9AE}" pid="9" name="DocHub_WorkActivity">
    <vt:lpwstr>449;#Reporting|12af97d0-e555-43d0-b3d2-0f0b8e33cc04</vt:lpwstr>
  </property>
  <property fmtid="{D5CDD505-2E9C-101B-9397-08002B2CF9AE}" pid="10" name="DocHub_DocStatus">
    <vt:lpwstr>426;#Final|46e4187b-f204-4589-bbeb-a903d185cdad</vt:lpwstr>
  </property>
  <property fmtid="{D5CDD505-2E9C-101B-9397-08002B2CF9AE}" pid="11" name="DocHub_DocumentType">
    <vt:lpwstr>58;#Report|116a9244-cef6-47ce-a9a5-088c9cf21292</vt:lpwstr>
  </property>
  <property fmtid="{D5CDD505-2E9C-101B-9397-08002B2CF9AE}" pid="12" name="DocHub_SecurityClassification">
    <vt:lpwstr>3;#OFFICIAL:Sensitive|11f6fb0b-52ce-4109-8f7f-521b2a62f692</vt:lpwstr>
  </property>
  <property fmtid="{D5CDD505-2E9C-101B-9397-08002B2CF9AE}" pid="13" name="DocHub_GovernmentEntities">
    <vt:lpwstr/>
  </property>
  <property fmtid="{D5CDD505-2E9C-101B-9397-08002B2CF9AE}" pid="14" name="DocHub_AIPProcess">
    <vt:lpwstr/>
  </property>
  <property fmtid="{D5CDD505-2E9C-101B-9397-08002B2CF9AE}" pid="15" name="DocHub_AIPCategory">
    <vt:lpwstr>2172;#RPF Self-Assessment Report|5d44aec4-4e01-46c8-b066-460f70df9ee1</vt:lpwstr>
  </property>
  <property fmtid="{D5CDD505-2E9C-101B-9397-08002B2CF9AE}" pid="16" name="DocHub_Keywords">
    <vt:lpwstr>2805;#Regulator Performance Framework|2de2864a-ab98-4164-8936-183663f5eafa</vt:lpwstr>
  </property>
  <property fmtid="{D5CDD505-2E9C-101B-9397-08002B2CF9AE}" pid="17" name="DocHub_Sector">
    <vt:lpwstr/>
  </property>
  <property fmtid="{D5CDD505-2E9C-101B-9397-08002B2CF9AE}" pid="18" name="DocHub_BriefingCorrespondenceType">
    <vt:lpwstr/>
  </property>
  <property fmtid="{D5CDD505-2E9C-101B-9397-08002B2CF9AE}" pid="19" name="_dlc_DocIdItemGuid">
    <vt:lpwstr>1dc6408b-4562-4631-bf10-38b8a76c6e4a</vt:lpwstr>
  </property>
</Properties>
</file>