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7989C" w14:textId="22912A8E" w:rsidR="00975726" w:rsidRPr="006B57F5" w:rsidRDefault="008D1241" w:rsidP="006B57F5">
      <w:pPr>
        <w:pStyle w:val="Title"/>
        <w:rPr>
          <w:sz w:val="48"/>
          <w:szCs w:val="48"/>
        </w:rPr>
      </w:pPr>
      <w:bookmarkStart w:id="0" w:name="_GoBack"/>
      <w:bookmarkEnd w:id="0"/>
      <w:r>
        <w:rPr>
          <w:noProof/>
          <w:lang w:eastAsia="en-AU"/>
        </w:rPr>
        <w:drawing>
          <wp:anchor distT="0" distB="0" distL="114300" distR="114300" simplePos="0" relativeHeight="251658240" behindDoc="1" locked="0" layoutInCell="1" allowOverlap="1" wp14:anchorId="7BB79A29" wp14:editId="3D0D542D">
            <wp:simplePos x="0" y="0"/>
            <wp:positionH relativeFrom="page">
              <wp:posOffset>76200</wp:posOffset>
            </wp:positionH>
            <wp:positionV relativeFrom="paragraph">
              <wp:posOffset>-914400</wp:posOffset>
            </wp:positionV>
            <wp:extent cx="7391400" cy="10565130"/>
            <wp:effectExtent l="0" t="0" r="0" b="7620"/>
            <wp:wrapNone/>
            <wp:docPr id="1" name="Picture 1" descr="Background graphic - decorative element only" title="Backgroun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al_Word_update_slide_master_nologo.jpg"/>
                    <pic:cNvPicPr/>
                  </pic:nvPicPr>
                  <pic:blipFill>
                    <a:blip r:embed="rId12">
                      <a:extLst>
                        <a:ext uri="{28A0092B-C50C-407E-A947-70E740481C1C}">
                          <a14:useLocalDpi xmlns:a14="http://schemas.microsoft.com/office/drawing/2010/main" val="0"/>
                        </a:ext>
                      </a:extLst>
                    </a:blip>
                    <a:stretch>
                      <a:fillRect/>
                    </a:stretch>
                  </pic:blipFill>
                  <pic:spPr>
                    <a:xfrm>
                      <a:off x="0" y="0"/>
                      <a:ext cx="7391400" cy="105651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1" behindDoc="1" locked="0" layoutInCell="1" allowOverlap="1" wp14:anchorId="2C01B001" wp14:editId="372EDD38">
            <wp:simplePos x="0" y="0"/>
            <wp:positionH relativeFrom="margin">
              <wp:align>left</wp:align>
            </wp:positionH>
            <wp:positionV relativeFrom="paragraph">
              <wp:posOffset>1270</wp:posOffset>
            </wp:positionV>
            <wp:extent cx="2800350" cy="691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ER-ADC-inline-Mono.png"/>
                    <pic:cNvPicPr/>
                  </pic:nvPicPr>
                  <pic:blipFill rotWithShape="1">
                    <a:blip r:embed="rId13">
                      <a:extLst>
                        <a:ext uri="{28A0092B-C50C-407E-A947-70E740481C1C}">
                          <a14:useLocalDpi xmlns:a14="http://schemas.microsoft.com/office/drawing/2010/main" val="0"/>
                        </a:ext>
                      </a:extLst>
                    </a:blip>
                    <a:srcRect l="139" t="-1836" r="38772" b="1836"/>
                    <a:stretch/>
                  </pic:blipFill>
                  <pic:spPr bwMode="auto">
                    <a:xfrm>
                      <a:off x="0" y="0"/>
                      <a:ext cx="280035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57F5">
        <w:t>Regulator Performance Framework</w:t>
      </w:r>
    </w:p>
    <w:p w14:paraId="7BB7989D" w14:textId="3AF74A28" w:rsidR="006B57F5" w:rsidRPr="00AE34D9" w:rsidRDefault="006B57F5" w:rsidP="00FD01FB">
      <w:pPr>
        <w:pStyle w:val="Subtitle"/>
        <w:ind w:right="662"/>
        <w:rPr>
          <w:b/>
          <w:color w:val="BE542A"/>
        </w:rPr>
      </w:pPr>
      <w:r w:rsidRPr="00AE34D9">
        <w:rPr>
          <w:b/>
          <w:color w:val="BE542A"/>
        </w:rPr>
        <w:t>Self-Assessment Report</w:t>
      </w:r>
    </w:p>
    <w:p w14:paraId="7BB7989E" w14:textId="77777777" w:rsidR="002300AC" w:rsidRPr="001B37D0" w:rsidRDefault="006B57F5" w:rsidP="001B37D0">
      <w:pPr>
        <w:rPr>
          <w:sz w:val="32"/>
          <w:szCs w:val="32"/>
        </w:rPr>
      </w:pPr>
      <w:r w:rsidRPr="001B37D0">
        <w:rPr>
          <w:sz w:val="32"/>
          <w:szCs w:val="32"/>
        </w:rPr>
        <w:t>Submitted by:</w:t>
      </w:r>
      <w:r w:rsidR="00D7114C">
        <w:rPr>
          <w:sz w:val="32"/>
          <w:szCs w:val="32"/>
        </w:rPr>
        <w:t xml:space="preserve"> The Anti-Dumping Commission</w:t>
      </w:r>
    </w:p>
    <w:p w14:paraId="7BB7989F" w14:textId="62C18136" w:rsidR="00163B54" w:rsidRPr="00AE34D9" w:rsidRDefault="00080965" w:rsidP="001B37D0">
      <w:pPr>
        <w:rPr>
          <w:color w:val="609DC5"/>
          <w:sz w:val="32"/>
          <w:szCs w:val="32"/>
        </w:rPr>
      </w:pPr>
      <w:r>
        <w:rPr>
          <w:color w:val="609DC5"/>
          <w:sz w:val="32"/>
          <w:szCs w:val="32"/>
        </w:rPr>
        <w:t>5 November</w:t>
      </w:r>
      <w:r w:rsidR="00752723" w:rsidRPr="00AE34D9">
        <w:rPr>
          <w:color w:val="609DC5"/>
          <w:sz w:val="32"/>
          <w:szCs w:val="32"/>
        </w:rPr>
        <w:t xml:space="preserve"> </w:t>
      </w:r>
      <w:r w:rsidR="00D7088A" w:rsidRPr="00AE34D9">
        <w:rPr>
          <w:color w:val="609DC5"/>
          <w:sz w:val="32"/>
          <w:szCs w:val="32"/>
        </w:rPr>
        <w:t>2020</w:t>
      </w:r>
    </w:p>
    <w:p w14:paraId="7BB798A0" w14:textId="77777777" w:rsidR="006B57F5" w:rsidRDefault="006B57F5" w:rsidP="00FD01FB">
      <w:pPr>
        <w:ind w:right="662"/>
      </w:pPr>
    </w:p>
    <w:p w14:paraId="7BB798A1" w14:textId="77777777" w:rsidR="00D7114C" w:rsidRDefault="00D7114C" w:rsidP="00FD01FB">
      <w:pPr>
        <w:ind w:right="662"/>
      </w:pPr>
    </w:p>
    <w:p w14:paraId="7BB798A2" w14:textId="11FED609" w:rsidR="00602C92" w:rsidRDefault="00AE6740" w:rsidP="00FD01FB">
      <w:pPr>
        <w:ind w:right="662"/>
        <w:rPr>
          <w:rStyle w:val="Hyperlink"/>
        </w:rPr>
      </w:pPr>
      <w:r>
        <w:rPr>
          <w:rStyle w:val="Hyperlink"/>
        </w:rPr>
        <w:fldChar w:fldCharType="begin"/>
      </w:r>
      <w:r>
        <w:rPr>
          <w:rStyle w:val="Hyperlink"/>
        </w:rPr>
        <w:instrText xml:space="preserve">http://www.adcommission.gov.au/Pages/default.aspx" </w:instrText>
      </w:r>
      <w:r>
        <w:rPr>
          <w:rStyle w:val="Hyperlink"/>
        </w:rPr>
        <w:fldChar w:fldCharType="separate"/>
      </w:r>
      <w:r w:rsidR="00235C24">
        <w:rPr>
          <w:rStyle w:val="Hyperlink"/>
        </w:rPr>
        <w:t>www.adcommission.gov.au</w:t>
      </w:r>
      <w:r>
        <w:rPr>
          <w:rStyle w:val="Hyperlink"/>
        </w:rPr>
        <w:fldChar w:fldCharType="end"/>
      </w:r>
      <w:r w:rsidR="00235C24">
        <w:t xml:space="preserve">  </w:t>
      </w:r>
    </w:p>
    <w:p w14:paraId="7BB798A3" w14:textId="77777777" w:rsidR="001A2DC6" w:rsidRDefault="001A2DC6" w:rsidP="001A25AE">
      <w:pPr>
        <w:ind w:left="993" w:right="804"/>
        <w:rPr>
          <w:rStyle w:val="Hyperlink"/>
        </w:rPr>
      </w:pPr>
    </w:p>
    <w:p w14:paraId="7BB798A4" w14:textId="77777777" w:rsidR="001A2DC6" w:rsidRDefault="001A2DC6" w:rsidP="00163B54">
      <w:pPr>
        <w:rPr>
          <w:rStyle w:val="Hyperlink"/>
        </w:rPr>
        <w:sectPr w:rsidR="001A2DC6" w:rsidSect="0088639D">
          <w:footerReference w:type="even" r:id="rId14"/>
          <w:pgSz w:w="11906" w:h="16838"/>
          <w:pgMar w:top="1440" w:right="1440" w:bottom="1440" w:left="1440" w:header="708" w:footer="708" w:gutter="0"/>
          <w:cols w:space="708"/>
          <w:docGrid w:linePitch="360"/>
        </w:sectPr>
      </w:pPr>
    </w:p>
    <w:p w14:paraId="7BB798A5" w14:textId="77777777" w:rsidR="00CB2680" w:rsidRPr="005C0EA6" w:rsidRDefault="00CB2680" w:rsidP="005C0EA6">
      <w:pPr>
        <w:pStyle w:val="Heading1"/>
        <w:rPr>
          <w:rStyle w:val="Tabletitle"/>
          <w:b/>
          <w:color w:val="609DC5"/>
        </w:rPr>
      </w:pPr>
      <w:bookmarkStart w:id="1" w:name="_Toc326942572"/>
      <w:bookmarkStart w:id="2" w:name="_Toc49953493"/>
      <w:bookmarkStart w:id="3" w:name="_Toc52455992"/>
      <w:bookmarkStart w:id="4" w:name="_Toc419991345"/>
      <w:r w:rsidRPr="005C0EA6">
        <w:rPr>
          <w:rStyle w:val="Tabletitle"/>
          <w:b/>
          <w:color w:val="609DC5"/>
        </w:rPr>
        <w:lastRenderedPageBreak/>
        <w:t>Contents</w:t>
      </w:r>
      <w:bookmarkEnd w:id="1"/>
      <w:bookmarkEnd w:id="2"/>
      <w:bookmarkEnd w:id="3"/>
    </w:p>
    <w:p w14:paraId="4AB78635" w14:textId="72943569" w:rsidR="002F16FA" w:rsidRDefault="00B37916">
      <w:pPr>
        <w:pStyle w:val="TOC1"/>
        <w:rPr>
          <w:rFonts w:eastAsiaTheme="minorEastAsia"/>
          <w:sz w:val="22"/>
          <w:lang w:eastAsia="en-AU"/>
        </w:rPr>
      </w:pPr>
      <w:r w:rsidRPr="009E7071">
        <w:rPr>
          <w:color w:val="000000" w:themeColor="text1"/>
          <w:sz w:val="22"/>
        </w:rPr>
        <w:fldChar w:fldCharType="begin"/>
      </w:r>
      <w:r w:rsidRPr="009E7071">
        <w:rPr>
          <w:color w:val="000000" w:themeColor="text1"/>
          <w:sz w:val="22"/>
        </w:rPr>
        <w:instrText xml:space="preserve"> TOC \o "1-4" </w:instrText>
      </w:r>
      <w:r w:rsidRPr="009E7071">
        <w:rPr>
          <w:rFonts w:asciiTheme="majorHAnsi" w:eastAsiaTheme="majorEastAsia" w:hAnsiTheme="majorHAnsi" w:cstheme="majorBidi"/>
          <w:b/>
          <w:noProof w:val="0"/>
          <w:color w:val="EC6F60"/>
          <w:sz w:val="22"/>
          <w:szCs w:val="26"/>
        </w:rPr>
        <w:fldChar w:fldCharType="separate"/>
      </w:r>
      <w:r w:rsidR="002F16FA">
        <w:t>1</w:t>
      </w:r>
      <w:r w:rsidR="002F16FA">
        <w:rPr>
          <w:rFonts w:eastAsiaTheme="minorEastAsia"/>
          <w:sz w:val="22"/>
          <w:lang w:eastAsia="en-AU"/>
        </w:rPr>
        <w:tab/>
      </w:r>
      <w:r w:rsidR="002F16FA">
        <w:t>Certification by the Accountable Authority</w:t>
      </w:r>
      <w:r w:rsidR="002F16FA">
        <w:tab/>
      </w:r>
      <w:r w:rsidR="002F16FA">
        <w:fldChar w:fldCharType="begin"/>
      </w:r>
      <w:r w:rsidR="002F16FA">
        <w:instrText xml:space="preserve"> PAGEREF _Toc52455993 \h </w:instrText>
      </w:r>
      <w:r w:rsidR="002F16FA">
        <w:fldChar w:fldCharType="separate"/>
      </w:r>
      <w:r w:rsidR="00C63CA5">
        <w:t>3</w:t>
      </w:r>
      <w:r w:rsidR="002F16FA">
        <w:fldChar w:fldCharType="end"/>
      </w:r>
    </w:p>
    <w:p w14:paraId="7DA48D9F" w14:textId="77777777" w:rsidR="002F16FA" w:rsidRDefault="002F16FA">
      <w:pPr>
        <w:pStyle w:val="TOC1"/>
        <w:rPr>
          <w:rFonts w:eastAsiaTheme="minorEastAsia"/>
          <w:sz w:val="22"/>
          <w:lang w:eastAsia="en-AU"/>
        </w:rPr>
      </w:pPr>
      <w:r>
        <w:t>2</w:t>
      </w:r>
      <w:r>
        <w:rPr>
          <w:rFonts w:eastAsiaTheme="minorEastAsia"/>
          <w:sz w:val="22"/>
          <w:lang w:eastAsia="en-AU"/>
        </w:rPr>
        <w:tab/>
      </w:r>
      <w:r>
        <w:t>One page snapshot</w:t>
      </w:r>
      <w:r>
        <w:tab/>
      </w:r>
      <w:r>
        <w:fldChar w:fldCharType="begin"/>
      </w:r>
      <w:r>
        <w:instrText xml:space="preserve"> PAGEREF _Toc52455994 \h </w:instrText>
      </w:r>
      <w:r>
        <w:fldChar w:fldCharType="separate"/>
      </w:r>
      <w:r w:rsidR="00C63CA5">
        <w:t>4</w:t>
      </w:r>
      <w:r>
        <w:fldChar w:fldCharType="end"/>
      </w:r>
    </w:p>
    <w:p w14:paraId="2CD9FBF5" w14:textId="77777777" w:rsidR="002F16FA" w:rsidRDefault="002F16FA">
      <w:pPr>
        <w:pStyle w:val="TOC1"/>
        <w:rPr>
          <w:rFonts w:eastAsiaTheme="minorEastAsia"/>
          <w:sz w:val="22"/>
          <w:lang w:eastAsia="en-AU"/>
        </w:rPr>
      </w:pPr>
      <w:r>
        <w:t>3</w:t>
      </w:r>
      <w:r>
        <w:rPr>
          <w:rFonts w:eastAsiaTheme="minorEastAsia"/>
          <w:sz w:val="22"/>
          <w:lang w:eastAsia="en-AU"/>
        </w:rPr>
        <w:tab/>
      </w:r>
      <w:r>
        <w:t>Introduction</w:t>
      </w:r>
      <w:r>
        <w:tab/>
      </w:r>
      <w:r>
        <w:fldChar w:fldCharType="begin"/>
      </w:r>
      <w:r>
        <w:instrText xml:space="preserve"> PAGEREF _Toc52455995 \h </w:instrText>
      </w:r>
      <w:r>
        <w:fldChar w:fldCharType="separate"/>
      </w:r>
      <w:r w:rsidR="00C63CA5">
        <w:t>6</w:t>
      </w:r>
      <w:r>
        <w:fldChar w:fldCharType="end"/>
      </w:r>
    </w:p>
    <w:p w14:paraId="41A3AEC2" w14:textId="77777777" w:rsidR="002F16FA" w:rsidRDefault="002F16FA">
      <w:pPr>
        <w:pStyle w:val="TOC2"/>
        <w:rPr>
          <w:rFonts w:eastAsiaTheme="minorEastAsia"/>
          <w:noProof/>
          <w:color w:val="auto"/>
          <w:sz w:val="22"/>
          <w:lang w:eastAsia="en-AU"/>
        </w:rPr>
      </w:pPr>
      <w:r>
        <w:rPr>
          <w:noProof/>
        </w:rPr>
        <w:t>3.1</w:t>
      </w:r>
      <w:r>
        <w:rPr>
          <w:rFonts w:eastAsiaTheme="minorEastAsia"/>
          <w:noProof/>
          <w:color w:val="auto"/>
          <w:sz w:val="22"/>
          <w:lang w:eastAsia="en-AU"/>
        </w:rPr>
        <w:tab/>
      </w:r>
      <w:r>
        <w:rPr>
          <w:noProof/>
        </w:rPr>
        <w:t>About the Anti-Dumping Commission</w:t>
      </w:r>
      <w:r>
        <w:rPr>
          <w:noProof/>
        </w:rPr>
        <w:tab/>
      </w:r>
      <w:r>
        <w:rPr>
          <w:noProof/>
        </w:rPr>
        <w:fldChar w:fldCharType="begin"/>
      </w:r>
      <w:r>
        <w:rPr>
          <w:noProof/>
        </w:rPr>
        <w:instrText xml:space="preserve"> PAGEREF _Toc52455996 \h </w:instrText>
      </w:r>
      <w:r>
        <w:rPr>
          <w:noProof/>
        </w:rPr>
      </w:r>
      <w:r>
        <w:rPr>
          <w:noProof/>
        </w:rPr>
        <w:fldChar w:fldCharType="separate"/>
      </w:r>
      <w:r w:rsidR="00C63CA5">
        <w:rPr>
          <w:noProof/>
        </w:rPr>
        <w:t>6</w:t>
      </w:r>
      <w:r>
        <w:rPr>
          <w:noProof/>
        </w:rPr>
        <w:fldChar w:fldCharType="end"/>
      </w:r>
    </w:p>
    <w:p w14:paraId="3F7430A1" w14:textId="77777777" w:rsidR="002F16FA" w:rsidRDefault="002F16FA">
      <w:pPr>
        <w:pStyle w:val="TOC2"/>
        <w:rPr>
          <w:rFonts w:eastAsiaTheme="minorEastAsia"/>
          <w:noProof/>
          <w:color w:val="auto"/>
          <w:sz w:val="22"/>
          <w:lang w:eastAsia="en-AU"/>
        </w:rPr>
      </w:pPr>
      <w:r>
        <w:rPr>
          <w:noProof/>
        </w:rPr>
        <w:t>3.2</w:t>
      </w:r>
      <w:r>
        <w:rPr>
          <w:rFonts w:eastAsiaTheme="minorEastAsia"/>
          <w:noProof/>
          <w:color w:val="auto"/>
          <w:sz w:val="22"/>
          <w:lang w:eastAsia="en-AU"/>
        </w:rPr>
        <w:tab/>
      </w:r>
      <w:r>
        <w:rPr>
          <w:noProof/>
        </w:rPr>
        <w:t>The Australian Government Regulator Performance Framework</w:t>
      </w:r>
      <w:r>
        <w:rPr>
          <w:noProof/>
        </w:rPr>
        <w:tab/>
      </w:r>
      <w:r>
        <w:rPr>
          <w:noProof/>
        </w:rPr>
        <w:fldChar w:fldCharType="begin"/>
      </w:r>
      <w:r>
        <w:rPr>
          <w:noProof/>
        </w:rPr>
        <w:instrText xml:space="preserve"> PAGEREF _Toc52455997 \h </w:instrText>
      </w:r>
      <w:r>
        <w:rPr>
          <w:noProof/>
        </w:rPr>
      </w:r>
      <w:r>
        <w:rPr>
          <w:noProof/>
        </w:rPr>
        <w:fldChar w:fldCharType="separate"/>
      </w:r>
      <w:r w:rsidR="00C63CA5">
        <w:rPr>
          <w:noProof/>
        </w:rPr>
        <w:t>7</w:t>
      </w:r>
      <w:r>
        <w:rPr>
          <w:noProof/>
        </w:rPr>
        <w:fldChar w:fldCharType="end"/>
      </w:r>
    </w:p>
    <w:p w14:paraId="677A5665" w14:textId="77777777" w:rsidR="002F16FA" w:rsidRDefault="002F16FA">
      <w:pPr>
        <w:pStyle w:val="TOC2"/>
        <w:rPr>
          <w:rFonts w:eastAsiaTheme="minorEastAsia"/>
          <w:noProof/>
          <w:color w:val="auto"/>
          <w:sz w:val="22"/>
          <w:lang w:eastAsia="en-AU"/>
        </w:rPr>
      </w:pPr>
      <w:r>
        <w:rPr>
          <w:noProof/>
        </w:rPr>
        <w:t>3.3</w:t>
      </w:r>
      <w:r>
        <w:rPr>
          <w:rFonts w:eastAsiaTheme="minorEastAsia"/>
          <w:noProof/>
          <w:color w:val="auto"/>
          <w:sz w:val="22"/>
          <w:lang w:eastAsia="en-AU"/>
        </w:rPr>
        <w:tab/>
      </w:r>
      <w:r>
        <w:rPr>
          <w:noProof/>
        </w:rPr>
        <w:t>Our approach to implementing the RPF</w:t>
      </w:r>
      <w:r>
        <w:rPr>
          <w:noProof/>
        </w:rPr>
        <w:tab/>
      </w:r>
      <w:r>
        <w:rPr>
          <w:noProof/>
        </w:rPr>
        <w:fldChar w:fldCharType="begin"/>
      </w:r>
      <w:r>
        <w:rPr>
          <w:noProof/>
        </w:rPr>
        <w:instrText xml:space="preserve"> PAGEREF _Toc52455998 \h </w:instrText>
      </w:r>
      <w:r>
        <w:rPr>
          <w:noProof/>
        </w:rPr>
      </w:r>
      <w:r>
        <w:rPr>
          <w:noProof/>
        </w:rPr>
        <w:fldChar w:fldCharType="separate"/>
      </w:r>
      <w:r w:rsidR="00C63CA5">
        <w:rPr>
          <w:noProof/>
        </w:rPr>
        <w:t>8</w:t>
      </w:r>
      <w:r>
        <w:rPr>
          <w:noProof/>
        </w:rPr>
        <w:fldChar w:fldCharType="end"/>
      </w:r>
    </w:p>
    <w:p w14:paraId="5B514C96" w14:textId="77777777" w:rsidR="002F16FA" w:rsidRDefault="002F16FA">
      <w:pPr>
        <w:pStyle w:val="TOC1"/>
        <w:rPr>
          <w:rFonts w:eastAsiaTheme="minorEastAsia"/>
          <w:sz w:val="22"/>
          <w:lang w:eastAsia="en-AU"/>
        </w:rPr>
      </w:pPr>
      <w:r>
        <w:t>4</w:t>
      </w:r>
      <w:r>
        <w:rPr>
          <w:rFonts w:eastAsiaTheme="minorEastAsia"/>
          <w:sz w:val="22"/>
          <w:lang w:eastAsia="en-AU"/>
        </w:rPr>
        <w:tab/>
      </w:r>
      <w:r>
        <w:t>Assessment</w:t>
      </w:r>
      <w:r>
        <w:tab/>
      </w:r>
      <w:r>
        <w:fldChar w:fldCharType="begin"/>
      </w:r>
      <w:r>
        <w:instrText xml:space="preserve"> PAGEREF _Toc52455999 \h </w:instrText>
      </w:r>
      <w:r>
        <w:fldChar w:fldCharType="separate"/>
      </w:r>
      <w:r w:rsidR="00C63CA5">
        <w:t>9</w:t>
      </w:r>
      <w:r>
        <w:fldChar w:fldCharType="end"/>
      </w:r>
    </w:p>
    <w:p w14:paraId="58F405E9" w14:textId="77777777" w:rsidR="002F16FA" w:rsidRDefault="002F16FA">
      <w:pPr>
        <w:pStyle w:val="TOC2"/>
        <w:rPr>
          <w:rFonts w:eastAsiaTheme="minorEastAsia"/>
          <w:noProof/>
          <w:color w:val="auto"/>
          <w:sz w:val="22"/>
          <w:lang w:eastAsia="en-AU"/>
        </w:rPr>
      </w:pPr>
      <w:r>
        <w:rPr>
          <w:noProof/>
        </w:rPr>
        <w:t>KPI 1 - Regulators do not unnecessarily impede the efficient operation of regulated entities</w:t>
      </w:r>
      <w:r>
        <w:rPr>
          <w:noProof/>
        </w:rPr>
        <w:tab/>
      </w:r>
      <w:r>
        <w:rPr>
          <w:noProof/>
        </w:rPr>
        <w:fldChar w:fldCharType="begin"/>
      </w:r>
      <w:r>
        <w:rPr>
          <w:noProof/>
        </w:rPr>
        <w:instrText xml:space="preserve"> PAGEREF _Toc52456000 \h </w:instrText>
      </w:r>
      <w:r>
        <w:rPr>
          <w:noProof/>
        </w:rPr>
      </w:r>
      <w:r>
        <w:rPr>
          <w:noProof/>
        </w:rPr>
        <w:fldChar w:fldCharType="separate"/>
      </w:r>
      <w:r w:rsidR="00C63CA5">
        <w:rPr>
          <w:noProof/>
        </w:rPr>
        <w:t>9</w:t>
      </w:r>
      <w:r>
        <w:rPr>
          <w:noProof/>
        </w:rPr>
        <w:fldChar w:fldCharType="end"/>
      </w:r>
    </w:p>
    <w:p w14:paraId="2493994F" w14:textId="77777777" w:rsidR="002F16FA" w:rsidRDefault="002F16FA">
      <w:pPr>
        <w:pStyle w:val="TOC2"/>
        <w:rPr>
          <w:rFonts w:eastAsiaTheme="minorEastAsia"/>
          <w:noProof/>
          <w:color w:val="auto"/>
          <w:sz w:val="22"/>
          <w:lang w:eastAsia="en-AU"/>
        </w:rPr>
      </w:pPr>
      <w:r>
        <w:rPr>
          <w:noProof/>
        </w:rPr>
        <w:t>KPI 2 - Communication with regulated entities is clear, targeted and effective</w:t>
      </w:r>
      <w:r>
        <w:rPr>
          <w:noProof/>
        </w:rPr>
        <w:tab/>
      </w:r>
      <w:r>
        <w:rPr>
          <w:noProof/>
        </w:rPr>
        <w:fldChar w:fldCharType="begin"/>
      </w:r>
      <w:r>
        <w:rPr>
          <w:noProof/>
        </w:rPr>
        <w:instrText xml:space="preserve"> PAGEREF _Toc52456001 \h </w:instrText>
      </w:r>
      <w:r>
        <w:rPr>
          <w:noProof/>
        </w:rPr>
      </w:r>
      <w:r>
        <w:rPr>
          <w:noProof/>
        </w:rPr>
        <w:fldChar w:fldCharType="separate"/>
      </w:r>
      <w:r w:rsidR="00C63CA5">
        <w:rPr>
          <w:noProof/>
        </w:rPr>
        <w:t>13</w:t>
      </w:r>
      <w:r>
        <w:rPr>
          <w:noProof/>
        </w:rPr>
        <w:fldChar w:fldCharType="end"/>
      </w:r>
    </w:p>
    <w:p w14:paraId="4D6D211F" w14:textId="77777777" w:rsidR="002F16FA" w:rsidRDefault="002F16FA">
      <w:pPr>
        <w:pStyle w:val="TOC2"/>
        <w:rPr>
          <w:rFonts w:eastAsiaTheme="minorEastAsia"/>
          <w:noProof/>
          <w:color w:val="auto"/>
          <w:sz w:val="22"/>
          <w:lang w:eastAsia="en-AU"/>
        </w:rPr>
      </w:pPr>
      <w:r>
        <w:rPr>
          <w:noProof/>
        </w:rPr>
        <w:t>KPI 3 - Actions undertaken by regulators are proportionate to the regulatory risk being managed</w:t>
      </w:r>
      <w:r>
        <w:rPr>
          <w:noProof/>
        </w:rPr>
        <w:tab/>
      </w:r>
      <w:r>
        <w:rPr>
          <w:noProof/>
        </w:rPr>
        <w:fldChar w:fldCharType="begin"/>
      </w:r>
      <w:r>
        <w:rPr>
          <w:noProof/>
        </w:rPr>
        <w:instrText xml:space="preserve"> PAGEREF _Toc52456002 \h </w:instrText>
      </w:r>
      <w:r>
        <w:rPr>
          <w:noProof/>
        </w:rPr>
      </w:r>
      <w:r>
        <w:rPr>
          <w:noProof/>
        </w:rPr>
        <w:fldChar w:fldCharType="separate"/>
      </w:r>
      <w:r w:rsidR="00C63CA5">
        <w:rPr>
          <w:noProof/>
        </w:rPr>
        <w:t>18</w:t>
      </w:r>
      <w:r>
        <w:rPr>
          <w:noProof/>
        </w:rPr>
        <w:fldChar w:fldCharType="end"/>
      </w:r>
    </w:p>
    <w:p w14:paraId="6E9C8FA8" w14:textId="77777777" w:rsidR="002F16FA" w:rsidRDefault="002F16FA">
      <w:pPr>
        <w:pStyle w:val="TOC2"/>
        <w:rPr>
          <w:rFonts w:eastAsiaTheme="minorEastAsia"/>
          <w:noProof/>
          <w:color w:val="auto"/>
          <w:sz w:val="22"/>
          <w:lang w:eastAsia="en-AU"/>
        </w:rPr>
      </w:pPr>
      <w:r>
        <w:rPr>
          <w:noProof/>
        </w:rPr>
        <w:t>KPI 4 - Compliance and monitoring approaches are streamlined and co-ordinated</w:t>
      </w:r>
      <w:r>
        <w:rPr>
          <w:noProof/>
        </w:rPr>
        <w:tab/>
      </w:r>
      <w:r>
        <w:rPr>
          <w:noProof/>
        </w:rPr>
        <w:fldChar w:fldCharType="begin"/>
      </w:r>
      <w:r>
        <w:rPr>
          <w:noProof/>
        </w:rPr>
        <w:instrText xml:space="preserve"> PAGEREF _Toc52456003 \h </w:instrText>
      </w:r>
      <w:r>
        <w:rPr>
          <w:noProof/>
        </w:rPr>
      </w:r>
      <w:r>
        <w:rPr>
          <w:noProof/>
        </w:rPr>
        <w:fldChar w:fldCharType="separate"/>
      </w:r>
      <w:r w:rsidR="00C63CA5">
        <w:rPr>
          <w:noProof/>
        </w:rPr>
        <w:t>21</w:t>
      </w:r>
      <w:r>
        <w:rPr>
          <w:noProof/>
        </w:rPr>
        <w:fldChar w:fldCharType="end"/>
      </w:r>
    </w:p>
    <w:p w14:paraId="0740015E" w14:textId="77777777" w:rsidR="002F16FA" w:rsidRDefault="002F16FA">
      <w:pPr>
        <w:pStyle w:val="TOC2"/>
        <w:rPr>
          <w:rFonts w:eastAsiaTheme="minorEastAsia"/>
          <w:noProof/>
          <w:color w:val="auto"/>
          <w:sz w:val="22"/>
          <w:lang w:eastAsia="en-AU"/>
        </w:rPr>
      </w:pPr>
      <w:r>
        <w:rPr>
          <w:noProof/>
        </w:rPr>
        <w:t>KPI 5 - Regulators are open and transparent in their dealings with regulated entities</w:t>
      </w:r>
      <w:r>
        <w:rPr>
          <w:noProof/>
        </w:rPr>
        <w:tab/>
      </w:r>
      <w:r>
        <w:rPr>
          <w:noProof/>
        </w:rPr>
        <w:fldChar w:fldCharType="begin"/>
      </w:r>
      <w:r>
        <w:rPr>
          <w:noProof/>
        </w:rPr>
        <w:instrText xml:space="preserve"> PAGEREF _Toc52456004 \h </w:instrText>
      </w:r>
      <w:r>
        <w:rPr>
          <w:noProof/>
        </w:rPr>
      </w:r>
      <w:r>
        <w:rPr>
          <w:noProof/>
        </w:rPr>
        <w:fldChar w:fldCharType="separate"/>
      </w:r>
      <w:r w:rsidR="00C63CA5">
        <w:rPr>
          <w:noProof/>
        </w:rPr>
        <w:t>22</w:t>
      </w:r>
      <w:r>
        <w:rPr>
          <w:noProof/>
        </w:rPr>
        <w:fldChar w:fldCharType="end"/>
      </w:r>
    </w:p>
    <w:p w14:paraId="3D8124D4" w14:textId="77777777" w:rsidR="002F16FA" w:rsidRDefault="002F16FA">
      <w:pPr>
        <w:pStyle w:val="TOC2"/>
        <w:rPr>
          <w:rFonts w:eastAsiaTheme="minorEastAsia"/>
          <w:noProof/>
          <w:color w:val="auto"/>
          <w:sz w:val="22"/>
          <w:lang w:eastAsia="en-AU"/>
        </w:rPr>
      </w:pPr>
      <w:r>
        <w:rPr>
          <w:noProof/>
        </w:rPr>
        <w:t>KPI 6 - Regulators actively contribute to the continuous improvement of regulatory frameworks</w:t>
      </w:r>
      <w:r>
        <w:rPr>
          <w:noProof/>
        </w:rPr>
        <w:tab/>
      </w:r>
      <w:r>
        <w:rPr>
          <w:noProof/>
        </w:rPr>
        <w:fldChar w:fldCharType="begin"/>
      </w:r>
      <w:r>
        <w:rPr>
          <w:noProof/>
        </w:rPr>
        <w:instrText xml:space="preserve"> PAGEREF _Toc52456005 \h </w:instrText>
      </w:r>
      <w:r>
        <w:rPr>
          <w:noProof/>
        </w:rPr>
      </w:r>
      <w:r>
        <w:rPr>
          <w:noProof/>
        </w:rPr>
        <w:fldChar w:fldCharType="separate"/>
      </w:r>
      <w:r w:rsidR="00C63CA5">
        <w:rPr>
          <w:noProof/>
        </w:rPr>
        <w:t>24</w:t>
      </w:r>
      <w:r>
        <w:rPr>
          <w:noProof/>
        </w:rPr>
        <w:fldChar w:fldCharType="end"/>
      </w:r>
    </w:p>
    <w:p w14:paraId="7BB798B4" w14:textId="3D73F173" w:rsidR="00C81ADD" w:rsidRDefault="00B37916" w:rsidP="009E7071">
      <w:pPr>
        <w:pStyle w:val="Heading2"/>
        <w:numPr>
          <w:ilvl w:val="0"/>
          <w:numId w:val="0"/>
        </w:numPr>
        <w:ind w:left="578"/>
      </w:pPr>
      <w:r w:rsidRPr="009E7071">
        <w:rPr>
          <w:b w:val="0"/>
        </w:rPr>
        <w:fldChar w:fldCharType="end"/>
      </w:r>
      <w:r w:rsidR="00FD5DE8">
        <w:br w:type="page"/>
      </w:r>
    </w:p>
    <w:p w14:paraId="7BB798B5" w14:textId="77777777" w:rsidR="00C81ADD" w:rsidRPr="00777EB0" w:rsidRDefault="00C81ADD" w:rsidP="009E7071">
      <w:pPr>
        <w:pStyle w:val="Heading1"/>
        <w:numPr>
          <w:ilvl w:val="0"/>
          <w:numId w:val="4"/>
        </w:numPr>
      </w:pPr>
      <w:bookmarkStart w:id="5" w:name="_Toc49953494"/>
      <w:bookmarkStart w:id="6" w:name="_Toc52455993"/>
      <w:r w:rsidRPr="00777EB0">
        <w:t>Certification by the Accountable Authority</w:t>
      </w:r>
      <w:bookmarkEnd w:id="5"/>
      <w:bookmarkEnd w:id="6"/>
    </w:p>
    <w:p w14:paraId="7BB798B6" w14:textId="77777777" w:rsidR="00C81ADD" w:rsidRDefault="00C81ADD" w:rsidP="00C81ADD">
      <w:pPr>
        <w:rPr>
          <w:i/>
          <w:color w:val="FF0000"/>
        </w:rPr>
      </w:pPr>
    </w:p>
    <w:p w14:paraId="741379D7" w14:textId="77777777" w:rsidR="0086122B" w:rsidRPr="007713EB" w:rsidRDefault="0086122B" w:rsidP="0086122B">
      <w:pPr>
        <w:spacing w:after="200"/>
        <w:rPr>
          <w:i/>
        </w:rPr>
      </w:pPr>
      <w:r w:rsidRPr="007713EB">
        <w:rPr>
          <w:i/>
        </w:rPr>
        <w:t xml:space="preserve">“The regulator’s Accountable Authority under the PGPA Act, if applicable, </w:t>
      </w:r>
      <w:r w:rsidRPr="007713EB">
        <w:rPr>
          <w:b/>
          <w:i/>
          <w:u w:val="single"/>
        </w:rPr>
        <w:t>must certify the self-assessment report and provide it to the MAC or other stakeholder consultation mechanism</w:t>
      </w:r>
      <w:r w:rsidRPr="007713EB">
        <w:rPr>
          <w:i/>
        </w:rPr>
        <w:t xml:space="preserve"> approved by the responsible Minister”.</w:t>
      </w:r>
    </w:p>
    <w:p w14:paraId="2A362FEF" w14:textId="3B0C8777" w:rsidR="0086122B" w:rsidRPr="005C17D2" w:rsidRDefault="0086122B" w:rsidP="0086122B">
      <w:pPr>
        <w:spacing w:after="200"/>
        <w:rPr>
          <w:szCs w:val="20"/>
        </w:rPr>
      </w:pPr>
      <w:r w:rsidRPr="005C17D2">
        <w:rPr>
          <w:szCs w:val="20"/>
        </w:rPr>
        <w:t xml:space="preserve">The Secretary of the </w:t>
      </w:r>
      <w:r w:rsidR="005C17D2" w:rsidRPr="005C17D2">
        <w:rPr>
          <w:rFonts w:cstheme="minorHAnsi"/>
          <w:szCs w:val="20"/>
        </w:rPr>
        <w:t>Department of Industry, Science, Energy and Resources</w:t>
      </w:r>
      <w:r w:rsidR="005C17D2" w:rsidRPr="005C17D2">
        <w:rPr>
          <w:szCs w:val="20"/>
        </w:rPr>
        <w:t xml:space="preserve"> </w:t>
      </w:r>
      <w:r w:rsidRPr="005C17D2">
        <w:rPr>
          <w:szCs w:val="20"/>
        </w:rPr>
        <w:t>is the Accountable Authority for the Anti-Dumping Commission.</w:t>
      </w:r>
    </w:p>
    <w:p w14:paraId="17607676" w14:textId="6AAD5D0A" w:rsidR="0086122B" w:rsidRPr="007713EB" w:rsidRDefault="0086122B" w:rsidP="0086122B">
      <w:pPr>
        <w:spacing w:after="200"/>
      </w:pPr>
      <w:r>
        <w:t>The stakeholder consultation mechanism is the International Trade Remedies Forum.</w:t>
      </w:r>
    </w:p>
    <w:p w14:paraId="7BB798B8" w14:textId="77777777" w:rsidR="00C81ADD" w:rsidRDefault="00C81ADD" w:rsidP="00C81ADD">
      <w:pPr>
        <w:rPr>
          <w:i/>
          <w:color w:val="FF0000"/>
        </w:rPr>
      </w:pPr>
      <w:r>
        <w:rPr>
          <w:i/>
          <w:color w:val="FF0000"/>
        </w:rPr>
        <w:br w:type="page"/>
      </w:r>
    </w:p>
    <w:p w14:paraId="7BB798B9" w14:textId="77777777" w:rsidR="00C81ADD" w:rsidRPr="00777EB0" w:rsidRDefault="00C81ADD" w:rsidP="009E7071">
      <w:pPr>
        <w:pStyle w:val="Heading1"/>
        <w:numPr>
          <w:ilvl w:val="0"/>
          <w:numId w:val="4"/>
        </w:numPr>
      </w:pPr>
      <w:bookmarkStart w:id="7" w:name="_Toc49953495"/>
      <w:bookmarkStart w:id="8" w:name="_Toc52455994"/>
      <w:r w:rsidRPr="00777EB0">
        <w:t>One page snapshot</w:t>
      </w:r>
      <w:bookmarkEnd w:id="7"/>
      <w:bookmarkEnd w:id="8"/>
    </w:p>
    <w:p w14:paraId="7BB798BA" w14:textId="77777777" w:rsidR="0061541F" w:rsidRPr="00DF0029" w:rsidRDefault="0061541F" w:rsidP="00DF0029">
      <w:pPr>
        <w:spacing w:after="0"/>
        <w:rPr>
          <w:b/>
          <w:color w:val="398E98" w:themeColor="accent2" w:themeShade="BF"/>
          <w:sz w:val="22"/>
          <w:szCs w:val="24"/>
        </w:rPr>
      </w:pPr>
    </w:p>
    <w:p w14:paraId="7BB798BC" w14:textId="3C218371" w:rsidR="00E43A12" w:rsidRPr="00AE34D9" w:rsidRDefault="0061541F" w:rsidP="00DF0029">
      <w:pPr>
        <w:spacing w:after="200" w:line="240" w:lineRule="auto"/>
        <w:rPr>
          <w:b/>
          <w:color w:val="2D2D2E"/>
          <w:sz w:val="24"/>
          <w:szCs w:val="24"/>
        </w:rPr>
      </w:pPr>
      <w:r w:rsidRPr="00AE34D9">
        <w:rPr>
          <w:b/>
          <w:color w:val="2D2D2E"/>
          <w:sz w:val="24"/>
          <w:szCs w:val="24"/>
        </w:rPr>
        <w:t>Summary of achievement</w:t>
      </w:r>
    </w:p>
    <w:p w14:paraId="7BB798BD" w14:textId="19C23E20" w:rsidR="0061541F" w:rsidRDefault="00637615" w:rsidP="00235C24">
      <w:pPr>
        <w:pStyle w:val="ListParagraph"/>
        <w:spacing w:after="0" w:line="240" w:lineRule="auto"/>
        <w:ind w:left="0"/>
        <w:contextualSpacing w:val="0"/>
        <w:rPr>
          <w:rFonts w:cstheme="minorHAnsi"/>
        </w:rPr>
      </w:pPr>
      <w:r>
        <w:rPr>
          <w:rFonts w:cstheme="minorHAnsi"/>
        </w:rPr>
        <w:t xml:space="preserve">During </w:t>
      </w:r>
      <w:r w:rsidR="005C17D2">
        <w:rPr>
          <w:rFonts w:cstheme="minorHAnsi"/>
        </w:rPr>
        <w:t>2019-20</w:t>
      </w:r>
      <w:r w:rsidR="0061541F" w:rsidRPr="0061541F">
        <w:rPr>
          <w:rFonts w:cstheme="minorHAnsi"/>
        </w:rPr>
        <w:t>, the Anti-Dumping Commission’s</w:t>
      </w:r>
      <w:r w:rsidR="007404F5">
        <w:rPr>
          <w:rFonts w:cstheme="minorHAnsi"/>
        </w:rPr>
        <w:t xml:space="preserve"> (the Commission’s)</w:t>
      </w:r>
      <w:r w:rsidR="0061541F" w:rsidRPr="0061541F">
        <w:rPr>
          <w:rFonts w:cstheme="minorHAnsi"/>
        </w:rPr>
        <w:t xml:space="preserve"> performance </w:t>
      </w:r>
      <w:r w:rsidR="009D378A">
        <w:rPr>
          <w:rFonts w:cstheme="minorHAnsi"/>
        </w:rPr>
        <w:t xml:space="preserve">as a regulator </w:t>
      </w:r>
      <w:r w:rsidR="0061541F" w:rsidRPr="0061541F">
        <w:rPr>
          <w:rFonts w:cstheme="minorHAnsi"/>
        </w:rPr>
        <w:t>was self-assessed against the six key performance indicators (KPI) of the Australian Government Regulator Performance Framework (RPF). The Commission</w:t>
      </w:r>
      <w:r w:rsidR="007404F5">
        <w:rPr>
          <w:rFonts w:cstheme="minorHAnsi"/>
        </w:rPr>
        <w:t>,</w:t>
      </w:r>
      <w:r w:rsidR="0061541F" w:rsidRPr="0061541F">
        <w:rPr>
          <w:rFonts w:cstheme="minorHAnsi"/>
        </w:rPr>
        <w:t xml:space="preserve"> </w:t>
      </w:r>
      <w:r w:rsidR="002E4447">
        <w:rPr>
          <w:rFonts w:cstheme="minorHAnsi"/>
        </w:rPr>
        <w:t>similar to 2018-19</w:t>
      </w:r>
      <w:r w:rsidR="007404F5">
        <w:rPr>
          <w:rFonts w:cstheme="minorHAnsi"/>
        </w:rPr>
        <w:t>,</w:t>
      </w:r>
      <w:r w:rsidR="002E4447">
        <w:rPr>
          <w:rFonts w:cstheme="minorHAnsi"/>
        </w:rPr>
        <w:t xml:space="preserve"> </w:t>
      </w:r>
      <w:r w:rsidR="0061541F" w:rsidRPr="0061541F">
        <w:rPr>
          <w:rFonts w:cstheme="minorHAnsi"/>
        </w:rPr>
        <w:t>had its strongest performance in the areas of communication and transparency.</w:t>
      </w:r>
      <w:r w:rsidR="00E93561">
        <w:rPr>
          <w:rFonts w:cstheme="minorHAnsi"/>
        </w:rPr>
        <w:t xml:space="preserve"> </w:t>
      </w:r>
    </w:p>
    <w:p w14:paraId="7BB798BE" w14:textId="5EA19200" w:rsidR="00235C24" w:rsidRPr="0061541F" w:rsidRDefault="00235C24" w:rsidP="006924F4">
      <w:pPr>
        <w:pStyle w:val="ListParagraph"/>
        <w:spacing w:after="0" w:line="240" w:lineRule="auto"/>
        <w:ind w:left="0" w:right="-25"/>
        <w:contextualSpacing w:val="0"/>
        <w:rPr>
          <w:rFonts w:cstheme="minorHAnsi"/>
        </w:rPr>
      </w:pPr>
    </w:p>
    <w:p w14:paraId="7BB798BF" w14:textId="0F90CD65" w:rsidR="0061541F" w:rsidRPr="0061541F" w:rsidRDefault="006924F4" w:rsidP="0061541F">
      <w:pPr>
        <w:rPr>
          <w:rFonts w:cstheme="minorHAnsi"/>
          <w:sz w:val="22"/>
        </w:rPr>
      </w:pPr>
      <w:r>
        <w:rPr>
          <w:rFonts w:cstheme="minorHAnsi"/>
          <w:sz w:val="22"/>
        </w:rPr>
        <w:t>Specifically</w:t>
      </w:r>
      <w:r w:rsidR="0061541F" w:rsidRPr="0061541F">
        <w:rPr>
          <w:rFonts w:cstheme="minorHAnsi"/>
          <w:sz w:val="22"/>
        </w:rPr>
        <w:t xml:space="preserve">, </w:t>
      </w:r>
      <w:r w:rsidR="00BC392F">
        <w:rPr>
          <w:rFonts w:cstheme="minorHAnsi"/>
          <w:sz w:val="22"/>
        </w:rPr>
        <w:t xml:space="preserve">during </w:t>
      </w:r>
      <w:r w:rsidR="005C17D2">
        <w:rPr>
          <w:rFonts w:cstheme="minorHAnsi"/>
          <w:sz w:val="22"/>
        </w:rPr>
        <w:t>2019-20</w:t>
      </w:r>
      <w:r w:rsidR="00BC392F">
        <w:rPr>
          <w:rFonts w:cstheme="minorHAnsi"/>
          <w:sz w:val="22"/>
        </w:rPr>
        <w:t xml:space="preserve">, </w:t>
      </w:r>
      <w:r w:rsidR="0061541F" w:rsidRPr="0061541F">
        <w:rPr>
          <w:rFonts w:cstheme="minorHAnsi"/>
          <w:sz w:val="22"/>
        </w:rPr>
        <w:t>the Commission:</w:t>
      </w:r>
    </w:p>
    <w:p w14:paraId="534E6BDE" w14:textId="4BD61A4E" w:rsidR="00B0106E" w:rsidRDefault="00B0106E" w:rsidP="006924F4">
      <w:pPr>
        <w:pStyle w:val="ListParagraph"/>
        <w:numPr>
          <w:ilvl w:val="0"/>
          <w:numId w:val="5"/>
        </w:numPr>
        <w:spacing w:after="0" w:line="240" w:lineRule="auto"/>
        <w:rPr>
          <w:rFonts w:cstheme="minorHAnsi"/>
        </w:rPr>
      </w:pPr>
      <w:r>
        <w:rPr>
          <w:rFonts w:cstheme="minorHAnsi"/>
        </w:rPr>
        <w:t xml:space="preserve">engaged with members of the </w:t>
      </w:r>
      <w:r w:rsidR="005D577D" w:rsidRPr="003E7E64">
        <w:rPr>
          <w:rFonts w:cstheme="minorHAnsi"/>
        </w:rPr>
        <w:t xml:space="preserve">International Trade Remedies Forum </w:t>
      </w:r>
      <w:r w:rsidR="005D577D">
        <w:rPr>
          <w:rFonts w:cstheme="minorHAnsi"/>
        </w:rPr>
        <w:t>(</w:t>
      </w:r>
      <w:r>
        <w:rPr>
          <w:rFonts w:cstheme="minorHAnsi"/>
        </w:rPr>
        <w:t>ITRF</w:t>
      </w:r>
      <w:r w:rsidR="005D577D">
        <w:rPr>
          <w:rFonts w:cstheme="minorHAnsi"/>
        </w:rPr>
        <w:t>)</w:t>
      </w:r>
      <w:r>
        <w:rPr>
          <w:rFonts w:cstheme="minorHAnsi"/>
        </w:rPr>
        <w:t xml:space="preserve"> and trade remedy consultants to better understand their needs and how their experience with the Commission might be improved through digital technologies. </w:t>
      </w:r>
    </w:p>
    <w:p w14:paraId="77BCE343" w14:textId="1ADFCF59" w:rsidR="006924F4" w:rsidRPr="00AA78B8" w:rsidRDefault="006924F4">
      <w:pPr>
        <w:pStyle w:val="ListParagraph"/>
        <w:numPr>
          <w:ilvl w:val="0"/>
          <w:numId w:val="5"/>
        </w:numPr>
        <w:spacing w:after="0" w:line="240" w:lineRule="auto"/>
        <w:rPr>
          <w:rFonts w:cstheme="minorHAnsi"/>
        </w:rPr>
      </w:pPr>
      <w:r w:rsidRPr="003E7E64">
        <w:rPr>
          <w:rFonts w:cstheme="minorHAnsi"/>
        </w:rPr>
        <w:t xml:space="preserve">convened </w:t>
      </w:r>
      <w:r w:rsidR="000F1E33">
        <w:rPr>
          <w:rFonts w:cstheme="minorHAnsi"/>
        </w:rPr>
        <w:t xml:space="preserve">three </w:t>
      </w:r>
      <w:r w:rsidRPr="003E7E64">
        <w:rPr>
          <w:rFonts w:cstheme="minorHAnsi"/>
        </w:rPr>
        <w:t>meeting</w:t>
      </w:r>
      <w:r w:rsidR="000F1E33">
        <w:rPr>
          <w:rFonts w:cstheme="minorHAnsi"/>
        </w:rPr>
        <w:t>s</w:t>
      </w:r>
      <w:r w:rsidRPr="003E7E64">
        <w:rPr>
          <w:rFonts w:cstheme="minorHAnsi"/>
        </w:rPr>
        <w:t xml:space="preserve"> of the ITRF </w:t>
      </w:r>
      <w:r w:rsidR="003D21A8">
        <w:rPr>
          <w:rFonts w:cstheme="minorHAnsi"/>
        </w:rPr>
        <w:t>and</w:t>
      </w:r>
      <w:r w:rsidRPr="007F7FCA">
        <w:rPr>
          <w:rFonts w:cstheme="minorHAnsi"/>
        </w:rPr>
        <w:t xml:space="preserve"> </w:t>
      </w:r>
      <w:r w:rsidR="000F1E33">
        <w:rPr>
          <w:rFonts w:cstheme="minorHAnsi"/>
        </w:rPr>
        <w:t>four</w:t>
      </w:r>
      <w:r w:rsidR="000F1E33" w:rsidRPr="003E7E64">
        <w:rPr>
          <w:rFonts w:cstheme="minorHAnsi"/>
        </w:rPr>
        <w:t xml:space="preserve"> </w:t>
      </w:r>
      <w:r w:rsidRPr="003E7E64">
        <w:rPr>
          <w:rFonts w:cstheme="minorHAnsi"/>
        </w:rPr>
        <w:t xml:space="preserve">meetings of </w:t>
      </w:r>
      <w:r w:rsidR="00E4740D" w:rsidRPr="003E7E64">
        <w:rPr>
          <w:rFonts w:cstheme="minorHAnsi"/>
        </w:rPr>
        <w:t xml:space="preserve">ITRF </w:t>
      </w:r>
      <w:r w:rsidRPr="003E7E64">
        <w:rPr>
          <w:rFonts w:cstheme="minorHAnsi"/>
        </w:rPr>
        <w:t>subcommittees</w:t>
      </w:r>
      <w:r w:rsidR="00E4740D" w:rsidRPr="003E7E64">
        <w:rPr>
          <w:rFonts w:cstheme="minorHAnsi"/>
        </w:rPr>
        <w:t xml:space="preserve"> to facilitate ongoing dialogue with </w:t>
      </w:r>
      <w:r w:rsidR="00E4740D" w:rsidRPr="00AA78B8">
        <w:rPr>
          <w:rFonts w:cstheme="minorHAnsi"/>
        </w:rPr>
        <w:t>stakeholders</w:t>
      </w:r>
      <w:r w:rsidR="007404F5">
        <w:rPr>
          <w:rFonts w:cstheme="minorHAnsi"/>
        </w:rPr>
        <w:t>.</w:t>
      </w:r>
      <w:r w:rsidR="00E4740D" w:rsidRPr="00AA78B8">
        <w:rPr>
          <w:rFonts w:cstheme="minorHAnsi"/>
        </w:rPr>
        <w:t xml:space="preserve"> </w:t>
      </w:r>
    </w:p>
    <w:p w14:paraId="5AD0F8C1" w14:textId="26679094" w:rsidR="00B0106E" w:rsidRDefault="00B0106E" w:rsidP="00B0106E">
      <w:pPr>
        <w:pStyle w:val="ListParagraph"/>
        <w:numPr>
          <w:ilvl w:val="0"/>
          <w:numId w:val="5"/>
        </w:numPr>
        <w:spacing w:after="0" w:line="240" w:lineRule="auto"/>
        <w:contextualSpacing w:val="0"/>
        <w:rPr>
          <w:rFonts w:cstheme="minorHAnsi"/>
        </w:rPr>
      </w:pPr>
      <w:r>
        <w:rPr>
          <w:rFonts w:cstheme="minorHAnsi"/>
        </w:rPr>
        <w:t>continued to refine its</w:t>
      </w:r>
      <w:r w:rsidRPr="006D3EE7">
        <w:rPr>
          <w:rFonts w:cstheme="minorHAnsi"/>
        </w:rPr>
        <w:t xml:space="preserve"> quality assurance framework to document the policies, attitudes, actions and procedures necessary to ensure that quality is being maintained and enhanced across the range of the Commission’s operational activities</w:t>
      </w:r>
      <w:r w:rsidR="007404F5">
        <w:rPr>
          <w:rFonts w:cstheme="minorHAnsi"/>
        </w:rPr>
        <w:t>.</w:t>
      </w:r>
    </w:p>
    <w:p w14:paraId="1DE3F196" w14:textId="77777777" w:rsidR="00B0106E" w:rsidRPr="00A54413" w:rsidRDefault="00B0106E" w:rsidP="00B0106E">
      <w:pPr>
        <w:pStyle w:val="ListParagraph"/>
        <w:numPr>
          <w:ilvl w:val="0"/>
          <w:numId w:val="5"/>
        </w:numPr>
        <w:spacing w:after="0" w:line="240" w:lineRule="auto"/>
        <w:contextualSpacing w:val="0"/>
        <w:rPr>
          <w:rFonts w:cstheme="minorHAnsi"/>
        </w:rPr>
      </w:pPr>
      <w:r>
        <w:rPr>
          <w:rFonts w:cstheme="minorHAnsi"/>
        </w:rPr>
        <w:t>implemented a new workforce coordination tool within the current Case Management System (CMS) for efficient and risk-based allocation of resources to operational activities.</w:t>
      </w:r>
    </w:p>
    <w:p w14:paraId="5B4F5F37" w14:textId="1E2BCC05" w:rsidR="005F3733" w:rsidRPr="00E84224" w:rsidRDefault="00CC1FB1" w:rsidP="008D122F">
      <w:pPr>
        <w:pStyle w:val="ListParagraph"/>
        <w:numPr>
          <w:ilvl w:val="0"/>
          <w:numId w:val="5"/>
        </w:numPr>
        <w:spacing w:after="0" w:line="240" w:lineRule="auto"/>
        <w:rPr>
          <w:rFonts w:cstheme="minorHAnsi"/>
        </w:rPr>
      </w:pPr>
      <w:r w:rsidRPr="00E84224">
        <w:rPr>
          <w:rFonts w:cstheme="minorHAnsi"/>
        </w:rPr>
        <w:t xml:space="preserve">worked to minimise the potential for unintended negative impacts of regulatory activities </w:t>
      </w:r>
      <w:r w:rsidR="002B6BC1" w:rsidRPr="00E84224">
        <w:rPr>
          <w:rFonts w:cstheme="minorHAnsi"/>
        </w:rPr>
        <w:t>by</w:t>
      </w:r>
      <w:r w:rsidR="00B90B63">
        <w:rPr>
          <w:rFonts w:cstheme="minorHAnsi"/>
        </w:rPr>
        <w:t xml:space="preserve"> </w:t>
      </w:r>
      <w:r w:rsidRPr="00E84224">
        <w:rPr>
          <w:rFonts w:cstheme="minorHAnsi"/>
        </w:rPr>
        <w:t xml:space="preserve">improving knowledge about the Commission’s processes </w:t>
      </w:r>
      <w:r w:rsidR="00B90B63">
        <w:rPr>
          <w:rFonts w:cstheme="minorHAnsi"/>
        </w:rPr>
        <w:t>using</w:t>
      </w:r>
      <w:r w:rsidR="00B90B63" w:rsidRPr="00E84224">
        <w:rPr>
          <w:rFonts w:cstheme="minorHAnsi"/>
        </w:rPr>
        <w:t xml:space="preserve"> </w:t>
      </w:r>
      <w:r w:rsidRPr="00E84224">
        <w:rPr>
          <w:rFonts w:cstheme="minorHAnsi"/>
        </w:rPr>
        <w:t>website alerts and by offering pre-lodgement checks for Australian industry applicants</w:t>
      </w:r>
      <w:r w:rsidR="002263B9" w:rsidRPr="00E84224">
        <w:rPr>
          <w:rFonts w:cstheme="minorHAnsi"/>
        </w:rPr>
        <w:t>. T</w:t>
      </w:r>
      <w:r w:rsidR="00F5439F" w:rsidRPr="00E84224">
        <w:rPr>
          <w:rFonts w:cstheme="minorHAnsi"/>
        </w:rPr>
        <w:t xml:space="preserve">hese </w:t>
      </w:r>
      <w:r w:rsidR="00B90B63">
        <w:rPr>
          <w:rFonts w:cstheme="minorHAnsi"/>
        </w:rPr>
        <w:t xml:space="preserve">initiatives </w:t>
      </w:r>
      <w:r w:rsidR="00F5439F" w:rsidRPr="00E84224">
        <w:rPr>
          <w:rFonts w:cstheme="minorHAnsi"/>
        </w:rPr>
        <w:t xml:space="preserve">assist </w:t>
      </w:r>
      <w:r w:rsidR="002263B9" w:rsidRPr="00E84224">
        <w:rPr>
          <w:rFonts w:cstheme="minorHAnsi"/>
        </w:rPr>
        <w:t xml:space="preserve">businesses, in particular </w:t>
      </w:r>
      <w:r w:rsidR="00F5439F" w:rsidRPr="00E84224">
        <w:rPr>
          <w:rFonts w:cstheme="minorHAnsi"/>
        </w:rPr>
        <w:t>small-medium enterprises access the Australian anti-dumping system.</w:t>
      </w:r>
    </w:p>
    <w:p w14:paraId="622A4953" w14:textId="165432F4" w:rsidR="000855C1" w:rsidRDefault="000855C1" w:rsidP="008D122F">
      <w:pPr>
        <w:pStyle w:val="ListParagraph"/>
        <w:numPr>
          <w:ilvl w:val="0"/>
          <w:numId w:val="5"/>
        </w:numPr>
        <w:spacing w:after="0" w:line="240" w:lineRule="auto"/>
        <w:ind w:hanging="357"/>
        <w:rPr>
          <w:rFonts w:cstheme="minorHAnsi"/>
        </w:rPr>
      </w:pPr>
      <w:r>
        <w:rPr>
          <w:rFonts w:cstheme="minorHAnsi"/>
        </w:rPr>
        <w:t>demonstrated our open and transparent dealings by:</w:t>
      </w:r>
    </w:p>
    <w:p w14:paraId="5E52DFFD" w14:textId="4DA688F4" w:rsidR="000855C1" w:rsidRDefault="0061541F" w:rsidP="000855C1">
      <w:pPr>
        <w:pStyle w:val="ListParagraph"/>
        <w:numPr>
          <w:ilvl w:val="1"/>
          <w:numId w:val="5"/>
        </w:numPr>
        <w:spacing w:after="0" w:line="240" w:lineRule="auto"/>
        <w:rPr>
          <w:rFonts w:cstheme="minorHAnsi"/>
        </w:rPr>
      </w:pPr>
      <w:r w:rsidRPr="000855C1">
        <w:rPr>
          <w:rFonts w:cstheme="minorHAnsi"/>
        </w:rPr>
        <w:t>publish</w:t>
      </w:r>
      <w:r w:rsidR="000855C1">
        <w:rPr>
          <w:rFonts w:cstheme="minorHAnsi"/>
        </w:rPr>
        <w:t>ing</w:t>
      </w:r>
      <w:r w:rsidRPr="000855C1">
        <w:rPr>
          <w:rFonts w:cstheme="minorHAnsi"/>
        </w:rPr>
        <w:t xml:space="preserve"> </w:t>
      </w:r>
      <w:r w:rsidR="00B0106E" w:rsidRPr="000855C1">
        <w:rPr>
          <w:rFonts w:cstheme="minorHAnsi"/>
        </w:rPr>
        <w:t xml:space="preserve">151 </w:t>
      </w:r>
      <w:r w:rsidRPr="000855C1">
        <w:rPr>
          <w:rFonts w:cstheme="minorHAnsi"/>
        </w:rPr>
        <w:t xml:space="preserve">Anti-Dumping Notices and </w:t>
      </w:r>
      <w:r w:rsidR="00B0106E" w:rsidRPr="000855C1">
        <w:rPr>
          <w:rFonts w:cstheme="minorHAnsi"/>
        </w:rPr>
        <w:t xml:space="preserve">170 </w:t>
      </w:r>
      <w:r w:rsidR="00AB0227" w:rsidRPr="000855C1">
        <w:rPr>
          <w:rFonts w:cstheme="minorHAnsi"/>
        </w:rPr>
        <w:t>reports explaining</w:t>
      </w:r>
      <w:r w:rsidRPr="000855C1">
        <w:rPr>
          <w:rFonts w:cstheme="minorHAnsi"/>
        </w:rPr>
        <w:t xml:space="preserve"> decisions</w:t>
      </w:r>
      <w:r w:rsidR="000855C1">
        <w:rPr>
          <w:rFonts w:cstheme="minorHAnsi"/>
        </w:rPr>
        <w:t>.</w:t>
      </w:r>
      <w:r w:rsidRPr="0061541F">
        <w:rPr>
          <w:rStyle w:val="FootnoteReference"/>
          <w:rFonts w:cstheme="minorHAnsi"/>
        </w:rPr>
        <w:footnoteReference w:id="2"/>
      </w:r>
    </w:p>
    <w:p w14:paraId="7BB798C5" w14:textId="10770CA0" w:rsidR="0061541F" w:rsidRDefault="0061541F" w:rsidP="000855C1">
      <w:pPr>
        <w:pStyle w:val="ListParagraph"/>
        <w:numPr>
          <w:ilvl w:val="1"/>
          <w:numId w:val="5"/>
        </w:numPr>
        <w:spacing w:after="0" w:line="240" w:lineRule="auto"/>
        <w:rPr>
          <w:rFonts w:cstheme="minorHAnsi"/>
        </w:rPr>
      </w:pPr>
      <w:r w:rsidRPr="000855C1">
        <w:rPr>
          <w:rFonts w:cstheme="minorHAnsi"/>
        </w:rPr>
        <w:t>publish</w:t>
      </w:r>
      <w:r w:rsidR="000855C1">
        <w:rPr>
          <w:rFonts w:cstheme="minorHAnsi"/>
        </w:rPr>
        <w:t>ing</w:t>
      </w:r>
      <w:r w:rsidRPr="000855C1">
        <w:rPr>
          <w:rFonts w:cstheme="minorHAnsi"/>
        </w:rPr>
        <w:t xml:space="preserve"> a case status report every month </w:t>
      </w:r>
      <w:r w:rsidR="002040D0" w:rsidRPr="000855C1">
        <w:rPr>
          <w:rFonts w:cstheme="minorHAnsi"/>
        </w:rPr>
        <w:t>to provide stakeholders with a holistic picture of the Commission’s overall case load and the commodities involved</w:t>
      </w:r>
      <w:r w:rsidR="000C18ED" w:rsidRPr="000855C1">
        <w:rPr>
          <w:rFonts w:cstheme="minorHAnsi"/>
        </w:rPr>
        <w:t>.</w:t>
      </w:r>
    </w:p>
    <w:p w14:paraId="76B4C85A" w14:textId="4A1C7949" w:rsidR="000855C1" w:rsidRPr="000855C1" w:rsidRDefault="000855C1" w:rsidP="000855C1">
      <w:pPr>
        <w:pStyle w:val="ListParagraph"/>
        <w:numPr>
          <w:ilvl w:val="1"/>
          <w:numId w:val="5"/>
        </w:numPr>
        <w:spacing w:after="0" w:line="240" w:lineRule="auto"/>
        <w:rPr>
          <w:rFonts w:cstheme="minorHAnsi"/>
        </w:rPr>
      </w:pPr>
      <w:r w:rsidRPr="00C07AD0">
        <w:rPr>
          <w:rFonts w:cstheme="minorHAnsi"/>
        </w:rPr>
        <w:t>consider</w:t>
      </w:r>
      <w:r>
        <w:rPr>
          <w:rFonts w:cstheme="minorHAnsi"/>
        </w:rPr>
        <w:t>ing</w:t>
      </w:r>
      <w:r w:rsidRPr="00C07AD0">
        <w:rPr>
          <w:rFonts w:cstheme="minorHAnsi"/>
        </w:rPr>
        <w:t xml:space="preserve"> </w:t>
      </w:r>
      <w:r>
        <w:rPr>
          <w:rFonts w:cstheme="minorHAnsi"/>
        </w:rPr>
        <w:t>342</w:t>
      </w:r>
      <w:r w:rsidRPr="00C07AD0">
        <w:rPr>
          <w:rFonts w:cstheme="minorHAnsi"/>
        </w:rPr>
        <w:t xml:space="preserve"> submissions from Australian industry, exporters, importers, foreign governments and others</w:t>
      </w:r>
      <w:r>
        <w:rPr>
          <w:rFonts w:cstheme="minorHAnsi"/>
        </w:rPr>
        <w:t>.</w:t>
      </w:r>
    </w:p>
    <w:p w14:paraId="1AE5A4EC" w14:textId="52E489E7" w:rsidR="00F47407" w:rsidRDefault="00F47407" w:rsidP="00FB26F3">
      <w:pPr>
        <w:pStyle w:val="ListParagraph"/>
        <w:numPr>
          <w:ilvl w:val="0"/>
          <w:numId w:val="5"/>
        </w:numPr>
        <w:spacing w:after="0" w:line="240" w:lineRule="auto"/>
        <w:rPr>
          <w:rFonts w:cstheme="minorHAnsi"/>
        </w:rPr>
      </w:pPr>
      <w:r>
        <w:rPr>
          <w:rFonts w:cstheme="minorHAnsi"/>
        </w:rPr>
        <w:t>e</w:t>
      </w:r>
      <w:r w:rsidRPr="00F47407">
        <w:rPr>
          <w:rFonts w:cstheme="minorHAnsi"/>
        </w:rPr>
        <w:t xml:space="preserve">ffectively managed a heavy workload </w:t>
      </w:r>
      <w:r w:rsidR="00FB26F3" w:rsidRPr="00FB26F3">
        <w:rPr>
          <w:rFonts w:cstheme="minorHAnsi"/>
        </w:rPr>
        <w:t>initiating 134 cases in 2019–20 (a 17.5 per cent increase on 2018–19). The number of investigations initiated from applications for dumping or countervailing notices from Australian industry increased by 155 per cent compared to 2018–19.</w:t>
      </w:r>
    </w:p>
    <w:p w14:paraId="615BEAA2" w14:textId="3738A813" w:rsidR="00B00EEB" w:rsidRPr="00C07AD0" w:rsidRDefault="00B00EEB" w:rsidP="00B00EEB">
      <w:pPr>
        <w:pStyle w:val="ListParagraph"/>
        <w:numPr>
          <w:ilvl w:val="0"/>
          <w:numId w:val="5"/>
        </w:numPr>
        <w:spacing w:before="120" w:after="0" w:line="240" w:lineRule="auto"/>
        <w:ind w:hanging="357"/>
        <w:rPr>
          <w:rFonts w:cstheme="minorHAnsi"/>
        </w:rPr>
      </w:pPr>
      <w:r>
        <w:rPr>
          <w:rFonts w:cstheme="minorHAnsi"/>
        </w:rPr>
        <w:t>assisted stakeholders with 1</w:t>
      </w:r>
      <w:r w:rsidR="000B772C">
        <w:rPr>
          <w:rFonts w:cstheme="minorHAnsi"/>
        </w:rPr>
        <w:t>,</w:t>
      </w:r>
      <w:r>
        <w:rPr>
          <w:rFonts w:cstheme="minorHAnsi"/>
        </w:rPr>
        <w:t>472 enquiries by phone or email with 99 per cent</w:t>
      </w:r>
      <w:r w:rsidRPr="00C07AD0">
        <w:rPr>
          <w:rFonts w:cstheme="minorHAnsi"/>
        </w:rPr>
        <w:t xml:space="preserve"> of </w:t>
      </w:r>
      <w:r w:rsidR="005D577D">
        <w:rPr>
          <w:rFonts w:cstheme="minorHAnsi"/>
        </w:rPr>
        <w:t xml:space="preserve">those </w:t>
      </w:r>
      <w:r w:rsidRPr="00C07AD0">
        <w:rPr>
          <w:rFonts w:cstheme="minorHAnsi"/>
        </w:rPr>
        <w:t xml:space="preserve">resolved in </w:t>
      </w:r>
      <w:r w:rsidRPr="00474CD5">
        <w:rPr>
          <w:rFonts w:cstheme="minorHAnsi"/>
        </w:rPr>
        <w:t>two</w:t>
      </w:r>
      <w:r w:rsidRPr="004128BD">
        <w:rPr>
          <w:rFonts w:cstheme="minorHAnsi"/>
        </w:rPr>
        <w:t xml:space="preserve"> </w:t>
      </w:r>
      <w:r w:rsidRPr="00C27B2B">
        <w:rPr>
          <w:rFonts w:cstheme="minorHAnsi"/>
        </w:rPr>
        <w:t>business</w:t>
      </w:r>
      <w:r w:rsidRPr="00C07AD0">
        <w:rPr>
          <w:rFonts w:cstheme="minorHAnsi"/>
        </w:rPr>
        <w:t xml:space="preserve"> days</w:t>
      </w:r>
      <w:r>
        <w:rPr>
          <w:rFonts w:cstheme="minorHAnsi"/>
        </w:rPr>
        <w:t>.</w:t>
      </w:r>
    </w:p>
    <w:p w14:paraId="5E42271C" w14:textId="77777777" w:rsidR="00B00EEB" w:rsidRDefault="00B00EEB" w:rsidP="00B00EEB">
      <w:pPr>
        <w:pStyle w:val="ListParagraph"/>
        <w:numPr>
          <w:ilvl w:val="0"/>
          <w:numId w:val="5"/>
        </w:numPr>
        <w:spacing w:before="120" w:after="0" w:line="240" w:lineRule="auto"/>
        <w:ind w:hanging="357"/>
        <w:rPr>
          <w:rFonts w:cstheme="minorHAnsi"/>
        </w:rPr>
      </w:pPr>
      <w:r>
        <w:rPr>
          <w:rFonts w:cstheme="minorHAnsi"/>
        </w:rPr>
        <w:t>enhanced the Trade Remedy Index, which tracks the trade flows of certain goods subject to anti-dumping measures on a monthly basis.</w:t>
      </w:r>
    </w:p>
    <w:p w14:paraId="506F39F5" w14:textId="77777777" w:rsidR="00B00EEB" w:rsidRPr="008D122F" w:rsidRDefault="00B00EEB" w:rsidP="009914D0">
      <w:pPr>
        <w:pStyle w:val="ListParagraph"/>
        <w:spacing w:after="0" w:line="240" w:lineRule="auto"/>
        <w:ind w:left="567"/>
        <w:rPr>
          <w:rFonts w:cstheme="minorHAnsi"/>
        </w:rPr>
      </w:pPr>
    </w:p>
    <w:p w14:paraId="7BB798CE" w14:textId="0EB47CE2" w:rsidR="00AA78B8" w:rsidRDefault="00AA78B8">
      <w:pPr>
        <w:spacing w:after="200"/>
        <w:rPr>
          <w:sz w:val="22"/>
        </w:rPr>
      </w:pPr>
      <w:r>
        <w:br w:type="page"/>
      </w:r>
    </w:p>
    <w:p w14:paraId="7BB798D0" w14:textId="2D32661C" w:rsidR="00E43A12" w:rsidRPr="00AE34D9" w:rsidRDefault="0061541F" w:rsidP="00DF0029">
      <w:pPr>
        <w:spacing w:after="200" w:line="240" w:lineRule="auto"/>
        <w:rPr>
          <w:b/>
          <w:color w:val="2D2D2E"/>
          <w:sz w:val="24"/>
          <w:szCs w:val="24"/>
        </w:rPr>
      </w:pPr>
      <w:r w:rsidRPr="00AE34D9">
        <w:rPr>
          <w:b/>
          <w:color w:val="2D2D2E"/>
          <w:sz w:val="24"/>
          <w:szCs w:val="24"/>
        </w:rPr>
        <w:t>Continuous improvement</w:t>
      </w:r>
    </w:p>
    <w:p w14:paraId="7BB798D2" w14:textId="45D6F79E" w:rsidR="00E620DE" w:rsidRPr="00DF0029" w:rsidRDefault="000F47D7" w:rsidP="00DF0029">
      <w:pPr>
        <w:pStyle w:val="ListParagraph"/>
        <w:spacing w:after="0" w:line="240" w:lineRule="auto"/>
        <w:ind w:left="0"/>
        <w:contextualSpacing w:val="0"/>
      </w:pPr>
      <w:r>
        <w:t>T</w:t>
      </w:r>
      <w:r w:rsidR="0061541F" w:rsidRPr="00BA5523">
        <w:t xml:space="preserve">he first </w:t>
      </w:r>
      <w:r w:rsidR="0061541F">
        <w:t xml:space="preserve">RPF </w:t>
      </w:r>
      <w:r>
        <w:t>self-assessment report was</w:t>
      </w:r>
      <w:r w:rsidR="0061541F" w:rsidRPr="00BA5523">
        <w:t xml:space="preserve"> used to set performance benchmarks</w:t>
      </w:r>
      <w:r w:rsidR="00CC1FB1">
        <w:t xml:space="preserve"> and identify suitable metrics</w:t>
      </w:r>
      <w:r w:rsidR="0061541F" w:rsidRPr="00BA5523">
        <w:t xml:space="preserve">. </w:t>
      </w:r>
      <w:r>
        <w:t>This report is used to</w:t>
      </w:r>
      <w:r w:rsidR="0061541F" w:rsidRPr="00BA5523">
        <w:t xml:space="preserve"> </w:t>
      </w:r>
      <w:r w:rsidR="0061541F">
        <w:t xml:space="preserve">further </w:t>
      </w:r>
      <w:r>
        <w:t>self-assess against those benchmarks</w:t>
      </w:r>
      <w:r w:rsidR="00CC1FB1">
        <w:t>.</w:t>
      </w:r>
      <w:r>
        <w:t xml:space="preserve"> </w:t>
      </w:r>
      <w:r w:rsidR="00CC1FB1" w:rsidRPr="00CC1FB1">
        <w:t xml:space="preserve">For the </w:t>
      </w:r>
      <w:r w:rsidR="003567A7">
        <w:t>2019-20</w:t>
      </w:r>
      <w:r w:rsidR="00CC1FB1" w:rsidRPr="00CC1FB1">
        <w:t xml:space="preserve"> period, the Commission continued to focus on effectively utilising data collected for other reporting and business improvement processes for self-assessment. </w:t>
      </w:r>
      <w:r w:rsidR="00CC1FB1">
        <w:t>The Commission will continue to work on ensuring the metrics</w:t>
      </w:r>
      <w:r w:rsidR="0061541F" w:rsidRPr="00BA5523">
        <w:t xml:space="preserve"> </w:t>
      </w:r>
      <w:r w:rsidR="00CC1FB1">
        <w:t xml:space="preserve">are </w:t>
      </w:r>
      <w:r w:rsidR="00B90B63">
        <w:t xml:space="preserve">effective </w:t>
      </w:r>
      <w:r w:rsidR="0061541F" w:rsidRPr="00BA5523">
        <w:t>ind</w:t>
      </w:r>
      <w:r>
        <w:t>icators of performance</w:t>
      </w:r>
      <w:r w:rsidR="0061541F" w:rsidRPr="00BA5523">
        <w:t>.</w:t>
      </w:r>
      <w:r w:rsidR="0061541F">
        <w:t xml:space="preserve"> </w:t>
      </w:r>
      <w:r w:rsidR="00E620DE">
        <w:rPr>
          <w:i/>
          <w:color w:val="FF0000"/>
        </w:rPr>
        <w:br w:type="page"/>
      </w:r>
    </w:p>
    <w:p w14:paraId="58F82760" w14:textId="58ADA8CE" w:rsidR="009E7071" w:rsidRPr="00777EB0" w:rsidRDefault="009E7071" w:rsidP="009E7071">
      <w:pPr>
        <w:pStyle w:val="Heading1"/>
        <w:numPr>
          <w:ilvl w:val="0"/>
          <w:numId w:val="4"/>
        </w:numPr>
      </w:pPr>
      <w:bookmarkStart w:id="9" w:name="_Toc52455995"/>
      <w:bookmarkStart w:id="10" w:name="_Toc49953496"/>
      <w:r>
        <w:t>Introduction</w:t>
      </w:r>
      <w:bookmarkEnd w:id="9"/>
    </w:p>
    <w:bookmarkEnd w:id="10"/>
    <w:p w14:paraId="7BB798D4" w14:textId="77777777" w:rsidR="00235C24" w:rsidRPr="00DF0029" w:rsidRDefault="00235C24" w:rsidP="00235C24">
      <w:pPr>
        <w:contextualSpacing/>
        <w:rPr>
          <w:b/>
          <w:color w:val="1A495D" w:themeColor="accent1" w:themeShade="80"/>
          <w:sz w:val="22"/>
          <w:szCs w:val="24"/>
        </w:rPr>
      </w:pPr>
    </w:p>
    <w:p w14:paraId="7BB798D6" w14:textId="25065976" w:rsidR="00235C24" w:rsidRPr="00DF0029" w:rsidRDefault="00235C24" w:rsidP="009914D0">
      <w:pPr>
        <w:pStyle w:val="Heading2"/>
      </w:pPr>
      <w:bookmarkStart w:id="11" w:name="_Toc49953497"/>
      <w:bookmarkStart w:id="12" w:name="_Toc52455996"/>
      <w:r w:rsidRPr="00E43A12">
        <w:t>About the Anti-Dumping Commission</w:t>
      </w:r>
      <w:bookmarkEnd w:id="11"/>
      <w:bookmarkEnd w:id="12"/>
    </w:p>
    <w:p w14:paraId="7BB798D7" w14:textId="35595181" w:rsidR="00235C24" w:rsidRPr="007D35D5" w:rsidRDefault="00235C24" w:rsidP="00DF0029">
      <w:pPr>
        <w:spacing w:after="0" w:line="240" w:lineRule="auto"/>
        <w:ind w:right="-25"/>
        <w:rPr>
          <w:rFonts w:cstheme="minorHAnsi"/>
          <w:sz w:val="22"/>
        </w:rPr>
      </w:pPr>
      <w:r w:rsidRPr="007D35D5">
        <w:rPr>
          <w:rFonts w:cstheme="minorHAnsi"/>
          <w:sz w:val="22"/>
        </w:rPr>
        <w:t>Australia’s trade remedies system operates within the framework established by the World Trade Organization (WTO). This framework forms an integral element of a free and open global trading system. Most developed countries and many d</w:t>
      </w:r>
      <w:r w:rsidR="00CC76F0">
        <w:rPr>
          <w:rFonts w:cstheme="minorHAnsi"/>
          <w:sz w:val="22"/>
        </w:rPr>
        <w:t>eveloping countries also operate</w:t>
      </w:r>
      <w:r w:rsidRPr="007D35D5">
        <w:rPr>
          <w:rFonts w:cstheme="minorHAnsi"/>
          <w:sz w:val="22"/>
        </w:rPr>
        <w:t xml:space="preserve"> trade remedies regimes. The purpose of Australia’s trade remedies system is to remedy material injury caused to Australian industries by dumped and subsidised imports and give Australian industries the opportunity to compete with imports on a level playing field.</w:t>
      </w:r>
    </w:p>
    <w:p w14:paraId="7BB798D8" w14:textId="77777777" w:rsidR="00235C24" w:rsidRPr="007D35D5" w:rsidRDefault="00235C24" w:rsidP="00D07220">
      <w:pPr>
        <w:spacing w:after="0" w:line="240" w:lineRule="auto"/>
        <w:rPr>
          <w:rFonts w:cstheme="minorHAnsi"/>
          <w:sz w:val="22"/>
        </w:rPr>
      </w:pPr>
    </w:p>
    <w:p w14:paraId="7BB798D9" w14:textId="7FA2C37A" w:rsidR="00235C24" w:rsidRPr="007D35D5" w:rsidRDefault="00235C24" w:rsidP="00D07220">
      <w:pPr>
        <w:spacing w:after="0" w:line="240" w:lineRule="auto"/>
        <w:rPr>
          <w:rFonts w:cstheme="minorHAnsi"/>
          <w:sz w:val="22"/>
        </w:rPr>
      </w:pPr>
      <w:r w:rsidRPr="007D35D5">
        <w:rPr>
          <w:rFonts w:cstheme="minorHAnsi"/>
          <w:sz w:val="22"/>
        </w:rPr>
        <w:t xml:space="preserve">The Commission administers Australia’s anti-dumping system under the </w:t>
      </w:r>
      <w:r w:rsidRPr="007D35D5">
        <w:rPr>
          <w:rFonts w:cstheme="minorHAnsi"/>
          <w:i/>
          <w:sz w:val="22"/>
        </w:rPr>
        <w:t xml:space="preserve">Customs Act 1901 </w:t>
      </w:r>
      <w:r w:rsidRPr="007D35D5">
        <w:rPr>
          <w:rFonts w:cstheme="minorHAnsi"/>
          <w:sz w:val="22"/>
        </w:rPr>
        <w:t>(the Act). The Commission sits within the Department of Industry, Science</w:t>
      </w:r>
      <w:r w:rsidR="00A270B6">
        <w:rPr>
          <w:rFonts w:cstheme="minorHAnsi"/>
          <w:sz w:val="22"/>
        </w:rPr>
        <w:t>, Energy and Resources</w:t>
      </w:r>
      <w:r w:rsidRPr="007D35D5">
        <w:rPr>
          <w:rFonts w:cstheme="minorHAnsi"/>
          <w:sz w:val="22"/>
        </w:rPr>
        <w:t xml:space="preserve"> and the Commissioner of the Anti-Dumping Commission is an independent </w:t>
      </w:r>
      <w:r w:rsidR="00F22FA2" w:rsidRPr="007D35D5">
        <w:rPr>
          <w:rFonts w:cstheme="minorHAnsi"/>
          <w:sz w:val="22"/>
        </w:rPr>
        <w:t>statu</w:t>
      </w:r>
      <w:r w:rsidR="00F22FA2">
        <w:rPr>
          <w:rFonts w:cstheme="minorHAnsi"/>
          <w:sz w:val="22"/>
        </w:rPr>
        <w:t>t</w:t>
      </w:r>
      <w:r w:rsidR="00F22FA2" w:rsidRPr="007D35D5">
        <w:rPr>
          <w:rFonts w:cstheme="minorHAnsi"/>
          <w:sz w:val="22"/>
        </w:rPr>
        <w:t>ory</w:t>
      </w:r>
      <w:r w:rsidRPr="007D35D5">
        <w:rPr>
          <w:rFonts w:cstheme="minorHAnsi"/>
          <w:sz w:val="22"/>
        </w:rPr>
        <w:t xml:space="preserve"> office holder. The Commission investigates the dumping and subsidy claims that are voluntarily lodged by an Australian industry applicant. </w:t>
      </w:r>
    </w:p>
    <w:p w14:paraId="7BB798DA" w14:textId="77777777" w:rsidR="00235C24" w:rsidRPr="007D35D5" w:rsidRDefault="00235C24" w:rsidP="00D07220">
      <w:pPr>
        <w:spacing w:after="0" w:line="240" w:lineRule="auto"/>
        <w:rPr>
          <w:rFonts w:cstheme="minorHAnsi"/>
          <w:sz w:val="22"/>
        </w:rPr>
      </w:pPr>
    </w:p>
    <w:p w14:paraId="7BB798DB" w14:textId="4CF97A57" w:rsidR="00235C24" w:rsidRPr="007D35D5" w:rsidRDefault="00235C24" w:rsidP="00D07220">
      <w:pPr>
        <w:spacing w:after="0" w:line="240" w:lineRule="auto"/>
        <w:rPr>
          <w:rFonts w:cstheme="minorHAnsi"/>
          <w:sz w:val="22"/>
        </w:rPr>
      </w:pPr>
      <w:r w:rsidRPr="007D35D5">
        <w:rPr>
          <w:rFonts w:cstheme="minorHAnsi"/>
          <w:sz w:val="22"/>
        </w:rPr>
        <w:t xml:space="preserve">An investigation includes examination of alleged dumping and/or subsidies, </w:t>
      </w:r>
      <w:r w:rsidR="00C24B19">
        <w:rPr>
          <w:rFonts w:cstheme="minorHAnsi"/>
          <w:sz w:val="22"/>
        </w:rPr>
        <w:t>any</w:t>
      </w:r>
      <w:r w:rsidRPr="007D35D5">
        <w:rPr>
          <w:rFonts w:cstheme="minorHAnsi"/>
          <w:sz w:val="22"/>
        </w:rPr>
        <w:t xml:space="preserve"> injury suffered by the Australian industry concerned, and </w:t>
      </w:r>
      <w:r w:rsidR="00C24B19">
        <w:rPr>
          <w:rFonts w:cstheme="minorHAnsi"/>
          <w:sz w:val="22"/>
        </w:rPr>
        <w:t>any</w:t>
      </w:r>
      <w:r w:rsidRPr="007D35D5">
        <w:rPr>
          <w:rFonts w:cstheme="minorHAnsi"/>
          <w:sz w:val="22"/>
        </w:rPr>
        <w:t xml:space="preserve"> causal link between the dumping or subsidy and the injury found. The Commi</w:t>
      </w:r>
      <w:r w:rsidR="00AD21CE">
        <w:rPr>
          <w:rFonts w:cstheme="minorHAnsi"/>
          <w:sz w:val="22"/>
        </w:rPr>
        <w:t xml:space="preserve">ssion </w:t>
      </w:r>
      <w:r w:rsidR="00AD21CE" w:rsidRPr="00AD21CE">
        <w:rPr>
          <w:rFonts w:cstheme="minorHAnsi"/>
          <w:sz w:val="22"/>
        </w:rPr>
        <w:t>collect</w:t>
      </w:r>
      <w:r w:rsidR="00AD21CE">
        <w:rPr>
          <w:rFonts w:cstheme="minorHAnsi"/>
          <w:sz w:val="22"/>
        </w:rPr>
        <w:t>s</w:t>
      </w:r>
      <w:r w:rsidR="00AD21CE" w:rsidRPr="00AD21CE">
        <w:rPr>
          <w:rFonts w:cstheme="minorHAnsi"/>
          <w:sz w:val="22"/>
        </w:rPr>
        <w:t xml:space="preserve"> and </w:t>
      </w:r>
      <w:r w:rsidR="00AD21CE">
        <w:rPr>
          <w:rFonts w:cstheme="minorHAnsi"/>
          <w:sz w:val="22"/>
        </w:rPr>
        <w:t xml:space="preserve">verifies </w:t>
      </w:r>
      <w:r w:rsidR="00AD21CE" w:rsidRPr="00AD21CE">
        <w:rPr>
          <w:rFonts w:cstheme="minorHAnsi"/>
          <w:sz w:val="22"/>
        </w:rPr>
        <w:t>data from Australian manufacturers and importers, and overseas exporters and governments, to determine if the dumping/subsidisation of imports has injured the Australian industry</w:t>
      </w:r>
      <w:r w:rsidR="00AD21CE">
        <w:rPr>
          <w:rFonts w:cstheme="minorHAnsi"/>
          <w:sz w:val="22"/>
        </w:rPr>
        <w:t xml:space="preserve"> and r</w:t>
      </w:r>
      <w:r w:rsidRPr="007D35D5">
        <w:rPr>
          <w:rFonts w:cstheme="minorHAnsi"/>
          <w:sz w:val="22"/>
        </w:rPr>
        <w:t>ecommends to the relevant Minister whether duties should be imposed</w:t>
      </w:r>
      <w:r w:rsidR="00AD21CE">
        <w:rPr>
          <w:rFonts w:cstheme="minorHAnsi"/>
          <w:sz w:val="22"/>
        </w:rPr>
        <w:t xml:space="preserve">. Duties imposed are collected by the Department of Home Affairs. </w:t>
      </w:r>
      <w:r w:rsidR="00074C27" w:rsidRPr="009914D0">
        <w:rPr>
          <w:sz w:val="22"/>
        </w:rPr>
        <w:t>Australian Industry can lodge applications for investigations into alleged dumping, subsidisation or circumvention of duties. Industry can also lodge an application for a continuation, review or revocation of measures.</w:t>
      </w:r>
    </w:p>
    <w:p w14:paraId="7BB798DC" w14:textId="77777777" w:rsidR="00235C24" w:rsidRPr="007D35D5" w:rsidRDefault="00235C24" w:rsidP="00D07220">
      <w:pPr>
        <w:spacing w:after="0" w:line="240" w:lineRule="auto"/>
        <w:rPr>
          <w:rFonts w:cstheme="minorHAnsi"/>
          <w:sz w:val="22"/>
        </w:rPr>
      </w:pPr>
    </w:p>
    <w:p w14:paraId="7BB798DD" w14:textId="3D8738DC" w:rsidR="00235C24" w:rsidRPr="00074C27" w:rsidRDefault="00235C24" w:rsidP="00D07220">
      <w:pPr>
        <w:spacing w:after="0" w:line="240" w:lineRule="auto"/>
        <w:rPr>
          <w:rFonts w:cstheme="minorHAnsi"/>
          <w:sz w:val="22"/>
        </w:rPr>
      </w:pPr>
      <w:r w:rsidRPr="007D35D5">
        <w:rPr>
          <w:rFonts w:cstheme="minorHAnsi"/>
          <w:sz w:val="22"/>
        </w:rPr>
        <w:t xml:space="preserve">The Act also contains provisions for importers and exporters to </w:t>
      </w:r>
      <w:r w:rsidR="00074C27">
        <w:rPr>
          <w:rFonts w:cstheme="minorHAnsi"/>
          <w:sz w:val="22"/>
        </w:rPr>
        <w:t xml:space="preserve">apply to the Commission. </w:t>
      </w:r>
      <w:r w:rsidR="00074C27" w:rsidRPr="009914D0">
        <w:rPr>
          <w:sz w:val="22"/>
        </w:rPr>
        <w:t>Exporters are able to lodge applications for exemptions to measures, reviews of measures or revocation of measures. Importers can lodge applications for exemptions to measures, reviews of measures, revocation of measures and assessments of duty paid.</w:t>
      </w:r>
      <w:r w:rsidR="00074C27">
        <w:rPr>
          <w:sz w:val="22"/>
        </w:rPr>
        <w:t xml:space="preserve"> </w:t>
      </w:r>
      <w:r w:rsidRPr="00074C27">
        <w:rPr>
          <w:rFonts w:cstheme="minorHAnsi"/>
          <w:sz w:val="22"/>
        </w:rPr>
        <w:t>Th</w:t>
      </w:r>
      <w:r w:rsidR="00AD21CE">
        <w:rPr>
          <w:rFonts w:cstheme="minorHAnsi"/>
          <w:sz w:val="22"/>
        </w:rPr>
        <w:t>ese applications are a</w:t>
      </w:r>
      <w:r w:rsidRPr="00074C27">
        <w:rPr>
          <w:rFonts w:cstheme="minorHAnsi"/>
          <w:sz w:val="22"/>
        </w:rPr>
        <w:t xml:space="preserve"> significant area of work for the Commission</w:t>
      </w:r>
      <w:r w:rsidR="008124A6">
        <w:rPr>
          <w:rFonts w:cstheme="minorHAnsi"/>
          <w:sz w:val="22"/>
        </w:rPr>
        <w:t xml:space="preserve"> and represent 66</w:t>
      </w:r>
      <w:r w:rsidR="00ED1E42">
        <w:rPr>
          <w:rFonts w:cstheme="minorHAnsi"/>
          <w:sz w:val="22"/>
        </w:rPr>
        <w:t xml:space="preserve"> per cent </w:t>
      </w:r>
      <w:r w:rsidR="008124A6">
        <w:rPr>
          <w:rFonts w:cstheme="minorHAnsi"/>
          <w:sz w:val="22"/>
        </w:rPr>
        <w:t>of the completed cases for the 2019-20 financial year</w:t>
      </w:r>
      <w:r w:rsidRPr="00074C27">
        <w:rPr>
          <w:rFonts w:cstheme="minorHAnsi"/>
          <w:sz w:val="22"/>
        </w:rPr>
        <w:t>.</w:t>
      </w:r>
    </w:p>
    <w:p w14:paraId="7BB798DE" w14:textId="77777777" w:rsidR="00235C24" w:rsidRPr="007D35D5" w:rsidRDefault="00235C24" w:rsidP="00D07220">
      <w:pPr>
        <w:spacing w:after="0" w:line="240" w:lineRule="auto"/>
        <w:rPr>
          <w:rFonts w:cstheme="minorHAnsi"/>
          <w:sz w:val="22"/>
        </w:rPr>
      </w:pPr>
    </w:p>
    <w:p w14:paraId="5982ED2F" w14:textId="3291895F" w:rsidR="009839F9" w:rsidRDefault="000F47D7" w:rsidP="00D07220">
      <w:pPr>
        <w:spacing w:after="0" w:line="240" w:lineRule="auto"/>
        <w:rPr>
          <w:rFonts w:cstheme="minorHAnsi"/>
          <w:sz w:val="22"/>
        </w:rPr>
      </w:pPr>
      <w:r>
        <w:rPr>
          <w:rFonts w:cstheme="minorHAnsi"/>
          <w:sz w:val="22"/>
        </w:rPr>
        <w:t xml:space="preserve">During </w:t>
      </w:r>
      <w:r w:rsidR="003567A7">
        <w:rPr>
          <w:rFonts w:cstheme="minorHAnsi"/>
          <w:sz w:val="22"/>
        </w:rPr>
        <w:t>2019-20</w:t>
      </w:r>
      <w:r w:rsidR="00235C24" w:rsidRPr="007D35D5">
        <w:rPr>
          <w:rFonts w:cstheme="minorHAnsi"/>
          <w:sz w:val="22"/>
        </w:rPr>
        <w:t xml:space="preserve">, the Commission </w:t>
      </w:r>
      <w:r w:rsidR="00010D62" w:rsidRPr="009914D0">
        <w:rPr>
          <w:rFonts w:cstheme="minorHAnsi"/>
          <w:sz w:val="22"/>
        </w:rPr>
        <w:t xml:space="preserve">effectively managed a heavy workload initiating 134 cases (a 17.5 per cent increase on 2018–19). The number of investigations initiated from applications for dumping or countervailing notices from Australian industry increased by 155 per cent compared to 2018–2019. </w:t>
      </w:r>
      <w:r w:rsidR="00010D62" w:rsidRPr="00010D62">
        <w:rPr>
          <w:rFonts w:cstheme="minorHAnsi"/>
          <w:sz w:val="22"/>
        </w:rPr>
        <w:t>The</w:t>
      </w:r>
      <w:r w:rsidR="00235C24" w:rsidRPr="00010D62">
        <w:rPr>
          <w:rFonts w:cstheme="minorHAnsi"/>
          <w:sz w:val="22"/>
        </w:rPr>
        <w:t xml:space="preserve"> Commission </w:t>
      </w:r>
      <w:r w:rsidR="00235C24" w:rsidRPr="007D35D5">
        <w:rPr>
          <w:rFonts w:cstheme="minorHAnsi"/>
          <w:sz w:val="22"/>
        </w:rPr>
        <w:t xml:space="preserve">completed </w:t>
      </w:r>
      <w:r w:rsidR="004C21C7">
        <w:rPr>
          <w:rFonts w:cstheme="minorHAnsi"/>
          <w:sz w:val="22"/>
        </w:rPr>
        <w:t>101</w:t>
      </w:r>
      <w:r w:rsidR="003567A7" w:rsidRPr="007D35D5">
        <w:rPr>
          <w:rFonts w:cstheme="minorHAnsi"/>
          <w:sz w:val="22"/>
        </w:rPr>
        <w:t xml:space="preserve"> </w:t>
      </w:r>
      <w:r w:rsidR="00235C24" w:rsidRPr="007D35D5">
        <w:rPr>
          <w:rFonts w:cstheme="minorHAnsi"/>
          <w:sz w:val="22"/>
        </w:rPr>
        <w:t xml:space="preserve">cases </w:t>
      </w:r>
      <w:r w:rsidR="004B0441">
        <w:rPr>
          <w:rFonts w:cstheme="minorHAnsi"/>
          <w:sz w:val="22"/>
        </w:rPr>
        <w:t xml:space="preserve">in 2019-20 </w:t>
      </w:r>
      <w:r w:rsidR="00235C24" w:rsidRPr="007D35D5">
        <w:rPr>
          <w:rFonts w:cstheme="minorHAnsi"/>
          <w:sz w:val="22"/>
        </w:rPr>
        <w:t>(</w:t>
      </w:r>
      <w:r w:rsidR="005D577D">
        <w:rPr>
          <w:rFonts w:cstheme="minorHAnsi"/>
          <w:sz w:val="22"/>
        </w:rPr>
        <w:t xml:space="preserve">based on the </w:t>
      </w:r>
      <w:r w:rsidR="006F5C2E">
        <w:rPr>
          <w:rFonts w:cstheme="minorHAnsi"/>
          <w:sz w:val="22"/>
        </w:rPr>
        <w:t>World Trade Organization</w:t>
      </w:r>
      <w:r w:rsidR="00074C27">
        <w:rPr>
          <w:rFonts w:cstheme="minorHAnsi"/>
          <w:sz w:val="22"/>
        </w:rPr>
        <w:t xml:space="preserve"> count</w:t>
      </w:r>
      <w:r w:rsidR="00235C24" w:rsidRPr="007D35D5">
        <w:rPr>
          <w:rStyle w:val="FootnoteReference"/>
          <w:rFonts w:cstheme="minorHAnsi"/>
          <w:sz w:val="22"/>
        </w:rPr>
        <w:footnoteReference w:id="3"/>
      </w:r>
      <w:r w:rsidR="00235C24" w:rsidRPr="007D35D5">
        <w:rPr>
          <w:rFonts w:cstheme="minorHAnsi"/>
          <w:sz w:val="22"/>
        </w:rPr>
        <w:t>) relating to applications from Australian Industry, importers and exporters.</w:t>
      </w:r>
      <w:r w:rsidR="009839F9">
        <w:rPr>
          <w:rFonts w:cstheme="minorHAnsi"/>
          <w:sz w:val="22"/>
        </w:rPr>
        <w:t xml:space="preserve"> </w:t>
      </w:r>
      <w:r w:rsidR="00130D91">
        <w:rPr>
          <w:rFonts w:cstheme="minorHAnsi"/>
          <w:sz w:val="22"/>
        </w:rPr>
        <w:t xml:space="preserve">The completed cases are broken </w:t>
      </w:r>
      <w:r w:rsidR="00057727">
        <w:rPr>
          <w:rFonts w:cstheme="minorHAnsi"/>
          <w:sz w:val="22"/>
        </w:rPr>
        <w:t>down into each case type in Table 1</w:t>
      </w:r>
      <w:r w:rsidR="00130D91">
        <w:rPr>
          <w:rFonts w:cstheme="minorHAnsi"/>
          <w:sz w:val="22"/>
        </w:rPr>
        <w:t>.</w:t>
      </w:r>
    </w:p>
    <w:p w14:paraId="18E074D0" w14:textId="77777777" w:rsidR="006246E1" w:rsidRDefault="006246E1" w:rsidP="00D07220">
      <w:pPr>
        <w:spacing w:after="0" w:line="240" w:lineRule="auto"/>
        <w:rPr>
          <w:rFonts w:cstheme="minorHAnsi"/>
          <w:sz w:val="22"/>
        </w:rPr>
      </w:pPr>
    </w:p>
    <w:p w14:paraId="4AE29B2B" w14:textId="77777777" w:rsidR="006246E1" w:rsidRDefault="006246E1">
      <w:pPr>
        <w:spacing w:after="200"/>
        <w:rPr>
          <w:rFonts w:cstheme="minorHAnsi"/>
          <w:sz w:val="22"/>
        </w:rPr>
      </w:pPr>
      <w:r>
        <w:rPr>
          <w:rFonts w:cstheme="minorHAnsi"/>
          <w:sz w:val="22"/>
        </w:rPr>
        <w:br w:type="page"/>
      </w:r>
    </w:p>
    <w:p w14:paraId="2402D257" w14:textId="12981B38" w:rsidR="00057727" w:rsidRPr="002C46E9" w:rsidRDefault="00057727" w:rsidP="00D07220">
      <w:pPr>
        <w:spacing w:after="0" w:line="240" w:lineRule="auto"/>
        <w:rPr>
          <w:rFonts w:ascii="Calibri" w:hAnsi="Calibri" w:cstheme="minorHAnsi"/>
          <w:sz w:val="18"/>
          <w:szCs w:val="18"/>
        </w:rPr>
      </w:pPr>
      <w:r w:rsidRPr="001F5F67">
        <w:rPr>
          <w:rFonts w:ascii="Calibri" w:hAnsi="Calibri" w:cstheme="minorHAnsi"/>
          <w:sz w:val="18"/>
          <w:szCs w:val="18"/>
        </w:rPr>
        <w:t>Table 1</w:t>
      </w:r>
    </w:p>
    <w:tbl>
      <w:tblPr>
        <w:tblStyle w:val="LightShading-Accent1"/>
        <w:tblW w:w="5000" w:type="pct"/>
        <w:tblLayout w:type="fixed"/>
        <w:tblLook w:val="0660" w:firstRow="1" w:lastRow="1" w:firstColumn="0" w:lastColumn="0" w:noHBand="1" w:noVBand="1"/>
      </w:tblPr>
      <w:tblGrid>
        <w:gridCol w:w="6095"/>
        <w:gridCol w:w="2811"/>
      </w:tblGrid>
      <w:tr w:rsidR="006246E1" w:rsidRPr="006246E1" w14:paraId="6D9C616E" w14:textId="77777777" w:rsidTr="00D53F9F">
        <w:trPr>
          <w:cnfStyle w:val="100000000000" w:firstRow="1" w:lastRow="0" w:firstColumn="0" w:lastColumn="0" w:oddVBand="0" w:evenVBand="0" w:oddHBand="0" w:evenHBand="0" w:firstRowFirstColumn="0" w:firstRowLastColumn="0" w:lastRowFirstColumn="0" w:lastRowLastColumn="0"/>
          <w:trHeight w:val="20"/>
        </w:trPr>
        <w:tc>
          <w:tcPr>
            <w:tcW w:w="3422" w:type="pct"/>
            <w:tcBorders>
              <w:bottom w:val="nil"/>
            </w:tcBorders>
            <w:shd w:val="clear" w:color="auto" w:fill="1C6194" w:themeFill="accent6" w:themeFillShade="BF"/>
            <w:noWrap/>
          </w:tcPr>
          <w:p w14:paraId="6C12B4C7" w14:textId="77777777" w:rsidR="006246E1" w:rsidRPr="006246E1" w:rsidRDefault="004352D6" w:rsidP="00110A56">
            <w:pPr>
              <w:rPr>
                <w:rFonts w:ascii="Arial" w:hAnsi="Arial" w:cs="Arial"/>
                <w:color w:val="FFFFFF" w:themeColor="background1"/>
                <w:sz w:val="22"/>
              </w:rPr>
            </w:pPr>
            <w:r w:rsidRPr="006246E1">
              <w:rPr>
                <w:rFonts w:ascii="Arial" w:hAnsi="Arial" w:cs="Arial"/>
                <w:color w:val="FFFFFF" w:themeColor="background1"/>
                <w:sz w:val="22"/>
              </w:rPr>
              <w:t>Case type</w:t>
            </w:r>
          </w:p>
          <w:p w14:paraId="33EDAB65" w14:textId="24AE1574" w:rsidR="006246E1" w:rsidRPr="006246E1" w:rsidRDefault="006246E1" w:rsidP="00110A56">
            <w:pPr>
              <w:rPr>
                <w:rFonts w:ascii="Arial" w:hAnsi="Arial" w:cs="Arial"/>
                <w:color w:val="FFFFFF" w:themeColor="background1"/>
                <w:sz w:val="22"/>
              </w:rPr>
            </w:pPr>
          </w:p>
        </w:tc>
        <w:tc>
          <w:tcPr>
            <w:tcW w:w="1578" w:type="pct"/>
            <w:tcBorders>
              <w:bottom w:val="nil"/>
            </w:tcBorders>
            <w:shd w:val="clear" w:color="auto" w:fill="1C6194" w:themeFill="accent6" w:themeFillShade="BF"/>
          </w:tcPr>
          <w:p w14:paraId="3FD51BE8" w14:textId="472594A5" w:rsidR="004352D6" w:rsidRPr="006246E1" w:rsidRDefault="004352D6" w:rsidP="00666271">
            <w:pPr>
              <w:rPr>
                <w:rStyle w:val="SubtleEmphasis"/>
                <w:rFonts w:ascii="Arial" w:hAnsi="Arial" w:cs="Arial"/>
                <w:i w:val="0"/>
                <w:color w:val="FFFFFF" w:themeColor="background1"/>
                <w:sz w:val="22"/>
              </w:rPr>
            </w:pPr>
            <w:r w:rsidRPr="006246E1">
              <w:rPr>
                <w:rStyle w:val="SubtleEmphasis"/>
                <w:rFonts w:ascii="Arial" w:hAnsi="Arial" w:cs="Arial"/>
                <w:i w:val="0"/>
                <w:color w:val="FFFFFF" w:themeColor="background1"/>
                <w:sz w:val="22"/>
              </w:rPr>
              <w:t>N</w:t>
            </w:r>
            <w:r w:rsidR="00DC4CD9" w:rsidRPr="006246E1">
              <w:rPr>
                <w:rStyle w:val="SubtleEmphasis"/>
                <w:rFonts w:ascii="Arial" w:hAnsi="Arial" w:cs="Arial"/>
                <w:i w:val="0"/>
                <w:color w:val="FFFFFF" w:themeColor="background1"/>
                <w:sz w:val="22"/>
              </w:rPr>
              <w:t xml:space="preserve">umber of cases completed in </w:t>
            </w:r>
            <w:r w:rsidR="00666271">
              <w:rPr>
                <w:rStyle w:val="SubtleEmphasis"/>
                <w:rFonts w:ascii="Arial" w:hAnsi="Arial" w:cs="Arial"/>
                <w:i w:val="0"/>
                <w:color w:val="FFFFFF" w:themeColor="background1"/>
                <w:sz w:val="22"/>
              </w:rPr>
              <w:t>2019-20</w:t>
            </w:r>
          </w:p>
        </w:tc>
      </w:tr>
      <w:tr w:rsidR="00E7445C" w:rsidRPr="00E7445C" w14:paraId="118D7552" w14:textId="77777777" w:rsidTr="00D53F9F">
        <w:trPr>
          <w:trHeight w:val="397"/>
        </w:trPr>
        <w:tc>
          <w:tcPr>
            <w:tcW w:w="3422" w:type="pct"/>
            <w:tcBorders>
              <w:top w:val="nil"/>
              <w:left w:val="nil"/>
              <w:bottom w:val="nil"/>
              <w:right w:val="nil"/>
            </w:tcBorders>
            <w:noWrap/>
            <w:vAlign w:val="center"/>
          </w:tcPr>
          <w:p w14:paraId="2352A41C" w14:textId="302F3A52" w:rsidR="00E7445C" w:rsidRPr="006246E1" w:rsidRDefault="00E7445C" w:rsidP="00D53F9F">
            <w:pPr>
              <w:spacing w:after="0"/>
              <w:rPr>
                <w:rFonts w:ascii="Arial" w:hAnsi="Arial" w:cs="Arial"/>
                <w:sz w:val="22"/>
              </w:rPr>
            </w:pPr>
            <w:r w:rsidRPr="00D53F9F">
              <w:rPr>
                <w:rFonts w:ascii="Arial" w:hAnsi="Arial" w:cs="Arial"/>
                <w:color w:val="auto"/>
                <w:sz w:val="22"/>
              </w:rPr>
              <w:t>Dumping and/or subsidy investigations (inc</w:t>
            </w:r>
            <w:r w:rsidR="002B6BC1">
              <w:rPr>
                <w:rFonts w:ascii="Arial" w:hAnsi="Arial" w:cs="Arial"/>
                <w:color w:val="auto"/>
                <w:sz w:val="22"/>
              </w:rPr>
              <w:t>l.</w:t>
            </w:r>
            <w:r w:rsidRPr="00D53F9F">
              <w:rPr>
                <w:rFonts w:ascii="Arial" w:hAnsi="Arial" w:cs="Arial"/>
                <w:color w:val="auto"/>
                <w:sz w:val="22"/>
              </w:rPr>
              <w:t xml:space="preserve"> Resumptions)</w:t>
            </w:r>
          </w:p>
        </w:tc>
        <w:tc>
          <w:tcPr>
            <w:tcW w:w="1578" w:type="pct"/>
            <w:tcBorders>
              <w:top w:val="nil"/>
              <w:left w:val="nil"/>
              <w:bottom w:val="nil"/>
              <w:right w:val="nil"/>
            </w:tcBorders>
            <w:vAlign w:val="center"/>
          </w:tcPr>
          <w:p w14:paraId="346E966C" w14:textId="12152016" w:rsidR="00E7445C" w:rsidRPr="00E7445C" w:rsidRDefault="00E7445C" w:rsidP="00D53F9F">
            <w:pPr>
              <w:spacing w:after="0"/>
              <w:rPr>
                <w:rFonts w:ascii="Arial" w:hAnsi="Arial" w:cs="Arial"/>
              </w:rPr>
            </w:pPr>
            <w:r w:rsidRPr="00D53F9F">
              <w:rPr>
                <w:rFonts w:ascii="Arial" w:eastAsiaTheme="minorHAnsi" w:hAnsi="Arial" w:cs="Arial"/>
                <w:color w:val="auto"/>
                <w:sz w:val="22"/>
                <w:lang w:val="en-AU"/>
              </w:rPr>
              <w:t>9</w:t>
            </w:r>
          </w:p>
        </w:tc>
      </w:tr>
      <w:tr w:rsidR="00E7445C" w:rsidRPr="00E7445C" w14:paraId="6A7A76EA" w14:textId="77777777" w:rsidTr="00D53F9F">
        <w:trPr>
          <w:trHeight w:val="397"/>
        </w:trPr>
        <w:tc>
          <w:tcPr>
            <w:tcW w:w="3422" w:type="pct"/>
            <w:tcBorders>
              <w:top w:val="nil"/>
              <w:left w:val="nil"/>
              <w:bottom w:val="nil"/>
              <w:right w:val="nil"/>
            </w:tcBorders>
            <w:noWrap/>
            <w:vAlign w:val="center"/>
          </w:tcPr>
          <w:p w14:paraId="7ADA7439" w14:textId="4F7C9A5F" w:rsidR="00E7445C" w:rsidRPr="006246E1" w:rsidRDefault="00E7445C" w:rsidP="00E7445C">
            <w:pPr>
              <w:spacing w:after="0"/>
              <w:rPr>
                <w:rFonts w:ascii="Arial" w:hAnsi="Arial" w:cs="Arial"/>
                <w:sz w:val="22"/>
              </w:rPr>
            </w:pPr>
            <w:r w:rsidRPr="00D53F9F">
              <w:rPr>
                <w:rFonts w:ascii="Arial" w:hAnsi="Arial" w:cs="Arial"/>
                <w:color w:val="auto"/>
                <w:sz w:val="22"/>
              </w:rPr>
              <w:t>Anti-circumvention inquiries</w:t>
            </w:r>
          </w:p>
        </w:tc>
        <w:tc>
          <w:tcPr>
            <w:tcW w:w="1578" w:type="pct"/>
            <w:tcBorders>
              <w:top w:val="nil"/>
              <w:left w:val="nil"/>
              <w:bottom w:val="nil"/>
              <w:right w:val="nil"/>
            </w:tcBorders>
            <w:vAlign w:val="center"/>
          </w:tcPr>
          <w:p w14:paraId="29A999B5" w14:textId="7A3B190E" w:rsidR="00E7445C" w:rsidRPr="00E7445C" w:rsidRDefault="00E7445C" w:rsidP="00D53F9F">
            <w:pPr>
              <w:spacing w:after="0"/>
              <w:rPr>
                <w:rFonts w:ascii="Arial" w:hAnsi="Arial" w:cs="Arial"/>
              </w:rPr>
            </w:pPr>
            <w:r w:rsidRPr="00D53F9F">
              <w:rPr>
                <w:rFonts w:ascii="Arial" w:eastAsiaTheme="minorHAnsi" w:hAnsi="Arial" w:cs="Arial"/>
                <w:color w:val="auto"/>
                <w:sz w:val="22"/>
                <w:lang w:val="en-AU"/>
              </w:rPr>
              <w:t>1</w:t>
            </w:r>
          </w:p>
        </w:tc>
      </w:tr>
      <w:tr w:rsidR="00E7445C" w:rsidRPr="00E7445C" w14:paraId="4C3CEF27" w14:textId="77777777" w:rsidTr="00D53F9F">
        <w:trPr>
          <w:trHeight w:val="397"/>
        </w:trPr>
        <w:tc>
          <w:tcPr>
            <w:tcW w:w="3422" w:type="pct"/>
            <w:tcBorders>
              <w:top w:val="nil"/>
              <w:left w:val="nil"/>
              <w:bottom w:val="nil"/>
              <w:right w:val="nil"/>
            </w:tcBorders>
            <w:noWrap/>
            <w:vAlign w:val="center"/>
          </w:tcPr>
          <w:p w14:paraId="3BFA5681" w14:textId="483D3987" w:rsidR="00E7445C" w:rsidRPr="006246E1" w:rsidRDefault="00E7445C" w:rsidP="00E7445C">
            <w:pPr>
              <w:spacing w:after="0"/>
              <w:rPr>
                <w:rFonts w:ascii="Arial" w:hAnsi="Arial" w:cs="Arial"/>
                <w:sz w:val="22"/>
              </w:rPr>
            </w:pPr>
            <w:r w:rsidRPr="00D53F9F">
              <w:rPr>
                <w:rFonts w:ascii="Arial" w:hAnsi="Arial" w:cs="Arial"/>
                <w:color w:val="auto"/>
                <w:sz w:val="22"/>
              </w:rPr>
              <w:t>Accelerated reviews</w:t>
            </w:r>
          </w:p>
        </w:tc>
        <w:tc>
          <w:tcPr>
            <w:tcW w:w="1578" w:type="pct"/>
            <w:tcBorders>
              <w:top w:val="nil"/>
              <w:left w:val="nil"/>
              <w:bottom w:val="nil"/>
              <w:right w:val="nil"/>
            </w:tcBorders>
            <w:vAlign w:val="center"/>
          </w:tcPr>
          <w:p w14:paraId="0DD5557A" w14:textId="6FD4CB3A" w:rsidR="00E7445C" w:rsidRPr="00E7445C" w:rsidRDefault="00E7445C" w:rsidP="009914D0">
            <w:pPr>
              <w:spacing w:after="0"/>
              <w:rPr>
                <w:rFonts w:ascii="Arial" w:hAnsi="Arial" w:cs="Arial"/>
              </w:rPr>
            </w:pPr>
            <w:r w:rsidRPr="009D1211">
              <w:rPr>
                <w:rFonts w:ascii="Arial" w:eastAsiaTheme="minorHAnsi" w:hAnsi="Arial" w:cs="Arial"/>
                <w:color w:val="auto"/>
                <w:sz w:val="22"/>
                <w:lang w:val="en-AU"/>
              </w:rPr>
              <w:t>21</w:t>
            </w:r>
          </w:p>
        </w:tc>
      </w:tr>
      <w:tr w:rsidR="00E7445C" w:rsidRPr="00E7445C" w14:paraId="3F0DC492" w14:textId="77777777" w:rsidTr="00D53F9F">
        <w:trPr>
          <w:trHeight w:val="397"/>
        </w:trPr>
        <w:tc>
          <w:tcPr>
            <w:tcW w:w="3422" w:type="pct"/>
            <w:tcBorders>
              <w:top w:val="nil"/>
              <w:left w:val="nil"/>
              <w:bottom w:val="nil"/>
              <w:right w:val="nil"/>
            </w:tcBorders>
            <w:noWrap/>
            <w:vAlign w:val="center"/>
          </w:tcPr>
          <w:p w14:paraId="7730D7C1" w14:textId="51857272" w:rsidR="00E7445C" w:rsidRPr="006246E1" w:rsidRDefault="00E7445C" w:rsidP="009914D0">
            <w:pPr>
              <w:spacing w:after="0"/>
              <w:rPr>
                <w:rFonts w:ascii="Arial" w:hAnsi="Arial" w:cs="Arial"/>
                <w:sz w:val="22"/>
              </w:rPr>
            </w:pPr>
            <w:r w:rsidRPr="009D1211">
              <w:rPr>
                <w:rFonts w:ascii="Arial" w:hAnsi="Arial" w:cs="Arial"/>
                <w:color w:val="auto"/>
                <w:sz w:val="22"/>
              </w:rPr>
              <w:t>Review of measures</w:t>
            </w:r>
          </w:p>
        </w:tc>
        <w:tc>
          <w:tcPr>
            <w:tcW w:w="1578" w:type="pct"/>
            <w:tcBorders>
              <w:top w:val="nil"/>
              <w:left w:val="nil"/>
              <w:bottom w:val="nil"/>
              <w:right w:val="nil"/>
            </w:tcBorders>
            <w:vAlign w:val="center"/>
          </w:tcPr>
          <w:p w14:paraId="27D204C5" w14:textId="07845B5B" w:rsidR="00E7445C" w:rsidRPr="00E7445C" w:rsidRDefault="00E7445C" w:rsidP="009914D0">
            <w:pPr>
              <w:spacing w:after="0"/>
              <w:rPr>
                <w:rFonts w:ascii="Arial" w:hAnsi="Arial" w:cs="Arial"/>
              </w:rPr>
            </w:pPr>
            <w:r w:rsidRPr="009D1211">
              <w:rPr>
                <w:rFonts w:ascii="Arial" w:eastAsiaTheme="minorHAnsi" w:hAnsi="Arial" w:cs="Arial"/>
                <w:color w:val="auto"/>
                <w:sz w:val="22"/>
                <w:lang w:val="en-AU"/>
              </w:rPr>
              <w:t>10</w:t>
            </w:r>
          </w:p>
        </w:tc>
      </w:tr>
      <w:tr w:rsidR="00E7445C" w:rsidRPr="00E7445C" w14:paraId="7908CE1B" w14:textId="77777777" w:rsidTr="00D53F9F">
        <w:trPr>
          <w:trHeight w:val="397"/>
        </w:trPr>
        <w:tc>
          <w:tcPr>
            <w:tcW w:w="3422" w:type="pct"/>
            <w:tcBorders>
              <w:top w:val="nil"/>
              <w:left w:val="nil"/>
              <w:bottom w:val="nil"/>
              <w:right w:val="nil"/>
            </w:tcBorders>
            <w:noWrap/>
            <w:vAlign w:val="center"/>
          </w:tcPr>
          <w:p w14:paraId="1B7BD258" w14:textId="7BB160A9" w:rsidR="00E7445C" w:rsidRPr="006246E1" w:rsidRDefault="00E7445C" w:rsidP="009914D0">
            <w:pPr>
              <w:spacing w:after="0"/>
              <w:rPr>
                <w:rFonts w:ascii="Arial" w:hAnsi="Arial" w:cs="Arial"/>
                <w:sz w:val="22"/>
              </w:rPr>
            </w:pPr>
            <w:r w:rsidRPr="009D1211">
              <w:rPr>
                <w:rFonts w:ascii="Arial" w:hAnsi="Arial" w:cs="Arial"/>
                <w:color w:val="auto"/>
                <w:sz w:val="22"/>
              </w:rPr>
              <w:t>Continuation inquiries</w:t>
            </w:r>
          </w:p>
        </w:tc>
        <w:tc>
          <w:tcPr>
            <w:tcW w:w="1578" w:type="pct"/>
            <w:tcBorders>
              <w:top w:val="nil"/>
              <w:left w:val="nil"/>
              <w:bottom w:val="nil"/>
              <w:right w:val="nil"/>
            </w:tcBorders>
            <w:vAlign w:val="center"/>
          </w:tcPr>
          <w:p w14:paraId="784137DB" w14:textId="5ED632D9" w:rsidR="00E7445C" w:rsidRPr="00E7445C" w:rsidRDefault="00E7445C" w:rsidP="009914D0">
            <w:pPr>
              <w:spacing w:after="0"/>
              <w:rPr>
                <w:rFonts w:ascii="Arial" w:hAnsi="Arial" w:cs="Arial"/>
              </w:rPr>
            </w:pPr>
            <w:r w:rsidRPr="009D1211">
              <w:rPr>
                <w:rFonts w:ascii="Arial" w:eastAsiaTheme="minorHAnsi" w:hAnsi="Arial" w:cs="Arial"/>
                <w:color w:val="auto"/>
                <w:sz w:val="22"/>
                <w:lang w:val="en-AU"/>
              </w:rPr>
              <w:t>14</w:t>
            </w:r>
          </w:p>
        </w:tc>
      </w:tr>
      <w:tr w:rsidR="00E7445C" w:rsidRPr="00E7445C" w14:paraId="704D947B" w14:textId="77777777" w:rsidTr="00D53F9F">
        <w:trPr>
          <w:trHeight w:val="397"/>
        </w:trPr>
        <w:tc>
          <w:tcPr>
            <w:tcW w:w="3422" w:type="pct"/>
            <w:tcBorders>
              <w:top w:val="nil"/>
              <w:left w:val="nil"/>
              <w:bottom w:val="nil"/>
              <w:right w:val="nil"/>
            </w:tcBorders>
            <w:noWrap/>
            <w:vAlign w:val="center"/>
          </w:tcPr>
          <w:p w14:paraId="0E3AE810" w14:textId="5A69879F" w:rsidR="00E7445C" w:rsidRPr="006246E1" w:rsidRDefault="00E7445C" w:rsidP="009914D0">
            <w:pPr>
              <w:spacing w:after="0"/>
              <w:rPr>
                <w:rFonts w:ascii="Arial" w:hAnsi="Arial" w:cs="Arial"/>
                <w:sz w:val="22"/>
              </w:rPr>
            </w:pPr>
            <w:r w:rsidRPr="009D1211">
              <w:rPr>
                <w:rFonts w:ascii="Arial" w:hAnsi="Arial" w:cs="Arial"/>
                <w:color w:val="auto"/>
                <w:sz w:val="22"/>
              </w:rPr>
              <w:t xml:space="preserve">Exemptions </w:t>
            </w:r>
          </w:p>
        </w:tc>
        <w:tc>
          <w:tcPr>
            <w:tcW w:w="1578" w:type="pct"/>
            <w:tcBorders>
              <w:top w:val="nil"/>
              <w:left w:val="nil"/>
              <w:bottom w:val="nil"/>
              <w:right w:val="nil"/>
            </w:tcBorders>
            <w:vAlign w:val="center"/>
          </w:tcPr>
          <w:p w14:paraId="04E56B2F" w14:textId="1D84C1F8" w:rsidR="00E7445C" w:rsidRPr="00E7445C" w:rsidRDefault="00E7445C" w:rsidP="009914D0">
            <w:pPr>
              <w:spacing w:after="0"/>
              <w:rPr>
                <w:rFonts w:ascii="Arial" w:hAnsi="Arial" w:cs="Arial"/>
              </w:rPr>
            </w:pPr>
            <w:r w:rsidRPr="009D1211">
              <w:rPr>
                <w:rFonts w:ascii="Arial" w:eastAsiaTheme="minorHAnsi" w:hAnsi="Arial" w:cs="Arial"/>
                <w:color w:val="auto"/>
                <w:sz w:val="22"/>
                <w:lang w:val="en-AU"/>
              </w:rPr>
              <w:t>10</w:t>
            </w:r>
          </w:p>
        </w:tc>
      </w:tr>
      <w:tr w:rsidR="00E7445C" w:rsidRPr="00E7445C" w14:paraId="350FB9CA" w14:textId="77777777" w:rsidTr="00D53F9F">
        <w:trPr>
          <w:trHeight w:val="397"/>
        </w:trPr>
        <w:tc>
          <w:tcPr>
            <w:tcW w:w="3422" w:type="pct"/>
            <w:tcBorders>
              <w:top w:val="nil"/>
              <w:left w:val="nil"/>
              <w:bottom w:val="nil"/>
              <w:right w:val="nil"/>
            </w:tcBorders>
            <w:noWrap/>
            <w:vAlign w:val="center"/>
          </w:tcPr>
          <w:p w14:paraId="06792801" w14:textId="09120D75" w:rsidR="00E7445C" w:rsidRPr="006246E1" w:rsidRDefault="00E7445C" w:rsidP="009914D0">
            <w:pPr>
              <w:spacing w:after="0"/>
              <w:rPr>
                <w:rFonts w:ascii="Arial" w:hAnsi="Arial" w:cs="Arial"/>
                <w:sz w:val="22"/>
              </w:rPr>
            </w:pPr>
            <w:r w:rsidRPr="009D1211">
              <w:rPr>
                <w:rFonts w:ascii="Arial" w:hAnsi="Arial" w:cs="Arial"/>
                <w:color w:val="auto"/>
                <w:sz w:val="22"/>
              </w:rPr>
              <w:t>Duty assessments</w:t>
            </w:r>
          </w:p>
        </w:tc>
        <w:tc>
          <w:tcPr>
            <w:tcW w:w="1578" w:type="pct"/>
            <w:tcBorders>
              <w:top w:val="nil"/>
              <w:left w:val="nil"/>
              <w:bottom w:val="nil"/>
              <w:right w:val="nil"/>
            </w:tcBorders>
            <w:vAlign w:val="center"/>
          </w:tcPr>
          <w:p w14:paraId="710056D2" w14:textId="4A437C43" w:rsidR="00E7445C" w:rsidRPr="00E7445C" w:rsidRDefault="004C21C7" w:rsidP="009914D0">
            <w:pPr>
              <w:spacing w:after="0"/>
              <w:rPr>
                <w:rFonts w:ascii="Arial" w:hAnsi="Arial" w:cs="Arial"/>
              </w:rPr>
            </w:pPr>
            <w:r>
              <w:rPr>
                <w:rFonts w:ascii="Arial" w:eastAsiaTheme="minorHAnsi" w:hAnsi="Arial" w:cs="Arial"/>
                <w:color w:val="auto"/>
                <w:sz w:val="22"/>
                <w:lang w:val="en-AU"/>
              </w:rPr>
              <w:t>31</w:t>
            </w:r>
          </w:p>
        </w:tc>
      </w:tr>
      <w:tr w:rsidR="00E7445C" w:rsidRPr="00E7445C" w14:paraId="774C6EDF" w14:textId="77777777" w:rsidTr="00D53F9F">
        <w:trPr>
          <w:trHeight w:val="397"/>
        </w:trPr>
        <w:tc>
          <w:tcPr>
            <w:tcW w:w="3422" w:type="pct"/>
            <w:tcBorders>
              <w:top w:val="nil"/>
              <w:left w:val="nil"/>
              <w:bottom w:val="nil"/>
              <w:right w:val="nil"/>
            </w:tcBorders>
            <w:noWrap/>
            <w:vAlign w:val="center"/>
          </w:tcPr>
          <w:p w14:paraId="37574BD5" w14:textId="2CBE238D" w:rsidR="00E7445C" w:rsidRPr="006246E1" w:rsidRDefault="00E7445C" w:rsidP="009914D0">
            <w:pPr>
              <w:spacing w:after="0"/>
              <w:rPr>
                <w:rFonts w:ascii="Arial" w:hAnsi="Arial" w:cs="Arial"/>
                <w:sz w:val="22"/>
              </w:rPr>
            </w:pPr>
            <w:r w:rsidRPr="009D1211">
              <w:rPr>
                <w:rFonts w:ascii="Arial" w:hAnsi="Arial" w:cs="Arial"/>
                <w:color w:val="auto"/>
                <w:sz w:val="22"/>
              </w:rPr>
              <w:t>Reinvestigations</w:t>
            </w:r>
          </w:p>
        </w:tc>
        <w:tc>
          <w:tcPr>
            <w:tcW w:w="1578" w:type="pct"/>
            <w:tcBorders>
              <w:top w:val="nil"/>
              <w:left w:val="nil"/>
              <w:bottom w:val="nil"/>
              <w:right w:val="nil"/>
            </w:tcBorders>
            <w:vAlign w:val="center"/>
          </w:tcPr>
          <w:p w14:paraId="2B04EEDD" w14:textId="15669EE2" w:rsidR="00E7445C" w:rsidRPr="00E7445C" w:rsidRDefault="00E7445C" w:rsidP="009914D0">
            <w:pPr>
              <w:spacing w:after="0"/>
              <w:rPr>
                <w:rFonts w:ascii="Arial" w:hAnsi="Arial" w:cs="Arial"/>
              </w:rPr>
            </w:pPr>
            <w:r w:rsidRPr="009D1211">
              <w:rPr>
                <w:rFonts w:ascii="Arial" w:eastAsiaTheme="minorHAnsi" w:hAnsi="Arial" w:cs="Arial"/>
                <w:color w:val="auto"/>
                <w:sz w:val="22"/>
                <w:lang w:val="en-AU"/>
              </w:rPr>
              <w:t>5</w:t>
            </w:r>
          </w:p>
        </w:tc>
      </w:tr>
      <w:tr w:rsidR="004352D6" w:rsidRPr="00E7445C" w14:paraId="71334AEA" w14:textId="77777777" w:rsidTr="00D53F9F">
        <w:trPr>
          <w:cnfStyle w:val="010000000000" w:firstRow="0" w:lastRow="1" w:firstColumn="0" w:lastColumn="0" w:oddVBand="0" w:evenVBand="0" w:oddHBand="0" w:evenHBand="0" w:firstRowFirstColumn="0" w:firstRowLastColumn="0" w:lastRowFirstColumn="0" w:lastRowLastColumn="0"/>
          <w:trHeight w:val="20"/>
        </w:trPr>
        <w:tc>
          <w:tcPr>
            <w:tcW w:w="3422" w:type="pct"/>
            <w:tcBorders>
              <w:top w:val="single" w:sz="4" w:space="0" w:color="auto"/>
            </w:tcBorders>
            <w:noWrap/>
            <w:vAlign w:val="center"/>
          </w:tcPr>
          <w:p w14:paraId="5C518083" w14:textId="77777777" w:rsidR="004352D6" w:rsidRPr="006246E1" w:rsidRDefault="004352D6" w:rsidP="00CC76F0">
            <w:pPr>
              <w:spacing w:after="0"/>
              <w:rPr>
                <w:rFonts w:ascii="Arial" w:hAnsi="Arial" w:cs="Arial"/>
                <w:sz w:val="22"/>
              </w:rPr>
            </w:pPr>
            <w:r w:rsidRPr="006246E1">
              <w:rPr>
                <w:rFonts w:ascii="Arial" w:hAnsi="Arial" w:cs="Arial"/>
                <w:sz w:val="22"/>
              </w:rPr>
              <w:t>Total</w:t>
            </w:r>
          </w:p>
        </w:tc>
        <w:tc>
          <w:tcPr>
            <w:tcW w:w="1578" w:type="pct"/>
            <w:tcBorders>
              <w:top w:val="single" w:sz="4" w:space="0" w:color="auto"/>
            </w:tcBorders>
          </w:tcPr>
          <w:p w14:paraId="554D807A" w14:textId="00F541A9" w:rsidR="00E7445C" w:rsidRPr="009914D0" w:rsidRDefault="00E7445C" w:rsidP="00E7445C">
            <w:pPr>
              <w:spacing w:after="0"/>
              <w:rPr>
                <w:rFonts w:ascii="Arial" w:hAnsi="Arial" w:cs="Arial"/>
                <w:sz w:val="22"/>
              </w:rPr>
            </w:pPr>
            <w:r w:rsidRPr="009914D0">
              <w:rPr>
                <w:rFonts w:ascii="Arial" w:hAnsi="Arial" w:cs="Arial"/>
                <w:color w:val="auto"/>
                <w:sz w:val="22"/>
              </w:rPr>
              <w:t>10</w:t>
            </w:r>
            <w:r w:rsidR="004C21C7">
              <w:rPr>
                <w:rFonts w:ascii="Arial" w:hAnsi="Arial" w:cs="Arial"/>
                <w:color w:val="auto"/>
                <w:sz w:val="22"/>
              </w:rPr>
              <w:t>1</w:t>
            </w:r>
          </w:p>
          <w:p w14:paraId="3DBC05B2" w14:textId="54A2CC67" w:rsidR="004352D6" w:rsidRPr="00E7445C" w:rsidRDefault="004352D6" w:rsidP="009914D0">
            <w:pPr>
              <w:spacing w:after="0"/>
              <w:rPr>
                <w:rFonts w:ascii="Arial" w:hAnsi="Arial" w:cs="Arial"/>
              </w:rPr>
            </w:pPr>
          </w:p>
        </w:tc>
      </w:tr>
    </w:tbl>
    <w:p w14:paraId="7BB798E0" w14:textId="281D6ECF" w:rsidR="00235C24" w:rsidRDefault="00235C24" w:rsidP="00CC76F0">
      <w:pPr>
        <w:spacing w:after="0"/>
        <w:rPr>
          <w:rFonts w:cstheme="minorHAnsi"/>
          <w:sz w:val="22"/>
        </w:rPr>
      </w:pPr>
    </w:p>
    <w:p w14:paraId="7BB798E2" w14:textId="0488743F" w:rsidR="00235C24" w:rsidRPr="00CC76F0" w:rsidRDefault="00235C24" w:rsidP="009914D0">
      <w:pPr>
        <w:pStyle w:val="Heading2"/>
      </w:pPr>
      <w:bookmarkStart w:id="13" w:name="_Toc49953498"/>
      <w:bookmarkStart w:id="14" w:name="_Toc52455997"/>
      <w:r w:rsidRPr="00E43A12">
        <w:t>The Australian Government Regulator Performance Framework</w:t>
      </w:r>
      <w:bookmarkEnd w:id="13"/>
      <w:bookmarkEnd w:id="14"/>
    </w:p>
    <w:p w14:paraId="7BB798E3" w14:textId="3939D0CB" w:rsidR="00235C24" w:rsidRPr="007D35D5" w:rsidRDefault="00235C24" w:rsidP="00D07220">
      <w:pPr>
        <w:spacing w:after="0" w:line="240" w:lineRule="auto"/>
        <w:rPr>
          <w:rFonts w:cstheme="minorHAnsi"/>
          <w:sz w:val="22"/>
        </w:rPr>
      </w:pPr>
      <w:r w:rsidRPr="007D35D5">
        <w:rPr>
          <w:rFonts w:cstheme="minorHAnsi"/>
          <w:sz w:val="22"/>
        </w:rPr>
        <w:t>As part of the Australian Government’s regulation reform agenda, the RPF has been established to measure and assess the efficiency and effectiveness with which regulators undertake their roles and interact with regulated entities. The objective of the RPF is to improve the way regulators operate, reduce the costs incurred by regulated entities, and to increase the public accountability and transparency of regulators.</w:t>
      </w:r>
    </w:p>
    <w:p w14:paraId="7BB798E4" w14:textId="77777777" w:rsidR="00235C24" w:rsidRPr="007D35D5" w:rsidRDefault="00235C24" w:rsidP="00D07220">
      <w:pPr>
        <w:spacing w:after="0" w:line="240" w:lineRule="auto"/>
        <w:rPr>
          <w:rFonts w:cstheme="minorHAnsi"/>
          <w:sz w:val="22"/>
        </w:rPr>
      </w:pPr>
    </w:p>
    <w:p w14:paraId="7BB798E5" w14:textId="6780CD05" w:rsidR="00235C24" w:rsidRPr="007D35D5" w:rsidRDefault="00235C24" w:rsidP="00D07220">
      <w:pPr>
        <w:spacing w:after="0" w:line="240" w:lineRule="auto"/>
        <w:rPr>
          <w:rFonts w:cstheme="minorHAnsi"/>
          <w:sz w:val="22"/>
        </w:rPr>
      </w:pPr>
      <w:r w:rsidRPr="007D35D5">
        <w:rPr>
          <w:rFonts w:cstheme="minorHAnsi"/>
          <w:sz w:val="22"/>
        </w:rPr>
        <w:t xml:space="preserve">The RPF consists of six key KPIs, which </w:t>
      </w:r>
      <w:r w:rsidR="005D577D">
        <w:rPr>
          <w:rFonts w:cstheme="minorHAnsi"/>
          <w:sz w:val="22"/>
        </w:rPr>
        <w:t>outline</w:t>
      </w:r>
      <w:r w:rsidRPr="007D35D5">
        <w:rPr>
          <w:rFonts w:cstheme="minorHAnsi"/>
          <w:sz w:val="22"/>
        </w:rPr>
        <w:t xml:space="preserve"> the government’s expectations of regulator performance.</w:t>
      </w:r>
    </w:p>
    <w:p w14:paraId="7BB798E6" w14:textId="77777777" w:rsidR="00235C24" w:rsidRPr="007D35D5" w:rsidRDefault="00235C24" w:rsidP="00CC76F0">
      <w:pPr>
        <w:pStyle w:val="ListParagraph"/>
        <w:numPr>
          <w:ilvl w:val="0"/>
          <w:numId w:val="7"/>
        </w:numPr>
        <w:spacing w:after="0" w:line="240" w:lineRule="auto"/>
        <w:ind w:left="567" w:right="-25"/>
        <w:contextualSpacing w:val="0"/>
        <w:rPr>
          <w:rFonts w:cstheme="minorHAnsi"/>
        </w:rPr>
      </w:pPr>
      <w:r w:rsidRPr="007D35D5">
        <w:rPr>
          <w:rFonts w:cstheme="minorHAnsi"/>
        </w:rPr>
        <w:t>KPI 1—Regulators do not unnecessarily impede the efficient operation of regulated entities.</w:t>
      </w:r>
    </w:p>
    <w:p w14:paraId="7BB798E7" w14:textId="77777777" w:rsidR="00235C24" w:rsidRPr="007D35D5" w:rsidRDefault="00235C24" w:rsidP="00CC76F0">
      <w:pPr>
        <w:pStyle w:val="ListParagraph"/>
        <w:numPr>
          <w:ilvl w:val="0"/>
          <w:numId w:val="7"/>
        </w:numPr>
        <w:spacing w:after="0" w:line="240" w:lineRule="auto"/>
        <w:ind w:left="567" w:right="-25"/>
        <w:rPr>
          <w:rFonts w:cstheme="minorHAnsi"/>
        </w:rPr>
      </w:pPr>
      <w:r w:rsidRPr="007D35D5">
        <w:rPr>
          <w:rFonts w:cstheme="minorHAnsi"/>
        </w:rPr>
        <w:t>KPI 2—Communication with regulated entities is clear, targeted and effective.</w:t>
      </w:r>
    </w:p>
    <w:p w14:paraId="7BB798E8" w14:textId="05AEC7BF" w:rsidR="00235C24" w:rsidRPr="007D35D5" w:rsidRDefault="00235C24" w:rsidP="00CC76F0">
      <w:pPr>
        <w:pStyle w:val="ListParagraph"/>
        <w:numPr>
          <w:ilvl w:val="0"/>
          <w:numId w:val="7"/>
        </w:numPr>
        <w:spacing w:after="0" w:line="240" w:lineRule="auto"/>
        <w:ind w:left="567" w:right="-166" w:hanging="357"/>
        <w:rPr>
          <w:rFonts w:cstheme="minorHAnsi"/>
        </w:rPr>
      </w:pPr>
      <w:r w:rsidRPr="007D35D5">
        <w:rPr>
          <w:rFonts w:cstheme="minorHAnsi"/>
        </w:rPr>
        <w:t>KPI 3—Actions undertaken by regulators are proporti</w:t>
      </w:r>
      <w:r w:rsidR="00CC76F0">
        <w:rPr>
          <w:rFonts w:cstheme="minorHAnsi"/>
        </w:rPr>
        <w:t>onate to the risk being managed.</w:t>
      </w:r>
    </w:p>
    <w:p w14:paraId="7BB798E9" w14:textId="77777777" w:rsidR="00235C24" w:rsidRPr="007D35D5" w:rsidRDefault="00235C24" w:rsidP="00CC76F0">
      <w:pPr>
        <w:pStyle w:val="ListParagraph"/>
        <w:numPr>
          <w:ilvl w:val="0"/>
          <w:numId w:val="7"/>
        </w:numPr>
        <w:spacing w:after="0" w:line="240" w:lineRule="auto"/>
        <w:ind w:left="567" w:right="-25" w:hanging="357"/>
        <w:rPr>
          <w:rFonts w:cstheme="minorHAnsi"/>
        </w:rPr>
      </w:pPr>
      <w:r w:rsidRPr="007D35D5">
        <w:rPr>
          <w:rFonts w:cstheme="minorHAnsi"/>
        </w:rPr>
        <w:t>KPI 4—Compliance and monitoring approaches are streamlined and co-ordinated.</w:t>
      </w:r>
    </w:p>
    <w:p w14:paraId="7BB798EA" w14:textId="77777777" w:rsidR="00235C24" w:rsidRPr="00781595" w:rsidRDefault="00235C24" w:rsidP="00CC76F0">
      <w:pPr>
        <w:pStyle w:val="ListParagraph"/>
        <w:numPr>
          <w:ilvl w:val="0"/>
          <w:numId w:val="7"/>
        </w:numPr>
        <w:spacing w:after="0" w:line="240" w:lineRule="auto"/>
        <w:ind w:left="567" w:right="-25" w:hanging="357"/>
        <w:rPr>
          <w:rFonts w:ascii="Calibri" w:hAnsi="Calibri"/>
        </w:rPr>
      </w:pPr>
      <w:r w:rsidRPr="007D35D5">
        <w:rPr>
          <w:rFonts w:cstheme="minorHAnsi"/>
        </w:rPr>
        <w:t>KPI 5—Regulators are open and transparent in their dealings with regulated entities</w:t>
      </w:r>
      <w:r w:rsidRPr="00781595">
        <w:rPr>
          <w:rFonts w:ascii="Calibri" w:hAnsi="Calibri"/>
        </w:rPr>
        <w:t>.</w:t>
      </w:r>
    </w:p>
    <w:p w14:paraId="7BB798EB" w14:textId="77777777" w:rsidR="00235C24" w:rsidRPr="00D07220" w:rsidRDefault="00235C24" w:rsidP="00CC76F0">
      <w:pPr>
        <w:pStyle w:val="ListParagraph"/>
        <w:numPr>
          <w:ilvl w:val="0"/>
          <w:numId w:val="7"/>
        </w:numPr>
        <w:spacing w:after="0" w:line="240" w:lineRule="auto"/>
        <w:ind w:left="567" w:right="-25" w:hanging="357"/>
        <w:contextualSpacing w:val="0"/>
        <w:rPr>
          <w:rFonts w:cstheme="minorHAnsi"/>
        </w:rPr>
      </w:pPr>
      <w:r w:rsidRPr="00D07220">
        <w:rPr>
          <w:rFonts w:cstheme="minorHAnsi"/>
        </w:rPr>
        <w:t xml:space="preserve">KPI 6—Regulators actively contribute to the continuous improvement of regulatory frameworks. </w:t>
      </w:r>
    </w:p>
    <w:p w14:paraId="7BB798EC" w14:textId="77777777" w:rsidR="00235C24" w:rsidRPr="00D07220" w:rsidRDefault="00235C24" w:rsidP="00D07220">
      <w:pPr>
        <w:spacing w:after="0" w:line="240" w:lineRule="auto"/>
        <w:rPr>
          <w:rFonts w:cstheme="minorHAnsi"/>
          <w:sz w:val="22"/>
        </w:rPr>
      </w:pPr>
    </w:p>
    <w:p w14:paraId="7BB798ED" w14:textId="77777777" w:rsidR="00235C24" w:rsidRPr="007D35D5" w:rsidRDefault="00235C24" w:rsidP="00D07220">
      <w:pPr>
        <w:spacing w:after="0" w:line="240" w:lineRule="auto"/>
        <w:rPr>
          <w:rFonts w:cstheme="minorHAnsi"/>
          <w:sz w:val="22"/>
        </w:rPr>
      </w:pPr>
      <w:r w:rsidRPr="007D35D5">
        <w:rPr>
          <w:rFonts w:cstheme="minorHAnsi"/>
          <w:sz w:val="22"/>
        </w:rPr>
        <w:t>The RPF requires regulators to establish their own performance assessment framework and annually self-assess their performance against these KPIs in consultation with stakeholders. The Commission is considered a regulator for the purposes of the RPF because it has a statutory responsibility to administer, monitor, or enforce regulation by undertaking some or all of the following activities:</w:t>
      </w:r>
    </w:p>
    <w:p w14:paraId="7BB798EE" w14:textId="4B2ECC91" w:rsidR="00235C24" w:rsidRPr="007D35D5" w:rsidRDefault="00235C24" w:rsidP="00CC76F0">
      <w:pPr>
        <w:pStyle w:val="ListParagraph"/>
        <w:numPr>
          <w:ilvl w:val="0"/>
          <w:numId w:val="5"/>
        </w:numPr>
        <w:spacing w:before="120" w:after="0" w:line="240" w:lineRule="auto"/>
        <w:ind w:hanging="357"/>
        <w:rPr>
          <w:rFonts w:cstheme="minorHAnsi"/>
        </w:rPr>
      </w:pPr>
      <w:r w:rsidRPr="007D35D5">
        <w:rPr>
          <w:rFonts w:cstheme="minorHAnsi"/>
        </w:rPr>
        <w:t>licensing and/or approvals processes, including registration/accreditation, that control entry to or participation in a market</w:t>
      </w:r>
      <w:r w:rsidR="005D577D">
        <w:rPr>
          <w:rFonts w:cstheme="minorHAnsi"/>
        </w:rPr>
        <w:t>;</w:t>
      </w:r>
    </w:p>
    <w:p w14:paraId="7BB798EF" w14:textId="58ECDF7F" w:rsidR="00235C24" w:rsidRPr="007D35D5" w:rsidRDefault="00235C24" w:rsidP="00CC76F0">
      <w:pPr>
        <w:pStyle w:val="ListParagraph"/>
        <w:numPr>
          <w:ilvl w:val="0"/>
          <w:numId w:val="5"/>
        </w:numPr>
        <w:spacing w:after="0" w:line="240" w:lineRule="auto"/>
        <w:rPr>
          <w:rFonts w:cstheme="minorHAnsi"/>
        </w:rPr>
      </w:pPr>
      <w:r w:rsidRPr="007D35D5">
        <w:rPr>
          <w:rFonts w:cstheme="minorHAnsi"/>
        </w:rPr>
        <w:t>monitoring and compliance activities, including imposing and collecting fees</w:t>
      </w:r>
      <w:r w:rsidR="005D577D">
        <w:rPr>
          <w:rFonts w:cstheme="minorHAnsi"/>
        </w:rPr>
        <w:t>;</w:t>
      </w:r>
    </w:p>
    <w:p w14:paraId="7BB798F0" w14:textId="2EC091B6" w:rsidR="00235C24" w:rsidRPr="007D35D5" w:rsidRDefault="00235C24" w:rsidP="00CC76F0">
      <w:pPr>
        <w:pStyle w:val="ListParagraph"/>
        <w:numPr>
          <w:ilvl w:val="0"/>
          <w:numId w:val="5"/>
        </w:numPr>
        <w:spacing w:after="0" w:line="240" w:lineRule="auto"/>
        <w:rPr>
          <w:rFonts w:cstheme="minorHAnsi"/>
        </w:rPr>
      </w:pPr>
      <w:r w:rsidRPr="007D35D5">
        <w:rPr>
          <w:rFonts w:cstheme="minorHAnsi"/>
        </w:rPr>
        <w:t>enforcement actions for non-compliance and complaints resolution</w:t>
      </w:r>
      <w:r w:rsidR="005D577D">
        <w:rPr>
          <w:rFonts w:cstheme="minorHAnsi"/>
        </w:rPr>
        <w:t>; or</w:t>
      </w:r>
    </w:p>
    <w:p w14:paraId="7BB798F1" w14:textId="77777777" w:rsidR="00235C24" w:rsidRPr="007D35D5" w:rsidRDefault="00235C24" w:rsidP="00CC76F0">
      <w:pPr>
        <w:pStyle w:val="ListParagraph"/>
        <w:numPr>
          <w:ilvl w:val="0"/>
          <w:numId w:val="5"/>
        </w:numPr>
        <w:spacing w:after="0" w:line="240" w:lineRule="auto"/>
        <w:rPr>
          <w:rFonts w:cstheme="minorHAnsi"/>
        </w:rPr>
      </w:pPr>
      <w:r w:rsidRPr="007D35D5">
        <w:rPr>
          <w:rFonts w:cstheme="minorHAnsi"/>
        </w:rPr>
        <w:t>providing advice and guidance regarding compliance with regulation, including education around compliance.</w:t>
      </w:r>
    </w:p>
    <w:p w14:paraId="5FD3D2FE" w14:textId="77777777" w:rsidR="00CC76F0" w:rsidRDefault="00CC76F0" w:rsidP="004F6464">
      <w:pPr>
        <w:spacing w:after="0" w:line="240" w:lineRule="auto"/>
        <w:rPr>
          <w:rFonts w:cstheme="minorHAnsi"/>
          <w:sz w:val="22"/>
        </w:rPr>
      </w:pPr>
    </w:p>
    <w:p w14:paraId="7BB798F3" w14:textId="6F57BF52" w:rsidR="00235C24" w:rsidRDefault="00235C24" w:rsidP="004F6464">
      <w:pPr>
        <w:spacing w:after="0" w:line="240" w:lineRule="auto"/>
        <w:rPr>
          <w:rFonts w:cstheme="minorHAnsi"/>
          <w:sz w:val="22"/>
        </w:rPr>
      </w:pPr>
      <w:r w:rsidRPr="007D35D5">
        <w:rPr>
          <w:rFonts w:cstheme="minorHAnsi"/>
          <w:sz w:val="22"/>
        </w:rPr>
        <w:t>These responsibilities were identified by the Productivity Commission as the primary activities undertaken by regulators.</w:t>
      </w:r>
    </w:p>
    <w:p w14:paraId="7BB798F6" w14:textId="01E04CCA" w:rsidR="00235C24" w:rsidRPr="00FC5C40" w:rsidRDefault="00235C24" w:rsidP="00D53F9F">
      <w:pPr>
        <w:pStyle w:val="Heading2"/>
      </w:pPr>
      <w:bookmarkStart w:id="15" w:name="_Toc49953499"/>
      <w:bookmarkStart w:id="16" w:name="_Toc52455998"/>
      <w:r w:rsidRPr="00E43A12">
        <w:t xml:space="preserve">Our approach to </w:t>
      </w:r>
      <w:r w:rsidR="00584A43" w:rsidRPr="00E43A12">
        <w:t>implement</w:t>
      </w:r>
      <w:r w:rsidR="00584A43">
        <w:t>ing</w:t>
      </w:r>
      <w:r w:rsidR="00584A43" w:rsidRPr="00E43A12">
        <w:t xml:space="preserve"> </w:t>
      </w:r>
      <w:r w:rsidRPr="00E43A12">
        <w:t>the RPF</w:t>
      </w:r>
      <w:bookmarkEnd w:id="15"/>
      <w:bookmarkEnd w:id="16"/>
    </w:p>
    <w:p w14:paraId="7BB798F7" w14:textId="6230E8B1" w:rsidR="00235C24" w:rsidRPr="007D35D5" w:rsidRDefault="00584A43" w:rsidP="00D07220">
      <w:pPr>
        <w:spacing w:after="0" w:line="240" w:lineRule="auto"/>
        <w:rPr>
          <w:rFonts w:cstheme="minorHAnsi"/>
          <w:sz w:val="22"/>
        </w:rPr>
      </w:pPr>
      <w:r>
        <w:rPr>
          <w:rFonts w:cstheme="minorHAnsi"/>
          <w:sz w:val="22"/>
        </w:rPr>
        <w:t xml:space="preserve">For </w:t>
      </w:r>
      <w:r w:rsidR="00803B79">
        <w:rPr>
          <w:rFonts w:cstheme="minorHAnsi"/>
          <w:sz w:val="22"/>
        </w:rPr>
        <w:t>2019-20</w:t>
      </w:r>
      <w:r>
        <w:rPr>
          <w:rFonts w:cstheme="minorHAnsi"/>
          <w:sz w:val="22"/>
        </w:rPr>
        <w:t>, the</w:t>
      </w:r>
      <w:r w:rsidRPr="007D35D5">
        <w:rPr>
          <w:rFonts w:cstheme="minorHAnsi"/>
          <w:sz w:val="22"/>
        </w:rPr>
        <w:t xml:space="preserve"> </w:t>
      </w:r>
      <w:r w:rsidR="00235C24" w:rsidRPr="007D35D5">
        <w:rPr>
          <w:rFonts w:cstheme="minorHAnsi"/>
          <w:sz w:val="22"/>
        </w:rPr>
        <w:t>Commission</w:t>
      </w:r>
      <w:r w:rsidR="004A2B02">
        <w:rPr>
          <w:rFonts w:cstheme="minorHAnsi"/>
          <w:sz w:val="22"/>
        </w:rPr>
        <w:t xml:space="preserve"> </w:t>
      </w:r>
      <w:r>
        <w:rPr>
          <w:rFonts w:cstheme="minorHAnsi"/>
          <w:sz w:val="22"/>
        </w:rPr>
        <w:t>has</w:t>
      </w:r>
      <w:r w:rsidR="004A2B02">
        <w:rPr>
          <w:rFonts w:cstheme="minorHAnsi"/>
          <w:sz w:val="22"/>
        </w:rPr>
        <w:t xml:space="preserve"> use</w:t>
      </w:r>
      <w:r>
        <w:rPr>
          <w:rFonts w:cstheme="minorHAnsi"/>
          <w:sz w:val="22"/>
        </w:rPr>
        <w:t>d</w:t>
      </w:r>
      <w:r w:rsidR="004A2B02">
        <w:rPr>
          <w:rFonts w:cstheme="minorHAnsi"/>
          <w:sz w:val="22"/>
        </w:rPr>
        <w:t xml:space="preserve"> the same self-assessment methodology</w:t>
      </w:r>
      <w:r w:rsidR="00235C24" w:rsidRPr="007D35D5">
        <w:rPr>
          <w:rFonts w:cstheme="minorHAnsi"/>
          <w:sz w:val="22"/>
        </w:rPr>
        <w:t xml:space="preserve"> </w:t>
      </w:r>
      <w:r w:rsidR="004A2B02">
        <w:rPr>
          <w:rFonts w:cstheme="minorHAnsi"/>
          <w:sz w:val="22"/>
        </w:rPr>
        <w:t xml:space="preserve">as previously designed </w:t>
      </w:r>
      <w:r>
        <w:rPr>
          <w:rFonts w:cstheme="minorHAnsi"/>
          <w:sz w:val="22"/>
        </w:rPr>
        <w:t xml:space="preserve">in </w:t>
      </w:r>
      <w:r w:rsidR="00235C24" w:rsidRPr="007D35D5">
        <w:rPr>
          <w:rFonts w:cstheme="minorHAnsi"/>
          <w:sz w:val="22"/>
        </w:rPr>
        <w:t>consult</w:t>
      </w:r>
      <w:r w:rsidR="004A2B02">
        <w:rPr>
          <w:rFonts w:cstheme="minorHAnsi"/>
          <w:sz w:val="22"/>
        </w:rPr>
        <w:t>ation</w:t>
      </w:r>
      <w:r w:rsidR="00235C24" w:rsidRPr="007D35D5">
        <w:rPr>
          <w:rFonts w:cstheme="minorHAnsi"/>
          <w:sz w:val="22"/>
        </w:rPr>
        <w:t xml:space="preserve"> </w:t>
      </w:r>
      <w:r>
        <w:rPr>
          <w:rFonts w:cstheme="minorHAnsi"/>
          <w:sz w:val="22"/>
        </w:rPr>
        <w:t xml:space="preserve">with </w:t>
      </w:r>
      <w:r w:rsidR="00235C24" w:rsidRPr="007D35D5">
        <w:rPr>
          <w:rFonts w:cstheme="minorHAnsi"/>
          <w:sz w:val="22"/>
        </w:rPr>
        <w:t xml:space="preserve">the Department of Industry, Innovation and Science Regulation Reform Unit and </w:t>
      </w:r>
      <w:r w:rsidR="004A2B02">
        <w:rPr>
          <w:rFonts w:cstheme="minorHAnsi"/>
          <w:sz w:val="22"/>
        </w:rPr>
        <w:t xml:space="preserve">material </w:t>
      </w:r>
      <w:r w:rsidR="00235C24" w:rsidRPr="007D35D5">
        <w:rPr>
          <w:rFonts w:cstheme="minorHAnsi"/>
          <w:sz w:val="22"/>
        </w:rPr>
        <w:t>drawn</w:t>
      </w:r>
      <w:r w:rsidR="004A2B02">
        <w:rPr>
          <w:rFonts w:cstheme="minorHAnsi"/>
          <w:sz w:val="22"/>
        </w:rPr>
        <w:t xml:space="preserve"> </w:t>
      </w:r>
      <w:r w:rsidR="00235C24" w:rsidRPr="007D35D5">
        <w:rPr>
          <w:rFonts w:cstheme="minorHAnsi"/>
          <w:sz w:val="22"/>
        </w:rPr>
        <w:t>from:</w:t>
      </w:r>
    </w:p>
    <w:p w14:paraId="7BB798F8" w14:textId="77777777" w:rsidR="00235C24" w:rsidRPr="007D35D5" w:rsidRDefault="00235C24" w:rsidP="00FC5C40">
      <w:pPr>
        <w:pStyle w:val="ListParagraph"/>
        <w:numPr>
          <w:ilvl w:val="0"/>
          <w:numId w:val="5"/>
        </w:numPr>
        <w:spacing w:before="120" w:after="0" w:line="240" w:lineRule="auto"/>
        <w:ind w:hanging="357"/>
        <w:contextualSpacing w:val="0"/>
        <w:rPr>
          <w:rFonts w:cstheme="minorHAnsi"/>
        </w:rPr>
      </w:pPr>
      <w:r w:rsidRPr="007D35D5">
        <w:rPr>
          <w:rFonts w:cstheme="minorHAnsi"/>
        </w:rPr>
        <w:t>the OECD guidance on developing frameworks for regulatory policy evaluation</w:t>
      </w:r>
      <w:r w:rsidRPr="007D35D5">
        <w:rPr>
          <w:rStyle w:val="FootnoteReference"/>
          <w:rFonts w:cstheme="minorHAnsi"/>
        </w:rPr>
        <w:footnoteReference w:id="4"/>
      </w:r>
      <w:r w:rsidRPr="007D35D5">
        <w:rPr>
          <w:rFonts w:cstheme="minorHAnsi"/>
        </w:rPr>
        <w:t xml:space="preserve"> </w:t>
      </w:r>
    </w:p>
    <w:p w14:paraId="7BB798F9" w14:textId="77777777" w:rsidR="00235C24" w:rsidRPr="007D35D5" w:rsidRDefault="00235C24" w:rsidP="00FC5C40">
      <w:pPr>
        <w:pStyle w:val="ListParagraph"/>
        <w:numPr>
          <w:ilvl w:val="0"/>
          <w:numId w:val="5"/>
        </w:numPr>
        <w:spacing w:after="0" w:line="240" w:lineRule="auto"/>
        <w:contextualSpacing w:val="0"/>
        <w:rPr>
          <w:rFonts w:cstheme="minorHAnsi"/>
        </w:rPr>
      </w:pPr>
      <w:r w:rsidRPr="007D35D5">
        <w:rPr>
          <w:rFonts w:cstheme="minorHAnsi"/>
        </w:rPr>
        <w:t>the Department of Finance Resource Management Guidance on Performance</w:t>
      </w:r>
      <w:r w:rsidRPr="007D35D5">
        <w:rPr>
          <w:rStyle w:val="FootnoteReference"/>
          <w:rFonts w:cstheme="minorHAnsi"/>
        </w:rPr>
        <w:footnoteReference w:id="5"/>
      </w:r>
    </w:p>
    <w:p w14:paraId="7BB798FA" w14:textId="77777777" w:rsidR="00235C24" w:rsidRPr="007D35D5" w:rsidRDefault="00235C24" w:rsidP="00FC5C40">
      <w:pPr>
        <w:pStyle w:val="ListParagraph"/>
        <w:numPr>
          <w:ilvl w:val="0"/>
          <w:numId w:val="5"/>
        </w:numPr>
        <w:spacing w:after="0" w:line="240" w:lineRule="auto"/>
        <w:contextualSpacing w:val="0"/>
        <w:rPr>
          <w:rFonts w:cstheme="minorHAnsi"/>
        </w:rPr>
      </w:pPr>
      <w:r w:rsidRPr="007D35D5">
        <w:rPr>
          <w:rFonts w:cstheme="minorHAnsi"/>
        </w:rPr>
        <w:t>the Department of the Prime Minister and Cabinet RPF and guidance material on reviewing performance</w:t>
      </w:r>
      <w:r w:rsidRPr="007D35D5">
        <w:rPr>
          <w:rStyle w:val="FootnoteReference"/>
          <w:rFonts w:cstheme="minorHAnsi"/>
        </w:rPr>
        <w:footnoteReference w:id="6"/>
      </w:r>
    </w:p>
    <w:p w14:paraId="7BB798FB" w14:textId="77777777" w:rsidR="00235C24" w:rsidRPr="007D35D5" w:rsidRDefault="00235C24" w:rsidP="00FC5C40">
      <w:pPr>
        <w:pStyle w:val="ListParagraph"/>
        <w:numPr>
          <w:ilvl w:val="0"/>
          <w:numId w:val="5"/>
        </w:numPr>
        <w:spacing w:after="0" w:line="240" w:lineRule="auto"/>
        <w:contextualSpacing w:val="0"/>
        <w:rPr>
          <w:rFonts w:cstheme="minorHAnsi"/>
        </w:rPr>
      </w:pPr>
      <w:r w:rsidRPr="007D35D5">
        <w:rPr>
          <w:rFonts w:cstheme="minorHAnsi"/>
        </w:rPr>
        <w:t>the Productivity Commission Regulator Audit Framework</w:t>
      </w:r>
      <w:r w:rsidRPr="007D35D5">
        <w:rPr>
          <w:rStyle w:val="FootnoteReference"/>
          <w:rFonts w:cstheme="minorHAnsi"/>
        </w:rPr>
        <w:footnoteReference w:id="7"/>
      </w:r>
      <w:r w:rsidRPr="007D35D5">
        <w:rPr>
          <w:rFonts w:cstheme="minorHAnsi"/>
        </w:rPr>
        <w:t>.</w:t>
      </w:r>
    </w:p>
    <w:p w14:paraId="7BB798FC" w14:textId="77777777" w:rsidR="00235C24" w:rsidRPr="007D35D5" w:rsidRDefault="00235C24" w:rsidP="00D07220">
      <w:pPr>
        <w:spacing w:after="0" w:line="240" w:lineRule="auto"/>
        <w:rPr>
          <w:rFonts w:cstheme="minorHAnsi"/>
          <w:sz w:val="22"/>
        </w:rPr>
      </w:pPr>
    </w:p>
    <w:p w14:paraId="306F4544" w14:textId="53463545" w:rsidR="00584A43" w:rsidRDefault="00235C24" w:rsidP="00D07220">
      <w:pPr>
        <w:spacing w:after="0" w:line="240" w:lineRule="auto"/>
        <w:rPr>
          <w:rFonts w:cstheme="minorHAnsi"/>
          <w:sz w:val="22"/>
        </w:rPr>
      </w:pPr>
      <w:r w:rsidRPr="007D35D5">
        <w:rPr>
          <w:rFonts w:cstheme="minorHAnsi"/>
          <w:sz w:val="22"/>
        </w:rPr>
        <w:t xml:space="preserve">Consistent with this </w:t>
      </w:r>
      <w:r w:rsidR="00584A43">
        <w:rPr>
          <w:rFonts w:cstheme="minorHAnsi"/>
          <w:sz w:val="22"/>
        </w:rPr>
        <w:t>methodology</w:t>
      </w:r>
      <w:r w:rsidRPr="007D35D5">
        <w:rPr>
          <w:rFonts w:cstheme="minorHAnsi"/>
          <w:sz w:val="22"/>
        </w:rPr>
        <w:t xml:space="preserve">, the Commission made use of existing reporting streams, where possible, to ensure no additional burden </w:t>
      </w:r>
      <w:r w:rsidR="00584A43">
        <w:rPr>
          <w:rFonts w:cstheme="minorHAnsi"/>
          <w:sz w:val="22"/>
        </w:rPr>
        <w:t>wa</w:t>
      </w:r>
      <w:r w:rsidRPr="007D35D5">
        <w:rPr>
          <w:rFonts w:cstheme="minorHAnsi"/>
          <w:sz w:val="22"/>
        </w:rPr>
        <w:t xml:space="preserve">s created for industry. The Commission’s evidence for performance against a number of the RPF measures is drawn from existing internal reporting and data collection processes because this is also a cost effective approach. The Commission considers this data a meaningful indicator of performance against the KPIs, </w:t>
      </w:r>
      <w:r w:rsidR="00584A43">
        <w:rPr>
          <w:rFonts w:cstheme="minorHAnsi"/>
          <w:sz w:val="22"/>
        </w:rPr>
        <w:t>and</w:t>
      </w:r>
      <w:r w:rsidR="00584A43" w:rsidRPr="007D35D5">
        <w:rPr>
          <w:rFonts w:cstheme="minorHAnsi"/>
          <w:sz w:val="22"/>
        </w:rPr>
        <w:t xml:space="preserve"> </w:t>
      </w:r>
      <w:r w:rsidRPr="007D35D5">
        <w:rPr>
          <w:rFonts w:cstheme="minorHAnsi"/>
          <w:sz w:val="22"/>
        </w:rPr>
        <w:t>will consult w</w:t>
      </w:r>
      <w:r w:rsidR="00561DBE">
        <w:rPr>
          <w:rFonts w:cstheme="minorHAnsi"/>
          <w:sz w:val="22"/>
        </w:rPr>
        <w:t>ith stakeholders to refine them</w:t>
      </w:r>
      <w:r w:rsidRPr="007D35D5">
        <w:rPr>
          <w:rFonts w:cstheme="minorHAnsi"/>
          <w:sz w:val="22"/>
        </w:rPr>
        <w:t>.</w:t>
      </w:r>
      <w:r>
        <w:rPr>
          <w:rFonts w:ascii="Calibri" w:hAnsi="Calibri"/>
        </w:rPr>
        <w:t xml:space="preserve"> </w:t>
      </w:r>
      <w:r w:rsidRPr="007D35D5">
        <w:rPr>
          <w:rFonts w:cstheme="minorHAnsi"/>
          <w:sz w:val="22"/>
        </w:rPr>
        <w:t xml:space="preserve">Quantitative data will be complemented with relevant output or activity-based evidence specific to the Commission’s circumstances. </w:t>
      </w:r>
    </w:p>
    <w:p w14:paraId="06C04FDF" w14:textId="77777777" w:rsidR="00584A43" w:rsidRDefault="00584A43" w:rsidP="00D07220">
      <w:pPr>
        <w:spacing w:after="0" w:line="240" w:lineRule="auto"/>
        <w:rPr>
          <w:rFonts w:cstheme="minorHAnsi"/>
          <w:sz w:val="22"/>
        </w:rPr>
      </w:pPr>
    </w:p>
    <w:p w14:paraId="7BB798FD" w14:textId="2A0A5445" w:rsidR="00235C24" w:rsidRPr="007D35D5" w:rsidRDefault="00235C24" w:rsidP="00D07220">
      <w:pPr>
        <w:spacing w:after="0" w:line="240" w:lineRule="auto"/>
        <w:rPr>
          <w:rFonts w:cstheme="minorHAnsi"/>
          <w:sz w:val="22"/>
        </w:rPr>
      </w:pPr>
      <w:r w:rsidRPr="00260399">
        <w:rPr>
          <w:rFonts w:cstheme="minorHAnsi"/>
          <w:sz w:val="22"/>
        </w:rPr>
        <w:t>This methodology and the relevant measures and examples of evidence were tested with the Commission’s key stakeholder body, the ITRF. The ITRF membership includes representatives from Australian</w:t>
      </w:r>
      <w:r w:rsidRPr="00DD0DFB">
        <w:rPr>
          <w:rFonts w:cstheme="minorHAnsi"/>
          <w:sz w:val="22"/>
        </w:rPr>
        <w:t xml:space="preserve"> manufacturers and producers, peak bodies, importers</w:t>
      </w:r>
      <w:r w:rsidR="00131866" w:rsidRPr="00260399">
        <w:rPr>
          <w:rFonts w:cstheme="minorHAnsi"/>
          <w:sz w:val="22"/>
        </w:rPr>
        <w:t>, customs brokers, unions</w:t>
      </w:r>
      <w:r w:rsidRPr="00260399">
        <w:rPr>
          <w:rFonts w:cstheme="minorHAnsi"/>
          <w:sz w:val="22"/>
        </w:rPr>
        <w:t xml:space="preserve"> and government.</w:t>
      </w:r>
    </w:p>
    <w:p w14:paraId="7BB798FE" w14:textId="77777777" w:rsidR="00235C24" w:rsidRPr="007D35D5" w:rsidRDefault="00235C24" w:rsidP="00D07220">
      <w:pPr>
        <w:spacing w:after="0" w:line="240" w:lineRule="auto"/>
        <w:contextualSpacing/>
        <w:rPr>
          <w:rFonts w:cstheme="minorHAnsi"/>
          <w:sz w:val="22"/>
        </w:rPr>
      </w:pPr>
    </w:p>
    <w:p w14:paraId="7BB798FF" w14:textId="59BE8739" w:rsidR="00FC5C40" w:rsidRDefault="00235C24" w:rsidP="00D07220">
      <w:pPr>
        <w:spacing w:after="0" w:line="240" w:lineRule="auto"/>
        <w:contextualSpacing/>
        <w:rPr>
          <w:rFonts w:cstheme="minorHAnsi"/>
          <w:sz w:val="22"/>
        </w:rPr>
      </w:pPr>
      <w:r w:rsidRPr="007D35D5">
        <w:rPr>
          <w:rFonts w:cstheme="minorHAnsi"/>
          <w:sz w:val="22"/>
        </w:rPr>
        <w:t>This self-assessment report provides an assessment of the Commission’s performance against each of the six RPF KPIs and sets the performance benchmarks to measure future performance improvement</w:t>
      </w:r>
      <w:r w:rsidR="000555A3">
        <w:rPr>
          <w:rFonts w:cstheme="minorHAnsi"/>
          <w:sz w:val="22"/>
        </w:rPr>
        <w:t>.</w:t>
      </w:r>
      <w:r w:rsidR="00C43286">
        <w:rPr>
          <w:rFonts w:cstheme="minorHAnsi"/>
          <w:sz w:val="22"/>
        </w:rPr>
        <w:t xml:space="preserve"> </w:t>
      </w:r>
      <w:r w:rsidRPr="007D35D5">
        <w:rPr>
          <w:rFonts w:cstheme="minorHAnsi"/>
          <w:sz w:val="22"/>
        </w:rPr>
        <w:t xml:space="preserve">The full set of performance measures for each of the KPIs is </w:t>
      </w:r>
      <w:r w:rsidR="00584A43">
        <w:rPr>
          <w:rFonts w:cstheme="minorHAnsi"/>
          <w:sz w:val="22"/>
        </w:rPr>
        <w:t>provided</w:t>
      </w:r>
      <w:r w:rsidR="00584A43" w:rsidRPr="007D35D5">
        <w:rPr>
          <w:rFonts w:cstheme="minorHAnsi"/>
          <w:sz w:val="22"/>
        </w:rPr>
        <w:t xml:space="preserve"> </w:t>
      </w:r>
      <w:r w:rsidRPr="007D35D5">
        <w:rPr>
          <w:rFonts w:cstheme="minorHAnsi"/>
          <w:sz w:val="22"/>
        </w:rPr>
        <w:t xml:space="preserve">at </w:t>
      </w:r>
      <w:r w:rsidRPr="007D35D5">
        <w:rPr>
          <w:rFonts w:cstheme="minorHAnsi"/>
          <w:b/>
          <w:sz w:val="22"/>
          <w:u w:val="single"/>
        </w:rPr>
        <w:t>Attachment A</w:t>
      </w:r>
      <w:r w:rsidRPr="007D35D5">
        <w:rPr>
          <w:rFonts w:cstheme="minorHAnsi"/>
          <w:sz w:val="22"/>
        </w:rPr>
        <w:t>.</w:t>
      </w:r>
    </w:p>
    <w:p w14:paraId="5A9D48AF" w14:textId="77777777" w:rsidR="00FC5C40" w:rsidRDefault="00FC5C40">
      <w:pPr>
        <w:spacing w:after="200"/>
        <w:rPr>
          <w:rFonts w:cstheme="minorHAnsi"/>
          <w:sz w:val="22"/>
        </w:rPr>
      </w:pPr>
      <w:r>
        <w:rPr>
          <w:rFonts w:cstheme="minorHAnsi"/>
          <w:sz w:val="22"/>
        </w:rPr>
        <w:br w:type="page"/>
      </w:r>
    </w:p>
    <w:p w14:paraId="77A88810" w14:textId="19933286" w:rsidR="009E7071" w:rsidRPr="00777EB0" w:rsidRDefault="009E7071" w:rsidP="009E7071">
      <w:pPr>
        <w:pStyle w:val="Heading1"/>
        <w:numPr>
          <w:ilvl w:val="0"/>
          <w:numId w:val="4"/>
        </w:numPr>
      </w:pPr>
      <w:bookmarkStart w:id="17" w:name="_Toc52455999"/>
      <w:r>
        <w:t>Assessment</w:t>
      </w:r>
      <w:bookmarkEnd w:id="17"/>
    </w:p>
    <w:p w14:paraId="7BB79901" w14:textId="77777777" w:rsidR="009116B1" w:rsidRPr="003F2D85" w:rsidRDefault="009116B1" w:rsidP="003F2D85">
      <w:pPr>
        <w:spacing w:after="0"/>
        <w:rPr>
          <w:sz w:val="22"/>
        </w:rPr>
      </w:pPr>
    </w:p>
    <w:p w14:paraId="7BB79903" w14:textId="3272DE06" w:rsidR="00E43A12" w:rsidRPr="003F2D85" w:rsidRDefault="00E43A12" w:rsidP="009914D0">
      <w:pPr>
        <w:pStyle w:val="Heading2"/>
        <w:numPr>
          <w:ilvl w:val="0"/>
          <w:numId w:val="0"/>
        </w:numPr>
        <w:ind w:left="578" w:hanging="578"/>
      </w:pPr>
      <w:bookmarkStart w:id="18" w:name="_Toc49953501"/>
      <w:bookmarkStart w:id="19" w:name="_Toc52456000"/>
      <w:bookmarkEnd w:id="4"/>
      <w:r w:rsidRPr="00E43A12">
        <w:t>KPI 1 - Regulators do not unnecessarily impede the efficient operation of regulated entities</w:t>
      </w:r>
      <w:bookmarkEnd w:id="18"/>
      <w:bookmarkEnd w:id="19"/>
    </w:p>
    <w:p w14:paraId="5C0175B9" w14:textId="4CE3836C" w:rsidR="003F2D85" w:rsidRPr="009914D0" w:rsidRDefault="00E43A12" w:rsidP="003F2D85">
      <w:pPr>
        <w:spacing w:line="240" w:lineRule="auto"/>
        <w:rPr>
          <w:b/>
          <w:color w:val="2D2D2E"/>
          <w:sz w:val="22"/>
        </w:rPr>
      </w:pPr>
      <w:r w:rsidRPr="009914D0">
        <w:rPr>
          <w:b/>
          <w:color w:val="2D2D2E"/>
          <w:sz w:val="22"/>
        </w:rPr>
        <w:t>Summary of achievement</w:t>
      </w:r>
    </w:p>
    <w:p w14:paraId="7BB79905" w14:textId="0BA34421" w:rsidR="00E43A12" w:rsidRPr="00E43A12" w:rsidRDefault="00517E16" w:rsidP="003647CA">
      <w:pPr>
        <w:spacing w:line="240" w:lineRule="auto"/>
        <w:contextualSpacing/>
        <w:rPr>
          <w:sz w:val="22"/>
        </w:rPr>
      </w:pPr>
      <w:r>
        <w:rPr>
          <w:sz w:val="22"/>
        </w:rPr>
        <w:t>During 20</w:t>
      </w:r>
      <w:r w:rsidR="00A23B7A">
        <w:rPr>
          <w:sz w:val="22"/>
        </w:rPr>
        <w:t>19-20</w:t>
      </w:r>
      <w:r w:rsidR="00E43A12" w:rsidRPr="00E43A12">
        <w:rPr>
          <w:sz w:val="22"/>
        </w:rPr>
        <w:t>, the Commission:</w:t>
      </w:r>
    </w:p>
    <w:p w14:paraId="7BB79906" w14:textId="01CEBE3C" w:rsidR="00E43A12" w:rsidRDefault="00014C8E" w:rsidP="00561DBE">
      <w:pPr>
        <w:pStyle w:val="ListParagraph"/>
        <w:numPr>
          <w:ilvl w:val="0"/>
          <w:numId w:val="6"/>
        </w:numPr>
        <w:spacing w:after="0" w:line="240" w:lineRule="auto"/>
        <w:ind w:left="567" w:right="-25" w:hanging="357"/>
        <w:rPr>
          <w:rFonts w:cstheme="minorHAnsi"/>
        </w:rPr>
      </w:pPr>
      <w:r>
        <w:rPr>
          <w:rFonts w:cstheme="minorHAnsi"/>
        </w:rPr>
        <w:t>received generally positive responses on its operations</w:t>
      </w:r>
      <w:r w:rsidR="00E43A12" w:rsidRPr="00E43A12">
        <w:rPr>
          <w:rFonts w:cstheme="minorHAnsi"/>
        </w:rPr>
        <w:t xml:space="preserve"> in a survey of ITRF</w:t>
      </w:r>
      <w:r>
        <w:rPr>
          <w:rFonts w:cstheme="minorHAnsi"/>
        </w:rPr>
        <w:t xml:space="preserve"> members</w:t>
      </w:r>
      <w:r w:rsidR="0038740E">
        <w:rPr>
          <w:rFonts w:cstheme="minorHAnsi"/>
        </w:rPr>
        <w:t>;</w:t>
      </w:r>
    </w:p>
    <w:p w14:paraId="4A53F9E9" w14:textId="2DD404C7" w:rsidR="00F56433" w:rsidRPr="00F56433" w:rsidRDefault="000B238F" w:rsidP="00561DBE">
      <w:pPr>
        <w:pStyle w:val="ListParagraph"/>
        <w:numPr>
          <w:ilvl w:val="0"/>
          <w:numId w:val="6"/>
        </w:numPr>
        <w:spacing w:after="0" w:line="240" w:lineRule="auto"/>
        <w:ind w:left="567" w:right="-25" w:hanging="357"/>
        <w:rPr>
          <w:rFonts w:cstheme="minorHAnsi"/>
        </w:rPr>
      </w:pPr>
      <w:r>
        <w:t xml:space="preserve">held </w:t>
      </w:r>
      <w:r w:rsidR="00A23B7A">
        <w:t>three</w:t>
      </w:r>
      <w:r w:rsidR="007A5ADD">
        <w:t xml:space="preserve"> </w:t>
      </w:r>
      <w:r>
        <w:t>meeting</w:t>
      </w:r>
      <w:r w:rsidR="00A23B7A">
        <w:t>s</w:t>
      </w:r>
      <w:r>
        <w:t xml:space="preserve"> of the ITRF to facilitate consultation with members, and </w:t>
      </w:r>
      <w:r w:rsidR="00A23B7A">
        <w:t xml:space="preserve">four </w:t>
      </w:r>
      <w:r w:rsidR="007A5ADD">
        <w:t>meetings of the ITRF sub-committees</w:t>
      </w:r>
      <w:r w:rsidR="0038740E">
        <w:t>;</w:t>
      </w:r>
      <w:r w:rsidR="0007225C">
        <w:t xml:space="preserve"> </w:t>
      </w:r>
    </w:p>
    <w:p w14:paraId="52054412" w14:textId="3C66F1DA" w:rsidR="00F55EF8" w:rsidRDefault="00014C8E" w:rsidP="00561DBE">
      <w:pPr>
        <w:pStyle w:val="ListParagraph"/>
        <w:numPr>
          <w:ilvl w:val="0"/>
          <w:numId w:val="6"/>
        </w:numPr>
        <w:spacing w:after="0" w:line="240" w:lineRule="auto"/>
        <w:ind w:left="567" w:right="-25" w:hanging="357"/>
        <w:rPr>
          <w:rFonts w:cstheme="minorHAnsi"/>
        </w:rPr>
      </w:pPr>
      <w:r>
        <w:rPr>
          <w:rFonts w:cstheme="minorHAnsi"/>
        </w:rPr>
        <w:t>facilitated engagement in the system by</w:t>
      </w:r>
      <w:r w:rsidR="00E43A12" w:rsidRPr="00E43A12">
        <w:rPr>
          <w:rFonts w:cstheme="minorHAnsi"/>
        </w:rPr>
        <w:t xml:space="preserve"> completing pre-lodgement checks as requested by Australian Industry</w:t>
      </w:r>
      <w:r w:rsidR="0038740E">
        <w:rPr>
          <w:rFonts w:cstheme="minorHAnsi"/>
        </w:rPr>
        <w:t>;</w:t>
      </w:r>
    </w:p>
    <w:p w14:paraId="466C043B" w14:textId="69EB8F4C" w:rsidR="00A23B7A" w:rsidRDefault="00A23B7A" w:rsidP="00561DBE">
      <w:pPr>
        <w:pStyle w:val="ListParagraph"/>
        <w:numPr>
          <w:ilvl w:val="0"/>
          <w:numId w:val="6"/>
        </w:numPr>
        <w:spacing w:after="0" w:line="240" w:lineRule="auto"/>
        <w:ind w:left="567" w:right="-25" w:hanging="357"/>
        <w:rPr>
          <w:rFonts w:cstheme="minorHAnsi"/>
        </w:rPr>
      </w:pPr>
      <w:r>
        <w:rPr>
          <w:rFonts w:cstheme="minorHAnsi"/>
        </w:rPr>
        <w:t>commenced a review of the application form and associated materials</w:t>
      </w:r>
      <w:r w:rsidR="0038740E">
        <w:rPr>
          <w:rFonts w:cstheme="minorHAnsi"/>
        </w:rPr>
        <w:t>;</w:t>
      </w:r>
    </w:p>
    <w:p w14:paraId="62DAB69E" w14:textId="0FD64B63" w:rsidR="0031688A" w:rsidRPr="0031688A" w:rsidRDefault="0031688A" w:rsidP="0031688A">
      <w:pPr>
        <w:pStyle w:val="ListParagraph"/>
        <w:numPr>
          <w:ilvl w:val="0"/>
          <w:numId w:val="6"/>
        </w:numPr>
        <w:spacing w:after="0" w:line="240" w:lineRule="auto"/>
        <w:ind w:left="567" w:right="-25" w:hanging="357"/>
        <w:rPr>
          <w:rFonts w:cstheme="minorHAnsi"/>
        </w:rPr>
      </w:pPr>
      <w:r>
        <w:rPr>
          <w:rFonts w:cstheme="minorHAnsi"/>
        </w:rPr>
        <w:t>engaged with members of the ITRF and trade remedy consultants to better understand their needs and how their experience with the Commission might be improved through digital technologies</w:t>
      </w:r>
      <w:r w:rsidR="0038740E">
        <w:rPr>
          <w:rFonts w:cstheme="minorHAnsi"/>
        </w:rPr>
        <w:t>;</w:t>
      </w:r>
    </w:p>
    <w:p w14:paraId="2525AEBF" w14:textId="2B16DC60" w:rsidR="000E5149" w:rsidRDefault="00014C8E" w:rsidP="00561DBE">
      <w:pPr>
        <w:pStyle w:val="ListParagraph"/>
        <w:numPr>
          <w:ilvl w:val="0"/>
          <w:numId w:val="6"/>
        </w:numPr>
        <w:spacing w:after="0" w:line="240" w:lineRule="auto"/>
        <w:ind w:left="567" w:right="-25" w:hanging="357"/>
        <w:rPr>
          <w:rFonts w:cstheme="minorHAnsi"/>
        </w:rPr>
      </w:pPr>
      <w:r w:rsidRPr="00B0106E">
        <w:rPr>
          <w:rFonts w:cstheme="minorHAnsi"/>
        </w:rPr>
        <w:t>improved information on the system</w:t>
      </w:r>
      <w:r w:rsidR="00F55EF8" w:rsidRPr="00B0106E">
        <w:rPr>
          <w:rFonts w:cstheme="minorHAnsi"/>
        </w:rPr>
        <w:t xml:space="preserve"> through a new guidance document on </w:t>
      </w:r>
      <w:r w:rsidR="00A23B7A" w:rsidRPr="00B0106E">
        <w:rPr>
          <w:rFonts w:cstheme="minorHAnsi"/>
        </w:rPr>
        <w:t>anti-circumvention</w:t>
      </w:r>
      <w:r w:rsidR="0038740E">
        <w:rPr>
          <w:rFonts w:cstheme="minorHAnsi"/>
        </w:rPr>
        <w:t>; and</w:t>
      </w:r>
    </w:p>
    <w:p w14:paraId="7BB79907" w14:textId="31AD9A2C" w:rsidR="00E43A12" w:rsidRPr="00E43A12" w:rsidRDefault="00014C8E" w:rsidP="00561DBE">
      <w:pPr>
        <w:pStyle w:val="ListParagraph"/>
        <w:numPr>
          <w:ilvl w:val="0"/>
          <w:numId w:val="6"/>
        </w:numPr>
        <w:spacing w:after="0" w:line="240" w:lineRule="auto"/>
        <w:ind w:left="567" w:right="-25" w:hanging="357"/>
        <w:rPr>
          <w:rFonts w:cstheme="minorHAnsi"/>
        </w:rPr>
      </w:pPr>
      <w:r>
        <w:rPr>
          <w:rFonts w:cstheme="minorHAnsi"/>
        </w:rPr>
        <w:t>continued to engage with other anti-dumping agencies to learn from international practices and ensure consistency with Australia’s international obligations</w:t>
      </w:r>
      <w:r w:rsidR="00E43A12" w:rsidRPr="00E43A12">
        <w:rPr>
          <w:rFonts w:cstheme="minorHAnsi"/>
        </w:rPr>
        <w:t>.</w:t>
      </w:r>
    </w:p>
    <w:p w14:paraId="7BB79908" w14:textId="77777777" w:rsidR="00E43A12" w:rsidRPr="003F2D85" w:rsidRDefault="00E43A12" w:rsidP="003647CA">
      <w:pPr>
        <w:spacing w:after="0" w:line="240" w:lineRule="auto"/>
        <w:rPr>
          <w:rFonts w:cstheme="minorHAnsi"/>
          <w:sz w:val="22"/>
        </w:rPr>
      </w:pPr>
    </w:p>
    <w:p w14:paraId="7BB79909" w14:textId="77777777" w:rsidR="00E43A12" w:rsidRPr="009914D0" w:rsidRDefault="00E43A12" w:rsidP="003F2D85">
      <w:pPr>
        <w:spacing w:line="240" w:lineRule="auto"/>
        <w:rPr>
          <w:b/>
          <w:color w:val="2D2D2E"/>
          <w:sz w:val="22"/>
        </w:rPr>
      </w:pPr>
      <w:r w:rsidRPr="009914D0">
        <w:rPr>
          <w:b/>
          <w:color w:val="2D2D2E"/>
          <w:sz w:val="22"/>
        </w:rPr>
        <w:t>Expectations for KPI 1</w:t>
      </w:r>
    </w:p>
    <w:p w14:paraId="7BB7990A" w14:textId="27110653" w:rsidR="00E43A12" w:rsidRPr="00E43A12" w:rsidRDefault="00E43A12" w:rsidP="00E43A12">
      <w:pPr>
        <w:spacing w:after="0" w:line="240" w:lineRule="auto"/>
        <w:rPr>
          <w:rFonts w:cstheme="minorHAnsi"/>
          <w:sz w:val="22"/>
        </w:rPr>
      </w:pPr>
      <w:r w:rsidRPr="00E43A12">
        <w:rPr>
          <w:rFonts w:cstheme="minorHAnsi"/>
          <w:sz w:val="22"/>
        </w:rPr>
        <w:t xml:space="preserve">As articulated in the </w:t>
      </w:r>
      <w:r w:rsidR="00DB4AA7">
        <w:rPr>
          <w:rFonts w:cstheme="minorHAnsi"/>
          <w:sz w:val="22"/>
        </w:rPr>
        <w:t>RPF</w:t>
      </w:r>
      <w:r w:rsidRPr="00E43A12">
        <w:rPr>
          <w:rStyle w:val="FootnoteReference"/>
          <w:rFonts w:cstheme="minorHAnsi"/>
          <w:sz w:val="22"/>
        </w:rPr>
        <w:footnoteReference w:id="8"/>
      </w:r>
      <w:r w:rsidRPr="00E43A12">
        <w:rPr>
          <w:rFonts w:cstheme="minorHAnsi"/>
          <w:sz w:val="22"/>
        </w:rPr>
        <w:t xml:space="preserve">, the government’s expectation for this KPI is for regulators to be striving towards better regulatory practice by implementing regulation in a manner </w:t>
      </w:r>
      <w:r w:rsidR="0042262F">
        <w:rPr>
          <w:rFonts w:cstheme="minorHAnsi"/>
          <w:sz w:val="22"/>
        </w:rPr>
        <w:t xml:space="preserve">that </w:t>
      </w:r>
      <w:r w:rsidRPr="00E43A12">
        <w:rPr>
          <w:rFonts w:cstheme="minorHAnsi"/>
          <w:sz w:val="22"/>
        </w:rPr>
        <w:t xml:space="preserve">does not unnecessarily impede the efficient operations of regulated entities. They seek to achieve a balance between the responsibility to deliver protection to the community and the burden imposed by external intervention. </w:t>
      </w:r>
    </w:p>
    <w:p w14:paraId="7BB7990B" w14:textId="77777777" w:rsidR="00E43A12" w:rsidRDefault="00E43A12" w:rsidP="00E43A12">
      <w:pPr>
        <w:contextualSpacing/>
        <w:rPr>
          <w:rFonts w:cstheme="minorHAnsi"/>
          <w:sz w:val="22"/>
        </w:rPr>
      </w:pPr>
    </w:p>
    <w:p w14:paraId="7BB7990C" w14:textId="0DEA6FE4" w:rsidR="00E43A12" w:rsidRPr="004F6464" w:rsidRDefault="00E43A12" w:rsidP="004F6464">
      <w:pPr>
        <w:spacing w:line="240" w:lineRule="auto"/>
        <w:rPr>
          <w:sz w:val="22"/>
        </w:rPr>
      </w:pPr>
      <w:r w:rsidRPr="00E43A12">
        <w:rPr>
          <w:rFonts w:cstheme="minorHAnsi"/>
          <w:sz w:val="22"/>
        </w:rPr>
        <w:t>The objectives against this KPI are to show that</w:t>
      </w:r>
      <w:r w:rsidR="00301600">
        <w:rPr>
          <w:rFonts w:cstheme="minorHAnsi"/>
          <w:sz w:val="22"/>
        </w:rPr>
        <w:t xml:space="preserve"> the</w:t>
      </w:r>
      <w:r w:rsidRPr="00E43A12">
        <w:rPr>
          <w:rFonts w:cstheme="minorHAnsi"/>
          <w:sz w:val="22"/>
        </w:rPr>
        <w:t xml:space="preserve"> Commission meets government’s </w:t>
      </w:r>
      <w:r w:rsidRPr="004F6464">
        <w:rPr>
          <w:sz w:val="22"/>
        </w:rPr>
        <w:t>expectations by demonstrating that we:</w:t>
      </w:r>
    </w:p>
    <w:p w14:paraId="7BB7990D" w14:textId="3A53321B" w:rsidR="00E43A12" w:rsidRPr="00E43A12" w:rsidRDefault="00E43A12" w:rsidP="003F2D85">
      <w:pPr>
        <w:pStyle w:val="ListParagraph"/>
        <w:numPr>
          <w:ilvl w:val="0"/>
          <w:numId w:val="12"/>
        </w:numPr>
        <w:spacing w:after="0" w:line="240" w:lineRule="auto"/>
        <w:ind w:left="567" w:hanging="357"/>
        <w:contextualSpacing w:val="0"/>
        <w:rPr>
          <w:rFonts w:cstheme="minorHAnsi"/>
        </w:rPr>
      </w:pPr>
      <w:r w:rsidRPr="00E43A12">
        <w:rPr>
          <w:rFonts w:cstheme="minorHAnsi"/>
        </w:rPr>
        <w:t xml:space="preserve">understand the relevant industry sectors </w:t>
      </w:r>
      <w:r w:rsidR="00B90B63">
        <w:rPr>
          <w:rFonts w:cstheme="minorHAnsi"/>
        </w:rPr>
        <w:t xml:space="preserve">impacted by </w:t>
      </w:r>
      <w:r w:rsidRPr="00E43A12">
        <w:rPr>
          <w:rFonts w:cstheme="minorHAnsi"/>
        </w:rPr>
        <w:t>anti-dumping and the current and emerging issues that affect them</w:t>
      </w:r>
    </w:p>
    <w:p w14:paraId="7BB7990E" w14:textId="77777777" w:rsidR="00E43A12" w:rsidRPr="00E43A12" w:rsidRDefault="00E43A12" w:rsidP="003F2D85">
      <w:pPr>
        <w:pStyle w:val="ListParagraph"/>
        <w:numPr>
          <w:ilvl w:val="0"/>
          <w:numId w:val="12"/>
        </w:numPr>
        <w:spacing w:after="0" w:line="240" w:lineRule="auto"/>
        <w:ind w:left="567" w:hanging="357"/>
        <w:contextualSpacing w:val="0"/>
        <w:rPr>
          <w:rFonts w:cstheme="minorHAnsi"/>
        </w:rPr>
      </w:pPr>
      <w:r w:rsidRPr="00E43A12">
        <w:rPr>
          <w:rFonts w:cstheme="minorHAnsi"/>
        </w:rPr>
        <w:t xml:space="preserve">take action to minimise the potential for unintended negative impacts of regulatory activities on applicants </w:t>
      </w:r>
    </w:p>
    <w:p w14:paraId="7BB7990F" w14:textId="77777777" w:rsidR="00E43A12" w:rsidRPr="00E43A12" w:rsidRDefault="00E43A12" w:rsidP="003F2D85">
      <w:pPr>
        <w:pStyle w:val="ListParagraph"/>
        <w:numPr>
          <w:ilvl w:val="0"/>
          <w:numId w:val="12"/>
        </w:numPr>
        <w:spacing w:after="0" w:line="240" w:lineRule="auto"/>
        <w:ind w:left="567" w:hanging="357"/>
        <w:contextualSpacing w:val="0"/>
        <w:rPr>
          <w:rFonts w:cstheme="minorHAnsi"/>
        </w:rPr>
      </w:pPr>
      <w:r w:rsidRPr="00E43A12">
        <w:rPr>
          <w:rFonts w:cstheme="minorHAnsi"/>
        </w:rPr>
        <w:t>take action to learn from experiences and better practices from equivalent international organisations and other anti-dumping administrations to improve administrative efficiencies.</w:t>
      </w:r>
    </w:p>
    <w:p w14:paraId="060A25FF" w14:textId="77777777" w:rsidR="003E3E63" w:rsidRPr="00E43A12" w:rsidRDefault="003E3E63" w:rsidP="001D14A7">
      <w:pPr>
        <w:spacing w:after="0" w:line="240" w:lineRule="auto"/>
        <w:contextualSpacing/>
        <w:rPr>
          <w:rFonts w:cstheme="minorHAnsi"/>
          <w:sz w:val="22"/>
        </w:rPr>
      </w:pPr>
    </w:p>
    <w:p w14:paraId="7BB79914" w14:textId="2CE9E510" w:rsidR="00E43A12" w:rsidRPr="009914D0" w:rsidRDefault="00E43A12" w:rsidP="004F6464">
      <w:pPr>
        <w:spacing w:line="240" w:lineRule="auto"/>
        <w:rPr>
          <w:b/>
          <w:color w:val="2D2D2E"/>
          <w:sz w:val="22"/>
        </w:rPr>
      </w:pPr>
      <w:r w:rsidRPr="009914D0">
        <w:rPr>
          <w:b/>
          <w:color w:val="2D2D2E"/>
          <w:sz w:val="22"/>
        </w:rPr>
        <w:t>Our approach for KPI 1</w:t>
      </w:r>
    </w:p>
    <w:p w14:paraId="34520662" w14:textId="3A732B39" w:rsidR="00B73162" w:rsidRDefault="00E43A12" w:rsidP="009914D0">
      <w:pPr>
        <w:spacing w:after="0" w:line="240" w:lineRule="auto"/>
        <w:rPr>
          <w:rFonts w:cstheme="minorHAnsi"/>
          <w:sz w:val="22"/>
        </w:rPr>
      </w:pPr>
      <w:r w:rsidRPr="00E43A12">
        <w:rPr>
          <w:rFonts w:cstheme="minorHAnsi"/>
          <w:sz w:val="22"/>
        </w:rPr>
        <w:t>To measure stakeholder satisfaction with the Commission’s administration of the anti</w:t>
      </w:r>
      <w:r w:rsidR="002F025E">
        <w:rPr>
          <w:rFonts w:cstheme="minorHAnsi"/>
          <w:sz w:val="22"/>
        </w:rPr>
        <w:noBreakHyphen/>
      </w:r>
      <w:r w:rsidRPr="00E43A12">
        <w:rPr>
          <w:rFonts w:cstheme="minorHAnsi"/>
          <w:sz w:val="22"/>
        </w:rPr>
        <w:t xml:space="preserve">dumping system, the Commission </w:t>
      </w:r>
      <w:r w:rsidR="002A67DF">
        <w:rPr>
          <w:rFonts w:cstheme="minorHAnsi"/>
          <w:sz w:val="22"/>
        </w:rPr>
        <w:t xml:space="preserve">undertook a survey of </w:t>
      </w:r>
      <w:r w:rsidRPr="00E43A12">
        <w:rPr>
          <w:rFonts w:cstheme="minorHAnsi"/>
          <w:sz w:val="22"/>
        </w:rPr>
        <w:t>ITRF</w:t>
      </w:r>
      <w:r w:rsidR="002A67DF">
        <w:rPr>
          <w:rFonts w:cstheme="minorHAnsi"/>
          <w:sz w:val="22"/>
        </w:rPr>
        <w:t xml:space="preserve"> members</w:t>
      </w:r>
      <w:r w:rsidRPr="00E43A12">
        <w:rPr>
          <w:rFonts w:cstheme="minorHAnsi"/>
          <w:sz w:val="22"/>
        </w:rPr>
        <w:t>. Of the 2</w:t>
      </w:r>
      <w:r w:rsidR="00131866">
        <w:rPr>
          <w:rFonts w:cstheme="minorHAnsi"/>
          <w:sz w:val="22"/>
        </w:rPr>
        <w:t>4</w:t>
      </w:r>
      <w:r w:rsidR="00427240">
        <w:rPr>
          <w:rFonts w:cstheme="minorHAnsi"/>
          <w:sz w:val="22"/>
        </w:rPr>
        <w:t> </w:t>
      </w:r>
      <w:r w:rsidRPr="00E43A12">
        <w:rPr>
          <w:rFonts w:cstheme="minorHAnsi"/>
          <w:sz w:val="22"/>
        </w:rPr>
        <w:t xml:space="preserve">members of the ITRF (other than the Commissioner), </w:t>
      </w:r>
      <w:r w:rsidR="00AF599E">
        <w:rPr>
          <w:rFonts w:cstheme="minorHAnsi"/>
          <w:sz w:val="22"/>
        </w:rPr>
        <w:t>11</w:t>
      </w:r>
      <w:r w:rsidR="00AF599E" w:rsidRPr="00E43A12">
        <w:rPr>
          <w:rFonts w:cstheme="minorHAnsi"/>
          <w:sz w:val="22"/>
        </w:rPr>
        <w:t xml:space="preserve"> </w:t>
      </w:r>
      <w:r w:rsidRPr="00E43A12">
        <w:rPr>
          <w:rFonts w:cstheme="minorHAnsi"/>
          <w:sz w:val="22"/>
        </w:rPr>
        <w:t>members responded to the survey</w:t>
      </w:r>
      <w:r w:rsidR="00FD31E9">
        <w:rPr>
          <w:rFonts w:cstheme="minorHAnsi"/>
          <w:sz w:val="22"/>
        </w:rPr>
        <w:t xml:space="preserve">. </w:t>
      </w:r>
      <w:r w:rsidRPr="00E43A12">
        <w:rPr>
          <w:rFonts w:cstheme="minorHAnsi"/>
          <w:sz w:val="22"/>
        </w:rPr>
        <w:t>Of the</w:t>
      </w:r>
      <w:r w:rsidR="00690E60">
        <w:rPr>
          <w:rFonts w:cstheme="minorHAnsi"/>
          <w:sz w:val="22"/>
        </w:rPr>
        <w:t xml:space="preserve"> </w:t>
      </w:r>
      <w:r w:rsidR="00AF599E">
        <w:rPr>
          <w:rFonts w:cstheme="minorHAnsi"/>
          <w:sz w:val="22"/>
        </w:rPr>
        <w:t xml:space="preserve">11 </w:t>
      </w:r>
      <w:r w:rsidRPr="00E43A12">
        <w:rPr>
          <w:rFonts w:cstheme="minorHAnsi"/>
          <w:sz w:val="22"/>
        </w:rPr>
        <w:t xml:space="preserve">respondents, </w:t>
      </w:r>
      <w:r w:rsidR="00AF599E">
        <w:rPr>
          <w:rFonts w:cstheme="minorHAnsi"/>
          <w:sz w:val="22"/>
        </w:rPr>
        <w:t>36 per cent</w:t>
      </w:r>
      <w:r w:rsidR="00AF599E" w:rsidRPr="00E43A12">
        <w:rPr>
          <w:rFonts w:cstheme="minorHAnsi"/>
          <w:sz w:val="22"/>
        </w:rPr>
        <w:t xml:space="preserve"> </w:t>
      </w:r>
      <w:r w:rsidRPr="00E43A12">
        <w:rPr>
          <w:rFonts w:cstheme="minorHAnsi"/>
          <w:sz w:val="22"/>
        </w:rPr>
        <w:t xml:space="preserve">were </w:t>
      </w:r>
      <w:r w:rsidR="00FD31E9">
        <w:rPr>
          <w:rFonts w:cstheme="minorHAnsi"/>
          <w:sz w:val="22"/>
        </w:rPr>
        <w:t>manufacturer</w:t>
      </w:r>
      <w:r w:rsidR="00F2188C">
        <w:rPr>
          <w:rFonts w:cstheme="minorHAnsi"/>
          <w:sz w:val="22"/>
        </w:rPr>
        <w:t>s</w:t>
      </w:r>
      <w:r w:rsidR="00FD31E9">
        <w:rPr>
          <w:rFonts w:cstheme="minorHAnsi"/>
          <w:sz w:val="22"/>
        </w:rPr>
        <w:t xml:space="preserve"> or producers, </w:t>
      </w:r>
      <w:r w:rsidR="00AF599E">
        <w:rPr>
          <w:rFonts w:cstheme="minorHAnsi"/>
          <w:sz w:val="22"/>
        </w:rPr>
        <w:t>27 per cent</w:t>
      </w:r>
      <w:r w:rsidR="00FD31E9">
        <w:rPr>
          <w:rFonts w:cstheme="minorHAnsi"/>
          <w:sz w:val="22"/>
        </w:rPr>
        <w:t xml:space="preserve"> </w:t>
      </w:r>
      <w:r w:rsidR="00F2188C">
        <w:rPr>
          <w:rFonts w:cstheme="minorHAnsi"/>
          <w:sz w:val="22"/>
        </w:rPr>
        <w:t xml:space="preserve">represented </w:t>
      </w:r>
      <w:r w:rsidR="00FD31E9">
        <w:rPr>
          <w:rFonts w:cstheme="minorHAnsi"/>
          <w:sz w:val="22"/>
        </w:rPr>
        <w:t>peak bodies</w:t>
      </w:r>
      <w:r w:rsidR="007A5ADD">
        <w:rPr>
          <w:rFonts w:cstheme="minorHAnsi"/>
          <w:sz w:val="22"/>
        </w:rPr>
        <w:t xml:space="preserve"> </w:t>
      </w:r>
      <w:r w:rsidR="00F2188C">
        <w:rPr>
          <w:rFonts w:cstheme="minorHAnsi"/>
          <w:sz w:val="22"/>
        </w:rPr>
        <w:t>and</w:t>
      </w:r>
      <w:r w:rsidR="007A5ADD">
        <w:rPr>
          <w:rFonts w:cstheme="minorHAnsi"/>
          <w:sz w:val="22"/>
        </w:rPr>
        <w:t xml:space="preserve"> unions</w:t>
      </w:r>
      <w:r w:rsidR="00FD31E9">
        <w:rPr>
          <w:rFonts w:cstheme="minorHAnsi"/>
          <w:sz w:val="22"/>
        </w:rPr>
        <w:t xml:space="preserve">, </w:t>
      </w:r>
      <w:r w:rsidR="00AF599E">
        <w:rPr>
          <w:rFonts w:cstheme="minorHAnsi"/>
          <w:sz w:val="22"/>
        </w:rPr>
        <w:t>18 per cent</w:t>
      </w:r>
      <w:r w:rsidR="00FD31E9">
        <w:rPr>
          <w:rFonts w:cstheme="minorHAnsi"/>
          <w:sz w:val="22"/>
        </w:rPr>
        <w:t xml:space="preserve"> were from Australian Government</w:t>
      </w:r>
      <w:r w:rsidR="00072541">
        <w:rPr>
          <w:rFonts w:cstheme="minorHAnsi"/>
          <w:sz w:val="22"/>
        </w:rPr>
        <w:t xml:space="preserve"> agencies</w:t>
      </w:r>
      <w:r w:rsidR="00AF599E">
        <w:rPr>
          <w:rFonts w:cstheme="minorHAnsi"/>
          <w:sz w:val="22"/>
        </w:rPr>
        <w:t xml:space="preserve"> and the balance</w:t>
      </w:r>
      <w:r w:rsidR="00F2188C">
        <w:rPr>
          <w:rFonts w:cstheme="minorHAnsi"/>
          <w:sz w:val="22"/>
        </w:rPr>
        <w:t xml:space="preserve"> of respondents</w:t>
      </w:r>
      <w:r w:rsidR="00AF599E">
        <w:rPr>
          <w:rFonts w:cstheme="minorHAnsi"/>
          <w:sz w:val="22"/>
        </w:rPr>
        <w:t xml:space="preserve"> </w:t>
      </w:r>
      <w:r w:rsidR="00F2188C">
        <w:rPr>
          <w:rFonts w:cstheme="minorHAnsi"/>
          <w:sz w:val="22"/>
        </w:rPr>
        <w:t>reflected</w:t>
      </w:r>
      <w:r w:rsidR="00AF599E">
        <w:rPr>
          <w:rFonts w:cstheme="minorHAnsi"/>
          <w:sz w:val="22"/>
        </w:rPr>
        <w:t xml:space="preserve"> importers and unions</w:t>
      </w:r>
      <w:r w:rsidR="00FD31E9">
        <w:rPr>
          <w:rFonts w:cstheme="minorHAnsi"/>
          <w:sz w:val="22"/>
        </w:rPr>
        <w:t>.</w:t>
      </w:r>
      <w:r w:rsidR="00072541">
        <w:rPr>
          <w:rFonts w:cstheme="minorHAnsi"/>
          <w:sz w:val="22"/>
        </w:rPr>
        <w:t xml:space="preserve"> </w:t>
      </w:r>
      <w:r w:rsidR="00B73162">
        <w:rPr>
          <w:rFonts w:cstheme="minorHAnsi"/>
          <w:sz w:val="22"/>
        </w:rPr>
        <w:br w:type="page"/>
      </w:r>
    </w:p>
    <w:p w14:paraId="7BB79917" w14:textId="77777777" w:rsidR="00E43A12" w:rsidRPr="009914D0" w:rsidRDefault="00E43A12" w:rsidP="0085079B">
      <w:pPr>
        <w:spacing w:line="240" w:lineRule="auto"/>
        <w:rPr>
          <w:b/>
          <w:color w:val="2D2D2E"/>
          <w:sz w:val="22"/>
        </w:rPr>
      </w:pPr>
      <w:r w:rsidRPr="009914D0">
        <w:rPr>
          <w:b/>
          <w:color w:val="2D2D2E"/>
          <w:sz w:val="22"/>
        </w:rPr>
        <w:t>Results KPI 1</w:t>
      </w:r>
    </w:p>
    <w:p w14:paraId="7BB79918" w14:textId="6F4DF1DC" w:rsidR="00E43A12" w:rsidRPr="00E43A12" w:rsidRDefault="00E43A12" w:rsidP="00E43A12">
      <w:pPr>
        <w:rPr>
          <w:rFonts w:cstheme="minorHAnsi"/>
          <w:b/>
          <w:sz w:val="22"/>
        </w:rPr>
      </w:pPr>
      <w:r w:rsidRPr="00E43A12">
        <w:rPr>
          <w:rFonts w:cstheme="minorHAnsi"/>
          <w:b/>
          <w:sz w:val="22"/>
        </w:rPr>
        <w:t xml:space="preserve">Measure: understand the relevant industry sectors </w:t>
      </w:r>
      <w:r w:rsidR="00B90B63">
        <w:rPr>
          <w:rFonts w:cstheme="minorHAnsi"/>
          <w:b/>
          <w:sz w:val="22"/>
        </w:rPr>
        <w:t>impacted by</w:t>
      </w:r>
      <w:r w:rsidRPr="00E43A12">
        <w:rPr>
          <w:rFonts w:cstheme="minorHAnsi"/>
          <w:b/>
          <w:sz w:val="22"/>
        </w:rPr>
        <w:t xml:space="preserve"> anti-dumping and the current and emerging issues that affect them</w:t>
      </w:r>
    </w:p>
    <w:p w14:paraId="7BB79919" w14:textId="34DA22F3" w:rsidR="00E43A12" w:rsidRPr="00E43A12" w:rsidRDefault="00E43A12" w:rsidP="0085079B">
      <w:pPr>
        <w:pStyle w:val="ListParagraph"/>
        <w:numPr>
          <w:ilvl w:val="0"/>
          <w:numId w:val="11"/>
        </w:numPr>
        <w:spacing w:before="120" w:after="120"/>
        <w:ind w:left="567"/>
        <w:rPr>
          <w:rFonts w:cstheme="minorHAnsi"/>
          <w:i/>
        </w:rPr>
      </w:pPr>
      <w:r w:rsidRPr="00E43A12">
        <w:rPr>
          <w:rFonts w:cstheme="minorHAnsi"/>
          <w:i/>
        </w:rPr>
        <w:t xml:space="preserve">Metric: Evidence of appropriate feedback channels to measure stakeholder satisfaction </w:t>
      </w:r>
      <w:r w:rsidR="00660A8A">
        <w:rPr>
          <w:rFonts w:cstheme="minorHAnsi"/>
          <w:i/>
        </w:rPr>
        <w:t>with</w:t>
      </w:r>
      <w:r w:rsidR="00660A8A" w:rsidRPr="00E43A12">
        <w:rPr>
          <w:rFonts w:cstheme="minorHAnsi"/>
          <w:i/>
        </w:rPr>
        <w:t xml:space="preserve"> </w:t>
      </w:r>
      <w:r w:rsidRPr="00E43A12">
        <w:rPr>
          <w:rFonts w:cstheme="minorHAnsi"/>
          <w:i/>
        </w:rPr>
        <w:t>the anti-dumping system and documenting responsiveness to feedback from regulated entities on internal improvements</w:t>
      </w:r>
    </w:p>
    <w:p w14:paraId="7BB7991A" w14:textId="178A0178" w:rsidR="00E43A12" w:rsidRPr="00B26C25" w:rsidRDefault="00E43A12" w:rsidP="00E43A12">
      <w:pPr>
        <w:rPr>
          <w:rFonts w:cstheme="minorHAnsi"/>
          <w:sz w:val="22"/>
        </w:rPr>
      </w:pPr>
      <w:r w:rsidRPr="00B26C25">
        <w:rPr>
          <w:rFonts w:cstheme="minorHAnsi"/>
          <w:sz w:val="22"/>
        </w:rPr>
        <w:t xml:space="preserve">The survey </w:t>
      </w:r>
      <w:r w:rsidR="002A67DF" w:rsidRPr="00B26C25">
        <w:rPr>
          <w:rFonts w:cstheme="minorHAnsi"/>
          <w:sz w:val="22"/>
        </w:rPr>
        <w:t xml:space="preserve">of ITRF members </w:t>
      </w:r>
      <w:r w:rsidRPr="00B26C25">
        <w:rPr>
          <w:rFonts w:cstheme="minorHAnsi"/>
          <w:sz w:val="22"/>
        </w:rPr>
        <w:t xml:space="preserve">found: </w:t>
      </w:r>
    </w:p>
    <w:p w14:paraId="50945A3F" w14:textId="5BBB3FEC" w:rsidR="00A04FFC" w:rsidRPr="00B26C25" w:rsidRDefault="00121573" w:rsidP="00A04FFC">
      <w:pPr>
        <w:pStyle w:val="ListParagraph"/>
        <w:numPr>
          <w:ilvl w:val="0"/>
          <w:numId w:val="6"/>
        </w:numPr>
        <w:spacing w:after="0" w:line="240" w:lineRule="auto"/>
        <w:ind w:left="567" w:right="-25" w:hanging="357"/>
        <w:rPr>
          <w:rFonts w:cstheme="minorHAnsi"/>
        </w:rPr>
      </w:pPr>
      <w:r>
        <w:rPr>
          <w:rFonts w:cstheme="minorHAnsi"/>
        </w:rPr>
        <w:t>80</w:t>
      </w:r>
      <w:r w:rsidR="00AF599E">
        <w:rPr>
          <w:rFonts w:cstheme="minorHAnsi"/>
        </w:rPr>
        <w:t xml:space="preserve"> per cent of</w:t>
      </w:r>
      <w:r w:rsidR="00AF599E" w:rsidRPr="00B26C25">
        <w:rPr>
          <w:rFonts w:cstheme="minorHAnsi"/>
        </w:rPr>
        <w:t xml:space="preserve"> </w:t>
      </w:r>
      <w:r>
        <w:rPr>
          <w:rFonts w:cstheme="minorHAnsi"/>
        </w:rPr>
        <w:t xml:space="preserve">applicable </w:t>
      </w:r>
      <w:r w:rsidR="00A04FFC" w:rsidRPr="00B26C25">
        <w:rPr>
          <w:rFonts w:cstheme="minorHAnsi"/>
        </w:rPr>
        <w:t>respondents agreed or strongly agreed that Commission staff regularly sought views from stakeholders and made themselves available to discuss both the anti</w:t>
      </w:r>
      <w:r w:rsidR="00A04FFC" w:rsidRPr="00B26C25">
        <w:rPr>
          <w:rFonts w:cstheme="minorHAnsi"/>
        </w:rPr>
        <w:noBreakHyphen/>
        <w:t>dumping system and specific case matters</w:t>
      </w:r>
      <w:r>
        <w:rPr>
          <w:rFonts w:cstheme="minorHAnsi"/>
        </w:rPr>
        <w:t>.</w:t>
      </w:r>
    </w:p>
    <w:p w14:paraId="7BB7991B" w14:textId="50D020EA" w:rsidR="00E43A12" w:rsidRPr="00B26C25" w:rsidRDefault="00121573" w:rsidP="00A04FFC">
      <w:pPr>
        <w:pStyle w:val="ListParagraph"/>
        <w:numPr>
          <w:ilvl w:val="0"/>
          <w:numId w:val="6"/>
        </w:numPr>
        <w:spacing w:after="0" w:line="240" w:lineRule="auto"/>
        <w:ind w:left="567" w:right="-25" w:hanging="357"/>
        <w:rPr>
          <w:rFonts w:cstheme="minorHAnsi"/>
        </w:rPr>
      </w:pPr>
      <w:r>
        <w:rPr>
          <w:rFonts w:cstheme="minorHAnsi"/>
        </w:rPr>
        <w:t xml:space="preserve">80 per cent of applicable </w:t>
      </w:r>
      <w:r w:rsidR="00E43A12" w:rsidRPr="00B26C25">
        <w:rPr>
          <w:rFonts w:cstheme="minorHAnsi"/>
        </w:rPr>
        <w:t xml:space="preserve">respondents were </w:t>
      </w:r>
      <w:r w:rsidR="00D659CE" w:rsidRPr="00B26C25">
        <w:rPr>
          <w:rFonts w:cstheme="minorHAnsi"/>
        </w:rPr>
        <w:t xml:space="preserve">very satisfied, </w:t>
      </w:r>
      <w:r w:rsidR="00E43A12" w:rsidRPr="00B26C25">
        <w:rPr>
          <w:rFonts w:cstheme="minorHAnsi"/>
        </w:rPr>
        <w:t>satisfied</w:t>
      </w:r>
      <w:r w:rsidR="00FD31E9" w:rsidRPr="00B26C25">
        <w:rPr>
          <w:rFonts w:cstheme="minorHAnsi"/>
        </w:rPr>
        <w:t xml:space="preserve"> </w:t>
      </w:r>
      <w:r w:rsidR="00E43A12" w:rsidRPr="00B26C25">
        <w:rPr>
          <w:rFonts w:cstheme="minorHAnsi"/>
        </w:rPr>
        <w:t>or somewhat satisfied with the information and support available to access Australia’s anti-dumping system.</w:t>
      </w:r>
    </w:p>
    <w:p w14:paraId="7BB7991C" w14:textId="1412703B" w:rsidR="00E43A12" w:rsidRPr="00B26C25" w:rsidRDefault="00121573" w:rsidP="00D073D1">
      <w:pPr>
        <w:pStyle w:val="ListParagraph"/>
        <w:numPr>
          <w:ilvl w:val="0"/>
          <w:numId w:val="6"/>
        </w:numPr>
        <w:spacing w:after="0" w:line="240" w:lineRule="auto"/>
        <w:ind w:left="567" w:right="-25" w:hanging="357"/>
        <w:rPr>
          <w:rFonts w:cstheme="minorHAnsi"/>
        </w:rPr>
      </w:pPr>
      <w:r>
        <w:rPr>
          <w:rFonts w:cstheme="minorHAnsi"/>
        </w:rPr>
        <w:t>70 per</w:t>
      </w:r>
      <w:r w:rsidR="00345BA6">
        <w:rPr>
          <w:rFonts w:cstheme="minorHAnsi"/>
        </w:rPr>
        <w:t xml:space="preserve"> </w:t>
      </w:r>
      <w:r>
        <w:rPr>
          <w:rFonts w:cstheme="minorHAnsi"/>
        </w:rPr>
        <w:t>cent of applicable</w:t>
      </w:r>
      <w:r w:rsidR="00481BEF" w:rsidRPr="00B26C25">
        <w:rPr>
          <w:rFonts w:cstheme="minorHAnsi"/>
        </w:rPr>
        <w:t xml:space="preserve"> </w:t>
      </w:r>
      <w:r w:rsidR="00E43A12" w:rsidRPr="00B26C25">
        <w:rPr>
          <w:rFonts w:cstheme="minorHAnsi"/>
        </w:rPr>
        <w:t>respondents</w:t>
      </w:r>
      <w:r w:rsidR="00660A8A" w:rsidRPr="00B26C25">
        <w:rPr>
          <w:rFonts w:cstheme="minorHAnsi"/>
        </w:rPr>
        <w:t xml:space="preserve"> </w:t>
      </w:r>
      <w:r w:rsidR="00C24511" w:rsidRPr="00B26C25">
        <w:rPr>
          <w:rFonts w:cstheme="minorHAnsi"/>
        </w:rPr>
        <w:t>considered</w:t>
      </w:r>
      <w:r w:rsidR="00E43A12" w:rsidRPr="00B26C25">
        <w:rPr>
          <w:rFonts w:cstheme="minorHAnsi"/>
        </w:rPr>
        <w:t xml:space="preserve"> the Commission</w:t>
      </w:r>
      <w:r w:rsidR="00D2285E" w:rsidRPr="00B26C25">
        <w:rPr>
          <w:rFonts w:cstheme="minorHAnsi"/>
        </w:rPr>
        <w:t xml:space="preserve">’s </w:t>
      </w:r>
      <w:r w:rsidR="00E43A12" w:rsidRPr="00B26C25">
        <w:rPr>
          <w:rFonts w:cstheme="minorHAnsi"/>
        </w:rPr>
        <w:t>understanding of the relevant industry sectors and the current and emerging issues that affect them</w:t>
      </w:r>
      <w:r w:rsidR="00D2285E" w:rsidRPr="00B26C25">
        <w:rPr>
          <w:rFonts w:cstheme="minorHAnsi"/>
        </w:rPr>
        <w:t xml:space="preserve"> was </w:t>
      </w:r>
      <w:r>
        <w:rPr>
          <w:rFonts w:cstheme="minorHAnsi"/>
        </w:rPr>
        <w:t xml:space="preserve">very </w:t>
      </w:r>
      <w:r w:rsidR="00D2285E" w:rsidRPr="00B26C25">
        <w:rPr>
          <w:rFonts w:cstheme="minorHAnsi"/>
        </w:rPr>
        <w:t>strong</w:t>
      </w:r>
      <w:r w:rsidR="00345BA6">
        <w:rPr>
          <w:rFonts w:cstheme="minorHAnsi"/>
        </w:rPr>
        <w:t xml:space="preserve">, strong or </w:t>
      </w:r>
      <w:r w:rsidR="00D2285E" w:rsidRPr="00B26C25">
        <w:rPr>
          <w:rFonts w:cstheme="minorHAnsi"/>
        </w:rPr>
        <w:t>sound.</w:t>
      </w:r>
    </w:p>
    <w:p w14:paraId="7BB7991E" w14:textId="144F86D2" w:rsidR="00E43A12" w:rsidRPr="00B26C25" w:rsidRDefault="00345BA6" w:rsidP="00D073D1">
      <w:pPr>
        <w:pStyle w:val="ListParagraph"/>
        <w:numPr>
          <w:ilvl w:val="0"/>
          <w:numId w:val="6"/>
        </w:numPr>
        <w:spacing w:after="0" w:line="240" w:lineRule="auto"/>
        <w:ind w:left="567" w:right="-25" w:hanging="357"/>
        <w:rPr>
          <w:rFonts w:cstheme="minorHAnsi"/>
        </w:rPr>
      </w:pPr>
      <w:r>
        <w:rPr>
          <w:rFonts w:cstheme="minorHAnsi"/>
        </w:rPr>
        <w:t xml:space="preserve">80 per cent of applicable respondents </w:t>
      </w:r>
      <w:r w:rsidR="00E43A12" w:rsidRPr="00B26C25">
        <w:rPr>
          <w:rFonts w:cstheme="minorHAnsi"/>
        </w:rPr>
        <w:t xml:space="preserve">were </w:t>
      </w:r>
      <w:r w:rsidR="00A04FFC" w:rsidRPr="00B26C25">
        <w:rPr>
          <w:rFonts w:cstheme="minorHAnsi"/>
        </w:rPr>
        <w:t xml:space="preserve">very satisfied, </w:t>
      </w:r>
      <w:r w:rsidR="00E43A12" w:rsidRPr="00B26C25">
        <w:rPr>
          <w:rFonts w:cstheme="minorHAnsi"/>
        </w:rPr>
        <w:t>satisfied or somewhat satisfied that the Commission effectively communicates the evidence base and approach used in investigations.</w:t>
      </w:r>
    </w:p>
    <w:p w14:paraId="6037EEAC" w14:textId="49F3D079" w:rsidR="00861BF8" w:rsidRPr="00B26C25" w:rsidRDefault="00345BA6" w:rsidP="00D073D1">
      <w:pPr>
        <w:pStyle w:val="ListParagraph"/>
        <w:numPr>
          <w:ilvl w:val="0"/>
          <w:numId w:val="6"/>
        </w:numPr>
        <w:spacing w:after="0" w:line="240" w:lineRule="auto"/>
        <w:ind w:left="567" w:right="-25" w:hanging="357"/>
        <w:rPr>
          <w:rFonts w:cstheme="minorHAnsi"/>
        </w:rPr>
      </w:pPr>
      <w:r>
        <w:rPr>
          <w:rFonts w:cstheme="minorHAnsi"/>
        </w:rPr>
        <w:t xml:space="preserve">90 per cent of applicable </w:t>
      </w:r>
      <w:r w:rsidR="00004F76" w:rsidRPr="00B26C25">
        <w:rPr>
          <w:rFonts w:cstheme="minorHAnsi"/>
        </w:rPr>
        <w:t xml:space="preserve">respondents </w:t>
      </w:r>
      <w:r w:rsidR="00861BF8" w:rsidRPr="00B26C25">
        <w:rPr>
          <w:rFonts w:cstheme="minorHAnsi"/>
        </w:rPr>
        <w:t xml:space="preserve">were </w:t>
      </w:r>
      <w:r w:rsidR="00A04FFC" w:rsidRPr="00B26C25">
        <w:rPr>
          <w:rFonts w:cstheme="minorHAnsi"/>
        </w:rPr>
        <w:t xml:space="preserve">very satisfied, </w:t>
      </w:r>
      <w:r w:rsidR="00861BF8" w:rsidRPr="00B26C25">
        <w:rPr>
          <w:rFonts w:cstheme="minorHAnsi"/>
        </w:rPr>
        <w:t xml:space="preserve">satisfied </w:t>
      </w:r>
      <w:r w:rsidR="00A04FFC" w:rsidRPr="00B26C25">
        <w:rPr>
          <w:rFonts w:cstheme="minorHAnsi"/>
        </w:rPr>
        <w:t xml:space="preserve">or somewhat satisfied </w:t>
      </w:r>
      <w:r w:rsidR="00861BF8" w:rsidRPr="00B26C25">
        <w:rPr>
          <w:rFonts w:cstheme="minorHAnsi"/>
        </w:rPr>
        <w:t xml:space="preserve">with the Commission’s commitment to continuous improvement. </w:t>
      </w:r>
    </w:p>
    <w:p w14:paraId="2B58A64C" w14:textId="5130F152" w:rsidR="00861BF8" w:rsidRPr="00B26C25" w:rsidRDefault="00345BA6" w:rsidP="00D073D1">
      <w:pPr>
        <w:pStyle w:val="ListParagraph"/>
        <w:numPr>
          <w:ilvl w:val="0"/>
          <w:numId w:val="6"/>
        </w:numPr>
        <w:spacing w:after="0" w:line="240" w:lineRule="auto"/>
        <w:ind w:left="567" w:right="-25" w:hanging="357"/>
        <w:rPr>
          <w:rFonts w:cstheme="minorHAnsi"/>
        </w:rPr>
      </w:pPr>
      <w:r>
        <w:rPr>
          <w:rFonts w:cstheme="minorHAnsi"/>
        </w:rPr>
        <w:t>91 per of all</w:t>
      </w:r>
      <w:r w:rsidRPr="00B26C25">
        <w:rPr>
          <w:rFonts w:cstheme="minorHAnsi"/>
        </w:rPr>
        <w:t xml:space="preserve"> </w:t>
      </w:r>
      <w:r w:rsidR="00004F76" w:rsidRPr="00B26C25">
        <w:rPr>
          <w:rFonts w:cstheme="minorHAnsi"/>
        </w:rPr>
        <w:t xml:space="preserve">respondents </w:t>
      </w:r>
      <w:r w:rsidR="00861BF8" w:rsidRPr="00B26C25">
        <w:rPr>
          <w:rFonts w:cstheme="minorHAnsi"/>
        </w:rPr>
        <w:t>were very satisfied</w:t>
      </w:r>
      <w:r w:rsidR="00A04FFC" w:rsidRPr="00B26C25">
        <w:rPr>
          <w:rFonts w:cstheme="minorHAnsi"/>
        </w:rPr>
        <w:t>,</w:t>
      </w:r>
      <w:r>
        <w:rPr>
          <w:rFonts w:cstheme="minorHAnsi"/>
        </w:rPr>
        <w:t xml:space="preserve"> or</w:t>
      </w:r>
      <w:r w:rsidR="005A3C23" w:rsidRPr="00B26C25">
        <w:rPr>
          <w:rFonts w:cstheme="minorHAnsi"/>
        </w:rPr>
        <w:t xml:space="preserve"> </w:t>
      </w:r>
      <w:r w:rsidR="00861BF8" w:rsidRPr="00B26C25">
        <w:rPr>
          <w:rFonts w:cstheme="minorHAnsi"/>
        </w:rPr>
        <w:t>satisfied that the Commission was taking action to enhance whole-of-government collaboration to strengthen the anti</w:t>
      </w:r>
      <w:r w:rsidR="00416E48" w:rsidRPr="00B26C25">
        <w:rPr>
          <w:rFonts w:cstheme="minorHAnsi"/>
        </w:rPr>
        <w:noBreakHyphen/>
      </w:r>
      <w:r w:rsidR="00861BF8" w:rsidRPr="00B26C25">
        <w:rPr>
          <w:rFonts w:cstheme="minorHAnsi"/>
        </w:rPr>
        <w:t xml:space="preserve">circumvention and compliance framework. </w:t>
      </w:r>
      <w:r w:rsidR="00660A8A" w:rsidRPr="00B26C25">
        <w:rPr>
          <w:rFonts w:cstheme="minorHAnsi"/>
        </w:rPr>
        <w:t>Stakeholders have consistently raised compliance and circumvention as important issues.</w:t>
      </w:r>
    </w:p>
    <w:p w14:paraId="0B18510F" w14:textId="77777777" w:rsidR="006053B8" w:rsidRDefault="006053B8" w:rsidP="00DC45D0">
      <w:pPr>
        <w:spacing w:after="0" w:line="240" w:lineRule="auto"/>
      </w:pPr>
    </w:p>
    <w:p w14:paraId="2810DF1C" w14:textId="77777777" w:rsidR="005B635C" w:rsidRPr="00BF5939" w:rsidRDefault="003F4C86" w:rsidP="00474CD5">
      <w:pPr>
        <w:spacing w:after="0" w:line="240" w:lineRule="auto"/>
        <w:ind w:right="-25"/>
        <w:rPr>
          <w:sz w:val="22"/>
        </w:rPr>
      </w:pPr>
      <w:r w:rsidRPr="001A46FD">
        <w:rPr>
          <w:sz w:val="22"/>
        </w:rPr>
        <w:t>Respondents to the</w:t>
      </w:r>
      <w:r w:rsidR="00441BC0" w:rsidRPr="001A46FD">
        <w:rPr>
          <w:sz w:val="22"/>
        </w:rPr>
        <w:t xml:space="preserve"> 2015-16 survey suggested that the ITRF meet on a more regular basis. </w:t>
      </w:r>
      <w:r w:rsidR="005B635C" w:rsidRPr="00C37317">
        <w:rPr>
          <w:sz w:val="22"/>
        </w:rPr>
        <w:t>Three ITRF meetings were conve</w:t>
      </w:r>
      <w:r w:rsidR="005B635C" w:rsidRPr="00BF5939">
        <w:rPr>
          <w:sz w:val="22"/>
        </w:rPr>
        <w:t>ned in 2019-20:</w:t>
      </w:r>
    </w:p>
    <w:p w14:paraId="25094A9C" w14:textId="5F5A8A19" w:rsidR="005B635C" w:rsidRPr="001A46FD" w:rsidRDefault="005B635C" w:rsidP="009914D0">
      <w:pPr>
        <w:pStyle w:val="ListParagraph"/>
        <w:numPr>
          <w:ilvl w:val="0"/>
          <w:numId w:val="30"/>
        </w:numPr>
        <w:spacing w:after="0" w:line="240" w:lineRule="auto"/>
        <w:ind w:right="-25"/>
      </w:pPr>
      <w:r w:rsidRPr="00E67CA7">
        <w:t xml:space="preserve">on 9 July 2019 </w:t>
      </w:r>
      <w:r w:rsidR="00BF5939">
        <w:t>o</w:t>
      </w:r>
      <w:r w:rsidRPr="001A46FD">
        <w:t>n the Gold Coast</w:t>
      </w:r>
    </w:p>
    <w:p w14:paraId="00622BDD" w14:textId="7633AAB0" w:rsidR="005B635C" w:rsidRPr="00E67CA7" w:rsidRDefault="005B635C" w:rsidP="009914D0">
      <w:pPr>
        <w:pStyle w:val="ListParagraph"/>
        <w:numPr>
          <w:ilvl w:val="0"/>
          <w:numId w:val="30"/>
        </w:numPr>
        <w:spacing w:after="0" w:line="240" w:lineRule="auto"/>
        <w:ind w:right="-25"/>
      </w:pPr>
      <w:r w:rsidRPr="00E67CA7">
        <w:t>on 5 December 2019 in Melbourne</w:t>
      </w:r>
      <w:r w:rsidR="00BF5939" w:rsidRPr="00E67CA7">
        <w:t xml:space="preserve">; and </w:t>
      </w:r>
    </w:p>
    <w:p w14:paraId="4852835A" w14:textId="23BA8F40" w:rsidR="00BF5939" w:rsidRPr="00A270B6" w:rsidRDefault="00BF5939" w:rsidP="009914D0">
      <w:pPr>
        <w:pStyle w:val="ListParagraph"/>
        <w:numPr>
          <w:ilvl w:val="0"/>
          <w:numId w:val="30"/>
        </w:numPr>
        <w:spacing w:after="120" w:line="240" w:lineRule="auto"/>
        <w:ind w:left="714" w:right="-23" w:hanging="357"/>
      </w:pPr>
      <w:r w:rsidRPr="00A270B6">
        <w:t xml:space="preserve">on 26 May 2020 as on online ‘virtual’ meeting due to COVID-19. </w:t>
      </w:r>
    </w:p>
    <w:p w14:paraId="636BBB47" w14:textId="158CC406" w:rsidR="00BF5939" w:rsidRPr="00BF5939" w:rsidRDefault="00BF5939" w:rsidP="00BF5939">
      <w:pPr>
        <w:spacing w:after="0" w:line="240" w:lineRule="auto"/>
        <w:ind w:right="-25"/>
        <w:rPr>
          <w:sz w:val="22"/>
        </w:rPr>
      </w:pPr>
      <w:r w:rsidRPr="009914D0">
        <w:rPr>
          <w:sz w:val="22"/>
        </w:rPr>
        <w:t>These meetings included</w:t>
      </w:r>
      <w:r>
        <w:rPr>
          <w:sz w:val="22"/>
        </w:rPr>
        <w:t>:</w:t>
      </w:r>
      <w:r w:rsidRPr="009914D0">
        <w:rPr>
          <w:sz w:val="22"/>
        </w:rPr>
        <w:t xml:space="preserve"> </w:t>
      </w:r>
      <w:r w:rsidRPr="00BF5939">
        <w:rPr>
          <w:sz w:val="22"/>
        </w:rPr>
        <w:t xml:space="preserve">updates from the Commission </w:t>
      </w:r>
      <w:r w:rsidR="0083710C" w:rsidRPr="00BF5939">
        <w:rPr>
          <w:sz w:val="22"/>
        </w:rPr>
        <w:t xml:space="preserve">on </w:t>
      </w:r>
      <w:r w:rsidR="0083710C">
        <w:rPr>
          <w:sz w:val="22"/>
        </w:rPr>
        <w:t>casework,</w:t>
      </w:r>
      <w:r w:rsidR="0083710C" w:rsidRPr="00BF5939">
        <w:rPr>
          <w:sz w:val="22"/>
        </w:rPr>
        <w:t xml:space="preserve"> </w:t>
      </w:r>
      <w:r w:rsidR="0083710C">
        <w:rPr>
          <w:sz w:val="22"/>
        </w:rPr>
        <w:t xml:space="preserve">updates on </w:t>
      </w:r>
      <w:r>
        <w:rPr>
          <w:sz w:val="22"/>
        </w:rPr>
        <w:t xml:space="preserve">verification and compliance </w:t>
      </w:r>
      <w:r w:rsidRPr="00BF5939">
        <w:rPr>
          <w:sz w:val="22"/>
        </w:rPr>
        <w:t>activities</w:t>
      </w:r>
      <w:r>
        <w:rPr>
          <w:sz w:val="22"/>
        </w:rPr>
        <w:t>;</w:t>
      </w:r>
      <w:r w:rsidR="0083710C">
        <w:rPr>
          <w:sz w:val="22"/>
        </w:rPr>
        <w:t xml:space="preserve"> updates from</w:t>
      </w:r>
      <w:r w:rsidRPr="00BF5939">
        <w:rPr>
          <w:sz w:val="22"/>
        </w:rPr>
        <w:t xml:space="preserve"> </w:t>
      </w:r>
      <w:r w:rsidR="0083710C" w:rsidRPr="00BF5939">
        <w:rPr>
          <w:sz w:val="22"/>
        </w:rPr>
        <w:t>other government members</w:t>
      </w:r>
      <w:r w:rsidR="0083710C">
        <w:rPr>
          <w:sz w:val="22"/>
        </w:rPr>
        <w:t xml:space="preserve"> on relevant matters;</w:t>
      </w:r>
      <w:r w:rsidR="0083710C" w:rsidRPr="00BF5939">
        <w:rPr>
          <w:sz w:val="22"/>
        </w:rPr>
        <w:t xml:space="preserve"> </w:t>
      </w:r>
      <w:r w:rsidRPr="00BF5939">
        <w:rPr>
          <w:sz w:val="22"/>
        </w:rPr>
        <w:t>presentation</w:t>
      </w:r>
      <w:r>
        <w:rPr>
          <w:sz w:val="22"/>
        </w:rPr>
        <w:t>s</w:t>
      </w:r>
      <w:r w:rsidRPr="00BF5939">
        <w:rPr>
          <w:sz w:val="22"/>
        </w:rPr>
        <w:t xml:space="preserve"> by the Commission on its</w:t>
      </w:r>
      <w:r>
        <w:rPr>
          <w:sz w:val="22"/>
        </w:rPr>
        <w:t xml:space="preserve"> review of the application form and digitalisation initiative; updates from the Commission on the Trade Remedy Index; and updates from sub-committee Chairs. </w:t>
      </w:r>
    </w:p>
    <w:p w14:paraId="3AD15CB3" w14:textId="77777777" w:rsidR="00BF5939" w:rsidRPr="009914D0" w:rsidRDefault="00BF5939" w:rsidP="001A46FD">
      <w:pPr>
        <w:spacing w:after="0" w:line="240" w:lineRule="auto"/>
        <w:ind w:right="-25"/>
        <w:rPr>
          <w:sz w:val="22"/>
        </w:rPr>
      </w:pPr>
    </w:p>
    <w:p w14:paraId="1CA60BB2" w14:textId="3D4DA856" w:rsidR="00AC6175" w:rsidRDefault="00E12B25" w:rsidP="00C37317">
      <w:pPr>
        <w:spacing w:after="0" w:line="240" w:lineRule="auto"/>
        <w:ind w:right="-25"/>
        <w:rPr>
          <w:sz w:val="22"/>
        </w:rPr>
      </w:pPr>
      <w:r w:rsidRPr="009914D0">
        <w:rPr>
          <w:sz w:val="22"/>
        </w:rPr>
        <w:t xml:space="preserve">In </w:t>
      </w:r>
      <w:r w:rsidRPr="009D1211">
        <w:rPr>
          <w:sz w:val="22"/>
        </w:rPr>
        <w:t>201</w:t>
      </w:r>
      <w:r w:rsidR="005B635C" w:rsidRPr="009D1211">
        <w:rPr>
          <w:sz w:val="22"/>
        </w:rPr>
        <w:t>9</w:t>
      </w:r>
      <w:r w:rsidR="00A04FFC" w:rsidRPr="009D1211">
        <w:rPr>
          <w:sz w:val="22"/>
        </w:rPr>
        <w:t>-</w:t>
      </w:r>
      <w:r w:rsidR="00BF5939" w:rsidRPr="009D1211">
        <w:rPr>
          <w:sz w:val="22"/>
        </w:rPr>
        <w:t>20</w:t>
      </w:r>
      <w:r w:rsidR="005B635C" w:rsidRPr="009914D0">
        <w:rPr>
          <w:sz w:val="22"/>
        </w:rPr>
        <w:t xml:space="preserve">, </w:t>
      </w:r>
      <w:r w:rsidR="00A04FFC" w:rsidRPr="009914D0">
        <w:rPr>
          <w:sz w:val="22"/>
        </w:rPr>
        <w:t xml:space="preserve">the ITRF sub-committees </w:t>
      </w:r>
      <w:r w:rsidR="006053B8" w:rsidRPr="009914D0">
        <w:rPr>
          <w:sz w:val="22"/>
        </w:rPr>
        <w:t xml:space="preserve">on compliance and anti-circumvention and access to import data </w:t>
      </w:r>
      <w:r w:rsidR="00BF5939" w:rsidRPr="009914D0">
        <w:rPr>
          <w:sz w:val="22"/>
        </w:rPr>
        <w:t xml:space="preserve">also </w:t>
      </w:r>
      <w:r w:rsidR="00A04FFC" w:rsidRPr="009914D0">
        <w:rPr>
          <w:sz w:val="22"/>
        </w:rPr>
        <w:t xml:space="preserve">each met </w:t>
      </w:r>
      <w:r w:rsidR="005B635C" w:rsidRPr="009D1211">
        <w:rPr>
          <w:sz w:val="22"/>
        </w:rPr>
        <w:t>twice</w:t>
      </w:r>
      <w:r w:rsidR="005B635C" w:rsidRPr="009914D0">
        <w:rPr>
          <w:sz w:val="22"/>
        </w:rPr>
        <w:t xml:space="preserve"> </w:t>
      </w:r>
      <w:r w:rsidR="00DD0DFB" w:rsidRPr="009914D0">
        <w:rPr>
          <w:sz w:val="22"/>
        </w:rPr>
        <w:t>t</w:t>
      </w:r>
      <w:r w:rsidR="006053B8" w:rsidRPr="009914D0">
        <w:rPr>
          <w:sz w:val="22"/>
        </w:rPr>
        <w:t xml:space="preserve">o enable in-depth discussions on matters of particular interest to members. </w:t>
      </w:r>
    </w:p>
    <w:p w14:paraId="1A0F5A66" w14:textId="77777777" w:rsidR="00AC6175" w:rsidRDefault="00AC6175" w:rsidP="00004F76">
      <w:pPr>
        <w:spacing w:after="0" w:line="240" w:lineRule="auto"/>
        <w:ind w:right="-25"/>
        <w:rPr>
          <w:sz w:val="22"/>
        </w:rPr>
      </w:pPr>
    </w:p>
    <w:p w14:paraId="7BB79924" w14:textId="39D08F57" w:rsidR="00E43A12" w:rsidRPr="00E43A12" w:rsidRDefault="00E43A12" w:rsidP="007D1A44">
      <w:pPr>
        <w:pStyle w:val="ListParagraph"/>
        <w:numPr>
          <w:ilvl w:val="0"/>
          <w:numId w:val="10"/>
        </w:numPr>
        <w:spacing w:after="120"/>
        <w:ind w:left="567" w:hanging="357"/>
        <w:contextualSpacing w:val="0"/>
        <w:rPr>
          <w:rFonts w:cstheme="minorHAnsi"/>
          <w:i/>
        </w:rPr>
      </w:pPr>
      <w:r w:rsidRPr="00E43A12">
        <w:rPr>
          <w:rFonts w:cstheme="minorHAnsi"/>
          <w:i/>
        </w:rPr>
        <w:t xml:space="preserve">Metric: </w:t>
      </w:r>
      <w:r w:rsidR="00660A8A">
        <w:rPr>
          <w:rFonts w:cstheme="minorHAnsi"/>
          <w:i/>
        </w:rPr>
        <w:t>N</w:t>
      </w:r>
      <w:r w:rsidRPr="00E43A12">
        <w:rPr>
          <w:rFonts w:cstheme="minorHAnsi"/>
          <w:i/>
        </w:rPr>
        <w:t>umber of appealed findings not overturned by external review bodies</w:t>
      </w:r>
    </w:p>
    <w:p w14:paraId="4CF821C4" w14:textId="57588F2E" w:rsidR="00CD6F5A" w:rsidRDefault="00CD6F5A" w:rsidP="001D14A7">
      <w:pPr>
        <w:spacing w:after="0" w:line="240" w:lineRule="auto"/>
        <w:rPr>
          <w:rFonts w:ascii="Arial" w:hAnsi="Arial" w:cs="Arial"/>
          <w:sz w:val="22"/>
        </w:rPr>
      </w:pPr>
      <w:r w:rsidRPr="00E43A12">
        <w:rPr>
          <w:rFonts w:cstheme="minorHAnsi"/>
          <w:sz w:val="22"/>
        </w:rPr>
        <w:t>Certain decisions of the Minister and the Commissioner may be reviewed by the Anti</w:t>
      </w:r>
      <w:r w:rsidR="005B4EBA">
        <w:rPr>
          <w:rFonts w:cstheme="minorHAnsi"/>
          <w:sz w:val="22"/>
        </w:rPr>
        <w:noBreakHyphen/>
      </w:r>
      <w:r w:rsidRPr="00E43A12">
        <w:rPr>
          <w:rFonts w:cstheme="minorHAnsi"/>
          <w:sz w:val="22"/>
        </w:rPr>
        <w:t xml:space="preserve">Dumping Review Panel (ADRP) and the Federal Court of Australia. These include decisions to impose anti-dumping measures or terminate investigations, outcomes of continuation inquiries and reviews of measures, and outcomes </w:t>
      </w:r>
      <w:r>
        <w:rPr>
          <w:rFonts w:cstheme="minorHAnsi"/>
          <w:sz w:val="22"/>
        </w:rPr>
        <w:t>of duty assessments. ADRP d</w:t>
      </w:r>
      <w:r>
        <w:rPr>
          <w:rFonts w:ascii="Arial" w:hAnsi="Arial" w:cs="Arial"/>
          <w:sz w:val="22"/>
        </w:rPr>
        <w:t>ecisions provide</w:t>
      </w:r>
      <w:r w:rsidRPr="00F305E5">
        <w:rPr>
          <w:rFonts w:ascii="Arial" w:hAnsi="Arial" w:cs="Arial"/>
          <w:sz w:val="22"/>
        </w:rPr>
        <w:t xml:space="preserve"> the Commission </w:t>
      </w:r>
      <w:r>
        <w:rPr>
          <w:rFonts w:ascii="Arial" w:hAnsi="Arial" w:cs="Arial"/>
          <w:sz w:val="22"/>
        </w:rPr>
        <w:t xml:space="preserve">with </w:t>
      </w:r>
      <w:r w:rsidRPr="00F305E5">
        <w:rPr>
          <w:rFonts w:ascii="Arial" w:hAnsi="Arial" w:cs="Arial"/>
          <w:sz w:val="22"/>
        </w:rPr>
        <w:t>valuable opportunities to identify areas where operational improvements can be made. In addition, the outcomes of merits review can provide guidance on the correct or preferable approach where there is ambiguity or uncertainty (for example, in how to interpret complex legislative provisions).</w:t>
      </w:r>
    </w:p>
    <w:p w14:paraId="70D153F1" w14:textId="3071774F" w:rsidR="0072416B" w:rsidRDefault="00CD6F5A" w:rsidP="00907192">
      <w:pPr>
        <w:spacing w:after="0" w:line="240" w:lineRule="auto"/>
        <w:rPr>
          <w:rFonts w:ascii="Arial" w:hAnsi="Arial" w:cs="Arial"/>
          <w:sz w:val="22"/>
        </w:rPr>
      </w:pPr>
      <w:r>
        <w:rPr>
          <w:rFonts w:ascii="Arial" w:hAnsi="Arial" w:cs="Arial"/>
          <w:sz w:val="22"/>
        </w:rPr>
        <w:t xml:space="preserve">To make </w:t>
      </w:r>
      <w:r w:rsidR="0072416B">
        <w:rPr>
          <w:rFonts w:ascii="Arial" w:hAnsi="Arial" w:cs="Arial"/>
          <w:sz w:val="22"/>
        </w:rPr>
        <w:t xml:space="preserve">best </w:t>
      </w:r>
      <w:r>
        <w:rPr>
          <w:rFonts w:ascii="Arial" w:hAnsi="Arial" w:cs="Arial"/>
          <w:sz w:val="22"/>
        </w:rPr>
        <w:t>use of these opportunities</w:t>
      </w:r>
      <w:r w:rsidR="0072416B">
        <w:rPr>
          <w:rFonts w:ascii="Arial" w:hAnsi="Arial" w:cs="Arial"/>
          <w:sz w:val="22"/>
        </w:rPr>
        <w:t>,</w:t>
      </w:r>
      <w:r>
        <w:rPr>
          <w:rFonts w:ascii="Arial" w:hAnsi="Arial" w:cs="Arial"/>
          <w:sz w:val="22"/>
        </w:rPr>
        <w:t xml:space="preserve"> the </w:t>
      </w:r>
      <w:r w:rsidR="00364F2F">
        <w:rPr>
          <w:rFonts w:ascii="Arial" w:hAnsi="Arial" w:cs="Arial"/>
          <w:sz w:val="22"/>
        </w:rPr>
        <w:t>Commission</w:t>
      </w:r>
      <w:r w:rsidR="0072416B">
        <w:rPr>
          <w:rFonts w:ascii="Arial" w:hAnsi="Arial" w:cs="Arial"/>
          <w:sz w:val="22"/>
        </w:rPr>
        <w:t xml:space="preserve"> carefully considers the outcomes from merits and judicial reviews to identify where it can improve its</w:t>
      </w:r>
      <w:r>
        <w:rPr>
          <w:rFonts w:ascii="Arial" w:hAnsi="Arial" w:cs="Arial"/>
          <w:sz w:val="22"/>
        </w:rPr>
        <w:t xml:space="preserve"> </w:t>
      </w:r>
      <w:r w:rsidRPr="00CD6F5A">
        <w:rPr>
          <w:rFonts w:ascii="Arial" w:hAnsi="Arial" w:cs="Arial"/>
          <w:sz w:val="22"/>
        </w:rPr>
        <w:t>decision-making proces</w:t>
      </w:r>
      <w:r>
        <w:rPr>
          <w:rFonts w:ascii="Arial" w:hAnsi="Arial" w:cs="Arial"/>
          <w:sz w:val="22"/>
        </w:rPr>
        <w:t>ses and investigation practices</w:t>
      </w:r>
      <w:r w:rsidR="0072416B">
        <w:rPr>
          <w:rFonts w:ascii="Arial" w:hAnsi="Arial" w:cs="Arial"/>
          <w:sz w:val="22"/>
        </w:rPr>
        <w:t>.</w:t>
      </w:r>
      <w:r>
        <w:rPr>
          <w:rFonts w:ascii="Arial" w:hAnsi="Arial" w:cs="Arial"/>
          <w:sz w:val="22"/>
        </w:rPr>
        <w:t xml:space="preserve"> </w:t>
      </w:r>
      <w:r w:rsidR="00907192" w:rsidRPr="00907192">
        <w:rPr>
          <w:rFonts w:ascii="Arial" w:hAnsi="Arial" w:cs="Arial"/>
          <w:sz w:val="22"/>
        </w:rPr>
        <w:t xml:space="preserve"> </w:t>
      </w:r>
    </w:p>
    <w:p w14:paraId="0A1141CC" w14:textId="77777777" w:rsidR="005709BE" w:rsidRDefault="005709BE" w:rsidP="00907192">
      <w:pPr>
        <w:spacing w:after="0" w:line="240" w:lineRule="auto"/>
        <w:rPr>
          <w:rFonts w:ascii="Arial" w:hAnsi="Arial" w:cs="Arial"/>
          <w:sz w:val="22"/>
        </w:rPr>
      </w:pPr>
    </w:p>
    <w:p w14:paraId="0C7C8552" w14:textId="575F3A01" w:rsidR="005709BE" w:rsidRDefault="005709BE" w:rsidP="00907192">
      <w:pPr>
        <w:spacing w:after="0" w:line="240" w:lineRule="auto"/>
        <w:rPr>
          <w:rFonts w:ascii="Arial" w:hAnsi="Arial" w:cs="Arial"/>
          <w:sz w:val="22"/>
        </w:rPr>
      </w:pPr>
      <w:r>
        <w:rPr>
          <w:rFonts w:ascii="Arial" w:hAnsi="Arial" w:cs="Arial"/>
          <w:sz w:val="22"/>
        </w:rPr>
        <w:t>I</w:t>
      </w:r>
      <w:r w:rsidR="00E07E46">
        <w:rPr>
          <w:rFonts w:ascii="Arial" w:hAnsi="Arial" w:cs="Arial"/>
          <w:sz w:val="22"/>
        </w:rPr>
        <w:t xml:space="preserve">n the </w:t>
      </w:r>
      <w:r w:rsidR="00900BE1">
        <w:rPr>
          <w:rFonts w:ascii="Arial" w:hAnsi="Arial" w:cs="Arial"/>
          <w:sz w:val="22"/>
        </w:rPr>
        <w:t>2019-20</w:t>
      </w:r>
      <w:r>
        <w:rPr>
          <w:rFonts w:ascii="Arial" w:hAnsi="Arial" w:cs="Arial"/>
          <w:sz w:val="22"/>
        </w:rPr>
        <w:t xml:space="preserve"> financial year the ADRP issued </w:t>
      </w:r>
      <w:r w:rsidR="00900BE1">
        <w:rPr>
          <w:rFonts w:ascii="Arial" w:hAnsi="Arial" w:cs="Arial"/>
          <w:sz w:val="22"/>
        </w:rPr>
        <w:t xml:space="preserve">7 </w:t>
      </w:r>
      <w:r w:rsidR="008137BB">
        <w:rPr>
          <w:rFonts w:ascii="Arial" w:hAnsi="Arial" w:cs="Arial"/>
          <w:sz w:val="22"/>
        </w:rPr>
        <w:t xml:space="preserve">reports. Of these decisions </w:t>
      </w:r>
      <w:r w:rsidR="00900BE1">
        <w:rPr>
          <w:rFonts w:ascii="Arial" w:hAnsi="Arial" w:cs="Arial"/>
          <w:sz w:val="22"/>
        </w:rPr>
        <w:t>57</w:t>
      </w:r>
      <w:r w:rsidR="00953B87">
        <w:rPr>
          <w:rFonts w:ascii="Arial" w:hAnsi="Arial" w:cs="Arial"/>
          <w:sz w:val="22"/>
        </w:rPr>
        <w:t xml:space="preserve"> per cent </w:t>
      </w:r>
      <w:r>
        <w:rPr>
          <w:rFonts w:ascii="Arial" w:hAnsi="Arial" w:cs="Arial"/>
          <w:sz w:val="22"/>
        </w:rPr>
        <w:t>af</w:t>
      </w:r>
      <w:r w:rsidR="008137BB">
        <w:rPr>
          <w:rFonts w:ascii="Arial" w:hAnsi="Arial" w:cs="Arial"/>
          <w:sz w:val="22"/>
        </w:rPr>
        <w:t xml:space="preserve">firmed the original decision, </w:t>
      </w:r>
      <w:r w:rsidR="00900BE1">
        <w:rPr>
          <w:rFonts w:ascii="Arial" w:hAnsi="Arial" w:cs="Arial"/>
          <w:sz w:val="22"/>
        </w:rPr>
        <w:t>14</w:t>
      </w:r>
      <w:r w:rsidR="00953B87">
        <w:rPr>
          <w:rFonts w:ascii="Arial" w:hAnsi="Arial" w:cs="Arial"/>
          <w:sz w:val="22"/>
        </w:rPr>
        <w:t xml:space="preserve"> per cent </w:t>
      </w:r>
      <w:r>
        <w:rPr>
          <w:rFonts w:ascii="Arial" w:hAnsi="Arial" w:cs="Arial"/>
          <w:sz w:val="22"/>
        </w:rPr>
        <w:t xml:space="preserve">affirmed the original decision in part and </w:t>
      </w:r>
      <w:r w:rsidR="00900BE1">
        <w:rPr>
          <w:rFonts w:ascii="Arial" w:hAnsi="Arial" w:cs="Arial"/>
          <w:sz w:val="22"/>
        </w:rPr>
        <w:t>28</w:t>
      </w:r>
      <w:r w:rsidR="00953B87">
        <w:rPr>
          <w:rFonts w:ascii="Arial" w:hAnsi="Arial" w:cs="Arial"/>
          <w:sz w:val="22"/>
        </w:rPr>
        <w:t xml:space="preserve"> per cent </w:t>
      </w:r>
      <w:r>
        <w:rPr>
          <w:rFonts w:ascii="Arial" w:hAnsi="Arial" w:cs="Arial"/>
          <w:sz w:val="22"/>
        </w:rPr>
        <w:t xml:space="preserve">revoked the decision in full. </w:t>
      </w:r>
    </w:p>
    <w:p w14:paraId="5315F59E" w14:textId="77777777" w:rsidR="005709BE" w:rsidRDefault="005709BE" w:rsidP="00907192">
      <w:pPr>
        <w:spacing w:after="0" w:line="240" w:lineRule="auto"/>
        <w:rPr>
          <w:rFonts w:ascii="Arial" w:hAnsi="Arial" w:cs="Arial"/>
          <w:sz w:val="22"/>
        </w:rPr>
      </w:pPr>
    </w:p>
    <w:p w14:paraId="7BF674D9" w14:textId="0B3E13C1" w:rsidR="005709BE" w:rsidRDefault="00871EFE" w:rsidP="00907192">
      <w:pPr>
        <w:spacing w:after="0" w:line="240" w:lineRule="auto"/>
        <w:rPr>
          <w:rFonts w:ascii="Arial" w:hAnsi="Arial" w:cs="Arial"/>
          <w:sz w:val="22"/>
        </w:rPr>
      </w:pPr>
      <w:r>
        <w:rPr>
          <w:rFonts w:ascii="Arial" w:hAnsi="Arial" w:cs="Arial"/>
          <w:sz w:val="22"/>
        </w:rPr>
        <w:t>The amount of reports</w:t>
      </w:r>
      <w:r w:rsidR="00F2188C">
        <w:rPr>
          <w:rFonts w:ascii="Arial" w:hAnsi="Arial" w:cs="Arial"/>
          <w:sz w:val="22"/>
        </w:rPr>
        <w:t xml:space="preserve"> issued</w:t>
      </w:r>
      <w:r>
        <w:rPr>
          <w:rFonts w:ascii="Arial" w:hAnsi="Arial" w:cs="Arial"/>
          <w:sz w:val="22"/>
        </w:rPr>
        <w:t xml:space="preserve"> by the ADRP were down</w:t>
      </w:r>
      <w:r w:rsidR="00F2188C">
        <w:rPr>
          <w:rFonts w:ascii="Arial" w:hAnsi="Arial" w:cs="Arial"/>
          <w:sz w:val="22"/>
        </w:rPr>
        <w:t>, in comparison to</w:t>
      </w:r>
      <w:r>
        <w:rPr>
          <w:rFonts w:ascii="Arial" w:hAnsi="Arial" w:cs="Arial"/>
          <w:sz w:val="22"/>
        </w:rPr>
        <w:t xml:space="preserve"> 2018-19</w:t>
      </w:r>
      <w:r w:rsidR="005709BE">
        <w:rPr>
          <w:rFonts w:ascii="Arial" w:hAnsi="Arial" w:cs="Arial"/>
          <w:sz w:val="22"/>
        </w:rPr>
        <w:t xml:space="preserve"> where </w:t>
      </w:r>
      <w:r>
        <w:rPr>
          <w:rFonts w:ascii="Arial" w:hAnsi="Arial" w:cs="Arial"/>
          <w:sz w:val="22"/>
        </w:rPr>
        <w:t xml:space="preserve">13 </w:t>
      </w:r>
      <w:r w:rsidR="005709BE">
        <w:rPr>
          <w:rFonts w:ascii="Arial" w:hAnsi="Arial" w:cs="Arial"/>
          <w:sz w:val="22"/>
        </w:rPr>
        <w:t xml:space="preserve">reports were issued. </w:t>
      </w:r>
      <w:r>
        <w:rPr>
          <w:rFonts w:ascii="Arial" w:hAnsi="Arial" w:cs="Arial"/>
          <w:sz w:val="22"/>
        </w:rPr>
        <w:t>The affirmed cases were consistent with the previous year w</w:t>
      </w:r>
      <w:r w:rsidR="00EF2F20">
        <w:rPr>
          <w:rFonts w:ascii="Arial" w:hAnsi="Arial" w:cs="Arial"/>
          <w:sz w:val="22"/>
        </w:rPr>
        <w:t>here</w:t>
      </w:r>
      <w:r w:rsidR="00953B87">
        <w:rPr>
          <w:rFonts w:ascii="Arial" w:hAnsi="Arial" w:cs="Arial"/>
          <w:sz w:val="22"/>
        </w:rPr>
        <w:t xml:space="preserve"> </w:t>
      </w:r>
      <w:r>
        <w:rPr>
          <w:rFonts w:ascii="Arial" w:hAnsi="Arial" w:cs="Arial"/>
          <w:sz w:val="22"/>
        </w:rPr>
        <w:t>52</w:t>
      </w:r>
      <w:r w:rsidR="00953B87">
        <w:rPr>
          <w:rFonts w:ascii="Arial" w:hAnsi="Arial" w:cs="Arial"/>
          <w:sz w:val="22"/>
        </w:rPr>
        <w:t xml:space="preserve"> per cent </w:t>
      </w:r>
      <w:r w:rsidR="003F7E50">
        <w:rPr>
          <w:rFonts w:ascii="Arial" w:hAnsi="Arial" w:cs="Arial"/>
          <w:sz w:val="22"/>
        </w:rPr>
        <w:t xml:space="preserve">of cases resulted in </w:t>
      </w:r>
      <w:r w:rsidR="005709BE">
        <w:rPr>
          <w:rFonts w:ascii="Arial" w:hAnsi="Arial" w:cs="Arial"/>
          <w:sz w:val="22"/>
        </w:rPr>
        <w:t>the original decision</w:t>
      </w:r>
      <w:r w:rsidR="003F7E50">
        <w:rPr>
          <w:rFonts w:ascii="Arial" w:hAnsi="Arial" w:cs="Arial"/>
          <w:sz w:val="22"/>
        </w:rPr>
        <w:t xml:space="preserve"> being affirmed</w:t>
      </w:r>
      <w:r>
        <w:rPr>
          <w:rFonts w:ascii="Arial" w:hAnsi="Arial" w:cs="Arial"/>
          <w:sz w:val="22"/>
        </w:rPr>
        <w:t>. The remaining reports of the previous year found</w:t>
      </w:r>
      <w:r w:rsidR="00953B87">
        <w:rPr>
          <w:rFonts w:ascii="Arial" w:hAnsi="Arial" w:cs="Arial"/>
          <w:sz w:val="22"/>
        </w:rPr>
        <w:t xml:space="preserve"> </w:t>
      </w:r>
      <w:r>
        <w:rPr>
          <w:rFonts w:ascii="Arial" w:hAnsi="Arial" w:cs="Arial"/>
          <w:sz w:val="22"/>
        </w:rPr>
        <w:t>31</w:t>
      </w:r>
      <w:r w:rsidR="00953B87">
        <w:rPr>
          <w:rFonts w:ascii="Arial" w:hAnsi="Arial" w:cs="Arial"/>
          <w:sz w:val="22"/>
        </w:rPr>
        <w:t xml:space="preserve"> per cent </w:t>
      </w:r>
      <w:r w:rsidR="005709BE">
        <w:rPr>
          <w:rFonts w:ascii="Arial" w:hAnsi="Arial" w:cs="Arial"/>
          <w:sz w:val="22"/>
        </w:rPr>
        <w:t>affirmed i</w:t>
      </w:r>
      <w:r w:rsidR="008137BB">
        <w:rPr>
          <w:rFonts w:ascii="Arial" w:hAnsi="Arial" w:cs="Arial"/>
          <w:sz w:val="22"/>
        </w:rPr>
        <w:t xml:space="preserve">n part and </w:t>
      </w:r>
      <w:r>
        <w:rPr>
          <w:rFonts w:ascii="Arial" w:hAnsi="Arial" w:cs="Arial"/>
          <w:sz w:val="22"/>
        </w:rPr>
        <w:t>17</w:t>
      </w:r>
      <w:r w:rsidR="00953B87">
        <w:rPr>
          <w:rFonts w:ascii="Arial" w:hAnsi="Arial" w:cs="Arial"/>
          <w:sz w:val="22"/>
        </w:rPr>
        <w:t xml:space="preserve"> per cent </w:t>
      </w:r>
      <w:r w:rsidR="00E07E46">
        <w:rPr>
          <w:rFonts w:ascii="Arial" w:hAnsi="Arial" w:cs="Arial"/>
          <w:sz w:val="22"/>
        </w:rPr>
        <w:t>revoked in full</w:t>
      </w:r>
      <w:r w:rsidR="00A65C8D">
        <w:rPr>
          <w:rFonts w:ascii="Arial" w:hAnsi="Arial" w:cs="Arial"/>
          <w:sz w:val="22"/>
        </w:rPr>
        <w:t>.</w:t>
      </w:r>
    </w:p>
    <w:p w14:paraId="04B254E3" w14:textId="77777777" w:rsidR="005709BE" w:rsidRDefault="005709BE" w:rsidP="00907192">
      <w:pPr>
        <w:spacing w:after="0" w:line="240" w:lineRule="auto"/>
        <w:rPr>
          <w:rFonts w:ascii="Arial" w:hAnsi="Arial" w:cs="Arial"/>
          <w:sz w:val="22"/>
        </w:rPr>
      </w:pPr>
    </w:p>
    <w:p w14:paraId="33E4FB5D" w14:textId="7A38D0B1" w:rsidR="005709BE" w:rsidRDefault="005709BE" w:rsidP="00907192">
      <w:pPr>
        <w:spacing w:after="0" w:line="240" w:lineRule="auto"/>
        <w:rPr>
          <w:rFonts w:ascii="Arial" w:hAnsi="Arial" w:cs="Arial"/>
          <w:sz w:val="22"/>
        </w:rPr>
      </w:pPr>
      <w:r w:rsidRPr="00371438">
        <w:rPr>
          <w:rFonts w:ascii="Arial" w:hAnsi="Arial" w:cs="Arial"/>
          <w:sz w:val="22"/>
        </w:rPr>
        <w:t xml:space="preserve">There were also </w:t>
      </w:r>
      <w:r w:rsidR="00244584" w:rsidRPr="00371438">
        <w:rPr>
          <w:rFonts w:ascii="Arial" w:hAnsi="Arial" w:cs="Arial"/>
          <w:sz w:val="22"/>
        </w:rPr>
        <w:t xml:space="preserve">five Federal Court </w:t>
      </w:r>
      <w:r w:rsidR="00254BBC" w:rsidRPr="00371438">
        <w:rPr>
          <w:rFonts w:ascii="Arial" w:hAnsi="Arial" w:cs="Arial"/>
          <w:sz w:val="22"/>
        </w:rPr>
        <w:t xml:space="preserve">cases </w:t>
      </w:r>
      <w:r w:rsidR="003F7E50">
        <w:rPr>
          <w:rFonts w:ascii="Arial" w:hAnsi="Arial" w:cs="Arial"/>
          <w:sz w:val="22"/>
        </w:rPr>
        <w:t>under consideration</w:t>
      </w:r>
      <w:r w:rsidR="00244584" w:rsidRPr="00371438">
        <w:rPr>
          <w:rFonts w:ascii="Arial" w:hAnsi="Arial" w:cs="Arial"/>
          <w:sz w:val="22"/>
        </w:rPr>
        <w:t xml:space="preserve"> during </w:t>
      </w:r>
      <w:r w:rsidR="00EF2F20">
        <w:rPr>
          <w:rFonts w:ascii="Arial" w:hAnsi="Arial" w:cs="Arial"/>
          <w:sz w:val="22"/>
        </w:rPr>
        <w:t>2</w:t>
      </w:r>
      <w:r w:rsidR="00871EFE">
        <w:rPr>
          <w:rFonts w:ascii="Arial" w:hAnsi="Arial" w:cs="Arial"/>
          <w:sz w:val="22"/>
        </w:rPr>
        <w:t>019-20</w:t>
      </w:r>
      <w:r w:rsidR="00E07E46" w:rsidRPr="00371438">
        <w:rPr>
          <w:rFonts w:ascii="Arial" w:hAnsi="Arial" w:cs="Arial"/>
          <w:sz w:val="22"/>
        </w:rPr>
        <w:t>. O</w:t>
      </w:r>
      <w:r w:rsidR="00244584" w:rsidRPr="00371438">
        <w:rPr>
          <w:rFonts w:ascii="Arial" w:hAnsi="Arial" w:cs="Arial"/>
          <w:sz w:val="22"/>
        </w:rPr>
        <w:t xml:space="preserve">f </w:t>
      </w:r>
      <w:r w:rsidR="00E07E46" w:rsidRPr="00371438">
        <w:rPr>
          <w:rFonts w:ascii="Arial" w:hAnsi="Arial" w:cs="Arial"/>
          <w:sz w:val="22"/>
        </w:rPr>
        <w:t>these,</w:t>
      </w:r>
      <w:r w:rsidR="00244584" w:rsidRPr="00371438">
        <w:rPr>
          <w:rFonts w:ascii="Arial" w:hAnsi="Arial" w:cs="Arial"/>
          <w:sz w:val="22"/>
        </w:rPr>
        <w:t xml:space="preserve"> two </w:t>
      </w:r>
      <w:r w:rsidR="003F7E50">
        <w:rPr>
          <w:rFonts w:ascii="Arial" w:hAnsi="Arial" w:cs="Arial"/>
          <w:sz w:val="22"/>
        </w:rPr>
        <w:t>remain</w:t>
      </w:r>
      <w:r w:rsidR="00B90B63" w:rsidRPr="00371438">
        <w:rPr>
          <w:rFonts w:ascii="Arial" w:hAnsi="Arial" w:cs="Arial"/>
          <w:sz w:val="22"/>
        </w:rPr>
        <w:t xml:space="preserve"> </w:t>
      </w:r>
      <w:r w:rsidR="00871EFE">
        <w:rPr>
          <w:rFonts w:ascii="Arial" w:hAnsi="Arial" w:cs="Arial"/>
          <w:sz w:val="22"/>
        </w:rPr>
        <w:t xml:space="preserve">ongoing, one </w:t>
      </w:r>
      <w:r w:rsidR="00254BBC">
        <w:rPr>
          <w:rFonts w:ascii="Arial" w:hAnsi="Arial" w:cs="Arial"/>
          <w:sz w:val="22"/>
        </w:rPr>
        <w:t>was determined against</w:t>
      </w:r>
      <w:r w:rsidR="00871EFE">
        <w:rPr>
          <w:rFonts w:ascii="Arial" w:hAnsi="Arial" w:cs="Arial"/>
          <w:sz w:val="22"/>
        </w:rPr>
        <w:t xml:space="preserve"> the Commission’s original decision, with the remaining two cases resolved by</w:t>
      </w:r>
      <w:r w:rsidR="00953B87">
        <w:rPr>
          <w:rFonts w:ascii="Arial" w:hAnsi="Arial" w:cs="Arial"/>
          <w:sz w:val="22"/>
        </w:rPr>
        <w:t xml:space="preserve"> both parties agreeing to have the matters remitted back for reconsideration.</w:t>
      </w:r>
      <w:r w:rsidR="00953B87" w:rsidDel="00953B87">
        <w:rPr>
          <w:rFonts w:ascii="Arial" w:hAnsi="Arial" w:cs="Arial"/>
          <w:sz w:val="22"/>
        </w:rPr>
        <w:t xml:space="preserve"> </w:t>
      </w:r>
    </w:p>
    <w:p w14:paraId="3E072406" w14:textId="77777777" w:rsidR="005709BE" w:rsidRDefault="005709BE" w:rsidP="00907192">
      <w:pPr>
        <w:spacing w:after="0" w:line="240" w:lineRule="auto"/>
        <w:rPr>
          <w:rFonts w:ascii="Arial" w:hAnsi="Arial" w:cs="Arial"/>
          <w:sz w:val="22"/>
        </w:rPr>
      </w:pPr>
    </w:p>
    <w:p w14:paraId="0E86EA1B" w14:textId="77777777" w:rsidR="007D1A44" w:rsidRDefault="007D1A44" w:rsidP="001D14A7">
      <w:pPr>
        <w:spacing w:after="0" w:line="240" w:lineRule="auto"/>
        <w:rPr>
          <w:rFonts w:ascii="Arial" w:hAnsi="Arial" w:cs="Arial"/>
          <w:sz w:val="22"/>
        </w:rPr>
      </w:pPr>
    </w:p>
    <w:p w14:paraId="7BB79926" w14:textId="77777777" w:rsidR="00E43A12" w:rsidRPr="00E43A12" w:rsidRDefault="00E43A12" w:rsidP="007D1A44">
      <w:pPr>
        <w:rPr>
          <w:rFonts w:cstheme="minorHAnsi"/>
          <w:b/>
          <w:sz w:val="22"/>
        </w:rPr>
      </w:pPr>
      <w:r w:rsidRPr="00E43A12">
        <w:rPr>
          <w:rFonts w:cstheme="minorHAnsi"/>
          <w:b/>
          <w:sz w:val="22"/>
        </w:rPr>
        <w:t>Measure: Take action to minimise the potential for unintended negative impacts of regulatory activities on applicants</w:t>
      </w:r>
    </w:p>
    <w:p w14:paraId="7BB79927" w14:textId="77777777" w:rsidR="00E43A12" w:rsidRPr="00E43A12" w:rsidRDefault="00E43A12" w:rsidP="007D1A44">
      <w:pPr>
        <w:pStyle w:val="ListParagraph"/>
        <w:numPr>
          <w:ilvl w:val="0"/>
          <w:numId w:val="10"/>
        </w:numPr>
        <w:spacing w:before="120" w:after="120"/>
        <w:ind w:left="567"/>
        <w:rPr>
          <w:rFonts w:cstheme="minorHAnsi"/>
          <w:i/>
        </w:rPr>
      </w:pPr>
      <w:r w:rsidRPr="00E43A12">
        <w:rPr>
          <w:rFonts w:cstheme="minorHAnsi"/>
          <w:i/>
        </w:rPr>
        <w:t>Metric: Examples of actions taken to minimise any unnecessary impacts of the Commission’s activities on applicants</w:t>
      </w:r>
    </w:p>
    <w:p w14:paraId="02BB9109" w14:textId="58EA698B" w:rsidR="003047BF" w:rsidRDefault="00B90B63" w:rsidP="004F6464">
      <w:pPr>
        <w:spacing w:after="0" w:line="240" w:lineRule="auto"/>
        <w:rPr>
          <w:rFonts w:cstheme="minorHAnsi"/>
          <w:sz w:val="22"/>
        </w:rPr>
      </w:pPr>
      <w:r>
        <w:rPr>
          <w:rFonts w:cstheme="minorHAnsi"/>
          <w:sz w:val="22"/>
        </w:rPr>
        <w:t xml:space="preserve">The </w:t>
      </w:r>
      <w:r w:rsidR="00E43A12" w:rsidRPr="00DC45D0">
        <w:rPr>
          <w:rFonts w:cstheme="minorHAnsi"/>
          <w:sz w:val="22"/>
        </w:rPr>
        <w:t xml:space="preserve">Commission takes action to minimise unnecessary regulatory impacts on applicants during the anti-dumping and countervailing application process by offering a series of services and </w:t>
      </w:r>
      <w:r w:rsidR="003047BF">
        <w:rPr>
          <w:rFonts w:cstheme="minorHAnsi"/>
          <w:sz w:val="22"/>
        </w:rPr>
        <w:t>some</w:t>
      </w:r>
      <w:r w:rsidR="00E43A12" w:rsidRPr="00DC45D0">
        <w:rPr>
          <w:rFonts w:cstheme="minorHAnsi"/>
          <w:sz w:val="22"/>
        </w:rPr>
        <w:t xml:space="preserve"> flexibility </w:t>
      </w:r>
      <w:r w:rsidR="003047BF">
        <w:rPr>
          <w:rFonts w:cstheme="minorHAnsi"/>
          <w:sz w:val="22"/>
        </w:rPr>
        <w:t>i</w:t>
      </w:r>
      <w:r w:rsidR="00E43A12" w:rsidRPr="00DC45D0">
        <w:rPr>
          <w:rFonts w:cstheme="minorHAnsi"/>
          <w:sz w:val="22"/>
        </w:rPr>
        <w:t xml:space="preserve">n how information is provided and presented. </w:t>
      </w:r>
    </w:p>
    <w:p w14:paraId="5063E855" w14:textId="77777777" w:rsidR="003047BF" w:rsidRDefault="003047BF" w:rsidP="004F6464">
      <w:pPr>
        <w:spacing w:after="0" w:line="240" w:lineRule="auto"/>
        <w:rPr>
          <w:rFonts w:cstheme="minorHAnsi"/>
          <w:sz w:val="22"/>
        </w:rPr>
      </w:pPr>
    </w:p>
    <w:p w14:paraId="53C10C9A" w14:textId="7A800FE2" w:rsidR="00A23B7A" w:rsidRDefault="00E43A12" w:rsidP="004F6464">
      <w:pPr>
        <w:spacing w:after="0" w:line="240" w:lineRule="auto"/>
        <w:rPr>
          <w:rFonts w:cstheme="minorHAnsi"/>
          <w:sz w:val="22"/>
        </w:rPr>
      </w:pPr>
      <w:r w:rsidRPr="00DC45D0">
        <w:rPr>
          <w:rFonts w:cstheme="minorHAnsi"/>
          <w:sz w:val="22"/>
        </w:rPr>
        <w:t xml:space="preserve">The Act requires that applications must be made in writing and in an approved form. The Commission acknowledges that the information required to </w:t>
      </w:r>
      <w:r w:rsidR="00B90B63">
        <w:rPr>
          <w:rFonts w:cstheme="minorHAnsi"/>
          <w:sz w:val="22"/>
        </w:rPr>
        <w:t xml:space="preserve">support </w:t>
      </w:r>
      <w:r w:rsidRPr="00DC45D0">
        <w:rPr>
          <w:rFonts w:cstheme="minorHAnsi"/>
          <w:sz w:val="22"/>
        </w:rPr>
        <w:t xml:space="preserve">an application can be onerous to </w:t>
      </w:r>
      <w:r w:rsidR="003047BF">
        <w:rPr>
          <w:rFonts w:cstheme="minorHAnsi"/>
          <w:sz w:val="22"/>
        </w:rPr>
        <w:t>obtain</w:t>
      </w:r>
      <w:r w:rsidR="005911D3">
        <w:rPr>
          <w:rFonts w:cstheme="minorHAnsi"/>
          <w:sz w:val="22"/>
        </w:rPr>
        <w:t>. However</w:t>
      </w:r>
      <w:r w:rsidR="00E97136">
        <w:rPr>
          <w:rFonts w:cstheme="minorHAnsi"/>
          <w:sz w:val="22"/>
        </w:rPr>
        <w:t xml:space="preserve">, </w:t>
      </w:r>
      <w:r w:rsidR="005911D3">
        <w:rPr>
          <w:rFonts w:cstheme="minorHAnsi"/>
          <w:sz w:val="22"/>
        </w:rPr>
        <w:t xml:space="preserve">this information is an important element of ensuring that the Commissioner’s decisions and recommendations to the Minister are </w:t>
      </w:r>
      <w:r w:rsidR="00E97136">
        <w:rPr>
          <w:rFonts w:cstheme="minorHAnsi"/>
          <w:sz w:val="22"/>
        </w:rPr>
        <w:t xml:space="preserve">evidence based, objective and factual </w:t>
      </w:r>
      <w:r w:rsidR="005911D3">
        <w:rPr>
          <w:rFonts w:cstheme="minorHAnsi"/>
          <w:sz w:val="22"/>
        </w:rPr>
        <w:t xml:space="preserve">in order </w:t>
      </w:r>
      <w:r w:rsidR="00E97136">
        <w:rPr>
          <w:rFonts w:cstheme="minorHAnsi"/>
          <w:sz w:val="22"/>
        </w:rPr>
        <w:t>to meet legislative requirements and to be consistent with international obligations</w:t>
      </w:r>
      <w:r w:rsidRPr="00DC45D0">
        <w:rPr>
          <w:rFonts w:cstheme="minorHAnsi"/>
          <w:sz w:val="22"/>
        </w:rPr>
        <w:t xml:space="preserve">. </w:t>
      </w:r>
      <w:r w:rsidR="00DD1C36">
        <w:rPr>
          <w:rFonts w:cstheme="minorHAnsi"/>
          <w:sz w:val="22"/>
        </w:rPr>
        <w:t xml:space="preserve">These requirements also assist to reduce the likelihood of an application being rejected due to insufficient information or evidence. </w:t>
      </w:r>
      <w:r w:rsidRPr="00DC45D0">
        <w:rPr>
          <w:rFonts w:cstheme="minorHAnsi"/>
          <w:sz w:val="22"/>
        </w:rPr>
        <w:t xml:space="preserve">To </w:t>
      </w:r>
      <w:r w:rsidR="003047BF">
        <w:rPr>
          <w:rFonts w:cstheme="minorHAnsi"/>
          <w:sz w:val="22"/>
        </w:rPr>
        <w:t>ensure the information requirements are clear</w:t>
      </w:r>
      <w:r w:rsidRPr="00DC45D0">
        <w:rPr>
          <w:rFonts w:cstheme="minorHAnsi"/>
          <w:sz w:val="22"/>
        </w:rPr>
        <w:t>, there is a compre</w:t>
      </w:r>
      <w:r w:rsidR="00AB0227">
        <w:rPr>
          <w:rFonts w:cstheme="minorHAnsi"/>
          <w:sz w:val="22"/>
        </w:rPr>
        <w:t>hensive set of guidelines on the Commission’s</w:t>
      </w:r>
      <w:r w:rsidRPr="00DC45D0">
        <w:rPr>
          <w:rFonts w:cstheme="minorHAnsi"/>
          <w:sz w:val="22"/>
        </w:rPr>
        <w:t xml:space="preserve"> website with instructions on how to complete an application. </w:t>
      </w:r>
    </w:p>
    <w:p w14:paraId="1FCC5E04" w14:textId="77777777" w:rsidR="0031688A" w:rsidRDefault="0031688A" w:rsidP="004F6464">
      <w:pPr>
        <w:spacing w:after="0" w:line="240" w:lineRule="auto"/>
        <w:rPr>
          <w:rFonts w:cstheme="minorHAnsi"/>
          <w:sz w:val="22"/>
        </w:rPr>
      </w:pPr>
    </w:p>
    <w:p w14:paraId="08C6599D" w14:textId="7D18AAA8" w:rsidR="008E2E86" w:rsidRDefault="009855C5" w:rsidP="004F6464">
      <w:pPr>
        <w:spacing w:after="0" w:line="240" w:lineRule="auto"/>
        <w:rPr>
          <w:sz w:val="22"/>
        </w:rPr>
      </w:pPr>
      <w:r>
        <w:rPr>
          <w:sz w:val="22"/>
        </w:rPr>
        <w:t>Furthermore, i</w:t>
      </w:r>
      <w:r w:rsidR="00A23B7A">
        <w:rPr>
          <w:sz w:val="22"/>
        </w:rPr>
        <w:t>n 2019-20, the Commission commenced a review of the application form and associated materials. Key priorities for the review include ensuring: purposive content that is not duplicative; clear and targeted questions, limiting the need for excessive guidance materials; consistency among documents and compliance with existing legislative requirements; and fit for purpose subsidy questions. The Commission plans to undertake consultations with stakeholders as part of this review in 2020-21.</w:t>
      </w:r>
    </w:p>
    <w:p w14:paraId="02B77E0D" w14:textId="77777777" w:rsidR="00A23B7A" w:rsidRDefault="00A23B7A" w:rsidP="004F6464">
      <w:pPr>
        <w:spacing w:after="0" w:line="240" w:lineRule="auto"/>
        <w:rPr>
          <w:rFonts w:cstheme="minorHAnsi"/>
          <w:sz w:val="22"/>
        </w:rPr>
      </w:pPr>
    </w:p>
    <w:p w14:paraId="7BB79928" w14:textId="714DA76F" w:rsidR="00E43A12" w:rsidRPr="00E43A12" w:rsidRDefault="00880C9F" w:rsidP="004F6464">
      <w:pPr>
        <w:spacing w:after="0" w:line="240" w:lineRule="auto"/>
        <w:rPr>
          <w:rFonts w:cstheme="minorHAnsi"/>
          <w:sz w:val="22"/>
        </w:rPr>
      </w:pPr>
      <w:r>
        <w:rPr>
          <w:rFonts w:cstheme="minorHAnsi"/>
          <w:sz w:val="22"/>
        </w:rPr>
        <w:t>In addition, in 201</w:t>
      </w:r>
      <w:r w:rsidR="00A23B7A">
        <w:rPr>
          <w:rFonts w:cstheme="minorHAnsi"/>
          <w:sz w:val="22"/>
        </w:rPr>
        <w:t>9</w:t>
      </w:r>
      <w:r>
        <w:rPr>
          <w:rFonts w:cstheme="minorHAnsi"/>
          <w:sz w:val="22"/>
        </w:rPr>
        <w:t>-</w:t>
      </w:r>
      <w:r w:rsidR="00A23B7A">
        <w:rPr>
          <w:rFonts w:cstheme="minorHAnsi"/>
          <w:sz w:val="22"/>
        </w:rPr>
        <w:t>20</w:t>
      </w:r>
      <w:r>
        <w:rPr>
          <w:rFonts w:cstheme="minorHAnsi"/>
          <w:sz w:val="22"/>
        </w:rPr>
        <w:t>, t</w:t>
      </w:r>
      <w:r w:rsidR="009D2AF4">
        <w:rPr>
          <w:rFonts w:cstheme="minorHAnsi"/>
          <w:sz w:val="22"/>
        </w:rPr>
        <w:t xml:space="preserve">he </w:t>
      </w:r>
      <w:r>
        <w:rPr>
          <w:rFonts w:cstheme="minorHAnsi"/>
          <w:sz w:val="22"/>
        </w:rPr>
        <w:t xml:space="preserve">Commission published a new guidance document for applicants seeking an </w:t>
      </w:r>
      <w:r w:rsidR="00A23B7A">
        <w:rPr>
          <w:rFonts w:cstheme="minorHAnsi"/>
          <w:sz w:val="22"/>
        </w:rPr>
        <w:t>anti-circumvention inquiry</w:t>
      </w:r>
      <w:r w:rsidR="009D2AF4">
        <w:rPr>
          <w:rFonts w:cstheme="minorHAnsi"/>
          <w:sz w:val="22"/>
        </w:rPr>
        <w:t xml:space="preserve">, and improved its </w:t>
      </w:r>
      <w:r w:rsidR="00BE6C28">
        <w:rPr>
          <w:rFonts w:cstheme="minorHAnsi"/>
          <w:sz w:val="22"/>
        </w:rPr>
        <w:t>E</w:t>
      </w:r>
      <w:r w:rsidR="009D2AF4">
        <w:rPr>
          <w:rFonts w:cstheme="minorHAnsi"/>
          <w:sz w:val="22"/>
        </w:rPr>
        <w:t xml:space="preserve">lectronic </w:t>
      </w:r>
      <w:r w:rsidR="00BE6C28">
        <w:rPr>
          <w:rFonts w:cstheme="minorHAnsi"/>
          <w:sz w:val="22"/>
        </w:rPr>
        <w:t>P</w:t>
      </w:r>
      <w:r w:rsidR="009D2AF4">
        <w:rPr>
          <w:rFonts w:cstheme="minorHAnsi"/>
          <w:sz w:val="22"/>
        </w:rPr>
        <w:t xml:space="preserve">ublic </w:t>
      </w:r>
      <w:r w:rsidR="00BE6C28">
        <w:rPr>
          <w:rFonts w:cstheme="minorHAnsi"/>
          <w:sz w:val="22"/>
        </w:rPr>
        <w:t>R</w:t>
      </w:r>
      <w:r w:rsidR="009D2AF4">
        <w:rPr>
          <w:rFonts w:cstheme="minorHAnsi"/>
          <w:sz w:val="22"/>
        </w:rPr>
        <w:t xml:space="preserve">ecord </w:t>
      </w:r>
      <w:r w:rsidR="00F63EA1">
        <w:rPr>
          <w:rFonts w:cstheme="minorHAnsi"/>
          <w:sz w:val="22"/>
        </w:rPr>
        <w:t xml:space="preserve">and dumping commodity register </w:t>
      </w:r>
      <w:r w:rsidR="009D2AF4">
        <w:rPr>
          <w:rFonts w:cstheme="minorHAnsi"/>
          <w:sz w:val="22"/>
        </w:rPr>
        <w:t>to make it easier for applicants and other interested parties to find relevant case documents</w:t>
      </w:r>
      <w:r>
        <w:rPr>
          <w:rFonts w:cstheme="minorHAnsi"/>
          <w:sz w:val="22"/>
        </w:rPr>
        <w:t>.</w:t>
      </w:r>
    </w:p>
    <w:p w14:paraId="7BB79929" w14:textId="77777777" w:rsidR="00E43A12" w:rsidRPr="00E43A12" w:rsidRDefault="00E43A12" w:rsidP="004F6464">
      <w:pPr>
        <w:spacing w:after="0" w:line="240" w:lineRule="auto"/>
        <w:rPr>
          <w:rFonts w:cstheme="minorHAnsi"/>
          <w:sz w:val="22"/>
        </w:rPr>
      </w:pPr>
    </w:p>
    <w:p w14:paraId="24651BCF" w14:textId="77777777" w:rsidR="000B772C" w:rsidRDefault="001500CD" w:rsidP="004F6464">
      <w:pPr>
        <w:spacing w:after="0" w:line="240" w:lineRule="auto"/>
        <w:rPr>
          <w:rFonts w:cstheme="minorHAnsi"/>
          <w:sz w:val="22"/>
        </w:rPr>
      </w:pPr>
      <w:r w:rsidRPr="001500CD">
        <w:rPr>
          <w:rFonts w:cstheme="minorHAnsi"/>
          <w:sz w:val="22"/>
        </w:rPr>
        <w:t xml:space="preserve">In </w:t>
      </w:r>
      <w:r w:rsidR="00EC5192">
        <w:rPr>
          <w:rFonts w:cstheme="minorHAnsi"/>
          <w:sz w:val="22"/>
        </w:rPr>
        <w:t>2019-20</w:t>
      </w:r>
      <w:r>
        <w:rPr>
          <w:rFonts w:cstheme="minorHAnsi"/>
          <w:sz w:val="22"/>
        </w:rPr>
        <w:t>,</w:t>
      </w:r>
      <w:r w:rsidRPr="001500CD">
        <w:rPr>
          <w:rFonts w:cstheme="minorHAnsi"/>
          <w:sz w:val="22"/>
        </w:rPr>
        <w:t xml:space="preserve"> the Commission conducted </w:t>
      </w:r>
      <w:r w:rsidR="002E005D">
        <w:rPr>
          <w:rFonts w:cstheme="minorHAnsi"/>
          <w:sz w:val="22"/>
        </w:rPr>
        <w:t>four</w:t>
      </w:r>
      <w:r w:rsidR="002E005D" w:rsidRPr="001500CD">
        <w:rPr>
          <w:rFonts w:cstheme="minorHAnsi"/>
          <w:sz w:val="22"/>
        </w:rPr>
        <w:t xml:space="preserve"> </w:t>
      </w:r>
      <w:r w:rsidRPr="001500CD">
        <w:rPr>
          <w:rFonts w:cstheme="minorHAnsi"/>
          <w:sz w:val="22"/>
        </w:rPr>
        <w:t>pre-lodgement checks</w:t>
      </w:r>
      <w:r>
        <w:rPr>
          <w:rFonts w:cstheme="minorHAnsi"/>
          <w:sz w:val="22"/>
        </w:rPr>
        <w:t xml:space="preserve">. A </w:t>
      </w:r>
      <w:r w:rsidR="00E43A12" w:rsidRPr="001500CD">
        <w:rPr>
          <w:rFonts w:cstheme="minorHAnsi"/>
          <w:sz w:val="22"/>
        </w:rPr>
        <w:t xml:space="preserve">pre-lodgement check </w:t>
      </w:r>
      <w:r w:rsidR="003047BF" w:rsidRPr="001500CD">
        <w:rPr>
          <w:rFonts w:cstheme="minorHAnsi"/>
          <w:sz w:val="22"/>
        </w:rPr>
        <w:t>of</w:t>
      </w:r>
      <w:r w:rsidR="00E43A12" w:rsidRPr="001500CD">
        <w:rPr>
          <w:rFonts w:cstheme="minorHAnsi"/>
          <w:sz w:val="22"/>
        </w:rPr>
        <w:t xml:space="preserve"> applications </w:t>
      </w:r>
      <w:r>
        <w:rPr>
          <w:rFonts w:cstheme="minorHAnsi"/>
          <w:sz w:val="22"/>
        </w:rPr>
        <w:t xml:space="preserve">is offered to all applicants </w:t>
      </w:r>
      <w:r w:rsidR="00E43A12" w:rsidRPr="001500CD">
        <w:rPr>
          <w:rFonts w:cstheme="minorHAnsi"/>
          <w:sz w:val="22"/>
        </w:rPr>
        <w:t>prior t</w:t>
      </w:r>
      <w:r w:rsidR="00CE5B9C" w:rsidRPr="001500CD">
        <w:rPr>
          <w:rFonts w:cstheme="minorHAnsi"/>
          <w:sz w:val="22"/>
        </w:rPr>
        <w:t>o</w:t>
      </w:r>
      <w:r w:rsidR="00E43A12" w:rsidRPr="001500CD">
        <w:rPr>
          <w:rFonts w:cstheme="minorHAnsi"/>
          <w:sz w:val="22"/>
        </w:rPr>
        <w:t xml:space="preserve"> lodge</w:t>
      </w:r>
      <w:r w:rsidR="003047BF" w:rsidRPr="001500CD">
        <w:rPr>
          <w:rFonts w:cstheme="minorHAnsi"/>
          <w:sz w:val="22"/>
        </w:rPr>
        <w:t>ment</w:t>
      </w:r>
      <w:r w:rsidR="00E43A12" w:rsidRPr="001500CD">
        <w:rPr>
          <w:rFonts w:cstheme="minorHAnsi"/>
          <w:sz w:val="22"/>
        </w:rPr>
        <w:t xml:space="preserve">. Working with the applicant, the Commission will provide detailed </w:t>
      </w:r>
      <w:r w:rsidR="003047BF" w:rsidRPr="001500CD">
        <w:rPr>
          <w:rFonts w:cstheme="minorHAnsi"/>
          <w:sz w:val="22"/>
        </w:rPr>
        <w:t xml:space="preserve">advice </w:t>
      </w:r>
      <w:r w:rsidR="00E43A12" w:rsidRPr="001500CD">
        <w:rPr>
          <w:rFonts w:cstheme="minorHAnsi"/>
          <w:sz w:val="22"/>
        </w:rPr>
        <w:t>on what is required to best support the application</w:t>
      </w:r>
      <w:r w:rsidRPr="001500CD">
        <w:rPr>
          <w:rFonts w:cstheme="minorHAnsi"/>
          <w:sz w:val="22"/>
        </w:rPr>
        <w:t xml:space="preserve">. </w:t>
      </w:r>
      <w:r w:rsidR="00E43A12" w:rsidRPr="001500CD">
        <w:rPr>
          <w:rFonts w:cstheme="minorHAnsi"/>
          <w:sz w:val="22"/>
        </w:rPr>
        <w:t xml:space="preserve">A pre-lodgement check can take anywhere between two and </w:t>
      </w:r>
      <w:r w:rsidR="00371438">
        <w:rPr>
          <w:rFonts w:cstheme="minorHAnsi"/>
          <w:sz w:val="22"/>
        </w:rPr>
        <w:t>ten</w:t>
      </w:r>
      <w:r w:rsidR="00E43A12" w:rsidRPr="001500CD">
        <w:rPr>
          <w:rFonts w:cstheme="minorHAnsi"/>
          <w:sz w:val="22"/>
        </w:rPr>
        <w:t xml:space="preserve"> days to complete depending on the comple</w:t>
      </w:r>
      <w:r w:rsidR="00783E50" w:rsidRPr="001500CD">
        <w:rPr>
          <w:rFonts w:cstheme="minorHAnsi"/>
          <w:sz w:val="22"/>
        </w:rPr>
        <w:t>xity of the application.</w:t>
      </w:r>
    </w:p>
    <w:p w14:paraId="7BB7992A" w14:textId="4B1D5372" w:rsidR="00E43A12" w:rsidRDefault="00E43A12" w:rsidP="004F6464">
      <w:pPr>
        <w:spacing w:after="0" w:line="240" w:lineRule="auto"/>
        <w:rPr>
          <w:rFonts w:cstheme="minorHAnsi"/>
          <w:sz w:val="22"/>
        </w:rPr>
      </w:pPr>
    </w:p>
    <w:p w14:paraId="7BB7992B" w14:textId="77777777" w:rsidR="00E43A12" w:rsidRPr="00E43A12" w:rsidRDefault="00E43A12" w:rsidP="00065F55">
      <w:pPr>
        <w:rPr>
          <w:rFonts w:cstheme="minorHAnsi"/>
          <w:b/>
          <w:sz w:val="22"/>
        </w:rPr>
      </w:pPr>
      <w:r w:rsidRPr="00E43A12">
        <w:rPr>
          <w:rFonts w:cstheme="minorHAnsi"/>
          <w:b/>
          <w:sz w:val="22"/>
        </w:rPr>
        <w:t>Measure: Demonstrated efforts to learn from experiences and better practices from equivalent international organisations and other Anti-Dumping administrations to improve administrative efficiencies.</w:t>
      </w:r>
    </w:p>
    <w:p w14:paraId="7BB7992C" w14:textId="77777777" w:rsidR="00E43A12" w:rsidRPr="00E43A12" w:rsidRDefault="00E43A12" w:rsidP="00065F55">
      <w:pPr>
        <w:pStyle w:val="ListParagraph"/>
        <w:numPr>
          <w:ilvl w:val="0"/>
          <w:numId w:val="9"/>
        </w:numPr>
        <w:spacing w:before="120" w:after="120"/>
        <w:ind w:left="567"/>
        <w:rPr>
          <w:rFonts w:cstheme="minorHAnsi"/>
          <w:i/>
        </w:rPr>
      </w:pPr>
      <w:r w:rsidRPr="00E43A12">
        <w:rPr>
          <w:rFonts w:cstheme="minorHAnsi"/>
          <w:i/>
        </w:rPr>
        <w:t>Metric: Implementation of the Commission’s International Engagement Plan</w:t>
      </w:r>
    </w:p>
    <w:p w14:paraId="13FC5F81" w14:textId="77777777" w:rsidR="000E4A2C" w:rsidRPr="00E43A12" w:rsidRDefault="000E4A2C" w:rsidP="00065F55">
      <w:pPr>
        <w:pStyle w:val="ListParagraph"/>
        <w:numPr>
          <w:ilvl w:val="0"/>
          <w:numId w:val="9"/>
        </w:numPr>
        <w:spacing w:before="120" w:after="120"/>
        <w:ind w:left="567"/>
        <w:rPr>
          <w:rFonts w:cstheme="minorHAnsi"/>
          <w:i/>
        </w:rPr>
      </w:pPr>
      <w:r w:rsidRPr="00E43A12">
        <w:rPr>
          <w:rFonts w:cstheme="minorHAnsi"/>
          <w:i/>
        </w:rPr>
        <w:t xml:space="preserve">Metric: Use of technical exchanges and knowledge sharing with comparable jurisdictions </w:t>
      </w:r>
    </w:p>
    <w:p w14:paraId="16BF51A6" w14:textId="0FAAE66F" w:rsidR="00065F55" w:rsidRDefault="000E4A2C">
      <w:pPr>
        <w:spacing w:after="0" w:line="240" w:lineRule="auto"/>
        <w:rPr>
          <w:rFonts w:cstheme="minorHAnsi"/>
        </w:rPr>
      </w:pPr>
      <w:r w:rsidRPr="000E4A2C">
        <w:rPr>
          <w:rFonts w:cstheme="minorHAnsi"/>
          <w:sz w:val="22"/>
        </w:rPr>
        <w:t>The Commission recognises how important it is to</w:t>
      </w:r>
      <w:r w:rsidR="0040015C">
        <w:rPr>
          <w:rFonts w:cstheme="minorHAnsi"/>
          <w:sz w:val="22"/>
        </w:rPr>
        <w:t xml:space="preserve"> </w:t>
      </w:r>
      <w:r w:rsidRPr="000E4A2C">
        <w:rPr>
          <w:rFonts w:cstheme="minorHAnsi"/>
          <w:sz w:val="22"/>
        </w:rPr>
        <w:t xml:space="preserve">learn from the experiences and better practices of </w:t>
      </w:r>
      <w:r w:rsidR="0040015C">
        <w:rPr>
          <w:rFonts w:cstheme="minorHAnsi"/>
          <w:sz w:val="22"/>
        </w:rPr>
        <w:t>other comparable</w:t>
      </w:r>
      <w:r w:rsidRPr="000E4A2C">
        <w:rPr>
          <w:rFonts w:cstheme="minorHAnsi"/>
          <w:sz w:val="22"/>
        </w:rPr>
        <w:t xml:space="preserve"> jurisdictions. </w:t>
      </w:r>
      <w:r w:rsidR="00A94458">
        <w:rPr>
          <w:rFonts w:cstheme="minorHAnsi"/>
          <w:sz w:val="22"/>
        </w:rPr>
        <w:t>As a key component of the</w:t>
      </w:r>
      <w:r w:rsidR="00E43A12" w:rsidRPr="000E4A2C">
        <w:rPr>
          <w:rFonts w:cstheme="minorHAnsi"/>
          <w:sz w:val="22"/>
        </w:rPr>
        <w:t xml:space="preserve"> International Engagement Plan, the Commission met Australia’s international trade obligations by </w:t>
      </w:r>
      <w:r w:rsidR="00A15B95">
        <w:rPr>
          <w:rFonts w:cstheme="minorHAnsi"/>
          <w:sz w:val="22"/>
        </w:rPr>
        <w:t>participating in</w:t>
      </w:r>
      <w:r w:rsidR="00A15B95" w:rsidRPr="000E4A2C">
        <w:rPr>
          <w:rFonts w:cstheme="minorHAnsi"/>
          <w:sz w:val="22"/>
        </w:rPr>
        <w:t xml:space="preserve"> </w:t>
      </w:r>
      <w:r w:rsidR="00A00552" w:rsidRPr="00912918">
        <w:rPr>
          <w:rFonts w:cstheme="minorHAnsi"/>
          <w:sz w:val="22"/>
        </w:rPr>
        <w:t xml:space="preserve">the </w:t>
      </w:r>
      <w:r w:rsidR="009855C5">
        <w:rPr>
          <w:rFonts w:cstheme="minorHAnsi"/>
          <w:sz w:val="22"/>
        </w:rPr>
        <w:t>November 2019</w:t>
      </w:r>
      <w:r w:rsidR="00E43A12" w:rsidRPr="00912918">
        <w:rPr>
          <w:rFonts w:cstheme="minorHAnsi"/>
          <w:sz w:val="22"/>
        </w:rPr>
        <w:t xml:space="preserve"> meetings of the WTO Anti-Dumping Practices Committee and the Subsidies and Countervailing</w:t>
      </w:r>
      <w:r w:rsidR="00E43A12" w:rsidRPr="000E4A2C">
        <w:rPr>
          <w:rFonts w:cstheme="minorHAnsi"/>
          <w:sz w:val="22"/>
        </w:rPr>
        <w:t xml:space="preserve"> Measures Committee with the Department of Foreign Affairs and Trade</w:t>
      </w:r>
      <w:r w:rsidR="005E3B8C">
        <w:rPr>
          <w:rFonts w:cstheme="minorHAnsi"/>
          <w:sz w:val="22"/>
        </w:rPr>
        <w:t xml:space="preserve"> (DFAT)</w:t>
      </w:r>
      <w:r w:rsidR="00E43A12" w:rsidRPr="000E4A2C">
        <w:rPr>
          <w:rFonts w:cstheme="minorHAnsi"/>
          <w:sz w:val="22"/>
        </w:rPr>
        <w:t xml:space="preserve">. These meetings help to ensure that </w:t>
      </w:r>
      <w:r w:rsidR="0040015C">
        <w:rPr>
          <w:rFonts w:cstheme="minorHAnsi"/>
          <w:sz w:val="22"/>
        </w:rPr>
        <w:t xml:space="preserve">the Commission is aware of trends and issues in trade remedies practices internationally. It also ensures </w:t>
      </w:r>
      <w:r w:rsidR="00E43A12" w:rsidRPr="000E4A2C">
        <w:rPr>
          <w:rFonts w:cstheme="minorHAnsi"/>
          <w:sz w:val="22"/>
        </w:rPr>
        <w:t xml:space="preserve">Australia’s anti-dumping system is consistent with the </w:t>
      </w:r>
      <w:r w:rsidR="00600A35">
        <w:rPr>
          <w:rFonts w:cstheme="minorHAnsi"/>
          <w:sz w:val="22"/>
        </w:rPr>
        <w:t xml:space="preserve">relevant </w:t>
      </w:r>
      <w:r w:rsidR="00EB214B">
        <w:rPr>
          <w:rFonts w:cstheme="minorHAnsi"/>
          <w:sz w:val="22"/>
        </w:rPr>
        <w:t>WTO</w:t>
      </w:r>
      <w:r w:rsidR="00E43A12" w:rsidRPr="000E4A2C">
        <w:rPr>
          <w:rFonts w:cstheme="minorHAnsi"/>
          <w:sz w:val="22"/>
        </w:rPr>
        <w:t xml:space="preserve"> </w:t>
      </w:r>
      <w:r w:rsidR="00EB214B">
        <w:rPr>
          <w:rFonts w:cstheme="minorHAnsi"/>
          <w:sz w:val="22"/>
        </w:rPr>
        <w:t>a</w:t>
      </w:r>
      <w:r w:rsidR="00600A35">
        <w:rPr>
          <w:rFonts w:cstheme="minorHAnsi"/>
          <w:sz w:val="22"/>
        </w:rPr>
        <w:t>greements</w:t>
      </w:r>
      <w:r w:rsidR="00E43A12" w:rsidRPr="000E4A2C">
        <w:rPr>
          <w:rFonts w:cstheme="minorHAnsi"/>
          <w:sz w:val="22"/>
        </w:rPr>
        <w:t>.</w:t>
      </w:r>
    </w:p>
    <w:p w14:paraId="19BA3B63" w14:textId="77777777" w:rsidR="00065F55" w:rsidRDefault="00065F55">
      <w:pPr>
        <w:spacing w:after="0" w:line="240" w:lineRule="auto"/>
        <w:rPr>
          <w:rFonts w:cstheme="minorHAnsi"/>
        </w:rPr>
      </w:pPr>
    </w:p>
    <w:p w14:paraId="6C37BA1A" w14:textId="61C4551A" w:rsidR="000E4A2C" w:rsidRPr="0015234A" w:rsidRDefault="000E4A2C">
      <w:pPr>
        <w:spacing w:after="0" w:line="240" w:lineRule="auto"/>
        <w:rPr>
          <w:rFonts w:cstheme="minorHAnsi"/>
        </w:rPr>
      </w:pPr>
      <w:r w:rsidRPr="000E4A2C">
        <w:rPr>
          <w:rFonts w:cstheme="minorHAnsi"/>
          <w:sz w:val="22"/>
        </w:rPr>
        <w:t xml:space="preserve">The Commissioner and Commission staff </w:t>
      </w:r>
      <w:r>
        <w:rPr>
          <w:rFonts w:cstheme="minorHAnsi"/>
          <w:sz w:val="22"/>
        </w:rPr>
        <w:t xml:space="preserve">also </w:t>
      </w:r>
      <w:r w:rsidRPr="000E4A2C">
        <w:rPr>
          <w:rFonts w:cstheme="minorHAnsi"/>
          <w:sz w:val="22"/>
        </w:rPr>
        <w:t xml:space="preserve">attended a number of international trade </w:t>
      </w:r>
      <w:r w:rsidR="003A29E7">
        <w:rPr>
          <w:rFonts w:cstheme="minorHAnsi"/>
          <w:sz w:val="22"/>
        </w:rPr>
        <w:t xml:space="preserve">remedies </w:t>
      </w:r>
      <w:r w:rsidRPr="000E4A2C">
        <w:rPr>
          <w:rFonts w:cstheme="minorHAnsi"/>
          <w:sz w:val="22"/>
        </w:rPr>
        <w:t xml:space="preserve">forums </w:t>
      </w:r>
      <w:r>
        <w:rPr>
          <w:rFonts w:cstheme="minorHAnsi"/>
          <w:sz w:val="22"/>
        </w:rPr>
        <w:t>in 20</w:t>
      </w:r>
      <w:r w:rsidR="009855C5">
        <w:rPr>
          <w:rFonts w:cstheme="minorHAnsi"/>
          <w:sz w:val="22"/>
        </w:rPr>
        <w:t>19-20</w:t>
      </w:r>
      <w:r w:rsidRPr="000E4A2C">
        <w:rPr>
          <w:rFonts w:cstheme="minorHAnsi"/>
          <w:sz w:val="22"/>
        </w:rPr>
        <w:t xml:space="preserve">, including the International Trade </w:t>
      </w:r>
      <w:r w:rsidR="001D1D95">
        <w:rPr>
          <w:rFonts w:cstheme="minorHAnsi"/>
          <w:sz w:val="22"/>
        </w:rPr>
        <w:t xml:space="preserve">Update </w:t>
      </w:r>
      <w:r w:rsidRPr="000E4A2C">
        <w:rPr>
          <w:rFonts w:cstheme="minorHAnsi"/>
          <w:sz w:val="22"/>
        </w:rPr>
        <w:t xml:space="preserve">in </w:t>
      </w:r>
      <w:r w:rsidR="001D1D95">
        <w:rPr>
          <w:rFonts w:cstheme="minorHAnsi"/>
          <w:sz w:val="22"/>
        </w:rPr>
        <w:t>Washington</w:t>
      </w:r>
      <w:r w:rsidR="009855C5">
        <w:rPr>
          <w:rFonts w:cstheme="minorHAnsi"/>
          <w:sz w:val="22"/>
        </w:rPr>
        <w:t xml:space="preserve"> </w:t>
      </w:r>
      <w:r w:rsidR="00F63EA1">
        <w:rPr>
          <w:rFonts w:cstheme="minorHAnsi"/>
          <w:sz w:val="22"/>
        </w:rPr>
        <w:t xml:space="preserve">and </w:t>
      </w:r>
      <w:r>
        <w:rPr>
          <w:rFonts w:cstheme="minorHAnsi"/>
          <w:sz w:val="22"/>
        </w:rPr>
        <w:t xml:space="preserve">the </w:t>
      </w:r>
      <w:r w:rsidR="001D1D95">
        <w:rPr>
          <w:rFonts w:cstheme="minorHAnsi"/>
          <w:sz w:val="22"/>
        </w:rPr>
        <w:t>Seminar</w:t>
      </w:r>
      <w:r>
        <w:rPr>
          <w:rFonts w:cstheme="minorHAnsi"/>
          <w:sz w:val="22"/>
        </w:rPr>
        <w:t xml:space="preserve"> on Trade Remedies </w:t>
      </w:r>
      <w:r w:rsidR="001D1D95">
        <w:rPr>
          <w:rFonts w:cstheme="minorHAnsi"/>
          <w:sz w:val="22"/>
        </w:rPr>
        <w:t>Investigations in To</w:t>
      </w:r>
      <w:r w:rsidR="00CC5186">
        <w:rPr>
          <w:rFonts w:cstheme="minorHAnsi"/>
          <w:sz w:val="22"/>
        </w:rPr>
        <w:t>k</w:t>
      </w:r>
      <w:r w:rsidR="001D1D95">
        <w:rPr>
          <w:rFonts w:cstheme="minorHAnsi"/>
          <w:sz w:val="22"/>
        </w:rPr>
        <w:t>yo</w:t>
      </w:r>
      <w:r>
        <w:rPr>
          <w:rFonts w:cstheme="minorHAnsi"/>
          <w:sz w:val="22"/>
        </w:rPr>
        <w:t xml:space="preserve">. </w:t>
      </w:r>
    </w:p>
    <w:p w14:paraId="7BB7992D" w14:textId="5C013F39" w:rsidR="00E43A12" w:rsidRPr="00E43A12" w:rsidRDefault="00E43A12" w:rsidP="004F6464">
      <w:pPr>
        <w:spacing w:after="0" w:line="240" w:lineRule="auto"/>
        <w:rPr>
          <w:rFonts w:cstheme="minorHAnsi"/>
          <w:sz w:val="22"/>
        </w:rPr>
      </w:pPr>
    </w:p>
    <w:p w14:paraId="7BB79931" w14:textId="25E84F0F" w:rsidR="00E43A12" w:rsidRPr="00E43A12" w:rsidRDefault="00A00552" w:rsidP="003506B5">
      <w:pPr>
        <w:spacing w:after="0" w:line="240" w:lineRule="auto"/>
        <w:rPr>
          <w:rFonts w:cstheme="minorHAnsi"/>
          <w:sz w:val="22"/>
        </w:rPr>
      </w:pPr>
      <w:r>
        <w:rPr>
          <w:rFonts w:cstheme="minorHAnsi"/>
          <w:sz w:val="22"/>
        </w:rPr>
        <w:t xml:space="preserve">In </w:t>
      </w:r>
      <w:r w:rsidR="00856CE7">
        <w:rPr>
          <w:rFonts w:cstheme="minorHAnsi"/>
          <w:sz w:val="22"/>
        </w:rPr>
        <w:t xml:space="preserve">addition to </w:t>
      </w:r>
      <w:r>
        <w:rPr>
          <w:rFonts w:cstheme="minorHAnsi"/>
          <w:sz w:val="22"/>
        </w:rPr>
        <w:t>the</w:t>
      </w:r>
      <w:r w:rsidR="00856CE7">
        <w:rPr>
          <w:rFonts w:cstheme="minorHAnsi"/>
          <w:sz w:val="22"/>
        </w:rPr>
        <w:t xml:space="preserve">se events, </w:t>
      </w:r>
      <w:r w:rsidR="0015234A">
        <w:rPr>
          <w:rFonts w:cstheme="minorHAnsi"/>
          <w:sz w:val="22"/>
        </w:rPr>
        <w:t>t</w:t>
      </w:r>
      <w:r w:rsidR="00E43A12" w:rsidRPr="00E43A12">
        <w:rPr>
          <w:rFonts w:cstheme="minorHAnsi"/>
          <w:sz w:val="22"/>
        </w:rPr>
        <w:t xml:space="preserve">he Commission </w:t>
      </w:r>
      <w:r w:rsidRPr="00E43A12">
        <w:rPr>
          <w:rFonts w:cstheme="minorHAnsi"/>
          <w:sz w:val="22"/>
        </w:rPr>
        <w:t>participate</w:t>
      </w:r>
      <w:r>
        <w:rPr>
          <w:rFonts w:cstheme="minorHAnsi"/>
          <w:sz w:val="22"/>
        </w:rPr>
        <w:t>d</w:t>
      </w:r>
      <w:r w:rsidRPr="00E43A12">
        <w:rPr>
          <w:rFonts w:cstheme="minorHAnsi"/>
          <w:sz w:val="22"/>
        </w:rPr>
        <w:t xml:space="preserve"> </w:t>
      </w:r>
      <w:r w:rsidR="00E43A12" w:rsidRPr="00E43A12">
        <w:rPr>
          <w:rFonts w:cstheme="minorHAnsi"/>
          <w:sz w:val="22"/>
        </w:rPr>
        <w:t xml:space="preserve">in bilateral </w:t>
      </w:r>
      <w:r w:rsidR="003A29E7">
        <w:rPr>
          <w:rFonts w:cstheme="minorHAnsi"/>
          <w:sz w:val="22"/>
        </w:rPr>
        <w:t>exchanges</w:t>
      </w:r>
      <w:r w:rsidR="00856CE7">
        <w:rPr>
          <w:rFonts w:cstheme="minorHAnsi"/>
          <w:sz w:val="22"/>
        </w:rPr>
        <w:t xml:space="preserve"> </w:t>
      </w:r>
      <w:r w:rsidR="00E43A12" w:rsidRPr="00E43A12">
        <w:rPr>
          <w:rFonts w:cstheme="minorHAnsi"/>
          <w:sz w:val="22"/>
        </w:rPr>
        <w:t xml:space="preserve">with </w:t>
      </w:r>
      <w:r w:rsidR="005F21F1">
        <w:rPr>
          <w:rFonts w:cstheme="minorHAnsi"/>
          <w:sz w:val="22"/>
        </w:rPr>
        <w:t>six</w:t>
      </w:r>
      <w:r w:rsidR="005652B9">
        <w:rPr>
          <w:rFonts w:cstheme="minorHAnsi"/>
          <w:sz w:val="22"/>
        </w:rPr>
        <w:t xml:space="preserve"> </w:t>
      </w:r>
      <w:r w:rsidR="00E43A12" w:rsidRPr="00E43A12">
        <w:rPr>
          <w:rFonts w:cstheme="minorHAnsi"/>
          <w:sz w:val="22"/>
        </w:rPr>
        <w:t xml:space="preserve">other </w:t>
      </w:r>
      <w:r w:rsidR="00856CE7">
        <w:rPr>
          <w:rFonts w:cstheme="minorHAnsi"/>
          <w:sz w:val="22"/>
        </w:rPr>
        <w:t xml:space="preserve">anti-dumping </w:t>
      </w:r>
      <w:r w:rsidR="00E43A12" w:rsidRPr="00E43A12">
        <w:rPr>
          <w:rFonts w:cstheme="minorHAnsi"/>
          <w:sz w:val="22"/>
        </w:rPr>
        <w:t>jurisdictions</w:t>
      </w:r>
      <w:r w:rsidR="0015234A">
        <w:rPr>
          <w:rFonts w:cstheme="minorHAnsi"/>
          <w:sz w:val="22"/>
        </w:rPr>
        <w:t xml:space="preserve"> to </w:t>
      </w:r>
      <w:r w:rsidR="003A29E7">
        <w:rPr>
          <w:rFonts w:cstheme="minorHAnsi"/>
          <w:sz w:val="22"/>
        </w:rPr>
        <w:t xml:space="preserve">share </w:t>
      </w:r>
      <w:r w:rsidR="0015234A">
        <w:rPr>
          <w:rFonts w:cstheme="minorHAnsi"/>
          <w:sz w:val="22"/>
        </w:rPr>
        <w:t>information on best practice</w:t>
      </w:r>
      <w:r w:rsidR="00E43A12" w:rsidRPr="00E43A12">
        <w:rPr>
          <w:rFonts w:cstheme="minorHAnsi"/>
          <w:sz w:val="22"/>
        </w:rPr>
        <w:t>.</w:t>
      </w:r>
      <w:r w:rsidR="000A635B">
        <w:rPr>
          <w:rFonts w:cstheme="minorHAnsi"/>
          <w:sz w:val="22"/>
        </w:rPr>
        <w:t xml:space="preserve"> These included virtual </w:t>
      </w:r>
      <w:r w:rsidR="00B56FD0">
        <w:rPr>
          <w:rFonts w:cstheme="minorHAnsi"/>
          <w:sz w:val="22"/>
        </w:rPr>
        <w:t>workshops</w:t>
      </w:r>
      <w:r w:rsidR="000A635B">
        <w:rPr>
          <w:rFonts w:cstheme="minorHAnsi"/>
          <w:sz w:val="22"/>
        </w:rPr>
        <w:t xml:space="preserve"> with the Canada Border Services Agency to share information about our respective systems and practices, </w:t>
      </w:r>
      <w:r w:rsidR="00B56FD0">
        <w:rPr>
          <w:rFonts w:cstheme="minorHAnsi"/>
          <w:sz w:val="22"/>
        </w:rPr>
        <w:t xml:space="preserve">exchanges with the new UK authority on investigative systems and processes, and a visit to New Zealand for discussions with their investigative authority. </w:t>
      </w:r>
    </w:p>
    <w:p w14:paraId="7BB79936" w14:textId="77777777" w:rsidR="00E43A12" w:rsidRPr="00E43A12" w:rsidRDefault="00E43A12" w:rsidP="003647CA">
      <w:pPr>
        <w:spacing w:after="0" w:line="240" w:lineRule="auto"/>
        <w:rPr>
          <w:rFonts w:cstheme="minorHAnsi"/>
          <w:sz w:val="22"/>
        </w:rPr>
      </w:pPr>
    </w:p>
    <w:p w14:paraId="7BB79937" w14:textId="77777777" w:rsidR="00E43A12" w:rsidRPr="009914D0" w:rsidRDefault="00E43A12" w:rsidP="004F6464">
      <w:pPr>
        <w:spacing w:line="240" w:lineRule="auto"/>
        <w:rPr>
          <w:b/>
          <w:color w:val="2D2D2E"/>
          <w:sz w:val="22"/>
        </w:rPr>
      </w:pPr>
      <w:r w:rsidRPr="009914D0">
        <w:rPr>
          <w:b/>
          <w:color w:val="2D2D2E"/>
          <w:sz w:val="22"/>
        </w:rPr>
        <w:t>Discussion KPI 1</w:t>
      </w:r>
    </w:p>
    <w:p w14:paraId="624428BB" w14:textId="55DDB4A5" w:rsidR="00DE4134" w:rsidRDefault="00BC4872" w:rsidP="00E43A12">
      <w:pPr>
        <w:spacing w:after="0" w:line="240" w:lineRule="auto"/>
        <w:rPr>
          <w:rFonts w:cstheme="minorHAnsi"/>
          <w:sz w:val="22"/>
        </w:rPr>
      </w:pPr>
      <w:r>
        <w:rPr>
          <w:rFonts w:cstheme="minorHAnsi"/>
          <w:sz w:val="22"/>
        </w:rPr>
        <w:t>The Commission notes the generally positive feedback from ITRF members in the survey responses.</w:t>
      </w:r>
      <w:r w:rsidR="00DE4134">
        <w:rPr>
          <w:rFonts w:cstheme="minorHAnsi"/>
          <w:sz w:val="22"/>
        </w:rPr>
        <w:t xml:space="preserve"> </w:t>
      </w:r>
      <w:r>
        <w:rPr>
          <w:rFonts w:cstheme="minorHAnsi"/>
          <w:sz w:val="22"/>
        </w:rPr>
        <w:t>Based on the survey feedback,</w:t>
      </w:r>
      <w:r w:rsidR="00E43A12" w:rsidRPr="00907192">
        <w:rPr>
          <w:rFonts w:cstheme="minorHAnsi"/>
          <w:sz w:val="22"/>
        </w:rPr>
        <w:t xml:space="preserve"> the Commission will focus on </w:t>
      </w:r>
      <w:r w:rsidR="00AB0227">
        <w:rPr>
          <w:rFonts w:cstheme="minorHAnsi"/>
          <w:sz w:val="22"/>
        </w:rPr>
        <w:t xml:space="preserve">continuing to </w:t>
      </w:r>
      <w:r w:rsidR="00783FE6">
        <w:rPr>
          <w:rFonts w:cstheme="minorHAnsi"/>
          <w:sz w:val="22"/>
        </w:rPr>
        <w:t>strengthen its understanding o</w:t>
      </w:r>
      <w:r w:rsidR="00875BFE">
        <w:rPr>
          <w:rFonts w:cstheme="minorHAnsi"/>
          <w:sz w:val="22"/>
        </w:rPr>
        <w:t>f</w:t>
      </w:r>
      <w:r w:rsidR="00783FE6">
        <w:rPr>
          <w:rFonts w:cstheme="minorHAnsi"/>
          <w:sz w:val="22"/>
        </w:rPr>
        <w:t xml:space="preserve"> relevant industry sectors </w:t>
      </w:r>
      <w:r w:rsidR="00305BF3">
        <w:rPr>
          <w:rFonts w:cstheme="minorHAnsi"/>
          <w:sz w:val="22"/>
        </w:rPr>
        <w:t xml:space="preserve">and </w:t>
      </w:r>
      <w:r w:rsidR="00875BFE">
        <w:rPr>
          <w:rFonts w:cstheme="minorHAnsi"/>
          <w:sz w:val="22"/>
        </w:rPr>
        <w:t xml:space="preserve">how to </w:t>
      </w:r>
      <w:r w:rsidR="00DE1F42">
        <w:rPr>
          <w:rFonts w:cstheme="minorHAnsi"/>
          <w:sz w:val="22"/>
        </w:rPr>
        <w:t>effectively explain the evidence base and approach used in investigations</w:t>
      </w:r>
      <w:r w:rsidR="009251D7" w:rsidRPr="00907192">
        <w:rPr>
          <w:rFonts w:cstheme="minorHAnsi"/>
          <w:sz w:val="22"/>
        </w:rPr>
        <w:t>.</w:t>
      </w:r>
      <w:r w:rsidR="00E43A12" w:rsidRPr="00E43A12">
        <w:rPr>
          <w:rFonts w:cstheme="minorHAnsi"/>
          <w:sz w:val="22"/>
        </w:rPr>
        <w:t xml:space="preserve"> </w:t>
      </w:r>
    </w:p>
    <w:p w14:paraId="5B5406A9" w14:textId="77777777" w:rsidR="00DE4134" w:rsidRDefault="00DE4134" w:rsidP="00E43A12">
      <w:pPr>
        <w:spacing w:after="0" w:line="240" w:lineRule="auto"/>
        <w:rPr>
          <w:rFonts w:cstheme="minorHAnsi"/>
          <w:sz w:val="22"/>
        </w:rPr>
      </w:pPr>
    </w:p>
    <w:p w14:paraId="7BB79938" w14:textId="47AAC5EF" w:rsidR="00E43A12" w:rsidRPr="00E43A12" w:rsidRDefault="00E43A12" w:rsidP="00E43A12">
      <w:pPr>
        <w:spacing w:after="0" w:line="240" w:lineRule="auto"/>
        <w:rPr>
          <w:rFonts w:cstheme="minorHAnsi"/>
          <w:sz w:val="22"/>
        </w:rPr>
      </w:pPr>
      <w:r w:rsidRPr="00E43A12">
        <w:rPr>
          <w:rFonts w:cstheme="minorHAnsi"/>
          <w:sz w:val="22"/>
        </w:rPr>
        <w:t xml:space="preserve">The Commission </w:t>
      </w:r>
      <w:r w:rsidR="007747E3">
        <w:rPr>
          <w:rFonts w:cstheme="minorHAnsi"/>
          <w:sz w:val="22"/>
        </w:rPr>
        <w:t xml:space="preserve">seeks to explain the approach used in investigations in a number of ways. </w:t>
      </w:r>
      <w:r w:rsidR="00B227A0">
        <w:rPr>
          <w:rFonts w:cstheme="minorHAnsi"/>
          <w:sz w:val="22"/>
        </w:rPr>
        <w:t>It maintains a comprehensive policy and practice guide, the Dumping and Subsidy Manual</w:t>
      </w:r>
      <w:r w:rsidR="005126B9">
        <w:rPr>
          <w:rFonts w:cstheme="minorHAnsi"/>
          <w:sz w:val="22"/>
        </w:rPr>
        <w:t xml:space="preserve"> (Manual)</w:t>
      </w:r>
      <w:r w:rsidR="00B227A0">
        <w:rPr>
          <w:rFonts w:cstheme="minorHAnsi"/>
          <w:sz w:val="22"/>
        </w:rPr>
        <w:t>, to explain the practices of the Commission</w:t>
      </w:r>
      <w:r w:rsidR="00003AA0">
        <w:rPr>
          <w:rFonts w:cstheme="minorHAnsi"/>
          <w:sz w:val="22"/>
        </w:rPr>
        <w:t xml:space="preserve">. </w:t>
      </w:r>
      <w:r w:rsidR="009D3D84">
        <w:rPr>
          <w:rFonts w:cstheme="minorHAnsi"/>
          <w:sz w:val="22"/>
        </w:rPr>
        <w:t xml:space="preserve">In the </w:t>
      </w:r>
      <w:r w:rsidR="00BE6C28">
        <w:rPr>
          <w:rFonts w:cstheme="minorHAnsi"/>
          <w:sz w:val="22"/>
        </w:rPr>
        <w:t xml:space="preserve">prior </w:t>
      </w:r>
      <w:r w:rsidR="009D3D84">
        <w:rPr>
          <w:rFonts w:cstheme="minorHAnsi"/>
          <w:sz w:val="22"/>
        </w:rPr>
        <w:t>financial year</w:t>
      </w:r>
      <w:r w:rsidR="00BE6C28">
        <w:rPr>
          <w:rFonts w:cstheme="minorHAnsi"/>
          <w:sz w:val="22"/>
        </w:rPr>
        <w:t xml:space="preserve">, </w:t>
      </w:r>
      <w:r w:rsidR="009D3D84">
        <w:rPr>
          <w:rFonts w:cstheme="minorHAnsi"/>
          <w:sz w:val="22"/>
        </w:rPr>
        <w:t xml:space="preserve">the </w:t>
      </w:r>
      <w:r w:rsidR="00003AA0">
        <w:rPr>
          <w:rFonts w:cstheme="minorHAnsi"/>
          <w:sz w:val="22"/>
        </w:rPr>
        <w:t xml:space="preserve">Commission published an update of the Manual to clarify the Commission’s current practices. </w:t>
      </w:r>
      <w:r w:rsidR="001541C5">
        <w:rPr>
          <w:rFonts w:cstheme="minorHAnsi"/>
          <w:sz w:val="22"/>
        </w:rPr>
        <w:t xml:space="preserve">The Commission also </w:t>
      </w:r>
      <w:r w:rsidR="002C3424">
        <w:rPr>
          <w:rFonts w:cstheme="minorHAnsi"/>
          <w:sz w:val="22"/>
        </w:rPr>
        <w:t xml:space="preserve">publishes detailed reports on the Electronic Public Record in relation to investigations that explain the approach used in </w:t>
      </w:r>
      <w:r w:rsidR="00B227A0">
        <w:rPr>
          <w:rFonts w:cstheme="minorHAnsi"/>
          <w:sz w:val="22"/>
        </w:rPr>
        <w:t xml:space="preserve">developing </w:t>
      </w:r>
      <w:r w:rsidR="002C3424">
        <w:rPr>
          <w:rFonts w:cstheme="minorHAnsi"/>
          <w:sz w:val="22"/>
        </w:rPr>
        <w:t xml:space="preserve">recommendations. </w:t>
      </w:r>
      <w:r w:rsidR="00DE4134">
        <w:rPr>
          <w:rFonts w:cstheme="minorHAnsi"/>
          <w:sz w:val="22"/>
        </w:rPr>
        <w:t xml:space="preserve">The Commission will continue to work on enhancing its </w:t>
      </w:r>
      <w:r w:rsidR="002C3424">
        <w:rPr>
          <w:rFonts w:cstheme="minorHAnsi"/>
          <w:sz w:val="22"/>
        </w:rPr>
        <w:t>communication of the approach used in investigations</w:t>
      </w:r>
      <w:r w:rsidR="00DE4134">
        <w:rPr>
          <w:rFonts w:cstheme="minorHAnsi"/>
          <w:sz w:val="22"/>
        </w:rPr>
        <w:t>.</w:t>
      </w:r>
    </w:p>
    <w:p w14:paraId="7BB79939" w14:textId="77777777" w:rsidR="00E43A12" w:rsidRPr="00E43A12" w:rsidRDefault="00E43A12" w:rsidP="00E43A12">
      <w:pPr>
        <w:contextualSpacing/>
        <w:rPr>
          <w:rFonts w:cstheme="minorHAnsi"/>
          <w:sz w:val="22"/>
        </w:rPr>
      </w:pPr>
    </w:p>
    <w:p w14:paraId="7BB7993A" w14:textId="4D25A261" w:rsidR="00E43A12" w:rsidRPr="00E43A12" w:rsidRDefault="00DE4134" w:rsidP="004F6464">
      <w:pPr>
        <w:spacing w:after="0" w:line="240" w:lineRule="auto"/>
        <w:rPr>
          <w:rFonts w:cstheme="minorHAnsi"/>
          <w:sz w:val="22"/>
        </w:rPr>
      </w:pPr>
      <w:r>
        <w:rPr>
          <w:rFonts w:cstheme="minorHAnsi"/>
          <w:sz w:val="22"/>
        </w:rPr>
        <w:t>T</w:t>
      </w:r>
      <w:r w:rsidR="00E43A12" w:rsidRPr="00E43A12">
        <w:rPr>
          <w:rFonts w:cstheme="minorHAnsi"/>
          <w:sz w:val="22"/>
        </w:rPr>
        <w:t xml:space="preserve">he ITRF plays </w:t>
      </w:r>
      <w:r w:rsidR="00EF6765" w:rsidRPr="00E43A12">
        <w:rPr>
          <w:rFonts w:cstheme="minorHAnsi"/>
          <w:sz w:val="22"/>
        </w:rPr>
        <w:t>a</w:t>
      </w:r>
      <w:r w:rsidR="00EF6765">
        <w:rPr>
          <w:rFonts w:cstheme="minorHAnsi"/>
          <w:sz w:val="22"/>
        </w:rPr>
        <w:t xml:space="preserve">n important </w:t>
      </w:r>
      <w:r w:rsidR="00E43A12" w:rsidRPr="00E43A12">
        <w:rPr>
          <w:rFonts w:cstheme="minorHAnsi"/>
          <w:sz w:val="22"/>
        </w:rPr>
        <w:t xml:space="preserve">role as </w:t>
      </w:r>
      <w:r w:rsidR="00EF6765">
        <w:rPr>
          <w:rFonts w:cstheme="minorHAnsi"/>
          <w:sz w:val="22"/>
        </w:rPr>
        <w:t>the primary forum advising on t</w:t>
      </w:r>
      <w:r w:rsidR="00E21B55">
        <w:rPr>
          <w:rFonts w:cstheme="minorHAnsi"/>
          <w:sz w:val="22"/>
        </w:rPr>
        <w:t>he operation of, and reforms to</w:t>
      </w:r>
      <w:r w:rsidR="00EF6765">
        <w:rPr>
          <w:rFonts w:cstheme="minorHAnsi"/>
          <w:sz w:val="22"/>
        </w:rPr>
        <w:t>, Australia’s anti-dumping legislation.</w:t>
      </w:r>
      <w:r w:rsidR="00E43A12" w:rsidRPr="00E43A12">
        <w:rPr>
          <w:rFonts w:cstheme="minorHAnsi"/>
          <w:sz w:val="22"/>
        </w:rPr>
        <w:t xml:space="preserve"> The</w:t>
      </w:r>
      <w:r w:rsidR="00EF6765">
        <w:rPr>
          <w:rFonts w:cstheme="minorHAnsi"/>
          <w:sz w:val="22"/>
        </w:rPr>
        <w:t xml:space="preserve"> </w:t>
      </w:r>
      <w:r>
        <w:rPr>
          <w:rFonts w:cstheme="minorHAnsi"/>
          <w:sz w:val="22"/>
        </w:rPr>
        <w:t xml:space="preserve">establishment of </w:t>
      </w:r>
      <w:r w:rsidR="000228F4">
        <w:rPr>
          <w:rFonts w:cstheme="minorHAnsi"/>
          <w:sz w:val="22"/>
        </w:rPr>
        <w:t xml:space="preserve">ITRF sub-committees </w:t>
      </w:r>
      <w:r w:rsidR="00E95114">
        <w:rPr>
          <w:sz w:val="22"/>
        </w:rPr>
        <w:t xml:space="preserve">created </w:t>
      </w:r>
      <w:r w:rsidR="000228F4">
        <w:rPr>
          <w:sz w:val="22"/>
        </w:rPr>
        <w:t xml:space="preserve">a valuable forum for more regular and detailed discussion of issues of interest to stakeholders in between ITRF meetings. </w:t>
      </w:r>
      <w:r>
        <w:rPr>
          <w:sz w:val="22"/>
        </w:rPr>
        <w:t xml:space="preserve">While two of the sub-committees established in 2016 have completed their work, </w:t>
      </w:r>
      <w:r w:rsidR="00003AA0">
        <w:rPr>
          <w:sz w:val="22"/>
        </w:rPr>
        <w:t xml:space="preserve">the two current sub-committees are continuing to provide a valuable forum for detailed discussions with stakeholders. </w:t>
      </w:r>
    </w:p>
    <w:p w14:paraId="7BB7993B" w14:textId="77777777" w:rsidR="00E43A12" w:rsidRPr="00E43A12" w:rsidRDefault="00E43A12" w:rsidP="00E43A12">
      <w:pPr>
        <w:contextualSpacing/>
        <w:rPr>
          <w:rFonts w:cstheme="minorHAnsi"/>
          <w:sz w:val="22"/>
        </w:rPr>
      </w:pPr>
    </w:p>
    <w:p w14:paraId="4B839CEA" w14:textId="6B355BED" w:rsidR="00E54E40" w:rsidRDefault="00E43A12" w:rsidP="004F6464">
      <w:pPr>
        <w:spacing w:after="0" w:line="240" w:lineRule="auto"/>
        <w:rPr>
          <w:rFonts w:cstheme="minorHAnsi"/>
          <w:sz w:val="22"/>
        </w:rPr>
      </w:pPr>
      <w:r w:rsidRPr="00E43A12">
        <w:rPr>
          <w:rFonts w:cstheme="minorHAnsi"/>
          <w:sz w:val="22"/>
        </w:rPr>
        <w:t xml:space="preserve">In a highly contested system that is open to legal interpretation, a robust review process is a positive attribute of the system. Quality investigative learnings come from analysis of the review findings and the Commission </w:t>
      </w:r>
      <w:r w:rsidR="00E95114">
        <w:rPr>
          <w:rFonts w:cstheme="minorHAnsi"/>
          <w:sz w:val="22"/>
        </w:rPr>
        <w:t>will</w:t>
      </w:r>
      <w:r w:rsidR="00E21B55">
        <w:rPr>
          <w:rFonts w:cstheme="minorHAnsi"/>
          <w:sz w:val="22"/>
        </w:rPr>
        <w:t xml:space="preserve"> continue to </w:t>
      </w:r>
      <w:r w:rsidR="00E95114">
        <w:rPr>
          <w:rFonts w:cstheme="minorHAnsi"/>
          <w:sz w:val="22"/>
        </w:rPr>
        <w:t xml:space="preserve">carefully consider the outcomes of merits and judicial reviews to identify ways to </w:t>
      </w:r>
      <w:r w:rsidR="00E21B55">
        <w:rPr>
          <w:rFonts w:cstheme="minorHAnsi"/>
          <w:sz w:val="22"/>
        </w:rPr>
        <w:t xml:space="preserve">improve its decision making and investigative processes. </w:t>
      </w:r>
    </w:p>
    <w:p w14:paraId="553BC1DB" w14:textId="77777777" w:rsidR="00E54E40" w:rsidRDefault="00E54E40" w:rsidP="004F6464">
      <w:pPr>
        <w:spacing w:after="0" w:line="240" w:lineRule="auto"/>
        <w:rPr>
          <w:rFonts w:cstheme="minorHAnsi"/>
          <w:sz w:val="22"/>
        </w:rPr>
      </w:pPr>
    </w:p>
    <w:p w14:paraId="7BB7993D" w14:textId="02F721F7" w:rsidR="00E43A12" w:rsidRPr="00E43A12" w:rsidRDefault="00E54E40" w:rsidP="004F6464">
      <w:pPr>
        <w:spacing w:after="0" w:line="240" w:lineRule="auto"/>
        <w:rPr>
          <w:rFonts w:cstheme="minorHAnsi"/>
          <w:sz w:val="22"/>
        </w:rPr>
      </w:pPr>
      <w:r>
        <w:rPr>
          <w:rFonts w:cstheme="minorHAnsi"/>
          <w:sz w:val="22"/>
        </w:rPr>
        <w:t xml:space="preserve">The Commission considers that its engagement with international organisations and other jurisdictions is supporting continuous improvement of its practices.  </w:t>
      </w:r>
    </w:p>
    <w:p w14:paraId="2CF96185" w14:textId="77777777" w:rsidR="00065F55" w:rsidRDefault="00065F55" w:rsidP="004F6464">
      <w:pPr>
        <w:spacing w:line="240" w:lineRule="auto"/>
        <w:rPr>
          <w:b/>
          <w:color w:val="85A5C1" w:themeColor="background2" w:themeShade="BF"/>
          <w:sz w:val="22"/>
        </w:rPr>
      </w:pPr>
    </w:p>
    <w:p w14:paraId="7BB79940" w14:textId="0C2A004F" w:rsidR="00E43A12" w:rsidRPr="009914D0" w:rsidRDefault="00E43A12" w:rsidP="004F6464">
      <w:pPr>
        <w:spacing w:line="240" w:lineRule="auto"/>
        <w:rPr>
          <w:b/>
          <w:color w:val="2D2D2E"/>
          <w:sz w:val="22"/>
        </w:rPr>
      </w:pPr>
      <w:r w:rsidRPr="009914D0">
        <w:rPr>
          <w:b/>
          <w:color w:val="2D2D2E"/>
          <w:sz w:val="22"/>
        </w:rPr>
        <w:t xml:space="preserve">Stakeholder Validation </w:t>
      </w:r>
    </w:p>
    <w:p w14:paraId="5DD43E80" w14:textId="140B57DD" w:rsidR="004879E2" w:rsidRDefault="009F63BB" w:rsidP="001D14A7">
      <w:pPr>
        <w:spacing w:after="0" w:line="240" w:lineRule="auto"/>
        <w:rPr>
          <w:rFonts w:cstheme="minorHAnsi"/>
          <w:sz w:val="22"/>
        </w:rPr>
      </w:pPr>
      <w:r>
        <w:rPr>
          <w:rFonts w:cstheme="minorHAnsi"/>
          <w:sz w:val="22"/>
        </w:rPr>
        <w:t xml:space="preserve">ITRF members were surveyed in </w:t>
      </w:r>
      <w:r w:rsidR="009D3D84">
        <w:rPr>
          <w:rFonts w:cstheme="minorHAnsi"/>
          <w:sz w:val="22"/>
        </w:rPr>
        <w:t xml:space="preserve">September 2020 </w:t>
      </w:r>
      <w:r w:rsidR="00CD1518">
        <w:rPr>
          <w:rFonts w:cstheme="minorHAnsi"/>
          <w:sz w:val="22"/>
        </w:rPr>
        <w:t>and the results are reported above</w:t>
      </w:r>
      <w:r w:rsidR="000F2DC1">
        <w:rPr>
          <w:rFonts w:cstheme="minorHAnsi"/>
          <w:sz w:val="22"/>
        </w:rPr>
        <w:t xml:space="preserve">. </w:t>
      </w:r>
    </w:p>
    <w:p w14:paraId="568B2EF3" w14:textId="77777777" w:rsidR="004879E2" w:rsidRDefault="004879E2" w:rsidP="001D14A7">
      <w:pPr>
        <w:spacing w:after="0" w:line="240" w:lineRule="auto"/>
        <w:rPr>
          <w:rFonts w:cstheme="minorHAnsi"/>
          <w:sz w:val="22"/>
        </w:rPr>
      </w:pPr>
    </w:p>
    <w:p w14:paraId="3D98AD6F" w14:textId="12366ABE" w:rsidR="00A57156" w:rsidRDefault="004879E2" w:rsidP="001D14A7">
      <w:pPr>
        <w:spacing w:after="0" w:line="240" w:lineRule="auto"/>
        <w:rPr>
          <w:rFonts w:cstheme="minorHAnsi"/>
          <w:sz w:val="22"/>
        </w:rPr>
      </w:pPr>
      <w:r w:rsidRPr="00746C3D">
        <w:rPr>
          <w:rFonts w:cstheme="minorHAnsi"/>
          <w:sz w:val="22"/>
        </w:rPr>
        <w:t xml:space="preserve">A draft of this </w:t>
      </w:r>
      <w:r w:rsidR="00B75FB2" w:rsidRPr="00746C3D">
        <w:rPr>
          <w:rFonts w:cstheme="minorHAnsi"/>
          <w:sz w:val="22"/>
        </w:rPr>
        <w:t>report was</w:t>
      </w:r>
      <w:r w:rsidR="006725FA" w:rsidRPr="00746C3D">
        <w:rPr>
          <w:rFonts w:cstheme="minorHAnsi"/>
          <w:sz w:val="22"/>
        </w:rPr>
        <w:t xml:space="preserve"> circulated to </w:t>
      </w:r>
      <w:r w:rsidR="00F317DB" w:rsidRPr="00746C3D">
        <w:rPr>
          <w:rFonts w:cstheme="minorHAnsi"/>
          <w:sz w:val="22"/>
        </w:rPr>
        <w:t xml:space="preserve">ITRF </w:t>
      </w:r>
      <w:r w:rsidR="006725FA" w:rsidRPr="00746C3D">
        <w:rPr>
          <w:rFonts w:cstheme="minorHAnsi"/>
          <w:sz w:val="22"/>
        </w:rPr>
        <w:t>members for their consideration and comment</w:t>
      </w:r>
      <w:r w:rsidR="00B75FB2" w:rsidRPr="00746C3D">
        <w:rPr>
          <w:rFonts w:cstheme="minorHAnsi"/>
          <w:sz w:val="22"/>
        </w:rPr>
        <w:t xml:space="preserve"> in </w:t>
      </w:r>
      <w:r w:rsidR="004F1FBA">
        <w:rPr>
          <w:rFonts w:cstheme="minorHAnsi"/>
          <w:sz w:val="22"/>
        </w:rPr>
        <w:t>October</w:t>
      </w:r>
      <w:r w:rsidR="00AF0728">
        <w:rPr>
          <w:rFonts w:cstheme="minorHAnsi"/>
          <w:sz w:val="22"/>
        </w:rPr>
        <w:t xml:space="preserve"> </w:t>
      </w:r>
      <w:r w:rsidR="009D3D84" w:rsidRPr="00746C3D">
        <w:rPr>
          <w:rFonts w:cstheme="minorHAnsi"/>
          <w:sz w:val="22"/>
        </w:rPr>
        <w:t>20</w:t>
      </w:r>
      <w:r w:rsidR="009D3D84">
        <w:rPr>
          <w:rFonts w:cstheme="minorHAnsi"/>
          <w:sz w:val="22"/>
        </w:rPr>
        <w:t>20</w:t>
      </w:r>
      <w:r w:rsidR="00E357CA" w:rsidRPr="00746C3D">
        <w:rPr>
          <w:rFonts w:cstheme="minorHAnsi"/>
          <w:sz w:val="22"/>
        </w:rPr>
        <w:t>.</w:t>
      </w:r>
    </w:p>
    <w:p w14:paraId="4EDE1AA9" w14:textId="77777777" w:rsidR="00A57156" w:rsidRDefault="00A57156" w:rsidP="001D14A7">
      <w:pPr>
        <w:spacing w:after="0" w:line="240" w:lineRule="auto"/>
        <w:rPr>
          <w:rFonts w:cstheme="minorHAnsi"/>
          <w:sz w:val="22"/>
        </w:rPr>
      </w:pPr>
    </w:p>
    <w:p w14:paraId="78E5A506" w14:textId="77777777" w:rsidR="00923D75" w:rsidRDefault="00923D75" w:rsidP="001D14A7">
      <w:pPr>
        <w:spacing w:after="0" w:line="240" w:lineRule="auto"/>
        <w:rPr>
          <w:rFonts w:cstheme="minorHAnsi"/>
          <w:sz w:val="22"/>
        </w:rPr>
      </w:pPr>
    </w:p>
    <w:p w14:paraId="7BB79943" w14:textId="4CA9AA01" w:rsidR="00932848" w:rsidRPr="00E43A12" w:rsidRDefault="00932848" w:rsidP="009914D0">
      <w:pPr>
        <w:pStyle w:val="Heading2"/>
        <w:numPr>
          <w:ilvl w:val="0"/>
          <w:numId w:val="0"/>
        </w:numPr>
        <w:ind w:left="578" w:hanging="578"/>
      </w:pPr>
      <w:bookmarkStart w:id="20" w:name="_Toc49953502"/>
      <w:bookmarkStart w:id="21" w:name="_Toc52456001"/>
      <w:r w:rsidRPr="00E43A12">
        <w:t xml:space="preserve">KPI </w:t>
      </w:r>
      <w:r>
        <w:t>2</w:t>
      </w:r>
      <w:r w:rsidRPr="00E43A12">
        <w:t xml:space="preserve"> - </w:t>
      </w:r>
      <w:r w:rsidRPr="00932848">
        <w:t>Communication with regulated entities is clear, targeted and effective</w:t>
      </w:r>
      <w:bookmarkEnd w:id="20"/>
      <w:bookmarkEnd w:id="21"/>
    </w:p>
    <w:p w14:paraId="7BB79944" w14:textId="77777777" w:rsidR="00932848" w:rsidRPr="009914D0" w:rsidRDefault="00932848" w:rsidP="00C07AD0">
      <w:pPr>
        <w:spacing w:line="240" w:lineRule="auto"/>
        <w:rPr>
          <w:b/>
          <w:color w:val="2D2D2E"/>
          <w:sz w:val="22"/>
        </w:rPr>
      </w:pPr>
      <w:r w:rsidRPr="009914D0">
        <w:rPr>
          <w:b/>
          <w:color w:val="2D2D2E"/>
          <w:sz w:val="22"/>
        </w:rPr>
        <w:t>Summary of achievement</w:t>
      </w:r>
    </w:p>
    <w:p w14:paraId="7BB79945" w14:textId="5A491D99" w:rsidR="00932848" w:rsidRPr="00C07AD0" w:rsidRDefault="00932848" w:rsidP="002A23F9">
      <w:pPr>
        <w:spacing w:after="0" w:line="240" w:lineRule="auto"/>
        <w:rPr>
          <w:rFonts w:cstheme="minorHAnsi"/>
          <w:sz w:val="22"/>
        </w:rPr>
      </w:pPr>
      <w:r w:rsidRPr="00C07AD0">
        <w:rPr>
          <w:rFonts w:cstheme="minorHAnsi"/>
          <w:sz w:val="22"/>
        </w:rPr>
        <w:t xml:space="preserve">As </w:t>
      </w:r>
      <w:r w:rsidR="00444174">
        <w:rPr>
          <w:rFonts w:cstheme="minorHAnsi"/>
          <w:sz w:val="22"/>
        </w:rPr>
        <w:t>noted in the discussion under</w:t>
      </w:r>
      <w:r w:rsidRPr="00C07AD0">
        <w:rPr>
          <w:rFonts w:cstheme="minorHAnsi"/>
          <w:sz w:val="22"/>
        </w:rPr>
        <w:t xml:space="preserve"> KPI 1, the </w:t>
      </w:r>
      <w:r w:rsidR="00444174">
        <w:rPr>
          <w:rFonts w:cstheme="minorHAnsi"/>
          <w:sz w:val="22"/>
        </w:rPr>
        <w:t xml:space="preserve">survey results </w:t>
      </w:r>
      <w:r w:rsidR="00E357CA">
        <w:rPr>
          <w:rFonts w:cstheme="minorHAnsi"/>
          <w:sz w:val="22"/>
        </w:rPr>
        <w:t xml:space="preserve">generally </w:t>
      </w:r>
      <w:r w:rsidR="00444174">
        <w:rPr>
          <w:rFonts w:cstheme="minorHAnsi"/>
          <w:sz w:val="22"/>
        </w:rPr>
        <w:t xml:space="preserve">indicate satisfaction with the </w:t>
      </w:r>
      <w:r w:rsidRPr="00C07AD0">
        <w:rPr>
          <w:rFonts w:cstheme="minorHAnsi"/>
          <w:sz w:val="22"/>
        </w:rPr>
        <w:t>Commission</w:t>
      </w:r>
      <w:r w:rsidR="00444174">
        <w:rPr>
          <w:rFonts w:cstheme="minorHAnsi"/>
          <w:sz w:val="22"/>
        </w:rPr>
        <w:t>’s</w:t>
      </w:r>
      <w:r w:rsidRPr="00C07AD0">
        <w:rPr>
          <w:rFonts w:cstheme="minorHAnsi"/>
          <w:sz w:val="22"/>
        </w:rPr>
        <w:t xml:space="preserve"> communicati</w:t>
      </w:r>
      <w:r w:rsidR="00444174">
        <w:rPr>
          <w:rFonts w:cstheme="minorHAnsi"/>
          <w:sz w:val="22"/>
        </w:rPr>
        <w:t>o</w:t>
      </w:r>
      <w:r w:rsidRPr="00C07AD0">
        <w:rPr>
          <w:rFonts w:cstheme="minorHAnsi"/>
          <w:sz w:val="22"/>
        </w:rPr>
        <w:t>n</w:t>
      </w:r>
      <w:r w:rsidR="00444174">
        <w:rPr>
          <w:rFonts w:cstheme="minorHAnsi"/>
          <w:sz w:val="22"/>
        </w:rPr>
        <w:t>s</w:t>
      </w:r>
      <w:r w:rsidRPr="00C07AD0">
        <w:rPr>
          <w:rFonts w:cstheme="minorHAnsi"/>
          <w:sz w:val="22"/>
        </w:rPr>
        <w:t xml:space="preserve"> with regulated entities</w:t>
      </w:r>
      <w:r w:rsidR="00444174">
        <w:rPr>
          <w:rFonts w:cstheme="minorHAnsi"/>
          <w:sz w:val="22"/>
        </w:rPr>
        <w:t>, with some areas for further improvement</w:t>
      </w:r>
      <w:r w:rsidRPr="00C07AD0">
        <w:rPr>
          <w:rFonts w:cstheme="minorHAnsi"/>
          <w:sz w:val="22"/>
        </w:rPr>
        <w:t xml:space="preserve">. </w:t>
      </w:r>
      <w:r w:rsidR="00444174">
        <w:rPr>
          <w:rFonts w:cstheme="minorHAnsi"/>
          <w:sz w:val="22"/>
        </w:rPr>
        <w:t xml:space="preserve">In </w:t>
      </w:r>
      <w:r w:rsidR="00054895">
        <w:rPr>
          <w:rFonts w:cstheme="minorHAnsi"/>
          <w:sz w:val="22"/>
        </w:rPr>
        <w:t>2019-20</w:t>
      </w:r>
      <w:r w:rsidR="00444174">
        <w:rPr>
          <w:rFonts w:cstheme="minorHAnsi"/>
          <w:sz w:val="22"/>
        </w:rPr>
        <w:t>, t</w:t>
      </w:r>
      <w:r w:rsidRPr="00C07AD0">
        <w:rPr>
          <w:rFonts w:cstheme="minorHAnsi"/>
          <w:sz w:val="22"/>
        </w:rPr>
        <w:t>he Commission:</w:t>
      </w:r>
    </w:p>
    <w:p w14:paraId="7BB79946" w14:textId="392B125F" w:rsidR="00932848" w:rsidRPr="00C07AD0" w:rsidRDefault="003A30A5" w:rsidP="00065F55">
      <w:pPr>
        <w:pStyle w:val="ListParagraph"/>
        <w:numPr>
          <w:ilvl w:val="0"/>
          <w:numId w:val="5"/>
        </w:numPr>
        <w:spacing w:before="120" w:after="0" w:line="240" w:lineRule="auto"/>
        <w:ind w:hanging="357"/>
        <w:rPr>
          <w:rFonts w:cstheme="minorHAnsi"/>
        </w:rPr>
      </w:pPr>
      <w:r>
        <w:rPr>
          <w:rFonts w:cstheme="minorHAnsi"/>
        </w:rPr>
        <w:t>assisted stakeholders with</w:t>
      </w:r>
      <w:r w:rsidR="00D47DD7">
        <w:rPr>
          <w:rFonts w:cstheme="minorHAnsi"/>
        </w:rPr>
        <w:t xml:space="preserve"> </w:t>
      </w:r>
      <w:r>
        <w:rPr>
          <w:rFonts w:cstheme="minorHAnsi"/>
        </w:rPr>
        <w:t>1</w:t>
      </w:r>
      <w:r w:rsidR="003E37F2">
        <w:rPr>
          <w:rFonts w:cstheme="minorHAnsi"/>
        </w:rPr>
        <w:t>,</w:t>
      </w:r>
      <w:r>
        <w:rPr>
          <w:rFonts w:cstheme="minorHAnsi"/>
        </w:rPr>
        <w:t xml:space="preserve">472 </w:t>
      </w:r>
      <w:r w:rsidR="00DF09B4">
        <w:rPr>
          <w:rFonts w:cstheme="minorHAnsi"/>
        </w:rPr>
        <w:t>enquiries</w:t>
      </w:r>
      <w:r>
        <w:rPr>
          <w:rFonts w:cstheme="minorHAnsi"/>
        </w:rPr>
        <w:t xml:space="preserve"> by phone or email with </w:t>
      </w:r>
      <w:r w:rsidR="00E1152A">
        <w:rPr>
          <w:rFonts w:cstheme="minorHAnsi"/>
        </w:rPr>
        <w:t>99</w:t>
      </w:r>
      <w:r>
        <w:rPr>
          <w:rFonts w:cstheme="minorHAnsi"/>
        </w:rPr>
        <w:t xml:space="preserve"> per cent</w:t>
      </w:r>
      <w:r w:rsidR="00932848" w:rsidRPr="00C07AD0">
        <w:rPr>
          <w:rFonts w:cstheme="minorHAnsi"/>
        </w:rPr>
        <w:t xml:space="preserve"> of </w:t>
      </w:r>
      <w:r w:rsidR="00017F22">
        <w:rPr>
          <w:rFonts w:cstheme="minorHAnsi"/>
        </w:rPr>
        <w:t>those</w:t>
      </w:r>
      <w:r w:rsidR="00932848" w:rsidRPr="00C07AD0">
        <w:rPr>
          <w:rFonts w:cstheme="minorHAnsi"/>
        </w:rPr>
        <w:t xml:space="preserve"> resolved in </w:t>
      </w:r>
      <w:r w:rsidR="0006636D" w:rsidRPr="00474CD5">
        <w:rPr>
          <w:rFonts w:cstheme="minorHAnsi"/>
        </w:rPr>
        <w:t>two</w:t>
      </w:r>
      <w:r w:rsidR="00E1152A" w:rsidRPr="004128BD">
        <w:rPr>
          <w:rFonts w:cstheme="minorHAnsi"/>
        </w:rPr>
        <w:t xml:space="preserve"> </w:t>
      </w:r>
      <w:r w:rsidR="00932848" w:rsidRPr="00C27B2B">
        <w:rPr>
          <w:rFonts w:cstheme="minorHAnsi"/>
        </w:rPr>
        <w:t>business</w:t>
      </w:r>
      <w:r w:rsidR="00932848" w:rsidRPr="00C07AD0">
        <w:rPr>
          <w:rFonts w:cstheme="minorHAnsi"/>
        </w:rPr>
        <w:t xml:space="preserve"> days</w:t>
      </w:r>
      <w:r w:rsidR="00017F22">
        <w:rPr>
          <w:rFonts w:cstheme="minorHAnsi"/>
        </w:rPr>
        <w:t>; and</w:t>
      </w:r>
    </w:p>
    <w:p w14:paraId="5D658D80" w14:textId="137E0346" w:rsidR="00A40646" w:rsidRDefault="00932848" w:rsidP="00065F55">
      <w:pPr>
        <w:pStyle w:val="ListParagraph"/>
        <w:numPr>
          <w:ilvl w:val="0"/>
          <w:numId w:val="5"/>
        </w:numPr>
        <w:spacing w:before="120" w:after="0" w:line="240" w:lineRule="auto"/>
        <w:ind w:hanging="357"/>
        <w:rPr>
          <w:rFonts w:cstheme="minorHAnsi"/>
        </w:rPr>
      </w:pPr>
      <w:r w:rsidRPr="00C07AD0">
        <w:rPr>
          <w:rFonts w:cstheme="minorHAnsi"/>
        </w:rPr>
        <w:t xml:space="preserve">considered </w:t>
      </w:r>
      <w:r w:rsidR="003A30A5">
        <w:rPr>
          <w:rFonts w:cstheme="minorHAnsi"/>
        </w:rPr>
        <w:t>342</w:t>
      </w:r>
      <w:r w:rsidR="003A30A5" w:rsidRPr="00C07AD0">
        <w:rPr>
          <w:rFonts w:cstheme="minorHAnsi"/>
        </w:rPr>
        <w:t xml:space="preserve"> </w:t>
      </w:r>
      <w:r w:rsidRPr="00C07AD0">
        <w:rPr>
          <w:rFonts w:cstheme="minorHAnsi"/>
        </w:rPr>
        <w:t>submissions from Australian industry, exporters, importers, foreign governments and others</w:t>
      </w:r>
      <w:r w:rsidR="00E357CA">
        <w:rPr>
          <w:rFonts w:cstheme="minorHAnsi"/>
        </w:rPr>
        <w:t>.</w:t>
      </w:r>
      <w:r w:rsidR="00A40646" w:rsidRPr="00A40646">
        <w:rPr>
          <w:rFonts w:cstheme="minorHAnsi"/>
        </w:rPr>
        <w:t xml:space="preserve"> </w:t>
      </w:r>
    </w:p>
    <w:p w14:paraId="1EC3CDD5" w14:textId="77777777" w:rsidR="006F0384" w:rsidRPr="00065F55" w:rsidRDefault="006F0384" w:rsidP="00932848">
      <w:pPr>
        <w:contextualSpacing/>
        <w:rPr>
          <w:b/>
          <w:color w:val="398E98" w:themeColor="accent2" w:themeShade="BF"/>
          <w:sz w:val="22"/>
          <w:szCs w:val="24"/>
        </w:rPr>
      </w:pPr>
    </w:p>
    <w:p w14:paraId="7BB79949" w14:textId="77777777" w:rsidR="00932848" w:rsidRPr="009914D0" w:rsidRDefault="00932848" w:rsidP="00C07AD0">
      <w:pPr>
        <w:spacing w:line="240" w:lineRule="auto"/>
        <w:rPr>
          <w:b/>
          <w:color w:val="2D2D2E"/>
          <w:sz w:val="22"/>
        </w:rPr>
      </w:pPr>
      <w:r w:rsidRPr="009914D0">
        <w:rPr>
          <w:b/>
          <w:color w:val="2D2D2E"/>
          <w:sz w:val="22"/>
        </w:rPr>
        <w:t>Expectations for KPI 2</w:t>
      </w:r>
    </w:p>
    <w:p w14:paraId="7BB7994A" w14:textId="28F0CE67" w:rsidR="00932848" w:rsidRPr="00C07AD0" w:rsidRDefault="00932848" w:rsidP="002A23F9">
      <w:pPr>
        <w:spacing w:after="0" w:line="240" w:lineRule="auto"/>
        <w:rPr>
          <w:rFonts w:cstheme="minorHAnsi"/>
          <w:sz w:val="22"/>
        </w:rPr>
      </w:pPr>
      <w:r w:rsidRPr="00C07AD0">
        <w:rPr>
          <w:rFonts w:cstheme="minorHAnsi"/>
          <w:sz w:val="22"/>
        </w:rPr>
        <w:t>Effective communication is vital for the efficient delivery of regulatory services and the achievement of positive regulatory outcomes. Be</w:t>
      </w:r>
      <w:r w:rsidR="003E37F2">
        <w:rPr>
          <w:rFonts w:cstheme="minorHAnsi"/>
          <w:sz w:val="22"/>
        </w:rPr>
        <w:t>st</w:t>
      </w:r>
      <w:r w:rsidRPr="00C07AD0">
        <w:rPr>
          <w:rFonts w:cstheme="minorHAnsi"/>
          <w:sz w:val="22"/>
        </w:rPr>
        <w:t xml:space="preserve"> practice regulators communicate in such a way that regulated entities clearly understand what they need to do in order to comply with regulation. The reasons for regulatory decisions are clearly communicated and communication with regulated entities is consistent. </w:t>
      </w:r>
    </w:p>
    <w:p w14:paraId="7BB7994B" w14:textId="77777777" w:rsidR="00932848" w:rsidRPr="00C07AD0" w:rsidRDefault="00932848" w:rsidP="003647CA">
      <w:pPr>
        <w:spacing w:after="0" w:line="240" w:lineRule="auto"/>
        <w:rPr>
          <w:rFonts w:cstheme="minorHAnsi"/>
          <w:b/>
          <w:color w:val="398E98" w:themeColor="accent2" w:themeShade="BF"/>
          <w:sz w:val="22"/>
        </w:rPr>
      </w:pPr>
    </w:p>
    <w:p w14:paraId="7BB7994C" w14:textId="77777777" w:rsidR="00932848" w:rsidRPr="00C07AD0" w:rsidRDefault="00932848" w:rsidP="002A23F9">
      <w:pPr>
        <w:spacing w:after="0" w:line="240" w:lineRule="auto"/>
        <w:rPr>
          <w:rFonts w:cstheme="minorHAnsi"/>
          <w:sz w:val="22"/>
        </w:rPr>
      </w:pPr>
      <w:r w:rsidRPr="00C07AD0">
        <w:rPr>
          <w:rFonts w:cstheme="minorHAnsi"/>
          <w:sz w:val="22"/>
        </w:rPr>
        <w:t>The objectives against this KPI are to show that Commission meets government’s expectations by demonstrating that:</w:t>
      </w:r>
    </w:p>
    <w:p w14:paraId="7BB7994D" w14:textId="752E2627" w:rsidR="00932848" w:rsidRPr="00C07AD0" w:rsidRDefault="00932848" w:rsidP="00065F55">
      <w:pPr>
        <w:pStyle w:val="ListParagraph"/>
        <w:numPr>
          <w:ilvl w:val="0"/>
          <w:numId w:val="5"/>
        </w:numPr>
        <w:spacing w:before="120" w:after="0" w:line="240" w:lineRule="auto"/>
        <w:ind w:hanging="357"/>
        <w:rPr>
          <w:rFonts w:cstheme="minorHAnsi"/>
        </w:rPr>
      </w:pPr>
      <w:r w:rsidRPr="00C07AD0">
        <w:rPr>
          <w:rFonts w:cstheme="minorHAnsi"/>
        </w:rPr>
        <w:t xml:space="preserve">guidance and information is </w:t>
      </w:r>
      <w:r w:rsidR="00AC3644" w:rsidRPr="00C07AD0">
        <w:rPr>
          <w:rFonts w:cstheme="minorHAnsi"/>
        </w:rPr>
        <w:t>up</w:t>
      </w:r>
      <w:r w:rsidR="00AC3644">
        <w:rPr>
          <w:rFonts w:cstheme="minorHAnsi"/>
        </w:rPr>
        <w:t>-</w:t>
      </w:r>
      <w:r w:rsidR="00AC3644" w:rsidRPr="00C07AD0">
        <w:rPr>
          <w:rFonts w:cstheme="minorHAnsi"/>
        </w:rPr>
        <w:t>to</w:t>
      </w:r>
      <w:r w:rsidR="00AC3644">
        <w:rPr>
          <w:rFonts w:cstheme="minorHAnsi"/>
        </w:rPr>
        <w:t>-</w:t>
      </w:r>
      <w:r w:rsidRPr="00C07AD0">
        <w:rPr>
          <w:rFonts w:cstheme="minorHAnsi"/>
        </w:rPr>
        <w:t>date, clear, accessible and concise</w:t>
      </w:r>
      <w:r w:rsidR="00017F22">
        <w:rPr>
          <w:rFonts w:cstheme="minorHAnsi"/>
        </w:rPr>
        <w:t>;</w:t>
      </w:r>
    </w:p>
    <w:p w14:paraId="7BB7994E" w14:textId="53AD1F5F" w:rsidR="00932848" w:rsidRPr="00C07AD0" w:rsidRDefault="002C49A2" w:rsidP="00065F55">
      <w:pPr>
        <w:pStyle w:val="ListParagraph"/>
        <w:numPr>
          <w:ilvl w:val="0"/>
          <w:numId w:val="5"/>
        </w:numPr>
        <w:spacing w:after="0" w:line="240" w:lineRule="auto"/>
        <w:rPr>
          <w:rFonts w:cstheme="minorHAnsi"/>
        </w:rPr>
      </w:pPr>
      <w:r>
        <w:rPr>
          <w:rFonts w:cstheme="minorHAnsi"/>
        </w:rPr>
        <w:t>i</w:t>
      </w:r>
      <w:r w:rsidR="00A94458">
        <w:rPr>
          <w:rFonts w:cstheme="minorHAnsi"/>
        </w:rPr>
        <w:t>ndustry groups</w:t>
      </w:r>
      <w:r w:rsidR="00A94458" w:rsidRPr="00A94458">
        <w:rPr>
          <w:rFonts w:cstheme="minorHAnsi"/>
        </w:rPr>
        <w:t xml:space="preserve"> </w:t>
      </w:r>
      <w:r w:rsidR="00A94458" w:rsidRPr="00C07AD0">
        <w:rPr>
          <w:rFonts w:cstheme="minorHAnsi"/>
        </w:rPr>
        <w:t>and representatives of affected stakeholders</w:t>
      </w:r>
      <w:r w:rsidR="00A94458">
        <w:rPr>
          <w:rFonts w:cstheme="minorHAnsi"/>
        </w:rPr>
        <w:t xml:space="preserve"> are</w:t>
      </w:r>
      <w:r w:rsidR="00932848" w:rsidRPr="00C07AD0">
        <w:rPr>
          <w:rFonts w:cstheme="minorHAnsi"/>
        </w:rPr>
        <w:t xml:space="preserve"> adequately consult</w:t>
      </w:r>
      <w:r w:rsidR="00A94458">
        <w:rPr>
          <w:rFonts w:cstheme="minorHAnsi"/>
        </w:rPr>
        <w:t>ed</w:t>
      </w:r>
      <w:r w:rsidR="00932848" w:rsidRPr="00C07AD0">
        <w:rPr>
          <w:rFonts w:cstheme="minorHAnsi"/>
        </w:rPr>
        <w:t xml:space="preserve"> before changing policies, practices or service standards</w:t>
      </w:r>
      <w:r w:rsidR="00017F22">
        <w:rPr>
          <w:rFonts w:cstheme="minorHAnsi"/>
        </w:rPr>
        <w:t>;</w:t>
      </w:r>
      <w:r w:rsidR="00932848" w:rsidRPr="00C07AD0">
        <w:rPr>
          <w:rFonts w:cstheme="minorHAnsi"/>
        </w:rPr>
        <w:t xml:space="preserve"> </w:t>
      </w:r>
    </w:p>
    <w:p w14:paraId="7BB7994F" w14:textId="7ABAF9C1" w:rsidR="00932848" w:rsidRPr="00C07AD0" w:rsidRDefault="00932848" w:rsidP="00065F55">
      <w:pPr>
        <w:pStyle w:val="ListParagraph"/>
        <w:numPr>
          <w:ilvl w:val="0"/>
          <w:numId w:val="5"/>
        </w:numPr>
        <w:spacing w:after="0" w:line="240" w:lineRule="auto"/>
        <w:rPr>
          <w:rFonts w:cstheme="minorHAnsi"/>
        </w:rPr>
      </w:pPr>
      <w:r w:rsidRPr="00C07AD0">
        <w:rPr>
          <w:rFonts w:cstheme="minorHAnsi"/>
        </w:rPr>
        <w:t>decisions, reasons for decisions and advice provided by the Commission to affected entities are readable and understandable</w:t>
      </w:r>
      <w:r w:rsidR="00017F22">
        <w:rPr>
          <w:rFonts w:cstheme="minorHAnsi"/>
        </w:rPr>
        <w:t>; and</w:t>
      </w:r>
    </w:p>
    <w:p w14:paraId="7BB79950" w14:textId="2266D5A6" w:rsidR="00932848" w:rsidRPr="00C07AD0" w:rsidRDefault="00932848" w:rsidP="00065F55">
      <w:pPr>
        <w:pStyle w:val="ListParagraph"/>
        <w:numPr>
          <w:ilvl w:val="0"/>
          <w:numId w:val="5"/>
        </w:numPr>
        <w:spacing w:after="0" w:line="240" w:lineRule="auto"/>
        <w:rPr>
          <w:rFonts w:cstheme="minorHAnsi"/>
        </w:rPr>
      </w:pPr>
      <w:r w:rsidRPr="00C07AD0">
        <w:rPr>
          <w:rFonts w:cstheme="minorHAnsi"/>
        </w:rPr>
        <w:t xml:space="preserve">information requests are tailored, coordinated with other regulators (such as the Department of </w:t>
      </w:r>
      <w:r w:rsidR="00FF46C8">
        <w:rPr>
          <w:rFonts w:cstheme="minorHAnsi"/>
        </w:rPr>
        <w:t>Home Affairs</w:t>
      </w:r>
      <w:r w:rsidRPr="00C07AD0">
        <w:rPr>
          <w:rFonts w:cstheme="minorHAnsi"/>
        </w:rPr>
        <w:t>), only made when necessary, and in a way that minimises impact.</w:t>
      </w:r>
    </w:p>
    <w:p w14:paraId="7BB79951" w14:textId="77777777" w:rsidR="00932848" w:rsidRPr="00065F55" w:rsidRDefault="00932848" w:rsidP="00932848">
      <w:pPr>
        <w:contextualSpacing/>
        <w:rPr>
          <w:b/>
          <w:color w:val="398E98" w:themeColor="accent2" w:themeShade="BF"/>
          <w:sz w:val="22"/>
          <w:szCs w:val="24"/>
        </w:rPr>
      </w:pPr>
    </w:p>
    <w:p w14:paraId="7BB79952" w14:textId="77777777" w:rsidR="00932848" w:rsidRPr="009914D0" w:rsidRDefault="00932848" w:rsidP="00C07AD0">
      <w:pPr>
        <w:spacing w:line="240" w:lineRule="auto"/>
        <w:rPr>
          <w:b/>
          <w:color w:val="2D2D2E"/>
          <w:sz w:val="22"/>
        </w:rPr>
      </w:pPr>
      <w:r w:rsidRPr="009914D0">
        <w:rPr>
          <w:b/>
          <w:color w:val="2D2D2E"/>
          <w:sz w:val="22"/>
        </w:rPr>
        <w:t>Our approach for KPI 2</w:t>
      </w:r>
    </w:p>
    <w:p w14:paraId="7BB79953" w14:textId="389D7EDA" w:rsidR="00932848" w:rsidRDefault="00932848" w:rsidP="00065F55">
      <w:pPr>
        <w:spacing w:after="0" w:line="240" w:lineRule="auto"/>
        <w:ind w:right="-25"/>
        <w:rPr>
          <w:rFonts w:cstheme="minorHAnsi"/>
          <w:sz w:val="22"/>
        </w:rPr>
      </w:pPr>
      <w:r w:rsidRPr="00C07AD0">
        <w:rPr>
          <w:rFonts w:cstheme="minorHAnsi"/>
          <w:sz w:val="22"/>
        </w:rPr>
        <w:t xml:space="preserve">For this KPI, the Commission </w:t>
      </w:r>
      <w:r w:rsidR="00AC3644">
        <w:rPr>
          <w:rFonts w:cstheme="minorHAnsi"/>
          <w:sz w:val="22"/>
        </w:rPr>
        <w:t>has assessed</w:t>
      </w:r>
      <w:r w:rsidR="00AC3644" w:rsidRPr="00C07AD0">
        <w:rPr>
          <w:rFonts w:cstheme="minorHAnsi"/>
          <w:sz w:val="22"/>
        </w:rPr>
        <w:t xml:space="preserve"> </w:t>
      </w:r>
      <w:r w:rsidR="00A94458">
        <w:rPr>
          <w:rFonts w:cstheme="minorHAnsi"/>
          <w:sz w:val="22"/>
        </w:rPr>
        <w:t>its</w:t>
      </w:r>
      <w:r w:rsidRPr="00C07AD0">
        <w:rPr>
          <w:rFonts w:cstheme="minorHAnsi"/>
          <w:sz w:val="22"/>
        </w:rPr>
        <w:t xml:space="preserve"> communication practices and outcomes by using quantitative information collected for other reporting and continual improvement processes. The </w:t>
      </w:r>
      <w:r w:rsidR="00AC3644">
        <w:rPr>
          <w:rFonts w:cstheme="minorHAnsi"/>
          <w:sz w:val="22"/>
        </w:rPr>
        <w:t>s</w:t>
      </w:r>
      <w:r w:rsidR="00AC3644" w:rsidRPr="00C07AD0">
        <w:rPr>
          <w:rFonts w:cstheme="minorHAnsi"/>
          <w:sz w:val="22"/>
        </w:rPr>
        <w:t xml:space="preserve">urvey </w:t>
      </w:r>
      <w:r w:rsidRPr="00C07AD0">
        <w:rPr>
          <w:rFonts w:cstheme="minorHAnsi"/>
          <w:sz w:val="22"/>
        </w:rPr>
        <w:t xml:space="preserve">supplemented this </w:t>
      </w:r>
      <w:r w:rsidR="00AC3644">
        <w:rPr>
          <w:rFonts w:cstheme="minorHAnsi"/>
          <w:sz w:val="22"/>
        </w:rPr>
        <w:t>approach</w:t>
      </w:r>
      <w:r w:rsidR="00AC3644" w:rsidRPr="00C07AD0">
        <w:rPr>
          <w:rFonts w:cstheme="minorHAnsi"/>
          <w:sz w:val="22"/>
        </w:rPr>
        <w:t xml:space="preserve"> </w:t>
      </w:r>
      <w:r w:rsidRPr="00C07AD0">
        <w:rPr>
          <w:rFonts w:cstheme="minorHAnsi"/>
          <w:sz w:val="22"/>
        </w:rPr>
        <w:t>with questions on communication</w:t>
      </w:r>
      <w:r w:rsidR="00821D25">
        <w:rPr>
          <w:rFonts w:cstheme="minorHAnsi"/>
          <w:sz w:val="22"/>
        </w:rPr>
        <w:t>, which</w:t>
      </w:r>
      <w:r w:rsidRPr="00C07AD0">
        <w:rPr>
          <w:rFonts w:cstheme="minorHAnsi"/>
          <w:sz w:val="22"/>
        </w:rPr>
        <w:t xml:space="preserve"> will</w:t>
      </w:r>
      <w:r w:rsidR="00A94458">
        <w:rPr>
          <w:rFonts w:cstheme="minorHAnsi"/>
          <w:sz w:val="22"/>
        </w:rPr>
        <w:t xml:space="preserve"> be</w:t>
      </w:r>
      <w:r w:rsidRPr="00C07AD0">
        <w:rPr>
          <w:rFonts w:cstheme="minorHAnsi"/>
          <w:sz w:val="22"/>
        </w:rPr>
        <w:t xml:space="preserve"> use</w:t>
      </w:r>
      <w:r w:rsidR="00A94458">
        <w:rPr>
          <w:rFonts w:cstheme="minorHAnsi"/>
          <w:sz w:val="22"/>
        </w:rPr>
        <w:t>d</w:t>
      </w:r>
      <w:r w:rsidRPr="00C07AD0">
        <w:rPr>
          <w:rFonts w:cstheme="minorHAnsi"/>
          <w:sz w:val="22"/>
        </w:rPr>
        <w:t xml:space="preserve"> to identify opportunities for </w:t>
      </w:r>
      <w:r w:rsidR="00A94458">
        <w:rPr>
          <w:rFonts w:cstheme="minorHAnsi"/>
          <w:sz w:val="22"/>
        </w:rPr>
        <w:t>strengthening</w:t>
      </w:r>
      <w:r w:rsidRPr="00C07AD0">
        <w:rPr>
          <w:rFonts w:cstheme="minorHAnsi"/>
          <w:sz w:val="22"/>
        </w:rPr>
        <w:t xml:space="preserve"> performance further.</w:t>
      </w:r>
    </w:p>
    <w:p w14:paraId="51DA2CBC" w14:textId="67DD70F0" w:rsidR="002B01D1" w:rsidRDefault="002B01D1" w:rsidP="00065F55">
      <w:pPr>
        <w:spacing w:after="0" w:line="240" w:lineRule="auto"/>
        <w:ind w:right="-25"/>
        <w:rPr>
          <w:rFonts w:cstheme="minorHAnsi"/>
          <w:sz w:val="22"/>
        </w:rPr>
      </w:pPr>
    </w:p>
    <w:p w14:paraId="26A01F4C" w14:textId="5F836D3B" w:rsidR="002B01D1" w:rsidRPr="00C07AD0" w:rsidRDefault="003873A4" w:rsidP="00065F55">
      <w:pPr>
        <w:spacing w:after="0" w:line="240" w:lineRule="auto"/>
        <w:ind w:right="-25"/>
        <w:rPr>
          <w:rFonts w:cstheme="minorHAnsi"/>
          <w:sz w:val="22"/>
        </w:rPr>
      </w:pPr>
      <w:r w:rsidRPr="00297177">
        <w:rPr>
          <w:rFonts w:cstheme="minorHAnsi"/>
          <w:sz w:val="22"/>
        </w:rPr>
        <w:t>During 2018-19, t</w:t>
      </w:r>
      <w:r w:rsidR="002B01D1" w:rsidRPr="00297177">
        <w:rPr>
          <w:rFonts w:cstheme="minorHAnsi"/>
          <w:sz w:val="22"/>
        </w:rPr>
        <w:t>he Commission</w:t>
      </w:r>
      <w:r w:rsidRPr="00297177">
        <w:rPr>
          <w:rFonts w:cstheme="minorHAnsi"/>
          <w:sz w:val="22"/>
        </w:rPr>
        <w:t xml:space="preserve"> engaged PwC to conduct a functional review of the client support function</w:t>
      </w:r>
      <w:r w:rsidR="00F57E4C" w:rsidRPr="00297177">
        <w:rPr>
          <w:rFonts w:cstheme="minorHAnsi"/>
          <w:sz w:val="22"/>
        </w:rPr>
        <w:t xml:space="preserve">. The review identified several recommendations to improve </w:t>
      </w:r>
      <w:r w:rsidR="00821D25">
        <w:rPr>
          <w:rFonts w:cstheme="minorHAnsi"/>
          <w:sz w:val="22"/>
        </w:rPr>
        <w:t>the services provided to s</w:t>
      </w:r>
      <w:r w:rsidR="00F57E4C" w:rsidRPr="00297177">
        <w:rPr>
          <w:rFonts w:cstheme="minorHAnsi"/>
          <w:sz w:val="22"/>
        </w:rPr>
        <w:t xml:space="preserve">takeholders. </w:t>
      </w:r>
      <w:r w:rsidR="00821D25">
        <w:rPr>
          <w:rFonts w:cstheme="minorHAnsi"/>
          <w:sz w:val="22"/>
        </w:rPr>
        <w:t>Work has commenced on implementing the recommendations of the review</w:t>
      </w:r>
      <w:r w:rsidR="00F57E4C" w:rsidRPr="00297177">
        <w:rPr>
          <w:rFonts w:cstheme="minorHAnsi"/>
          <w:sz w:val="22"/>
        </w:rPr>
        <w:t>.</w:t>
      </w:r>
    </w:p>
    <w:p w14:paraId="3BE370E0" w14:textId="77777777" w:rsidR="00923D75" w:rsidRDefault="00923D75" w:rsidP="00C07AD0">
      <w:pPr>
        <w:spacing w:line="240" w:lineRule="auto"/>
        <w:rPr>
          <w:b/>
          <w:color w:val="2D2D2E"/>
          <w:sz w:val="22"/>
        </w:rPr>
      </w:pPr>
    </w:p>
    <w:p w14:paraId="7BB79955" w14:textId="77777777" w:rsidR="00932848" w:rsidRPr="00AE34D9" w:rsidRDefault="00932848" w:rsidP="00C07AD0">
      <w:pPr>
        <w:spacing w:line="240" w:lineRule="auto"/>
        <w:rPr>
          <w:b/>
          <w:color w:val="2D2D2E"/>
          <w:sz w:val="22"/>
        </w:rPr>
      </w:pPr>
      <w:r w:rsidRPr="00AE34D9">
        <w:rPr>
          <w:b/>
          <w:color w:val="2D2D2E"/>
          <w:sz w:val="22"/>
        </w:rPr>
        <w:t>Results KPI 2</w:t>
      </w:r>
    </w:p>
    <w:p w14:paraId="7BB79956" w14:textId="54EEC449" w:rsidR="00932848" w:rsidRPr="00C07AD0" w:rsidRDefault="00932848" w:rsidP="00932848">
      <w:pPr>
        <w:rPr>
          <w:rFonts w:cstheme="minorHAnsi"/>
          <w:b/>
          <w:sz w:val="22"/>
        </w:rPr>
      </w:pPr>
      <w:r w:rsidRPr="00C07AD0">
        <w:rPr>
          <w:rFonts w:cstheme="minorHAnsi"/>
          <w:b/>
          <w:sz w:val="22"/>
        </w:rPr>
        <w:t>Measure: Demonstrated provision of guidance and information that is up</w:t>
      </w:r>
      <w:r w:rsidR="00AC3644">
        <w:rPr>
          <w:rFonts w:cstheme="minorHAnsi"/>
          <w:b/>
          <w:sz w:val="22"/>
        </w:rPr>
        <w:t>-</w:t>
      </w:r>
      <w:r w:rsidRPr="00C07AD0">
        <w:rPr>
          <w:rFonts w:cstheme="minorHAnsi"/>
          <w:b/>
          <w:sz w:val="22"/>
        </w:rPr>
        <w:t>to</w:t>
      </w:r>
      <w:r w:rsidR="00AC3644">
        <w:rPr>
          <w:rFonts w:cstheme="minorHAnsi"/>
          <w:b/>
          <w:sz w:val="22"/>
        </w:rPr>
        <w:t>-</w:t>
      </w:r>
      <w:r w:rsidRPr="00C07AD0">
        <w:rPr>
          <w:rFonts w:cstheme="minorHAnsi"/>
          <w:b/>
          <w:sz w:val="22"/>
        </w:rPr>
        <w:t>date, clear, accessible and concise.</w:t>
      </w:r>
    </w:p>
    <w:p w14:paraId="7BB79957" w14:textId="16A44D0F" w:rsidR="00932848" w:rsidRPr="00C07AD0" w:rsidRDefault="00932848" w:rsidP="00065F55">
      <w:pPr>
        <w:pStyle w:val="ListParagraph"/>
        <w:numPr>
          <w:ilvl w:val="0"/>
          <w:numId w:val="16"/>
        </w:numPr>
        <w:spacing w:before="120" w:after="120"/>
        <w:ind w:left="567"/>
        <w:rPr>
          <w:rFonts w:cstheme="minorHAnsi"/>
          <w:i/>
        </w:rPr>
      </w:pPr>
      <w:r w:rsidRPr="00C07AD0">
        <w:rPr>
          <w:rFonts w:cstheme="minorHAnsi"/>
          <w:i/>
        </w:rPr>
        <w:t xml:space="preserve">Metric: The Commission’s response rates to stakeholder enquiries/complaints including: the number of queries, type of query and response/resolution times for stakeholder </w:t>
      </w:r>
      <w:r w:rsidR="00065F55">
        <w:rPr>
          <w:rFonts w:cstheme="minorHAnsi"/>
          <w:i/>
        </w:rPr>
        <w:t>to acknowledge matter resolved.</w:t>
      </w:r>
    </w:p>
    <w:p w14:paraId="2312B269" w14:textId="1EAA8AAB" w:rsidR="00B9289D" w:rsidRPr="002F16FA" w:rsidRDefault="002F16FA" w:rsidP="002F16FA">
      <w:pPr>
        <w:spacing w:after="0" w:line="240" w:lineRule="auto"/>
        <w:rPr>
          <w:rFonts w:cstheme="minorHAnsi"/>
          <w:sz w:val="22"/>
        </w:rPr>
      </w:pPr>
      <w:r w:rsidRPr="002F16FA">
        <w:rPr>
          <w:rFonts w:cstheme="minorHAnsi"/>
          <w:sz w:val="22"/>
        </w:rPr>
        <w:t xml:space="preserve">During 2019-20 the Commission received 1,472 enquiries via </w:t>
      </w:r>
      <w:r w:rsidR="00821D25">
        <w:rPr>
          <w:rFonts w:cstheme="minorHAnsi"/>
          <w:sz w:val="22"/>
        </w:rPr>
        <w:t>its</w:t>
      </w:r>
      <w:r w:rsidRPr="002F16FA">
        <w:rPr>
          <w:rFonts w:cstheme="minorHAnsi"/>
          <w:sz w:val="22"/>
        </w:rPr>
        <w:t xml:space="preserve"> website, email or by phone referral from the business.gov.au hotline. Contacts are down on the previous two financial years by </w:t>
      </w:r>
      <w:r w:rsidR="00017F22">
        <w:rPr>
          <w:rFonts w:cstheme="minorHAnsi"/>
          <w:sz w:val="22"/>
        </w:rPr>
        <w:t>an</w:t>
      </w:r>
      <w:r w:rsidRPr="002F16FA">
        <w:rPr>
          <w:rFonts w:cstheme="minorHAnsi"/>
          <w:sz w:val="22"/>
        </w:rPr>
        <w:t xml:space="preserve"> average 28 per cent, which could be partly attributed to Covid-19 as we see consistently lower contacts in the later part of the financial year, which is </w:t>
      </w:r>
      <w:r w:rsidR="00821D25">
        <w:rPr>
          <w:rFonts w:cstheme="minorHAnsi"/>
          <w:sz w:val="22"/>
        </w:rPr>
        <w:t xml:space="preserve">consistent </w:t>
      </w:r>
      <w:r w:rsidRPr="002F16FA">
        <w:rPr>
          <w:rFonts w:cstheme="minorHAnsi"/>
          <w:sz w:val="22"/>
        </w:rPr>
        <w:t xml:space="preserve">with a decline in Australian imports for that period. </w:t>
      </w:r>
      <w:r w:rsidR="002B6BC1">
        <w:rPr>
          <w:rFonts w:cstheme="minorHAnsi"/>
          <w:sz w:val="22"/>
        </w:rPr>
        <w:t>It i</w:t>
      </w:r>
      <w:r w:rsidRPr="002F16FA">
        <w:rPr>
          <w:rFonts w:cstheme="minorHAnsi"/>
          <w:sz w:val="22"/>
        </w:rPr>
        <w:t>s expected that the decline can also be attributable to improved accessibility of anti-dumping information for importer and brokers on the department’s website particularly the information provided in the Dumping Commodity Registers. The monthly trends are depicted in Figure 1.</w:t>
      </w:r>
    </w:p>
    <w:p w14:paraId="7BB7996A" w14:textId="79E16D59" w:rsidR="00932848" w:rsidRDefault="00BF2D87" w:rsidP="00932848">
      <w:pPr>
        <w:contextualSpacing/>
        <w:rPr>
          <w:rFonts w:ascii="Calibri" w:hAnsi="Calibri"/>
          <w:sz w:val="18"/>
          <w:szCs w:val="18"/>
        </w:rPr>
      </w:pPr>
      <w:r>
        <w:rPr>
          <w:rFonts w:ascii="Calibri" w:hAnsi="Calibri"/>
          <w:sz w:val="18"/>
          <w:szCs w:val="18"/>
        </w:rPr>
        <w:t>Figure 1</w:t>
      </w:r>
    </w:p>
    <w:p w14:paraId="36DD6D2E" w14:textId="0D0BD296" w:rsidR="00DD132D" w:rsidRDefault="00C352FF" w:rsidP="00DD132D">
      <w:pPr>
        <w:contextualSpacing/>
        <w:jc w:val="center"/>
        <w:rPr>
          <w:rFonts w:ascii="Calibri" w:hAnsi="Calibri"/>
          <w:sz w:val="18"/>
          <w:szCs w:val="18"/>
        </w:rPr>
      </w:pPr>
      <w:r>
        <w:rPr>
          <w:rFonts w:ascii="Calibri" w:hAnsi="Calibri"/>
          <w:noProof/>
          <w:sz w:val="18"/>
          <w:szCs w:val="18"/>
          <w:lang w:eastAsia="en-AU"/>
        </w:rPr>
        <w:drawing>
          <wp:inline distT="0" distB="0" distL="0" distR="0" wp14:anchorId="071B8D6F" wp14:editId="10FACA02">
            <wp:extent cx="5701337" cy="23310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431" cy="2339710"/>
                    </a:xfrm>
                    <a:prstGeom prst="rect">
                      <a:avLst/>
                    </a:prstGeom>
                    <a:noFill/>
                  </pic:spPr>
                </pic:pic>
              </a:graphicData>
            </a:graphic>
          </wp:inline>
        </w:drawing>
      </w:r>
    </w:p>
    <w:p w14:paraId="61E6936E" w14:textId="0D4939C8" w:rsidR="00D81C66" w:rsidRDefault="00D81C66" w:rsidP="00D81C66">
      <w:pPr>
        <w:contextualSpacing/>
        <w:jc w:val="center"/>
        <w:rPr>
          <w:rFonts w:ascii="Calibri" w:hAnsi="Calibri"/>
          <w:sz w:val="18"/>
          <w:szCs w:val="18"/>
        </w:rPr>
      </w:pPr>
    </w:p>
    <w:p w14:paraId="42752080" w14:textId="0F9674DA" w:rsidR="00932848" w:rsidRDefault="00783E50" w:rsidP="002A23F9">
      <w:pPr>
        <w:spacing w:after="0" w:line="240" w:lineRule="auto"/>
        <w:rPr>
          <w:rFonts w:cstheme="minorHAnsi"/>
          <w:sz w:val="22"/>
        </w:rPr>
      </w:pPr>
      <w:r>
        <w:rPr>
          <w:rFonts w:cstheme="minorHAnsi"/>
          <w:sz w:val="22"/>
        </w:rPr>
        <w:t xml:space="preserve">From 1 July </w:t>
      </w:r>
      <w:r w:rsidR="00F11624">
        <w:rPr>
          <w:rFonts w:cstheme="minorHAnsi"/>
          <w:sz w:val="22"/>
        </w:rPr>
        <w:t>20</w:t>
      </w:r>
      <w:r w:rsidR="00DA4813">
        <w:rPr>
          <w:rFonts w:cstheme="minorHAnsi"/>
          <w:sz w:val="22"/>
        </w:rPr>
        <w:t>19</w:t>
      </w:r>
      <w:r w:rsidR="00F11624" w:rsidRPr="00C07AD0">
        <w:rPr>
          <w:rFonts w:cstheme="minorHAnsi"/>
          <w:sz w:val="22"/>
        </w:rPr>
        <w:t xml:space="preserve"> </w:t>
      </w:r>
      <w:r>
        <w:rPr>
          <w:rFonts w:cstheme="minorHAnsi"/>
          <w:sz w:val="22"/>
        </w:rPr>
        <w:t xml:space="preserve">to 30 June </w:t>
      </w:r>
      <w:r w:rsidR="00F11624">
        <w:rPr>
          <w:rFonts w:cstheme="minorHAnsi"/>
          <w:sz w:val="22"/>
        </w:rPr>
        <w:t>20</w:t>
      </w:r>
      <w:r w:rsidR="00DA4813">
        <w:rPr>
          <w:rFonts w:cstheme="minorHAnsi"/>
          <w:sz w:val="22"/>
        </w:rPr>
        <w:t>20</w:t>
      </w:r>
      <w:r w:rsidR="00932848" w:rsidRPr="00C07AD0">
        <w:rPr>
          <w:rFonts w:cstheme="minorHAnsi"/>
          <w:sz w:val="22"/>
        </w:rPr>
        <w:t xml:space="preserve">, </w:t>
      </w:r>
      <w:r w:rsidR="00F11624">
        <w:rPr>
          <w:rFonts w:cstheme="minorHAnsi"/>
          <w:sz w:val="22"/>
        </w:rPr>
        <w:t>9</w:t>
      </w:r>
      <w:r w:rsidR="00DA4813">
        <w:rPr>
          <w:rFonts w:cstheme="minorHAnsi"/>
          <w:sz w:val="22"/>
        </w:rPr>
        <w:t>9</w:t>
      </w:r>
      <w:r w:rsidR="001156D2">
        <w:rPr>
          <w:rFonts w:cstheme="minorHAnsi"/>
          <w:sz w:val="22"/>
        </w:rPr>
        <w:t xml:space="preserve"> per cent</w:t>
      </w:r>
      <w:r w:rsidR="00932848" w:rsidRPr="00C07AD0">
        <w:rPr>
          <w:rFonts w:cstheme="minorHAnsi"/>
          <w:sz w:val="22"/>
        </w:rPr>
        <w:t xml:space="preserve"> of enquiries were resolved within </w:t>
      </w:r>
      <w:r w:rsidR="0006636D">
        <w:rPr>
          <w:rFonts w:cstheme="minorHAnsi"/>
          <w:sz w:val="22"/>
        </w:rPr>
        <w:t>two</w:t>
      </w:r>
      <w:r w:rsidR="00F11624" w:rsidRPr="00C07AD0">
        <w:rPr>
          <w:rFonts w:cstheme="minorHAnsi"/>
          <w:sz w:val="22"/>
        </w:rPr>
        <w:t xml:space="preserve"> </w:t>
      </w:r>
      <w:r w:rsidR="00932848" w:rsidRPr="00C07AD0">
        <w:rPr>
          <w:rFonts w:cstheme="minorHAnsi"/>
          <w:sz w:val="22"/>
        </w:rPr>
        <w:t>business day</w:t>
      </w:r>
      <w:r w:rsidR="001431FA">
        <w:rPr>
          <w:rFonts w:cstheme="minorHAnsi"/>
          <w:sz w:val="22"/>
        </w:rPr>
        <w:t>s</w:t>
      </w:r>
      <w:r w:rsidR="002F16FA">
        <w:rPr>
          <w:rFonts w:cstheme="minorHAnsi"/>
          <w:sz w:val="22"/>
        </w:rPr>
        <w:t xml:space="preserve">. </w:t>
      </w:r>
      <w:r w:rsidR="00932848" w:rsidRPr="00C07AD0">
        <w:rPr>
          <w:rFonts w:cstheme="minorHAnsi"/>
          <w:sz w:val="22"/>
        </w:rPr>
        <w:t xml:space="preserve">Enquiries resolved </w:t>
      </w:r>
      <w:r w:rsidR="00AC3644">
        <w:rPr>
          <w:rFonts w:cstheme="minorHAnsi"/>
          <w:sz w:val="22"/>
        </w:rPr>
        <w:t>in</w:t>
      </w:r>
      <w:r>
        <w:rPr>
          <w:rFonts w:cstheme="minorHAnsi"/>
          <w:sz w:val="22"/>
        </w:rPr>
        <w:t xml:space="preserve"> </w:t>
      </w:r>
      <w:r w:rsidR="00DA4813">
        <w:rPr>
          <w:rFonts w:cstheme="minorHAnsi"/>
          <w:sz w:val="22"/>
        </w:rPr>
        <w:t>2019-20</w:t>
      </w:r>
      <w:r w:rsidR="00EE7CFA">
        <w:rPr>
          <w:rFonts w:cstheme="minorHAnsi"/>
          <w:sz w:val="22"/>
        </w:rPr>
        <w:t xml:space="preserve"> </w:t>
      </w:r>
      <w:r w:rsidR="00932848" w:rsidRPr="00C07AD0">
        <w:rPr>
          <w:rFonts w:cstheme="minorHAnsi"/>
          <w:sz w:val="22"/>
        </w:rPr>
        <w:t xml:space="preserve">are categorised by enquiry type in </w:t>
      </w:r>
      <w:r w:rsidR="00BF2D87">
        <w:rPr>
          <w:rFonts w:cstheme="minorHAnsi"/>
          <w:sz w:val="22"/>
        </w:rPr>
        <w:t xml:space="preserve">Figure </w:t>
      </w:r>
      <w:r w:rsidR="00F11624">
        <w:rPr>
          <w:rFonts w:cstheme="minorHAnsi"/>
          <w:sz w:val="22"/>
        </w:rPr>
        <w:t>2</w:t>
      </w:r>
      <w:r w:rsidR="00742E92">
        <w:rPr>
          <w:rFonts w:cstheme="minorHAnsi"/>
          <w:sz w:val="22"/>
        </w:rPr>
        <w:t xml:space="preserve"> with t</w:t>
      </w:r>
      <w:r w:rsidR="00AE140F">
        <w:rPr>
          <w:rFonts w:cstheme="minorHAnsi"/>
          <w:sz w:val="22"/>
        </w:rPr>
        <w:t>he most frequent enquir</w:t>
      </w:r>
      <w:r w:rsidR="00742E92">
        <w:rPr>
          <w:rFonts w:cstheme="minorHAnsi"/>
          <w:sz w:val="22"/>
        </w:rPr>
        <w:t xml:space="preserve">ies </w:t>
      </w:r>
      <w:r w:rsidR="0006636D">
        <w:rPr>
          <w:rFonts w:cstheme="minorHAnsi"/>
          <w:sz w:val="22"/>
        </w:rPr>
        <w:t>being</w:t>
      </w:r>
      <w:r w:rsidR="00AC3644">
        <w:rPr>
          <w:rFonts w:cstheme="minorHAnsi"/>
          <w:sz w:val="22"/>
        </w:rPr>
        <w:t xml:space="preserve"> </w:t>
      </w:r>
      <w:r w:rsidR="00DA4813">
        <w:rPr>
          <w:rFonts w:cstheme="minorHAnsi"/>
          <w:sz w:val="22"/>
        </w:rPr>
        <w:t>requests for detailed duty rates</w:t>
      </w:r>
      <w:r w:rsidR="00AE140F">
        <w:rPr>
          <w:rFonts w:cstheme="minorHAnsi"/>
          <w:sz w:val="22"/>
        </w:rPr>
        <w:t xml:space="preserve"> (</w:t>
      </w:r>
      <w:r w:rsidR="00DA4813">
        <w:rPr>
          <w:rFonts w:cstheme="minorHAnsi"/>
          <w:sz w:val="22"/>
        </w:rPr>
        <w:t>19</w:t>
      </w:r>
      <w:r w:rsidR="00474FA2">
        <w:rPr>
          <w:rFonts w:cstheme="minorHAnsi"/>
          <w:sz w:val="22"/>
        </w:rPr>
        <w:t xml:space="preserve"> per cent</w:t>
      </w:r>
      <w:r w:rsidR="00AE140F">
        <w:rPr>
          <w:rFonts w:cstheme="minorHAnsi"/>
          <w:sz w:val="22"/>
        </w:rPr>
        <w:t>)</w:t>
      </w:r>
      <w:r w:rsidR="00742E92">
        <w:rPr>
          <w:rFonts w:cstheme="minorHAnsi"/>
          <w:sz w:val="22"/>
        </w:rPr>
        <w:t>. T</w:t>
      </w:r>
      <w:r w:rsidR="00AE140F">
        <w:rPr>
          <w:rFonts w:cstheme="minorHAnsi"/>
          <w:sz w:val="22"/>
        </w:rPr>
        <w:t xml:space="preserve">he second and third highest enquires </w:t>
      </w:r>
      <w:r w:rsidR="00742E92">
        <w:rPr>
          <w:rFonts w:cstheme="minorHAnsi"/>
          <w:sz w:val="22"/>
        </w:rPr>
        <w:t>were</w:t>
      </w:r>
      <w:r w:rsidR="00AE140F">
        <w:rPr>
          <w:rFonts w:cstheme="minorHAnsi"/>
          <w:sz w:val="22"/>
        </w:rPr>
        <w:t xml:space="preserve"> questioning if specific goods were subject to measures</w:t>
      </w:r>
      <w:r w:rsidR="00742E92">
        <w:rPr>
          <w:rFonts w:cstheme="minorHAnsi"/>
          <w:sz w:val="22"/>
        </w:rPr>
        <w:t xml:space="preserve"> (</w:t>
      </w:r>
      <w:r w:rsidR="00DA4813">
        <w:rPr>
          <w:rFonts w:cstheme="minorHAnsi"/>
          <w:sz w:val="22"/>
        </w:rPr>
        <w:t>18</w:t>
      </w:r>
      <w:r w:rsidR="00474FA2">
        <w:rPr>
          <w:rFonts w:cstheme="minorHAnsi"/>
          <w:sz w:val="22"/>
        </w:rPr>
        <w:t xml:space="preserve"> per cent)</w:t>
      </w:r>
      <w:r w:rsidR="00DA4813">
        <w:rPr>
          <w:rFonts w:cstheme="minorHAnsi"/>
          <w:sz w:val="22"/>
        </w:rPr>
        <w:t xml:space="preserve"> and guidance on calculating duties (17</w:t>
      </w:r>
      <w:r w:rsidR="00474FA2">
        <w:rPr>
          <w:rFonts w:cstheme="minorHAnsi"/>
          <w:sz w:val="22"/>
        </w:rPr>
        <w:t xml:space="preserve"> per cent</w:t>
      </w:r>
      <w:r w:rsidR="00DA4813">
        <w:rPr>
          <w:rFonts w:cstheme="minorHAnsi"/>
          <w:sz w:val="22"/>
        </w:rPr>
        <w:t>)</w:t>
      </w:r>
      <w:r w:rsidR="00AC3644">
        <w:rPr>
          <w:rFonts w:cstheme="minorHAnsi"/>
          <w:sz w:val="22"/>
        </w:rPr>
        <w:t>.</w:t>
      </w:r>
    </w:p>
    <w:p w14:paraId="7949D780" w14:textId="77777777" w:rsidR="00474FA2" w:rsidRPr="00C07AD0" w:rsidRDefault="00474FA2" w:rsidP="002A23F9">
      <w:pPr>
        <w:spacing w:after="0" w:line="240" w:lineRule="auto"/>
        <w:rPr>
          <w:rFonts w:cstheme="minorHAnsi"/>
          <w:sz w:val="22"/>
        </w:rPr>
      </w:pPr>
    </w:p>
    <w:p w14:paraId="5607A6B5" w14:textId="77777777" w:rsidR="005A25E2" w:rsidRDefault="00D860A3" w:rsidP="005A25E2">
      <w:pPr>
        <w:keepNext/>
        <w:contextualSpacing/>
        <w:rPr>
          <w:rFonts w:ascii="Calibri" w:hAnsi="Calibri"/>
          <w:sz w:val="18"/>
          <w:szCs w:val="18"/>
        </w:rPr>
      </w:pPr>
      <w:r>
        <w:rPr>
          <w:rFonts w:ascii="Calibri" w:hAnsi="Calibri"/>
          <w:sz w:val="18"/>
          <w:szCs w:val="18"/>
        </w:rPr>
        <w:t>Figure 2</w:t>
      </w:r>
    </w:p>
    <w:p w14:paraId="32BFF48F" w14:textId="64675470" w:rsidR="005A25E2" w:rsidRDefault="00C352FF" w:rsidP="005A25E2">
      <w:pPr>
        <w:keepNext/>
        <w:contextualSpacing/>
        <w:jc w:val="center"/>
        <w:rPr>
          <w:rFonts w:ascii="Calibri" w:hAnsi="Calibri"/>
          <w:sz w:val="18"/>
          <w:szCs w:val="18"/>
        </w:rPr>
      </w:pPr>
      <w:r>
        <w:rPr>
          <w:rFonts w:ascii="Calibri" w:hAnsi="Calibri"/>
          <w:noProof/>
          <w:sz w:val="18"/>
          <w:szCs w:val="18"/>
          <w:lang w:eastAsia="en-AU"/>
        </w:rPr>
        <w:drawing>
          <wp:inline distT="0" distB="0" distL="0" distR="0" wp14:anchorId="67B8A8F8" wp14:editId="4B91E96D">
            <wp:extent cx="5732780" cy="2240280"/>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3802" cy="2252403"/>
                    </a:xfrm>
                    <a:prstGeom prst="rect">
                      <a:avLst/>
                    </a:prstGeom>
                    <a:noFill/>
                  </pic:spPr>
                </pic:pic>
              </a:graphicData>
            </a:graphic>
          </wp:inline>
        </w:drawing>
      </w:r>
    </w:p>
    <w:p w14:paraId="4D48A55D" w14:textId="00A2D527" w:rsidR="00923D75" w:rsidRDefault="00923D75">
      <w:pPr>
        <w:spacing w:after="200"/>
        <w:rPr>
          <w:rFonts w:cstheme="minorHAnsi"/>
          <w:sz w:val="22"/>
        </w:rPr>
      </w:pPr>
    </w:p>
    <w:p w14:paraId="4B9EBA46" w14:textId="284A8934" w:rsidR="005021CE" w:rsidRDefault="00F30632" w:rsidP="00F30632">
      <w:pPr>
        <w:spacing w:after="0" w:line="240" w:lineRule="auto"/>
        <w:rPr>
          <w:rFonts w:cstheme="minorHAnsi"/>
          <w:sz w:val="22"/>
        </w:rPr>
      </w:pPr>
      <w:r>
        <w:rPr>
          <w:rFonts w:cstheme="minorHAnsi"/>
          <w:sz w:val="22"/>
        </w:rPr>
        <w:t>Figure 3 represents the enquiries received d</w:t>
      </w:r>
      <w:r w:rsidR="00932848" w:rsidRPr="00C07AD0">
        <w:rPr>
          <w:rFonts w:cstheme="minorHAnsi"/>
          <w:sz w:val="22"/>
        </w:rPr>
        <w:t xml:space="preserve">uring </w:t>
      </w:r>
      <w:r w:rsidR="00DA4813">
        <w:rPr>
          <w:rFonts w:cstheme="minorHAnsi"/>
          <w:sz w:val="22"/>
        </w:rPr>
        <w:t>2019-20</w:t>
      </w:r>
      <w:r>
        <w:rPr>
          <w:rFonts w:cstheme="minorHAnsi"/>
          <w:sz w:val="22"/>
        </w:rPr>
        <w:t xml:space="preserve"> that have been grouped </w:t>
      </w:r>
      <w:r w:rsidR="00455445">
        <w:rPr>
          <w:rFonts w:cstheme="minorHAnsi"/>
          <w:sz w:val="22"/>
        </w:rPr>
        <w:t>by</w:t>
      </w:r>
      <w:r>
        <w:rPr>
          <w:rFonts w:cstheme="minorHAnsi"/>
          <w:sz w:val="22"/>
        </w:rPr>
        <w:t xml:space="preserve"> commodity type. S</w:t>
      </w:r>
      <w:r w:rsidR="00932848" w:rsidRPr="00C07AD0">
        <w:rPr>
          <w:rFonts w:cstheme="minorHAnsi"/>
          <w:sz w:val="22"/>
        </w:rPr>
        <w:t xml:space="preserve">teel and aluminium enquiries </w:t>
      </w:r>
      <w:r w:rsidR="00742E92">
        <w:rPr>
          <w:rFonts w:cstheme="minorHAnsi"/>
          <w:sz w:val="22"/>
        </w:rPr>
        <w:t>representing</w:t>
      </w:r>
      <w:r w:rsidR="00742E92" w:rsidRPr="00C07AD0">
        <w:rPr>
          <w:rFonts w:cstheme="minorHAnsi"/>
          <w:sz w:val="22"/>
        </w:rPr>
        <w:t xml:space="preserve"> </w:t>
      </w:r>
      <w:r w:rsidR="00742E92">
        <w:rPr>
          <w:rFonts w:cstheme="minorHAnsi"/>
          <w:sz w:val="22"/>
        </w:rPr>
        <w:t>7</w:t>
      </w:r>
      <w:r w:rsidR="00DA4813">
        <w:rPr>
          <w:rFonts w:cstheme="minorHAnsi"/>
          <w:sz w:val="22"/>
        </w:rPr>
        <w:t>4</w:t>
      </w:r>
      <w:r w:rsidR="00474FA2">
        <w:rPr>
          <w:rFonts w:cstheme="minorHAnsi"/>
          <w:sz w:val="22"/>
        </w:rPr>
        <w:t xml:space="preserve"> per cent</w:t>
      </w:r>
      <w:r w:rsidR="00474FA2" w:rsidRPr="00412E93">
        <w:rPr>
          <w:rFonts w:cstheme="minorHAnsi"/>
          <w:sz w:val="22"/>
        </w:rPr>
        <w:t xml:space="preserve"> </w:t>
      </w:r>
      <w:r w:rsidR="00932848" w:rsidRPr="00412E93">
        <w:rPr>
          <w:rFonts w:cstheme="minorHAnsi"/>
          <w:sz w:val="22"/>
        </w:rPr>
        <w:t>of all enquires</w:t>
      </w:r>
      <w:r w:rsidR="00DA4813">
        <w:rPr>
          <w:rFonts w:cstheme="minorHAnsi"/>
          <w:sz w:val="22"/>
        </w:rPr>
        <w:t>, which is consistent with last year</w:t>
      </w:r>
      <w:r w:rsidR="00932848" w:rsidRPr="00412E93">
        <w:rPr>
          <w:rFonts w:cstheme="minorHAnsi"/>
          <w:sz w:val="22"/>
        </w:rPr>
        <w:t xml:space="preserve">. </w:t>
      </w:r>
      <w:r w:rsidR="00742E92">
        <w:rPr>
          <w:rFonts w:cstheme="minorHAnsi"/>
          <w:sz w:val="22"/>
        </w:rPr>
        <w:t>F</w:t>
      </w:r>
      <w:r w:rsidR="00412E93" w:rsidRPr="00412E93">
        <w:rPr>
          <w:rFonts w:cstheme="minorHAnsi"/>
          <w:sz w:val="22"/>
        </w:rPr>
        <w:t>ood</w:t>
      </w:r>
      <w:r w:rsidR="00DA4813">
        <w:rPr>
          <w:rFonts w:cstheme="minorHAnsi"/>
          <w:sz w:val="22"/>
        </w:rPr>
        <w:t xml:space="preserve"> or chemicals </w:t>
      </w:r>
      <w:r w:rsidR="00742E92">
        <w:rPr>
          <w:rFonts w:cstheme="minorHAnsi"/>
          <w:sz w:val="22"/>
        </w:rPr>
        <w:t>represented</w:t>
      </w:r>
      <w:r w:rsidR="00742E92" w:rsidRPr="00412E93">
        <w:rPr>
          <w:rFonts w:cstheme="minorHAnsi"/>
          <w:sz w:val="22"/>
        </w:rPr>
        <w:t xml:space="preserve"> </w:t>
      </w:r>
      <w:r w:rsidR="00DA4813">
        <w:rPr>
          <w:rFonts w:cstheme="minorHAnsi"/>
          <w:sz w:val="22"/>
        </w:rPr>
        <w:t>6</w:t>
      </w:r>
      <w:r w:rsidR="00474FA2">
        <w:rPr>
          <w:rFonts w:cstheme="minorHAnsi"/>
          <w:sz w:val="22"/>
        </w:rPr>
        <w:t xml:space="preserve"> per cent</w:t>
      </w:r>
      <w:r w:rsidR="00DA4813">
        <w:rPr>
          <w:rFonts w:cstheme="minorHAnsi"/>
          <w:sz w:val="22"/>
        </w:rPr>
        <w:t xml:space="preserve">, with electrical or </w:t>
      </w:r>
      <w:r w:rsidR="004E53E0">
        <w:rPr>
          <w:rFonts w:cstheme="minorHAnsi"/>
          <w:sz w:val="22"/>
        </w:rPr>
        <w:t xml:space="preserve">glass and making up a combined </w:t>
      </w:r>
      <w:r w:rsidR="00DA4813">
        <w:rPr>
          <w:rFonts w:cstheme="minorHAnsi"/>
          <w:sz w:val="22"/>
        </w:rPr>
        <w:t>4</w:t>
      </w:r>
      <w:r w:rsidR="00474FA2">
        <w:rPr>
          <w:rFonts w:cstheme="minorHAnsi"/>
          <w:sz w:val="22"/>
        </w:rPr>
        <w:t xml:space="preserve"> per cent</w:t>
      </w:r>
      <w:r w:rsidR="004E53E0">
        <w:rPr>
          <w:rFonts w:cstheme="minorHAnsi"/>
          <w:sz w:val="22"/>
        </w:rPr>
        <w:t>.</w:t>
      </w:r>
      <w:r w:rsidR="00DA4813">
        <w:rPr>
          <w:rFonts w:cstheme="minorHAnsi"/>
          <w:sz w:val="22"/>
        </w:rPr>
        <w:t xml:space="preserve"> The balance of enquires</w:t>
      </w:r>
      <w:r>
        <w:rPr>
          <w:rFonts w:cstheme="minorHAnsi"/>
          <w:sz w:val="22"/>
        </w:rPr>
        <w:t xml:space="preserve"> (16</w:t>
      </w:r>
      <w:r w:rsidR="00474FA2">
        <w:rPr>
          <w:rFonts w:cstheme="minorHAnsi"/>
          <w:sz w:val="22"/>
        </w:rPr>
        <w:t xml:space="preserve"> per cent</w:t>
      </w:r>
      <w:r>
        <w:rPr>
          <w:rFonts w:cstheme="minorHAnsi"/>
          <w:sz w:val="22"/>
        </w:rPr>
        <w:t xml:space="preserve">) were </w:t>
      </w:r>
      <w:r w:rsidR="00626DC6">
        <w:rPr>
          <w:rFonts w:cstheme="minorHAnsi"/>
          <w:sz w:val="22"/>
        </w:rPr>
        <w:t xml:space="preserve">not in relation to a specific good or related to </w:t>
      </w:r>
      <w:r w:rsidR="00DA4813">
        <w:rPr>
          <w:rFonts w:cstheme="minorHAnsi"/>
          <w:sz w:val="22"/>
        </w:rPr>
        <w:t>other</w:t>
      </w:r>
      <w:r>
        <w:rPr>
          <w:rFonts w:cstheme="minorHAnsi"/>
          <w:sz w:val="22"/>
        </w:rPr>
        <w:t xml:space="preserve"> </w:t>
      </w:r>
      <w:r w:rsidR="00DA4813">
        <w:rPr>
          <w:rFonts w:cstheme="minorHAnsi"/>
          <w:sz w:val="22"/>
        </w:rPr>
        <w:t xml:space="preserve">goods </w:t>
      </w:r>
      <w:r>
        <w:rPr>
          <w:rFonts w:cstheme="minorHAnsi"/>
          <w:sz w:val="22"/>
        </w:rPr>
        <w:t xml:space="preserve">that </w:t>
      </w:r>
      <w:r w:rsidR="00474FA2">
        <w:rPr>
          <w:rFonts w:cstheme="minorHAnsi"/>
          <w:sz w:val="22"/>
        </w:rPr>
        <w:t xml:space="preserve">Australia </w:t>
      </w:r>
      <w:r>
        <w:rPr>
          <w:rFonts w:cstheme="minorHAnsi"/>
          <w:sz w:val="22"/>
        </w:rPr>
        <w:t>do</w:t>
      </w:r>
      <w:r w:rsidR="00474FA2">
        <w:rPr>
          <w:rFonts w:cstheme="minorHAnsi"/>
          <w:sz w:val="22"/>
        </w:rPr>
        <w:t>esn</w:t>
      </w:r>
      <w:r w:rsidR="00626DC6">
        <w:rPr>
          <w:rFonts w:cstheme="minorHAnsi"/>
          <w:sz w:val="22"/>
        </w:rPr>
        <w:t>’t have measures against</w:t>
      </w:r>
      <w:r>
        <w:rPr>
          <w:rFonts w:cstheme="minorHAnsi"/>
          <w:sz w:val="22"/>
        </w:rPr>
        <w:t>.</w:t>
      </w:r>
    </w:p>
    <w:p w14:paraId="1972C6E4" w14:textId="77777777" w:rsidR="00F30632" w:rsidRDefault="00F30632" w:rsidP="00F30632">
      <w:pPr>
        <w:spacing w:after="0" w:line="240" w:lineRule="auto"/>
        <w:rPr>
          <w:rFonts w:ascii="Calibri" w:hAnsi="Calibri"/>
          <w:sz w:val="18"/>
          <w:szCs w:val="18"/>
        </w:rPr>
      </w:pPr>
    </w:p>
    <w:p w14:paraId="7BB79976" w14:textId="55653787" w:rsidR="00932848" w:rsidRDefault="00BF2D87" w:rsidP="00CB6E82">
      <w:pPr>
        <w:keepNext/>
        <w:contextualSpacing/>
        <w:rPr>
          <w:rFonts w:ascii="Calibri" w:hAnsi="Calibri"/>
          <w:sz w:val="18"/>
          <w:szCs w:val="18"/>
        </w:rPr>
      </w:pPr>
      <w:r>
        <w:rPr>
          <w:rFonts w:ascii="Calibri" w:hAnsi="Calibri"/>
          <w:sz w:val="18"/>
          <w:szCs w:val="18"/>
        </w:rPr>
        <w:t xml:space="preserve">Figure </w:t>
      </w:r>
      <w:r w:rsidR="00D860A3">
        <w:rPr>
          <w:rFonts w:ascii="Calibri" w:hAnsi="Calibri"/>
          <w:sz w:val="18"/>
          <w:szCs w:val="18"/>
        </w:rPr>
        <w:t>3</w:t>
      </w:r>
    </w:p>
    <w:p w14:paraId="468DCB43" w14:textId="69320581" w:rsidR="00AE6740" w:rsidRDefault="00B06E41" w:rsidP="00CB6E82">
      <w:pPr>
        <w:keepNext/>
        <w:contextualSpacing/>
        <w:rPr>
          <w:rFonts w:ascii="Calibri" w:hAnsi="Calibri"/>
          <w:sz w:val="18"/>
          <w:szCs w:val="18"/>
        </w:rPr>
      </w:pPr>
      <w:r>
        <w:rPr>
          <w:rFonts w:ascii="Calibri" w:hAnsi="Calibri"/>
          <w:noProof/>
          <w:sz w:val="18"/>
          <w:szCs w:val="18"/>
          <w:lang w:eastAsia="en-AU"/>
        </w:rPr>
        <w:drawing>
          <wp:inline distT="0" distB="0" distL="0" distR="0" wp14:anchorId="6959C6DD" wp14:editId="38F80B00">
            <wp:extent cx="5734050" cy="160451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2305" cy="1620812"/>
                    </a:xfrm>
                    <a:prstGeom prst="rect">
                      <a:avLst/>
                    </a:prstGeom>
                    <a:noFill/>
                  </pic:spPr>
                </pic:pic>
              </a:graphicData>
            </a:graphic>
          </wp:inline>
        </w:drawing>
      </w:r>
    </w:p>
    <w:p w14:paraId="7BAF4255" w14:textId="7C34A1F2" w:rsidR="00CE370F" w:rsidRPr="00DA707A" w:rsidRDefault="00CE370F" w:rsidP="00CE370F">
      <w:pPr>
        <w:keepNext/>
        <w:contextualSpacing/>
        <w:jc w:val="center"/>
        <w:rPr>
          <w:rFonts w:ascii="Calibri" w:hAnsi="Calibri"/>
          <w:sz w:val="18"/>
          <w:szCs w:val="18"/>
        </w:rPr>
      </w:pPr>
    </w:p>
    <w:p w14:paraId="7BB79978" w14:textId="0ECA831B" w:rsidR="003647CA" w:rsidRDefault="003647CA" w:rsidP="00D84647">
      <w:pPr>
        <w:spacing w:after="0" w:line="240" w:lineRule="auto"/>
        <w:rPr>
          <w:rFonts w:cstheme="minorHAnsi"/>
          <w:sz w:val="22"/>
        </w:rPr>
      </w:pPr>
    </w:p>
    <w:p w14:paraId="29BA8F20" w14:textId="085A9805" w:rsidR="00BF4C1C" w:rsidRDefault="00CB6E82" w:rsidP="00D84647">
      <w:pPr>
        <w:spacing w:after="0" w:line="240" w:lineRule="auto"/>
        <w:rPr>
          <w:rFonts w:cstheme="minorHAnsi"/>
          <w:sz w:val="22"/>
        </w:rPr>
      </w:pPr>
      <w:r w:rsidRPr="00CB6E82">
        <w:rPr>
          <w:rFonts w:cstheme="minorHAnsi"/>
          <w:sz w:val="22"/>
        </w:rPr>
        <w:t xml:space="preserve">In July 2017, the Commission introduced website alerts, following stakeholder feedback, including responses to a survey of website users conducted </w:t>
      </w:r>
      <w:r w:rsidR="00474FA2">
        <w:rPr>
          <w:rFonts w:cstheme="minorHAnsi"/>
          <w:sz w:val="22"/>
        </w:rPr>
        <w:t>at the time</w:t>
      </w:r>
      <w:r w:rsidRPr="00CB6E82">
        <w:rPr>
          <w:rFonts w:cstheme="minorHAnsi"/>
          <w:sz w:val="22"/>
        </w:rPr>
        <w:t>.</w:t>
      </w:r>
      <w:r w:rsidR="008F5900">
        <w:rPr>
          <w:rFonts w:cstheme="minorHAnsi"/>
          <w:sz w:val="22"/>
        </w:rPr>
        <w:t xml:space="preserve"> </w:t>
      </w:r>
      <w:r w:rsidR="008D6BA5">
        <w:rPr>
          <w:rFonts w:cstheme="minorHAnsi"/>
          <w:sz w:val="22"/>
        </w:rPr>
        <w:t>As at 30 June 20</w:t>
      </w:r>
      <w:r w:rsidR="00355703">
        <w:rPr>
          <w:rFonts w:cstheme="minorHAnsi"/>
          <w:sz w:val="22"/>
        </w:rPr>
        <w:t>20</w:t>
      </w:r>
      <w:r w:rsidR="008F5900">
        <w:rPr>
          <w:rFonts w:cstheme="minorHAnsi"/>
          <w:sz w:val="22"/>
        </w:rPr>
        <w:t xml:space="preserve">, more than </w:t>
      </w:r>
      <w:r w:rsidR="00355703">
        <w:rPr>
          <w:rFonts w:cstheme="minorHAnsi"/>
          <w:sz w:val="22"/>
        </w:rPr>
        <w:t>8</w:t>
      </w:r>
      <w:r w:rsidR="00A155E6">
        <w:rPr>
          <w:rFonts w:cstheme="minorHAnsi"/>
          <w:sz w:val="22"/>
        </w:rPr>
        <w:t xml:space="preserve">00 </w:t>
      </w:r>
      <w:r w:rsidR="008F5900">
        <w:rPr>
          <w:rFonts w:cstheme="minorHAnsi"/>
          <w:sz w:val="22"/>
        </w:rPr>
        <w:t>subscribers had signed up to receive alerts. The</w:t>
      </w:r>
      <w:r w:rsidR="00574B6E">
        <w:rPr>
          <w:rFonts w:cstheme="minorHAnsi"/>
          <w:sz w:val="22"/>
        </w:rPr>
        <w:t xml:space="preserve"> website alerts</w:t>
      </w:r>
      <w:r w:rsidR="008F5900">
        <w:rPr>
          <w:rFonts w:cstheme="minorHAnsi"/>
          <w:sz w:val="22"/>
        </w:rPr>
        <w:t xml:space="preserve"> assist stakeholders in keeping up-to-date with developments in the Commission’s cases, initiation of new investigations and reviews, and publication of general information on the anti-dumping system.</w:t>
      </w:r>
    </w:p>
    <w:p w14:paraId="7856925D" w14:textId="77777777" w:rsidR="00CB6E82" w:rsidRPr="00CB6E82" w:rsidRDefault="00CB6E82" w:rsidP="00D84647">
      <w:pPr>
        <w:spacing w:after="0" w:line="240" w:lineRule="auto"/>
        <w:rPr>
          <w:rFonts w:cstheme="minorHAnsi"/>
          <w:sz w:val="22"/>
        </w:rPr>
      </w:pPr>
    </w:p>
    <w:p w14:paraId="7BB79979" w14:textId="7E0BC5B9" w:rsidR="00932848" w:rsidRPr="00C07AD0" w:rsidRDefault="00932848" w:rsidP="00D84647">
      <w:pPr>
        <w:ind w:right="-166"/>
        <w:rPr>
          <w:rFonts w:cstheme="minorHAnsi"/>
          <w:sz w:val="22"/>
        </w:rPr>
      </w:pPr>
      <w:r w:rsidRPr="00C07AD0">
        <w:rPr>
          <w:rFonts w:cstheme="minorHAnsi"/>
          <w:b/>
          <w:sz w:val="22"/>
        </w:rPr>
        <w:t>Measure: The Commission adequately consults with industry group representatives of affected stakeholders before changing policies, practices or service standards.</w:t>
      </w:r>
      <w:r w:rsidRPr="00C07AD0">
        <w:rPr>
          <w:rFonts w:cstheme="minorHAnsi"/>
          <w:sz w:val="22"/>
        </w:rPr>
        <w:t xml:space="preserve"> </w:t>
      </w:r>
    </w:p>
    <w:p w14:paraId="7BB7997A" w14:textId="1ED937ED" w:rsidR="00932848" w:rsidRPr="00C07AD0" w:rsidRDefault="00932848" w:rsidP="00D84647">
      <w:pPr>
        <w:pStyle w:val="ListParagraph"/>
        <w:numPr>
          <w:ilvl w:val="0"/>
          <w:numId w:val="15"/>
        </w:numPr>
        <w:spacing w:before="120" w:after="120"/>
        <w:ind w:left="567"/>
        <w:rPr>
          <w:rFonts w:cstheme="minorHAnsi"/>
          <w:i/>
        </w:rPr>
      </w:pPr>
      <w:r w:rsidRPr="00C07AD0">
        <w:rPr>
          <w:rFonts w:cstheme="minorHAnsi"/>
          <w:i/>
        </w:rPr>
        <w:t xml:space="preserve">Metric: </w:t>
      </w:r>
      <w:r w:rsidR="0084378C">
        <w:rPr>
          <w:rFonts w:cstheme="minorHAnsi"/>
          <w:i/>
        </w:rPr>
        <w:t>N</w:t>
      </w:r>
      <w:r w:rsidRPr="00C07AD0">
        <w:rPr>
          <w:rFonts w:cstheme="minorHAnsi"/>
          <w:i/>
        </w:rPr>
        <w:t xml:space="preserve">umber and type of consultation opportunities given to regulated entities and industry group representatives. </w:t>
      </w:r>
    </w:p>
    <w:p w14:paraId="226CB8FA" w14:textId="77777777" w:rsidR="00D51288" w:rsidRPr="002F16FA" w:rsidRDefault="00932848" w:rsidP="002A23F9">
      <w:pPr>
        <w:spacing w:after="0" w:line="240" w:lineRule="auto"/>
        <w:rPr>
          <w:rFonts w:cstheme="minorHAnsi"/>
          <w:sz w:val="22"/>
        </w:rPr>
      </w:pPr>
      <w:r w:rsidRPr="002F16FA">
        <w:rPr>
          <w:rFonts w:cstheme="minorHAnsi"/>
          <w:sz w:val="22"/>
        </w:rPr>
        <w:t xml:space="preserve">Australia’s anti-dumping system offers </w:t>
      </w:r>
      <w:r w:rsidR="006C3193" w:rsidRPr="002F16FA">
        <w:rPr>
          <w:rFonts w:cstheme="minorHAnsi"/>
          <w:sz w:val="22"/>
        </w:rPr>
        <w:t xml:space="preserve">many </w:t>
      </w:r>
      <w:r w:rsidRPr="002F16FA">
        <w:rPr>
          <w:rFonts w:cstheme="minorHAnsi"/>
          <w:sz w:val="22"/>
        </w:rPr>
        <w:t xml:space="preserve">formal and informal opportunities for consultation on policy and practice development. </w:t>
      </w:r>
      <w:r w:rsidR="00D51288" w:rsidRPr="002F16FA">
        <w:rPr>
          <w:rFonts w:cstheme="minorHAnsi"/>
          <w:sz w:val="22"/>
        </w:rPr>
        <w:t>As noted in re</w:t>
      </w:r>
      <w:r w:rsidR="002040D0" w:rsidRPr="002F16FA">
        <w:rPr>
          <w:rFonts w:cstheme="minorHAnsi"/>
          <w:sz w:val="22"/>
        </w:rPr>
        <w:t>lation</w:t>
      </w:r>
      <w:r w:rsidR="00D51288" w:rsidRPr="002F16FA">
        <w:rPr>
          <w:rFonts w:cstheme="minorHAnsi"/>
          <w:sz w:val="22"/>
        </w:rPr>
        <w:t xml:space="preserve"> to KPI 1, the ITRF and ITRF sub-committees met regularly throughout </w:t>
      </w:r>
      <w:r w:rsidR="004E53E0" w:rsidRPr="002F16FA">
        <w:rPr>
          <w:rFonts w:cstheme="minorHAnsi"/>
          <w:sz w:val="22"/>
        </w:rPr>
        <w:t>20</w:t>
      </w:r>
      <w:r w:rsidR="00100B81" w:rsidRPr="002F16FA">
        <w:rPr>
          <w:rFonts w:cstheme="minorHAnsi"/>
          <w:sz w:val="22"/>
        </w:rPr>
        <w:t>19-20</w:t>
      </w:r>
      <w:r w:rsidR="00D51288" w:rsidRPr="002F16FA">
        <w:rPr>
          <w:rFonts w:cstheme="minorHAnsi"/>
          <w:sz w:val="22"/>
        </w:rPr>
        <w:t xml:space="preserve"> and provided numerous opportunities for consultation with stakeholders</w:t>
      </w:r>
      <w:r w:rsidR="002040D0" w:rsidRPr="002F16FA">
        <w:rPr>
          <w:rFonts w:cstheme="minorHAnsi"/>
          <w:sz w:val="22"/>
        </w:rPr>
        <w:t xml:space="preserve"> on specific policy and practice issues. For example</w:t>
      </w:r>
      <w:r w:rsidR="006C3193" w:rsidRPr="002F16FA">
        <w:rPr>
          <w:rFonts w:cstheme="minorHAnsi"/>
          <w:sz w:val="22"/>
        </w:rPr>
        <w:t xml:space="preserve"> (and as discussed further below in relation to KPI 6)</w:t>
      </w:r>
      <w:r w:rsidR="002040D0" w:rsidRPr="002F16FA">
        <w:rPr>
          <w:rFonts w:cstheme="minorHAnsi"/>
          <w:sz w:val="22"/>
        </w:rPr>
        <w:t xml:space="preserve">, the </w:t>
      </w:r>
      <w:r w:rsidR="00A41288" w:rsidRPr="002F16FA">
        <w:rPr>
          <w:rFonts w:cstheme="minorHAnsi"/>
          <w:sz w:val="22"/>
        </w:rPr>
        <w:t>Commission consulted</w:t>
      </w:r>
      <w:r w:rsidR="006C3193" w:rsidRPr="002F16FA">
        <w:rPr>
          <w:rFonts w:cstheme="minorHAnsi"/>
          <w:sz w:val="22"/>
        </w:rPr>
        <w:t xml:space="preserve"> ITRF members on</w:t>
      </w:r>
      <w:r w:rsidR="00E057BD" w:rsidRPr="002F16FA">
        <w:rPr>
          <w:rFonts w:cstheme="minorHAnsi"/>
          <w:sz w:val="22"/>
        </w:rPr>
        <w:t xml:space="preserve"> </w:t>
      </w:r>
      <w:r w:rsidR="00E057BD" w:rsidRPr="002F16FA">
        <w:rPr>
          <w:sz w:val="22"/>
        </w:rPr>
        <w:t xml:space="preserve">operational matters of the Commission, </w:t>
      </w:r>
      <w:r w:rsidR="006E310E" w:rsidRPr="002F16FA">
        <w:rPr>
          <w:sz w:val="22"/>
        </w:rPr>
        <w:t xml:space="preserve">and </w:t>
      </w:r>
      <w:r w:rsidR="00E357CA" w:rsidRPr="002F16FA">
        <w:rPr>
          <w:sz w:val="22"/>
        </w:rPr>
        <w:t>enhanced approaches to trade flow tracking</w:t>
      </w:r>
      <w:r w:rsidR="008B60C6" w:rsidRPr="002F16FA">
        <w:rPr>
          <w:sz w:val="22"/>
        </w:rPr>
        <w:t xml:space="preserve"> and </w:t>
      </w:r>
      <w:r w:rsidR="008B60C6" w:rsidRPr="002F16FA">
        <w:rPr>
          <w:rFonts w:cstheme="minorHAnsi"/>
          <w:sz w:val="22"/>
        </w:rPr>
        <w:t>potential improvements through digital technology</w:t>
      </w:r>
      <w:r w:rsidR="00474FA2" w:rsidRPr="002F16FA">
        <w:rPr>
          <w:rFonts w:cstheme="minorHAnsi"/>
          <w:sz w:val="22"/>
        </w:rPr>
        <w:t>.</w:t>
      </w:r>
      <w:r w:rsidR="006C3193" w:rsidRPr="002F16FA">
        <w:rPr>
          <w:rFonts w:cstheme="minorHAnsi"/>
          <w:sz w:val="22"/>
        </w:rPr>
        <w:t xml:space="preserve"> </w:t>
      </w:r>
      <w:r w:rsidR="00D51288" w:rsidRPr="002F16FA">
        <w:rPr>
          <w:rFonts w:cstheme="minorHAnsi"/>
          <w:sz w:val="22"/>
        </w:rPr>
        <w:t xml:space="preserve">In addition, </w:t>
      </w:r>
      <w:r w:rsidRPr="002F16FA">
        <w:rPr>
          <w:rFonts w:cstheme="minorHAnsi"/>
          <w:sz w:val="22"/>
        </w:rPr>
        <w:t>the Commissioner and Commission staff</w:t>
      </w:r>
      <w:r w:rsidR="00D51288" w:rsidRPr="002F16FA">
        <w:rPr>
          <w:rFonts w:cstheme="minorHAnsi"/>
          <w:sz w:val="22"/>
        </w:rPr>
        <w:t xml:space="preserve"> </w:t>
      </w:r>
      <w:r w:rsidR="0084378C" w:rsidRPr="002F16FA">
        <w:rPr>
          <w:rFonts w:cstheme="minorHAnsi"/>
          <w:sz w:val="22"/>
        </w:rPr>
        <w:t xml:space="preserve">continued to </w:t>
      </w:r>
      <w:r w:rsidR="00D51288" w:rsidRPr="002F16FA">
        <w:rPr>
          <w:rFonts w:cstheme="minorHAnsi"/>
          <w:sz w:val="22"/>
        </w:rPr>
        <w:t xml:space="preserve">meet regularly with stakeholders across a range of sectors to </w:t>
      </w:r>
      <w:r w:rsidRPr="002F16FA">
        <w:rPr>
          <w:rFonts w:cstheme="minorHAnsi"/>
          <w:sz w:val="22"/>
        </w:rPr>
        <w:t xml:space="preserve">discuss </w:t>
      </w:r>
      <w:r w:rsidR="0084378C" w:rsidRPr="002F16FA">
        <w:rPr>
          <w:rFonts w:cstheme="minorHAnsi"/>
          <w:sz w:val="22"/>
        </w:rPr>
        <w:t xml:space="preserve">operational </w:t>
      </w:r>
      <w:r w:rsidRPr="002F16FA">
        <w:rPr>
          <w:rFonts w:cstheme="minorHAnsi"/>
          <w:sz w:val="22"/>
        </w:rPr>
        <w:t>policy and practice matters</w:t>
      </w:r>
      <w:r w:rsidR="00D51288" w:rsidRPr="002F16FA">
        <w:rPr>
          <w:rFonts w:cstheme="minorHAnsi"/>
          <w:sz w:val="22"/>
        </w:rPr>
        <w:t xml:space="preserve">. </w:t>
      </w:r>
    </w:p>
    <w:p w14:paraId="63854D8B" w14:textId="3E30FEC0" w:rsidR="006D141E" w:rsidRPr="002F16FA" w:rsidRDefault="006D141E" w:rsidP="002A23F9">
      <w:pPr>
        <w:spacing w:after="0" w:line="240" w:lineRule="auto"/>
        <w:rPr>
          <w:rFonts w:cstheme="minorHAnsi"/>
          <w:sz w:val="22"/>
        </w:rPr>
      </w:pPr>
    </w:p>
    <w:p w14:paraId="7BB7997D" w14:textId="1686A11B" w:rsidR="00932848" w:rsidRPr="002F16FA" w:rsidRDefault="00932848" w:rsidP="002A23F9">
      <w:pPr>
        <w:spacing w:after="0" w:line="240" w:lineRule="auto"/>
        <w:rPr>
          <w:rFonts w:cstheme="minorHAnsi"/>
          <w:sz w:val="22"/>
        </w:rPr>
      </w:pPr>
      <w:r w:rsidRPr="002F16FA">
        <w:rPr>
          <w:rFonts w:cstheme="minorHAnsi"/>
          <w:sz w:val="22"/>
        </w:rPr>
        <w:t>At the operational level, interested parties are able to make submissions throughout an investigation and there are certain periods of time open to make formal submissions in response to specific investigation reports such as the Statement of Essential Facts</w:t>
      </w:r>
      <w:r w:rsidR="00574B6E">
        <w:rPr>
          <w:rFonts w:cstheme="minorHAnsi"/>
          <w:sz w:val="22"/>
        </w:rPr>
        <w:t xml:space="preserve"> (SEF)</w:t>
      </w:r>
      <w:r w:rsidRPr="002F16FA">
        <w:rPr>
          <w:rFonts w:cstheme="minorHAnsi"/>
          <w:sz w:val="22"/>
        </w:rPr>
        <w:t xml:space="preserve">. </w:t>
      </w:r>
      <w:r w:rsidR="0084378C" w:rsidRPr="002F16FA">
        <w:rPr>
          <w:rFonts w:cstheme="minorHAnsi"/>
          <w:sz w:val="22"/>
        </w:rPr>
        <w:t xml:space="preserve">Consultation </w:t>
      </w:r>
      <w:r w:rsidRPr="002F16FA">
        <w:rPr>
          <w:rFonts w:cstheme="minorHAnsi"/>
          <w:sz w:val="22"/>
        </w:rPr>
        <w:t xml:space="preserve">is an integral part of the inquiry process and the </w:t>
      </w:r>
      <w:r w:rsidR="00574B6E">
        <w:rPr>
          <w:rFonts w:cstheme="minorHAnsi"/>
          <w:sz w:val="22"/>
        </w:rPr>
        <w:t>SEF</w:t>
      </w:r>
      <w:r w:rsidRPr="002F16FA">
        <w:rPr>
          <w:rFonts w:cstheme="minorHAnsi"/>
          <w:sz w:val="22"/>
        </w:rPr>
        <w:t xml:space="preserve"> in particular is an opportunity for regulated entities to have access to, and comment on, the facts on which the Commissioner will base his recommendation</w:t>
      </w:r>
      <w:r w:rsidR="007773AA" w:rsidRPr="002F16FA">
        <w:rPr>
          <w:rFonts w:cstheme="minorHAnsi"/>
          <w:sz w:val="22"/>
        </w:rPr>
        <w:t xml:space="preserve">s to the Minister. In </w:t>
      </w:r>
      <w:r w:rsidR="00355703" w:rsidRPr="002F16FA">
        <w:rPr>
          <w:rFonts w:cstheme="minorHAnsi"/>
          <w:sz w:val="22"/>
        </w:rPr>
        <w:t>2019</w:t>
      </w:r>
      <w:r w:rsidR="005E2F9E" w:rsidRPr="002F16FA">
        <w:rPr>
          <w:rFonts w:cstheme="minorHAnsi"/>
          <w:sz w:val="22"/>
        </w:rPr>
        <w:t>-</w:t>
      </w:r>
      <w:r w:rsidR="00355703" w:rsidRPr="002F16FA">
        <w:rPr>
          <w:rFonts w:cstheme="minorHAnsi"/>
          <w:sz w:val="22"/>
        </w:rPr>
        <w:t>20</w:t>
      </w:r>
      <w:r w:rsidRPr="002F16FA">
        <w:rPr>
          <w:rFonts w:cstheme="minorHAnsi"/>
          <w:sz w:val="22"/>
        </w:rPr>
        <w:t xml:space="preserve">, </w:t>
      </w:r>
      <w:r w:rsidR="00355703" w:rsidRPr="002F16FA">
        <w:rPr>
          <w:rFonts w:cstheme="minorHAnsi"/>
          <w:sz w:val="22"/>
        </w:rPr>
        <w:t xml:space="preserve">342 </w:t>
      </w:r>
      <w:r w:rsidRPr="002F16FA">
        <w:rPr>
          <w:rFonts w:cstheme="minorHAnsi"/>
          <w:sz w:val="22"/>
        </w:rPr>
        <w:t xml:space="preserve">submissions were received on </w:t>
      </w:r>
      <w:r w:rsidR="00B66788" w:rsidRPr="002F16FA">
        <w:rPr>
          <w:rFonts w:cstheme="minorHAnsi"/>
          <w:sz w:val="22"/>
        </w:rPr>
        <w:t xml:space="preserve">64 </w:t>
      </w:r>
      <w:r w:rsidRPr="002F16FA">
        <w:rPr>
          <w:rFonts w:cstheme="minorHAnsi"/>
          <w:sz w:val="22"/>
        </w:rPr>
        <w:t xml:space="preserve">separate cases. </w:t>
      </w:r>
      <w:r w:rsidR="0084378C" w:rsidRPr="002F16FA">
        <w:rPr>
          <w:rFonts w:cstheme="minorHAnsi"/>
          <w:sz w:val="22"/>
        </w:rPr>
        <w:t xml:space="preserve">Public versions </w:t>
      </w:r>
      <w:r w:rsidRPr="002F16FA">
        <w:rPr>
          <w:rFonts w:cstheme="minorHAnsi"/>
          <w:sz w:val="22"/>
        </w:rPr>
        <w:t xml:space="preserve">of these submissions were </w:t>
      </w:r>
      <w:r w:rsidR="0043446D" w:rsidRPr="002F16FA">
        <w:rPr>
          <w:rFonts w:cstheme="minorHAnsi"/>
          <w:sz w:val="22"/>
        </w:rPr>
        <w:t xml:space="preserve">published </w:t>
      </w:r>
      <w:r w:rsidRPr="002F16FA">
        <w:rPr>
          <w:rFonts w:cstheme="minorHAnsi"/>
          <w:sz w:val="22"/>
        </w:rPr>
        <w:t xml:space="preserve">on the Commission’s website and included submissions from </w:t>
      </w:r>
      <w:r w:rsidR="00D93F35" w:rsidRPr="002F16FA">
        <w:rPr>
          <w:rFonts w:cstheme="minorHAnsi"/>
          <w:sz w:val="22"/>
        </w:rPr>
        <w:t xml:space="preserve">Australian manufacturers and producers, </w:t>
      </w:r>
      <w:r w:rsidRPr="002F16FA">
        <w:rPr>
          <w:rFonts w:cstheme="minorHAnsi"/>
          <w:sz w:val="22"/>
        </w:rPr>
        <w:t>exporters, importers, foreign governments and others</w:t>
      </w:r>
      <w:r w:rsidR="00FA1944" w:rsidRPr="002F16FA">
        <w:rPr>
          <w:rFonts w:cstheme="minorHAnsi"/>
          <w:sz w:val="22"/>
        </w:rPr>
        <w:t xml:space="preserve">. (See Figure </w:t>
      </w:r>
      <w:r w:rsidR="00D860A3" w:rsidRPr="002F16FA">
        <w:rPr>
          <w:rFonts w:cstheme="minorHAnsi"/>
          <w:sz w:val="22"/>
        </w:rPr>
        <w:t xml:space="preserve">4 </w:t>
      </w:r>
      <w:r w:rsidR="00FA1944" w:rsidRPr="002F16FA">
        <w:rPr>
          <w:rFonts w:cstheme="minorHAnsi"/>
          <w:sz w:val="22"/>
        </w:rPr>
        <w:t>for a breakdown of submissions</w:t>
      </w:r>
      <w:r w:rsidR="00D84647" w:rsidRPr="002F16FA">
        <w:rPr>
          <w:rFonts w:cstheme="minorHAnsi"/>
          <w:sz w:val="22"/>
        </w:rPr>
        <w:t>.</w:t>
      </w:r>
      <w:r w:rsidR="00FA1944" w:rsidRPr="002F16FA">
        <w:rPr>
          <w:rFonts w:cstheme="minorHAnsi"/>
          <w:sz w:val="22"/>
        </w:rPr>
        <w:t>)</w:t>
      </w:r>
    </w:p>
    <w:p w14:paraId="7BB7997F" w14:textId="0D23DB78" w:rsidR="002A23F9" w:rsidRDefault="00800315" w:rsidP="00A86434">
      <w:pPr>
        <w:keepNext/>
        <w:spacing w:after="0"/>
        <w:rPr>
          <w:rFonts w:ascii="Calibri" w:hAnsi="Calibri"/>
          <w:sz w:val="18"/>
          <w:szCs w:val="18"/>
        </w:rPr>
      </w:pPr>
      <w:r>
        <w:rPr>
          <w:rFonts w:ascii="Calibri" w:hAnsi="Calibri"/>
          <w:sz w:val="18"/>
          <w:szCs w:val="18"/>
        </w:rPr>
        <w:t xml:space="preserve">Figure </w:t>
      </w:r>
      <w:r w:rsidR="00D860A3">
        <w:rPr>
          <w:rFonts w:ascii="Calibri" w:hAnsi="Calibri"/>
          <w:sz w:val="18"/>
          <w:szCs w:val="18"/>
        </w:rPr>
        <w:t>4</w:t>
      </w:r>
    </w:p>
    <w:p w14:paraId="15B1E2DB" w14:textId="69492304" w:rsidR="00AE6740" w:rsidRDefault="00A662FC" w:rsidP="009914D0">
      <w:pPr>
        <w:keepNext/>
        <w:spacing w:after="0"/>
        <w:jc w:val="center"/>
        <w:rPr>
          <w:rFonts w:ascii="Calibri" w:hAnsi="Calibri"/>
          <w:sz w:val="18"/>
          <w:szCs w:val="18"/>
        </w:rPr>
      </w:pPr>
      <w:r>
        <w:rPr>
          <w:rFonts w:ascii="Calibri" w:hAnsi="Calibri"/>
          <w:noProof/>
          <w:sz w:val="18"/>
          <w:szCs w:val="18"/>
          <w:lang w:eastAsia="en-AU"/>
        </w:rPr>
        <w:drawing>
          <wp:inline distT="0" distB="0" distL="0" distR="0" wp14:anchorId="77BF97F4" wp14:editId="01D17710">
            <wp:extent cx="5592098" cy="2125980"/>
            <wp:effectExtent l="0" t="0" r="889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4557" cy="2172536"/>
                    </a:xfrm>
                    <a:prstGeom prst="rect">
                      <a:avLst/>
                    </a:prstGeom>
                    <a:noFill/>
                  </pic:spPr>
                </pic:pic>
              </a:graphicData>
            </a:graphic>
          </wp:inline>
        </w:drawing>
      </w:r>
    </w:p>
    <w:p w14:paraId="7BB79981" w14:textId="717E82A5" w:rsidR="00932848" w:rsidRPr="00B9289D" w:rsidRDefault="004B417C" w:rsidP="004B417C">
      <w:pPr>
        <w:spacing w:after="0" w:line="240" w:lineRule="auto"/>
        <w:rPr>
          <w:rFonts w:ascii="Calibri" w:hAnsi="Calibri" w:cstheme="minorHAnsi"/>
          <w:sz w:val="18"/>
          <w:szCs w:val="18"/>
          <w:u w:val="single"/>
        </w:rPr>
      </w:pPr>
      <w:r w:rsidRPr="00B9289D">
        <w:rPr>
          <w:rFonts w:ascii="Calibri" w:hAnsi="Calibri"/>
          <w:sz w:val="18"/>
          <w:szCs w:val="18"/>
        </w:rPr>
        <w:t xml:space="preserve">*The </w:t>
      </w:r>
      <w:r w:rsidR="00A054DE" w:rsidRPr="00B9289D">
        <w:rPr>
          <w:rFonts w:ascii="Calibri" w:hAnsi="Calibri"/>
          <w:sz w:val="18"/>
          <w:szCs w:val="18"/>
        </w:rPr>
        <w:t>“</w:t>
      </w:r>
      <w:r w:rsidRPr="00B9289D">
        <w:rPr>
          <w:rFonts w:ascii="Calibri" w:hAnsi="Calibri"/>
          <w:sz w:val="18"/>
          <w:szCs w:val="18"/>
        </w:rPr>
        <w:t>other</w:t>
      </w:r>
      <w:r w:rsidR="00A054DE" w:rsidRPr="00B9289D">
        <w:rPr>
          <w:rFonts w:ascii="Calibri" w:hAnsi="Calibri"/>
          <w:sz w:val="18"/>
          <w:szCs w:val="18"/>
        </w:rPr>
        <w:t>”</w:t>
      </w:r>
      <w:r w:rsidRPr="00B9289D">
        <w:rPr>
          <w:rFonts w:ascii="Calibri" w:hAnsi="Calibri"/>
          <w:sz w:val="18"/>
          <w:szCs w:val="18"/>
        </w:rPr>
        <w:t xml:space="preserve"> category relates to submissions from associations, unions, </w:t>
      </w:r>
      <w:r w:rsidR="005F5F7D">
        <w:rPr>
          <w:rFonts w:ascii="Calibri" w:hAnsi="Calibri"/>
          <w:sz w:val="18"/>
          <w:szCs w:val="18"/>
        </w:rPr>
        <w:t xml:space="preserve">traders </w:t>
      </w:r>
      <w:r w:rsidRPr="00B9289D">
        <w:rPr>
          <w:rFonts w:ascii="Calibri" w:hAnsi="Calibri"/>
          <w:sz w:val="18"/>
          <w:szCs w:val="18"/>
        </w:rPr>
        <w:t>and unaffiliated interested parties.</w:t>
      </w:r>
    </w:p>
    <w:p w14:paraId="6D720AFB" w14:textId="77777777" w:rsidR="00B9289D" w:rsidRDefault="00B9289D" w:rsidP="00D84647">
      <w:pPr>
        <w:spacing w:after="0"/>
        <w:rPr>
          <w:rFonts w:cstheme="minorHAnsi"/>
          <w:b/>
          <w:sz w:val="22"/>
        </w:rPr>
      </w:pPr>
    </w:p>
    <w:p w14:paraId="29C568F1" w14:textId="77777777" w:rsidR="00146D26" w:rsidRDefault="00146D26" w:rsidP="00220C50">
      <w:pPr>
        <w:spacing w:after="0"/>
        <w:rPr>
          <w:rFonts w:cstheme="minorHAnsi"/>
          <w:sz w:val="22"/>
        </w:rPr>
      </w:pPr>
    </w:p>
    <w:p w14:paraId="7BB79982" w14:textId="2F3EBCF6" w:rsidR="00932848" w:rsidRPr="00C07AD0" w:rsidRDefault="00932848" w:rsidP="00D84647">
      <w:pPr>
        <w:rPr>
          <w:rFonts w:cstheme="minorHAnsi"/>
          <w:b/>
          <w:sz w:val="22"/>
        </w:rPr>
      </w:pPr>
      <w:r w:rsidRPr="00C07AD0">
        <w:rPr>
          <w:rFonts w:cstheme="minorHAnsi"/>
          <w:b/>
          <w:sz w:val="22"/>
        </w:rPr>
        <w:t xml:space="preserve">Measure: Decisions, reasons for decisions and advice provided by the Commission to affected entities are readable and understandable </w:t>
      </w:r>
    </w:p>
    <w:p w14:paraId="7BB79983" w14:textId="77777777" w:rsidR="00932848" w:rsidRPr="00C07AD0" w:rsidRDefault="00932848" w:rsidP="00EE6C2F">
      <w:pPr>
        <w:pStyle w:val="ListParagraph"/>
        <w:numPr>
          <w:ilvl w:val="0"/>
          <w:numId w:val="14"/>
        </w:numPr>
        <w:spacing w:before="120" w:after="120" w:line="240" w:lineRule="auto"/>
        <w:ind w:left="567" w:hanging="357"/>
        <w:rPr>
          <w:rFonts w:cstheme="minorHAnsi"/>
          <w:i/>
        </w:rPr>
      </w:pPr>
      <w:r w:rsidRPr="00C07AD0">
        <w:rPr>
          <w:rFonts w:cstheme="minorHAnsi"/>
          <w:i/>
        </w:rPr>
        <w:t xml:space="preserve">Metric: Information provided to entities will be readable and consistent with Anti-Dumping legislation, policies and guidelines, and/or decisions made by the Commission, via merits or judicial reviews </w:t>
      </w:r>
    </w:p>
    <w:p w14:paraId="0BFC9596" w14:textId="5596FCD6" w:rsidR="0084378C" w:rsidRDefault="00932848" w:rsidP="00EE6C2F">
      <w:pPr>
        <w:spacing w:after="0" w:line="240" w:lineRule="auto"/>
        <w:rPr>
          <w:rFonts w:cstheme="minorHAnsi"/>
          <w:sz w:val="22"/>
        </w:rPr>
      </w:pPr>
      <w:r w:rsidRPr="00C07AD0">
        <w:rPr>
          <w:rFonts w:cstheme="minorHAnsi"/>
          <w:sz w:val="22"/>
        </w:rPr>
        <w:t>Australia’s anti-dumping legislation requires a certain level of transparency throughout an investigation</w:t>
      </w:r>
      <w:r w:rsidR="0084378C">
        <w:rPr>
          <w:rFonts w:cstheme="minorHAnsi"/>
          <w:sz w:val="22"/>
        </w:rPr>
        <w:t>.</w:t>
      </w:r>
      <w:r w:rsidRPr="00C07AD0">
        <w:rPr>
          <w:rFonts w:cstheme="minorHAnsi"/>
          <w:sz w:val="22"/>
        </w:rPr>
        <w:t xml:space="preserve"> </w:t>
      </w:r>
      <w:r w:rsidR="00AC49DE">
        <w:rPr>
          <w:rFonts w:cstheme="minorHAnsi"/>
          <w:sz w:val="22"/>
        </w:rPr>
        <w:t xml:space="preserve">In </w:t>
      </w:r>
      <w:r w:rsidR="00B66788">
        <w:rPr>
          <w:rFonts w:cstheme="minorHAnsi"/>
          <w:sz w:val="22"/>
        </w:rPr>
        <w:t>2019-20</w:t>
      </w:r>
      <w:r w:rsidRPr="00C07AD0">
        <w:rPr>
          <w:rFonts w:cstheme="minorHAnsi"/>
          <w:sz w:val="22"/>
        </w:rPr>
        <w:t xml:space="preserve">, </w:t>
      </w:r>
      <w:r w:rsidR="00B66788">
        <w:rPr>
          <w:rFonts w:cstheme="minorHAnsi"/>
          <w:sz w:val="22"/>
        </w:rPr>
        <w:t>151</w:t>
      </w:r>
      <w:r w:rsidR="00B66788" w:rsidRPr="00C07AD0">
        <w:rPr>
          <w:rFonts w:cstheme="minorHAnsi"/>
          <w:sz w:val="22"/>
        </w:rPr>
        <w:t xml:space="preserve"> </w:t>
      </w:r>
      <w:r w:rsidRPr="00C07AD0">
        <w:rPr>
          <w:rFonts w:cstheme="minorHAnsi"/>
          <w:sz w:val="22"/>
        </w:rPr>
        <w:t>Anti-Dumping Notices were published on the Commission’s website notifying decisions and</w:t>
      </w:r>
      <w:r w:rsidR="00424A36">
        <w:rPr>
          <w:rFonts w:cstheme="minorHAnsi"/>
          <w:sz w:val="22"/>
        </w:rPr>
        <w:t xml:space="preserve"> </w:t>
      </w:r>
      <w:r w:rsidR="00B66788">
        <w:rPr>
          <w:rFonts w:cstheme="minorHAnsi"/>
          <w:sz w:val="22"/>
        </w:rPr>
        <w:t>170</w:t>
      </w:r>
      <w:r w:rsidR="00B66788" w:rsidRPr="00C07AD0">
        <w:rPr>
          <w:rFonts w:cstheme="minorHAnsi"/>
          <w:sz w:val="22"/>
        </w:rPr>
        <w:t xml:space="preserve"> </w:t>
      </w:r>
      <w:r w:rsidRPr="00C07AD0">
        <w:rPr>
          <w:rFonts w:cstheme="minorHAnsi"/>
          <w:sz w:val="22"/>
        </w:rPr>
        <w:t xml:space="preserve">investigation </w:t>
      </w:r>
      <w:r w:rsidR="00CC5C95" w:rsidRPr="00C07AD0">
        <w:rPr>
          <w:rFonts w:cstheme="minorHAnsi"/>
          <w:sz w:val="22"/>
        </w:rPr>
        <w:t>reports</w:t>
      </w:r>
      <w:r w:rsidR="00CC5C95">
        <w:rPr>
          <w:rFonts w:cstheme="minorHAnsi"/>
          <w:sz w:val="22"/>
        </w:rPr>
        <w:t xml:space="preserve"> </w:t>
      </w:r>
      <w:r w:rsidR="00CC5C95" w:rsidRPr="00C07AD0">
        <w:rPr>
          <w:rFonts w:cstheme="minorHAnsi"/>
          <w:sz w:val="22"/>
        </w:rPr>
        <w:t>were</w:t>
      </w:r>
      <w:r w:rsidRPr="00C07AD0">
        <w:rPr>
          <w:rFonts w:cstheme="minorHAnsi"/>
          <w:sz w:val="22"/>
        </w:rPr>
        <w:t xml:space="preserve"> published explaining the evidence, analysis and decisions</w:t>
      </w:r>
      <w:r w:rsidR="005B3A86">
        <w:rPr>
          <w:rFonts w:cstheme="minorHAnsi"/>
          <w:sz w:val="22"/>
        </w:rPr>
        <w:t xml:space="preserve"> (</w:t>
      </w:r>
      <w:r w:rsidR="00FA1944">
        <w:rPr>
          <w:rFonts w:cstheme="minorHAnsi"/>
          <w:sz w:val="22"/>
        </w:rPr>
        <w:t xml:space="preserve">Figure </w:t>
      </w:r>
      <w:r w:rsidR="00D860A3">
        <w:rPr>
          <w:rFonts w:cstheme="minorHAnsi"/>
          <w:sz w:val="22"/>
        </w:rPr>
        <w:t>5</w:t>
      </w:r>
      <w:r w:rsidR="005B3A86">
        <w:rPr>
          <w:rFonts w:cstheme="minorHAnsi"/>
          <w:sz w:val="22"/>
        </w:rPr>
        <w:t>)</w:t>
      </w:r>
      <w:r w:rsidRPr="00C07AD0">
        <w:rPr>
          <w:rFonts w:cstheme="minorHAnsi"/>
          <w:sz w:val="22"/>
        </w:rPr>
        <w:t>.</w:t>
      </w:r>
      <w:r w:rsidR="00FA1944">
        <w:rPr>
          <w:rFonts w:cstheme="minorHAnsi"/>
          <w:sz w:val="22"/>
        </w:rPr>
        <w:t xml:space="preserve"> Some of these investigation reports are not required by legislation but are published by the Commission to improve transparency and facilitate stakeholder engagement in investigations.</w:t>
      </w:r>
    </w:p>
    <w:p w14:paraId="1BE2D34D" w14:textId="77777777" w:rsidR="0084378C" w:rsidRDefault="0084378C" w:rsidP="00EE6C2F">
      <w:pPr>
        <w:spacing w:after="0" w:line="240" w:lineRule="auto"/>
        <w:rPr>
          <w:rFonts w:cstheme="minorHAnsi"/>
          <w:sz w:val="22"/>
        </w:rPr>
      </w:pPr>
    </w:p>
    <w:p w14:paraId="052943FF" w14:textId="1C6E75B6" w:rsidR="0084378C" w:rsidRDefault="0084378C" w:rsidP="00EE6C2F">
      <w:pPr>
        <w:spacing w:after="0" w:line="240" w:lineRule="auto"/>
        <w:rPr>
          <w:rFonts w:cstheme="minorHAnsi"/>
          <w:sz w:val="22"/>
        </w:rPr>
      </w:pPr>
      <w:r>
        <w:rPr>
          <w:rFonts w:cstheme="minorHAnsi"/>
          <w:sz w:val="22"/>
        </w:rPr>
        <w:t>T</w:t>
      </w:r>
      <w:r w:rsidRPr="00C07AD0">
        <w:rPr>
          <w:rFonts w:cstheme="minorHAnsi"/>
          <w:sz w:val="22"/>
        </w:rPr>
        <w:t>he Commission works to ensure that information provided to entities including decisions and reasoning are readable</w:t>
      </w:r>
      <w:r>
        <w:rPr>
          <w:rFonts w:cstheme="minorHAnsi"/>
          <w:sz w:val="22"/>
        </w:rPr>
        <w:t>, timely</w:t>
      </w:r>
      <w:r w:rsidRPr="00C07AD0">
        <w:rPr>
          <w:rFonts w:cstheme="minorHAnsi"/>
          <w:sz w:val="22"/>
        </w:rPr>
        <w:t xml:space="preserve"> and consistent with legislation, </w:t>
      </w:r>
      <w:r>
        <w:rPr>
          <w:rFonts w:cstheme="minorHAnsi"/>
          <w:sz w:val="22"/>
        </w:rPr>
        <w:t xml:space="preserve">policies and guidelines. </w:t>
      </w:r>
      <w:r w:rsidR="00D4123D">
        <w:rPr>
          <w:rFonts w:cstheme="minorHAnsi"/>
          <w:sz w:val="22"/>
        </w:rPr>
        <w:t xml:space="preserve">The Commission has worked to improve the readability of its reports, an example of this is </w:t>
      </w:r>
      <w:r w:rsidR="00D4123D" w:rsidRPr="0011664E">
        <w:rPr>
          <w:rFonts w:cstheme="minorHAnsi"/>
          <w:sz w:val="22"/>
        </w:rPr>
        <w:t>including e</w:t>
      </w:r>
      <w:r w:rsidR="00EE6C2F" w:rsidRPr="0011664E">
        <w:rPr>
          <w:rFonts w:cstheme="minorHAnsi"/>
          <w:sz w:val="22"/>
        </w:rPr>
        <w:t>xecutive summaries</w:t>
      </w:r>
      <w:r w:rsidR="00D4123D" w:rsidRPr="0011664E">
        <w:rPr>
          <w:rFonts w:cstheme="minorHAnsi"/>
          <w:sz w:val="22"/>
        </w:rPr>
        <w:t xml:space="preserve"> to assist with the understanding of decisions. </w:t>
      </w:r>
      <w:r w:rsidR="00072541" w:rsidRPr="0011664E">
        <w:rPr>
          <w:rFonts w:cstheme="minorHAnsi"/>
          <w:sz w:val="22"/>
        </w:rPr>
        <w:t xml:space="preserve">In the survey conducted for this report, </w:t>
      </w:r>
      <w:r w:rsidR="00164A79">
        <w:rPr>
          <w:rFonts w:cstheme="minorHAnsi"/>
          <w:sz w:val="22"/>
        </w:rPr>
        <w:t>80 per cent</w:t>
      </w:r>
      <w:r w:rsidR="00E717B8" w:rsidRPr="0011664E">
        <w:rPr>
          <w:rFonts w:cstheme="minorHAnsi"/>
          <w:sz w:val="22"/>
        </w:rPr>
        <w:t xml:space="preserve"> </w:t>
      </w:r>
      <w:r w:rsidR="00164A79">
        <w:rPr>
          <w:rFonts w:cstheme="minorHAnsi"/>
          <w:sz w:val="22"/>
        </w:rPr>
        <w:t xml:space="preserve">of applicable </w:t>
      </w:r>
      <w:r w:rsidR="00D4123D" w:rsidRPr="0011664E">
        <w:rPr>
          <w:rFonts w:cstheme="minorHAnsi"/>
          <w:sz w:val="22"/>
        </w:rPr>
        <w:t xml:space="preserve">respondents </w:t>
      </w:r>
      <w:r w:rsidR="00072541" w:rsidRPr="0011664E">
        <w:rPr>
          <w:rFonts w:cstheme="minorHAnsi"/>
          <w:sz w:val="22"/>
        </w:rPr>
        <w:t>were</w:t>
      </w:r>
      <w:r w:rsidR="00D4123D" w:rsidRPr="0011664E">
        <w:rPr>
          <w:rFonts w:cstheme="minorHAnsi"/>
          <w:sz w:val="22"/>
        </w:rPr>
        <w:t xml:space="preserve"> </w:t>
      </w:r>
      <w:r w:rsidR="00217EEE" w:rsidRPr="0011664E">
        <w:rPr>
          <w:rFonts w:cstheme="minorHAnsi"/>
          <w:sz w:val="22"/>
        </w:rPr>
        <w:t xml:space="preserve">very satisfied, </w:t>
      </w:r>
      <w:r w:rsidR="00E717B8" w:rsidRPr="0011664E">
        <w:rPr>
          <w:rFonts w:cstheme="minorHAnsi"/>
          <w:sz w:val="22"/>
        </w:rPr>
        <w:t xml:space="preserve">satisfied or somewhat satisfied </w:t>
      </w:r>
      <w:r w:rsidR="00072541" w:rsidRPr="0011664E">
        <w:rPr>
          <w:rFonts w:cstheme="minorHAnsi"/>
          <w:sz w:val="22"/>
        </w:rPr>
        <w:t>that</w:t>
      </w:r>
      <w:r w:rsidR="00D4123D" w:rsidRPr="0011664E">
        <w:rPr>
          <w:rFonts w:cstheme="minorHAnsi"/>
          <w:sz w:val="22"/>
        </w:rPr>
        <w:t xml:space="preserve"> the Commission’s communication </w:t>
      </w:r>
      <w:r w:rsidR="00072541" w:rsidRPr="0011664E">
        <w:rPr>
          <w:rFonts w:cstheme="minorHAnsi"/>
          <w:sz w:val="22"/>
        </w:rPr>
        <w:t>is</w:t>
      </w:r>
      <w:r w:rsidR="00D4123D" w:rsidRPr="0011664E">
        <w:rPr>
          <w:rFonts w:cstheme="minorHAnsi"/>
          <w:sz w:val="22"/>
        </w:rPr>
        <w:t xml:space="preserve"> appropriately targeted and clearly explains the evidence</w:t>
      </w:r>
      <w:r w:rsidR="00072541" w:rsidRPr="0011664E">
        <w:rPr>
          <w:rFonts w:cstheme="minorHAnsi"/>
          <w:sz w:val="22"/>
        </w:rPr>
        <w:t>-</w:t>
      </w:r>
      <w:r w:rsidR="00D4123D" w:rsidRPr="0011664E">
        <w:rPr>
          <w:rFonts w:cstheme="minorHAnsi"/>
          <w:sz w:val="22"/>
        </w:rPr>
        <w:t>based approach used in investigations.</w:t>
      </w:r>
    </w:p>
    <w:p w14:paraId="3E274FB2" w14:textId="77777777" w:rsidR="0084378C" w:rsidRDefault="0084378C" w:rsidP="00EE6C2F">
      <w:pPr>
        <w:spacing w:after="0" w:line="240" w:lineRule="auto"/>
        <w:rPr>
          <w:rFonts w:cstheme="minorHAnsi"/>
          <w:sz w:val="22"/>
        </w:rPr>
      </w:pPr>
    </w:p>
    <w:p w14:paraId="7BB79989" w14:textId="5C5EC162" w:rsidR="00932848" w:rsidRDefault="00FA1944" w:rsidP="00FA1944">
      <w:pPr>
        <w:keepNext/>
        <w:spacing w:after="0"/>
        <w:rPr>
          <w:rFonts w:ascii="Calibri" w:hAnsi="Calibri"/>
          <w:sz w:val="18"/>
          <w:szCs w:val="18"/>
        </w:rPr>
      </w:pPr>
      <w:r>
        <w:rPr>
          <w:rFonts w:ascii="Calibri" w:hAnsi="Calibri"/>
          <w:sz w:val="18"/>
          <w:szCs w:val="18"/>
        </w:rPr>
        <w:t xml:space="preserve">Figure </w:t>
      </w:r>
      <w:r w:rsidR="00D860A3">
        <w:rPr>
          <w:rFonts w:ascii="Calibri" w:hAnsi="Calibri"/>
          <w:sz w:val="18"/>
          <w:szCs w:val="18"/>
        </w:rPr>
        <w:t>5</w:t>
      </w:r>
    </w:p>
    <w:p w14:paraId="6EBFEC41" w14:textId="70E8C121" w:rsidR="0036406F" w:rsidRPr="00E13734" w:rsidRDefault="00A662FC" w:rsidP="0036406F">
      <w:pPr>
        <w:keepNext/>
        <w:spacing w:after="0"/>
        <w:jc w:val="center"/>
        <w:rPr>
          <w:rFonts w:ascii="Calibri" w:hAnsi="Calibri"/>
          <w:sz w:val="18"/>
          <w:szCs w:val="18"/>
        </w:rPr>
      </w:pPr>
      <w:r>
        <w:rPr>
          <w:rFonts w:ascii="Calibri" w:hAnsi="Calibri"/>
          <w:noProof/>
          <w:sz w:val="18"/>
          <w:szCs w:val="18"/>
          <w:lang w:eastAsia="en-AU"/>
        </w:rPr>
        <w:drawing>
          <wp:inline distT="0" distB="0" distL="0" distR="0" wp14:anchorId="2EA86C86" wp14:editId="284CA0FB">
            <wp:extent cx="4934585" cy="22631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4367" cy="2285971"/>
                    </a:xfrm>
                    <a:prstGeom prst="rect">
                      <a:avLst/>
                    </a:prstGeom>
                    <a:noFill/>
                  </pic:spPr>
                </pic:pic>
              </a:graphicData>
            </a:graphic>
          </wp:inline>
        </w:drawing>
      </w:r>
    </w:p>
    <w:p w14:paraId="7BB7998B" w14:textId="77777777" w:rsidR="00932848" w:rsidRDefault="00932848" w:rsidP="00D84647">
      <w:pPr>
        <w:spacing w:after="0" w:line="240" w:lineRule="auto"/>
        <w:rPr>
          <w:rFonts w:ascii="Calibri" w:hAnsi="Calibri"/>
        </w:rPr>
      </w:pPr>
    </w:p>
    <w:p w14:paraId="7BB7998C" w14:textId="386AB129" w:rsidR="00932848" w:rsidRPr="00C07AD0" w:rsidRDefault="00932848" w:rsidP="00D84647">
      <w:pPr>
        <w:pStyle w:val="ListParagraph"/>
        <w:numPr>
          <w:ilvl w:val="0"/>
          <w:numId w:val="13"/>
        </w:numPr>
        <w:spacing w:after="120"/>
        <w:ind w:left="567" w:hanging="357"/>
        <w:contextualSpacing w:val="0"/>
        <w:rPr>
          <w:rFonts w:cstheme="minorHAnsi"/>
          <w:i/>
        </w:rPr>
      </w:pPr>
      <w:r w:rsidRPr="00C07AD0">
        <w:rPr>
          <w:rFonts w:cstheme="minorHAnsi"/>
          <w:i/>
        </w:rPr>
        <w:t xml:space="preserve">Metric: The Dumping and Subsidy Manual and subsidy register will be readable and </w:t>
      </w:r>
      <w:r w:rsidR="005B3A86">
        <w:rPr>
          <w:rFonts w:cstheme="minorHAnsi"/>
          <w:i/>
        </w:rPr>
        <w:t xml:space="preserve">will </w:t>
      </w:r>
      <w:r w:rsidRPr="00C07AD0">
        <w:rPr>
          <w:rFonts w:cstheme="minorHAnsi"/>
          <w:i/>
        </w:rPr>
        <w:t xml:space="preserve">be regularly updated to assist stakeholders understand the legislative, policy and guidelines </w:t>
      </w:r>
    </w:p>
    <w:p w14:paraId="15B30A51" w14:textId="6EE7907C" w:rsidR="00932848" w:rsidRDefault="00932848" w:rsidP="002A23F9">
      <w:pPr>
        <w:spacing w:after="0" w:line="240" w:lineRule="auto"/>
        <w:rPr>
          <w:rFonts w:cstheme="minorHAnsi"/>
          <w:sz w:val="22"/>
        </w:rPr>
      </w:pPr>
      <w:r w:rsidRPr="00C07AD0">
        <w:rPr>
          <w:rFonts w:cstheme="minorHAnsi"/>
          <w:sz w:val="22"/>
        </w:rPr>
        <w:t>The Commission maintains a Dumping and Subsidy Manual and a subsidies register to assist stakeholders</w:t>
      </w:r>
      <w:r w:rsidR="006276A8">
        <w:rPr>
          <w:rFonts w:cstheme="minorHAnsi"/>
          <w:sz w:val="22"/>
        </w:rPr>
        <w:t xml:space="preserve"> </w:t>
      </w:r>
      <w:r w:rsidR="00301558">
        <w:rPr>
          <w:rFonts w:cstheme="minorHAnsi"/>
          <w:sz w:val="22"/>
        </w:rPr>
        <w:t>understand</w:t>
      </w:r>
      <w:r w:rsidRPr="00C07AD0">
        <w:rPr>
          <w:rFonts w:cstheme="minorHAnsi"/>
          <w:sz w:val="22"/>
        </w:rPr>
        <w:t xml:space="preserve"> the practices used by the Commission in administering the anti-dumping and countervailing system. The Manual is a public document outlining the Commission’s established policies and practices. The Manual provides guidance to regulated entities on the Commission’s approach to investigations and its interpretation of legislative provisions and aims to promote a consistent approach in investigations undertaken by the Commission. </w:t>
      </w:r>
      <w:bookmarkStart w:id="22" w:name="CursorPositionBM"/>
      <w:bookmarkEnd w:id="22"/>
      <w:r w:rsidRPr="00C07AD0">
        <w:rPr>
          <w:rFonts w:cstheme="minorHAnsi"/>
          <w:sz w:val="22"/>
        </w:rPr>
        <w:t xml:space="preserve">The subsidies register is a </w:t>
      </w:r>
      <w:r w:rsidR="005714AB">
        <w:rPr>
          <w:rFonts w:cstheme="minorHAnsi"/>
          <w:sz w:val="22"/>
        </w:rPr>
        <w:t xml:space="preserve">further </w:t>
      </w:r>
      <w:r w:rsidRPr="00C07AD0">
        <w:rPr>
          <w:rFonts w:cstheme="minorHAnsi"/>
          <w:sz w:val="22"/>
        </w:rPr>
        <w:t xml:space="preserve">resource for stakeholders that provides a summary of subsidy programs that have been investigated by the Commission by country and includes references to relevant Commission reports. </w:t>
      </w:r>
    </w:p>
    <w:p w14:paraId="6C350601" w14:textId="77777777" w:rsidR="00396A04" w:rsidRDefault="00396A04" w:rsidP="002A23F9">
      <w:pPr>
        <w:spacing w:after="0" w:line="240" w:lineRule="auto"/>
        <w:rPr>
          <w:rFonts w:cstheme="minorHAnsi"/>
          <w:sz w:val="22"/>
        </w:rPr>
      </w:pPr>
    </w:p>
    <w:p w14:paraId="0537D63B" w14:textId="77777777" w:rsidR="009914D0" w:rsidRPr="00C07AD0" w:rsidRDefault="009914D0" w:rsidP="002A23F9">
      <w:pPr>
        <w:spacing w:after="0" w:line="240" w:lineRule="auto"/>
        <w:rPr>
          <w:rFonts w:cstheme="minorHAnsi"/>
          <w:sz w:val="22"/>
        </w:rPr>
      </w:pPr>
    </w:p>
    <w:p w14:paraId="7BB79990" w14:textId="4DA9B030" w:rsidR="00932848" w:rsidRPr="00C07AD0" w:rsidRDefault="00932848" w:rsidP="00396A04">
      <w:pPr>
        <w:rPr>
          <w:rFonts w:cstheme="minorHAnsi"/>
          <w:b/>
          <w:sz w:val="22"/>
        </w:rPr>
      </w:pPr>
      <w:r w:rsidRPr="00C07AD0">
        <w:rPr>
          <w:rFonts w:cstheme="minorHAnsi"/>
          <w:b/>
          <w:sz w:val="22"/>
        </w:rPr>
        <w:t xml:space="preserve">Measure: Information requests are tailored, coordinated with other regulators (such as </w:t>
      </w:r>
      <w:r w:rsidR="006276A8">
        <w:rPr>
          <w:rFonts w:cstheme="minorHAnsi"/>
          <w:b/>
          <w:sz w:val="22"/>
        </w:rPr>
        <w:t xml:space="preserve">the Department of </w:t>
      </w:r>
      <w:r w:rsidR="00DD5E9A">
        <w:rPr>
          <w:rFonts w:cstheme="minorHAnsi"/>
          <w:b/>
          <w:sz w:val="22"/>
        </w:rPr>
        <w:t>Home Affairs</w:t>
      </w:r>
      <w:r w:rsidRPr="00C07AD0">
        <w:rPr>
          <w:rFonts w:cstheme="minorHAnsi"/>
          <w:b/>
          <w:sz w:val="22"/>
        </w:rPr>
        <w:t>), only made when necessary, and in a way that minimises impact</w:t>
      </w:r>
    </w:p>
    <w:p w14:paraId="6B751E8C" w14:textId="6E2B8282" w:rsidR="006276A8" w:rsidRPr="002F16FA" w:rsidRDefault="00932848" w:rsidP="002053E9">
      <w:pPr>
        <w:spacing w:after="0" w:line="240" w:lineRule="auto"/>
        <w:ind w:right="-25"/>
        <w:rPr>
          <w:rFonts w:cstheme="minorHAnsi"/>
          <w:sz w:val="22"/>
        </w:rPr>
      </w:pPr>
      <w:r w:rsidRPr="002F16FA">
        <w:rPr>
          <w:rFonts w:cstheme="minorHAnsi"/>
          <w:sz w:val="22"/>
        </w:rPr>
        <w:t xml:space="preserve">In conducting investigations, the Commission makes every attempt to ensure that information requests are tailored, coordinated with other regulators, only made when necessary, and </w:t>
      </w:r>
      <w:r w:rsidR="006276A8" w:rsidRPr="002F16FA">
        <w:rPr>
          <w:rFonts w:cstheme="minorHAnsi"/>
          <w:sz w:val="22"/>
        </w:rPr>
        <w:t xml:space="preserve">made </w:t>
      </w:r>
      <w:r w:rsidRPr="002F16FA">
        <w:rPr>
          <w:rFonts w:cstheme="minorHAnsi"/>
          <w:sz w:val="22"/>
        </w:rPr>
        <w:t>in a way that minimises impact.</w:t>
      </w:r>
      <w:r w:rsidR="00F24737">
        <w:rPr>
          <w:rFonts w:cstheme="minorHAnsi"/>
          <w:sz w:val="22"/>
        </w:rPr>
        <w:t xml:space="preserve"> Nonetheless, the Commission is required to make significant information requests, because </w:t>
      </w:r>
      <w:r w:rsidRPr="002F16FA">
        <w:rPr>
          <w:rFonts w:cstheme="minorHAnsi"/>
          <w:sz w:val="22"/>
        </w:rPr>
        <w:t xml:space="preserve">the Commission’s assessments of dumping, subsidies, injury and causation must be objective and evidence-based. </w:t>
      </w:r>
    </w:p>
    <w:p w14:paraId="36FDF46E" w14:textId="77777777" w:rsidR="006276A8" w:rsidRPr="002F16FA" w:rsidRDefault="006276A8" w:rsidP="002053E9">
      <w:pPr>
        <w:spacing w:after="0" w:line="240" w:lineRule="auto"/>
        <w:ind w:right="-25"/>
        <w:rPr>
          <w:rFonts w:cstheme="minorHAnsi"/>
          <w:sz w:val="22"/>
        </w:rPr>
      </w:pPr>
    </w:p>
    <w:p w14:paraId="39C37229" w14:textId="4DAE048A" w:rsidR="004B7143" w:rsidRPr="002F16FA" w:rsidRDefault="00932848" w:rsidP="002053E9">
      <w:pPr>
        <w:spacing w:after="0" w:line="240" w:lineRule="auto"/>
        <w:ind w:right="-25"/>
        <w:rPr>
          <w:rFonts w:cstheme="minorHAnsi"/>
          <w:sz w:val="22"/>
        </w:rPr>
      </w:pPr>
      <w:r w:rsidRPr="002F16FA">
        <w:rPr>
          <w:rFonts w:cstheme="minorHAnsi"/>
          <w:sz w:val="22"/>
        </w:rPr>
        <w:t xml:space="preserve">For example, verifying exporter financial data </w:t>
      </w:r>
      <w:r w:rsidR="006276A8" w:rsidRPr="002F16FA">
        <w:rPr>
          <w:rFonts w:cstheme="minorHAnsi"/>
          <w:sz w:val="22"/>
        </w:rPr>
        <w:t xml:space="preserve">can place </w:t>
      </w:r>
      <w:r w:rsidRPr="002F16FA">
        <w:rPr>
          <w:rFonts w:cstheme="minorHAnsi"/>
          <w:sz w:val="22"/>
        </w:rPr>
        <w:t>a significant impost on exporters’ time and resources, but on</w:t>
      </w:r>
      <w:r w:rsidR="00072541" w:rsidRPr="002F16FA">
        <w:rPr>
          <w:rFonts w:cstheme="minorHAnsi"/>
          <w:sz w:val="22"/>
        </w:rPr>
        <w:t>-</w:t>
      </w:r>
      <w:r w:rsidRPr="002F16FA">
        <w:rPr>
          <w:rFonts w:cstheme="minorHAnsi"/>
          <w:sz w:val="22"/>
        </w:rPr>
        <w:t>site exporter verification is a core investigative tool and Australian industry expects exporter data to be thoroughly examined and verified on</w:t>
      </w:r>
      <w:r w:rsidR="00072541" w:rsidRPr="002F16FA">
        <w:rPr>
          <w:rFonts w:cstheme="minorHAnsi"/>
          <w:sz w:val="22"/>
        </w:rPr>
        <w:t>-</w:t>
      </w:r>
      <w:r w:rsidRPr="002F16FA">
        <w:rPr>
          <w:rFonts w:cstheme="minorHAnsi"/>
          <w:sz w:val="22"/>
        </w:rPr>
        <w:t>site. The Commission’s preference is to conduct as much on</w:t>
      </w:r>
      <w:r w:rsidR="00072541" w:rsidRPr="002F16FA">
        <w:rPr>
          <w:rFonts w:cstheme="minorHAnsi"/>
          <w:sz w:val="22"/>
        </w:rPr>
        <w:t>-</w:t>
      </w:r>
      <w:r w:rsidRPr="002F16FA">
        <w:rPr>
          <w:rFonts w:cstheme="minorHAnsi"/>
          <w:sz w:val="22"/>
        </w:rPr>
        <w:t>site verification as possible, but to balance this with effective alternatives when possible.</w:t>
      </w:r>
      <w:r w:rsidR="00A00241" w:rsidRPr="002F16FA">
        <w:rPr>
          <w:rFonts w:cstheme="minorHAnsi"/>
          <w:sz w:val="22"/>
        </w:rPr>
        <w:t xml:space="preserve"> </w:t>
      </w:r>
      <w:r w:rsidR="00C02BD4" w:rsidRPr="002F16FA">
        <w:rPr>
          <w:rFonts w:cstheme="minorHAnsi"/>
          <w:sz w:val="22"/>
        </w:rPr>
        <w:t xml:space="preserve">It has not been possible for the Commission to undertake on site verification exercises since March 2020 due to COVID-19 international travel restrictions. </w:t>
      </w:r>
      <w:r w:rsidR="00A00241" w:rsidRPr="002F16FA">
        <w:rPr>
          <w:rFonts w:cstheme="minorHAnsi"/>
          <w:sz w:val="22"/>
        </w:rPr>
        <w:t>While COVID-19 has affected the ability for the Commission to conduct on-site verification</w:t>
      </w:r>
      <w:r w:rsidR="007D3872" w:rsidRPr="002F16FA">
        <w:rPr>
          <w:sz w:val="22"/>
        </w:rPr>
        <w:t xml:space="preserve"> resulting </w:t>
      </w:r>
      <w:r w:rsidR="00364214" w:rsidRPr="002F16FA">
        <w:rPr>
          <w:sz w:val="22"/>
        </w:rPr>
        <w:t xml:space="preserve">in </w:t>
      </w:r>
      <w:r w:rsidR="007D3872" w:rsidRPr="002F16FA">
        <w:rPr>
          <w:rFonts w:cstheme="minorHAnsi"/>
          <w:sz w:val="22"/>
        </w:rPr>
        <w:t>more exporters having their data verified using desktop methods.</w:t>
      </w:r>
      <w:r w:rsidR="00A00241" w:rsidRPr="002F16FA">
        <w:rPr>
          <w:rFonts w:cstheme="minorHAnsi"/>
          <w:sz w:val="22"/>
        </w:rPr>
        <w:t xml:space="preserve"> </w:t>
      </w:r>
      <w:r w:rsidR="007D3872" w:rsidRPr="002F16FA">
        <w:rPr>
          <w:rFonts w:cstheme="minorHAnsi"/>
          <w:sz w:val="22"/>
        </w:rPr>
        <w:t>T</w:t>
      </w:r>
      <w:r w:rsidR="00A00241" w:rsidRPr="002F16FA">
        <w:rPr>
          <w:rFonts w:cstheme="minorHAnsi"/>
          <w:sz w:val="22"/>
        </w:rPr>
        <w:t xml:space="preserve">he Commission plans to return to on-site verification as soon as practicable. </w:t>
      </w:r>
    </w:p>
    <w:p w14:paraId="7BB79991" w14:textId="01D8F8A8" w:rsidR="00932848" w:rsidRPr="002F16FA" w:rsidRDefault="00932848" w:rsidP="002053E9">
      <w:pPr>
        <w:spacing w:after="0" w:line="240" w:lineRule="auto"/>
        <w:ind w:right="-25"/>
        <w:rPr>
          <w:rFonts w:cstheme="minorHAnsi"/>
          <w:sz w:val="22"/>
        </w:rPr>
      </w:pPr>
    </w:p>
    <w:p w14:paraId="7BB79993" w14:textId="567F87A2" w:rsidR="00932848" w:rsidRPr="002F16FA" w:rsidRDefault="004D3484" w:rsidP="00396A04">
      <w:pPr>
        <w:spacing w:after="0" w:line="240" w:lineRule="auto"/>
        <w:ind w:right="-25"/>
        <w:rPr>
          <w:rFonts w:cstheme="minorHAnsi"/>
          <w:sz w:val="22"/>
        </w:rPr>
      </w:pPr>
      <w:r w:rsidRPr="002F16FA">
        <w:rPr>
          <w:rFonts w:cstheme="minorHAnsi"/>
          <w:sz w:val="22"/>
        </w:rPr>
        <w:t>For</w:t>
      </w:r>
      <w:r w:rsidR="00932848" w:rsidRPr="002F16FA">
        <w:rPr>
          <w:rFonts w:cstheme="minorHAnsi"/>
          <w:sz w:val="22"/>
        </w:rPr>
        <w:t xml:space="preserve"> verification of exporter and importer data, the Commission will sometimes </w:t>
      </w:r>
      <w:r w:rsidRPr="002F16FA">
        <w:rPr>
          <w:rFonts w:cstheme="minorHAnsi"/>
          <w:sz w:val="22"/>
        </w:rPr>
        <w:t>use alternative</w:t>
      </w:r>
      <w:r w:rsidR="00932848" w:rsidRPr="002F16FA">
        <w:rPr>
          <w:rFonts w:cstheme="minorHAnsi"/>
          <w:sz w:val="22"/>
        </w:rPr>
        <w:t xml:space="preserve"> verification methodologies</w:t>
      </w:r>
      <w:r w:rsidRPr="002F16FA">
        <w:rPr>
          <w:rFonts w:cstheme="minorHAnsi"/>
          <w:sz w:val="22"/>
        </w:rPr>
        <w:t xml:space="preserve"> to on</w:t>
      </w:r>
      <w:r w:rsidR="00072541" w:rsidRPr="002F16FA">
        <w:rPr>
          <w:rFonts w:cstheme="minorHAnsi"/>
          <w:sz w:val="22"/>
        </w:rPr>
        <w:t>-</w:t>
      </w:r>
      <w:r w:rsidRPr="002F16FA">
        <w:rPr>
          <w:rFonts w:cstheme="minorHAnsi"/>
          <w:sz w:val="22"/>
        </w:rPr>
        <w:t>site verification, where</w:t>
      </w:r>
      <w:r w:rsidR="00932848" w:rsidRPr="002F16FA">
        <w:rPr>
          <w:rFonts w:cstheme="minorHAnsi"/>
          <w:sz w:val="22"/>
        </w:rPr>
        <w:t xml:space="preserve"> </w:t>
      </w:r>
      <w:r w:rsidRPr="002F16FA">
        <w:rPr>
          <w:rFonts w:cstheme="minorHAnsi"/>
          <w:sz w:val="22"/>
        </w:rPr>
        <w:t>t</w:t>
      </w:r>
      <w:r w:rsidR="00932848" w:rsidRPr="002F16FA">
        <w:rPr>
          <w:rFonts w:cstheme="minorHAnsi"/>
          <w:sz w:val="22"/>
        </w:rPr>
        <w:t xml:space="preserve">his </w:t>
      </w:r>
      <w:r w:rsidRPr="002F16FA">
        <w:rPr>
          <w:rFonts w:cstheme="minorHAnsi"/>
          <w:sz w:val="22"/>
        </w:rPr>
        <w:t>is</w:t>
      </w:r>
      <w:r w:rsidR="00932848" w:rsidRPr="002F16FA">
        <w:rPr>
          <w:rFonts w:cstheme="minorHAnsi"/>
          <w:sz w:val="22"/>
        </w:rPr>
        <w:t xml:space="preserve"> appropriate</w:t>
      </w:r>
      <w:r w:rsidRPr="002F16FA">
        <w:rPr>
          <w:rFonts w:cstheme="minorHAnsi"/>
          <w:sz w:val="22"/>
        </w:rPr>
        <w:t>.</w:t>
      </w:r>
      <w:r w:rsidR="00932848" w:rsidRPr="002F16FA">
        <w:rPr>
          <w:rFonts w:cstheme="minorHAnsi"/>
          <w:sz w:val="22"/>
        </w:rPr>
        <w:t xml:space="preserve"> </w:t>
      </w:r>
      <w:r w:rsidRPr="002F16FA">
        <w:rPr>
          <w:rFonts w:cstheme="minorHAnsi"/>
          <w:sz w:val="22"/>
        </w:rPr>
        <w:t xml:space="preserve">An </w:t>
      </w:r>
      <w:r w:rsidR="00932848" w:rsidRPr="002F16FA">
        <w:rPr>
          <w:rFonts w:cstheme="minorHAnsi"/>
          <w:sz w:val="22"/>
        </w:rPr>
        <w:t xml:space="preserve">example </w:t>
      </w:r>
      <w:r w:rsidRPr="002F16FA">
        <w:rPr>
          <w:rFonts w:cstheme="minorHAnsi"/>
          <w:sz w:val="22"/>
        </w:rPr>
        <w:t>might be a</w:t>
      </w:r>
      <w:r w:rsidR="00932848" w:rsidRPr="002F16FA">
        <w:rPr>
          <w:rFonts w:cstheme="minorHAnsi"/>
          <w:sz w:val="22"/>
        </w:rPr>
        <w:t xml:space="preserve"> duty assessment where the entities involved were subject to satisfactory verification by the Commission in a recently completed </w:t>
      </w:r>
      <w:r w:rsidRPr="002F16FA">
        <w:rPr>
          <w:rFonts w:cstheme="minorHAnsi"/>
          <w:sz w:val="22"/>
        </w:rPr>
        <w:t>investigation or review</w:t>
      </w:r>
      <w:r w:rsidR="00932848" w:rsidRPr="002F16FA">
        <w:rPr>
          <w:rFonts w:cstheme="minorHAnsi"/>
          <w:sz w:val="22"/>
        </w:rPr>
        <w:t xml:space="preserve">. The Commission takes a risk based approach to making these decisions. </w:t>
      </w:r>
    </w:p>
    <w:p w14:paraId="7BB79994" w14:textId="77777777" w:rsidR="00932848" w:rsidRPr="002F16FA" w:rsidRDefault="00932848" w:rsidP="002A23F9">
      <w:pPr>
        <w:spacing w:after="0" w:line="240" w:lineRule="auto"/>
        <w:rPr>
          <w:rFonts w:cstheme="minorHAnsi"/>
          <w:sz w:val="22"/>
        </w:rPr>
      </w:pPr>
    </w:p>
    <w:p w14:paraId="7BB79995" w14:textId="49073FDA" w:rsidR="00932848" w:rsidRPr="002F16FA" w:rsidRDefault="00932848" w:rsidP="00396A04">
      <w:pPr>
        <w:spacing w:after="0" w:line="240" w:lineRule="auto"/>
        <w:ind w:right="-25"/>
        <w:rPr>
          <w:rFonts w:cstheme="minorHAnsi"/>
          <w:sz w:val="22"/>
        </w:rPr>
      </w:pPr>
      <w:r w:rsidRPr="002F16FA">
        <w:rPr>
          <w:rFonts w:cstheme="minorHAnsi"/>
          <w:sz w:val="22"/>
        </w:rPr>
        <w:t xml:space="preserve">The Department of </w:t>
      </w:r>
      <w:r w:rsidR="00304B71" w:rsidRPr="002F16FA">
        <w:rPr>
          <w:rFonts w:cstheme="minorHAnsi"/>
          <w:sz w:val="22"/>
        </w:rPr>
        <w:t>Home Affairs</w:t>
      </w:r>
      <w:r w:rsidR="00A63765" w:rsidRPr="002F16FA">
        <w:rPr>
          <w:rFonts w:cstheme="minorHAnsi"/>
          <w:sz w:val="22"/>
        </w:rPr>
        <w:t xml:space="preserve"> (Home Affairs)</w:t>
      </w:r>
      <w:r w:rsidR="004066C5" w:rsidRPr="002F16FA">
        <w:rPr>
          <w:rFonts w:cstheme="minorHAnsi"/>
          <w:sz w:val="22"/>
        </w:rPr>
        <w:t>, including the Australian Border Force</w:t>
      </w:r>
      <w:r w:rsidR="00051586">
        <w:rPr>
          <w:rFonts w:cstheme="minorHAnsi"/>
          <w:sz w:val="22"/>
        </w:rPr>
        <w:t xml:space="preserve"> (ABF)</w:t>
      </w:r>
      <w:r w:rsidR="004066C5" w:rsidRPr="002F16FA">
        <w:rPr>
          <w:rFonts w:cstheme="minorHAnsi"/>
          <w:sz w:val="22"/>
        </w:rPr>
        <w:t>,</w:t>
      </w:r>
      <w:r w:rsidRPr="002F16FA">
        <w:rPr>
          <w:rFonts w:cstheme="minorHAnsi"/>
          <w:sz w:val="22"/>
        </w:rPr>
        <w:t xml:space="preserve"> is responsible for collecting dumping and countervailing duties. </w:t>
      </w:r>
      <w:r w:rsidR="004D3484" w:rsidRPr="002F16FA">
        <w:rPr>
          <w:rFonts w:cstheme="minorHAnsi"/>
          <w:sz w:val="22"/>
        </w:rPr>
        <w:t>T</w:t>
      </w:r>
      <w:r w:rsidRPr="002F16FA">
        <w:rPr>
          <w:rFonts w:cstheme="minorHAnsi"/>
          <w:sz w:val="22"/>
        </w:rPr>
        <w:t>o ensure that regulated entities are receiving consistent and s</w:t>
      </w:r>
      <w:r w:rsidR="00396A04" w:rsidRPr="002F16FA">
        <w:rPr>
          <w:rFonts w:cstheme="minorHAnsi"/>
          <w:sz w:val="22"/>
        </w:rPr>
        <w:t>eamless advice and streamlined information</w:t>
      </w:r>
      <w:r w:rsidRPr="002F16FA">
        <w:rPr>
          <w:rFonts w:cstheme="minorHAnsi"/>
          <w:sz w:val="22"/>
        </w:rPr>
        <w:t xml:space="preserve"> requests</w:t>
      </w:r>
      <w:r w:rsidR="004D3484" w:rsidRPr="002F16FA">
        <w:rPr>
          <w:rFonts w:cstheme="minorHAnsi"/>
          <w:sz w:val="22"/>
        </w:rPr>
        <w:t>,</w:t>
      </w:r>
      <w:r w:rsidRPr="002F16FA">
        <w:rPr>
          <w:rFonts w:cstheme="minorHAnsi"/>
          <w:sz w:val="22"/>
        </w:rPr>
        <w:t xml:space="preserve"> the Commission and </w:t>
      </w:r>
      <w:r w:rsidR="00A63765" w:rsidRPr="002F16FA">
        <w:rPr>
          <w:rFonts w:cstheme="minorHAnsi"/>
          <w:sz w:val="22"/>
        </w:rPr>
        <w:t>Home Affairs</w:t>
      </w:r>
      <w:r w:rsidR="004D3484" w:rsidRPr="002F16FA">
        <w:rPr>
          <w:rFonts w:cstheme="minorHAnsi"/>
          <w:sz w:val="22"/>
        </w:rPr>
        <w:t xml:space="preserve"> work closely together to promote a coordinated whole-of-government approach</w:t>
      </w:r>
      <w:r w:rsidRPr="002F16FA">
        <w:rPr>
          <w:rFonts w:cstheme="minorHAnsi"/>
          <w:sz w:val="22"/>
        </w:rPr>
        <w:t xml:space="preserve">. </w:t>
      </w:r>
      <w:r w:rsidR="004D3484" w:rsidRPr="002F16FA">
        <w:rPr>
          <w:rFonts w:cstheme="minorHAnsi"/>
          <w:sz w:val="22"/>
        </w:rPr>
        <w:t>An example is</w:t>
      </w:r>
      <w:r w:rsidRPr="002F16FA">
        <w:rPr>
          <w:rFonts w:cstheme="minorHAnsi"/>
          <w:sz w:val="22"/>
        </w:rPr>
        <w:t xml:space="preserve"> the process of applying provisional measures to certain imports during an investigation and then cancelling </w:t>
      </w:r>
      <w:r w:rsidR="004D3484" w:rsidRPr="002F16FA">
        <w:rPr>
          <w:rFonts w:cstheme="minorHAnsi"/>
          <w:sz w:val="22"/>
        </w:rPr>
        <w:t xml:space="preserve">them </w:t>
      </w:r>
      <w:r w:rsidRPr="002F16FA">
        <w:rPr>
          <w:rFonts w:cstheme="minorHAnsi"/>
          <w:sz w:val="22"/>
        </w:rPr>
        <w:t xml:space="preserve">or converting them to interim measures at the end of an investigation. The Commission and </w:t>
      </w:r>
      <w:r w:rsidR="00A63765" w:rsidRPr="002F16FA">
        <w:rPr>
          <w:rFonts w:cstheme="minorHAnsi"/>
          <w:sz w:val="22"/>
        </w:rPr>
        <w:t>Home Affairs</w:t>
      </w:r>
      <w:r w:rsidR="00304B71" w:rsidRPr="002F16FA">
        <w:rPr>
          <w:rFonts w:cstheme="minorHAnsi"/>
          <w:sz w:val="22"/>
        </w:rPr>
        <w:t xml:space="preserve"> </w:t>
      </w:r>
      <w:r w:rsidRPr="002F16FA">
        <w:rPr>
          <w:rFonts w:cstheme="minorHAnsi"/>
          <w:sz w:val="22"/>
        </w:rPr>
        <w:t xml:space="preserve">work together to ensure that </w:t>
      </w:r>
      <w:r w:rsidR="004D3484" w:rsidRPr="002F16FA">
        <w:rPr>
          <w:rFonts w:cstheme="minorHAnsi"/>
          <w:sz w:val="22"/>
        </w:rPr>
        <w:t>c</w:t>
      </w:r>
      <w:r w:rsidRPr="002F16FA">
        <w:rPr>
          <w:rFonts w:cstheme="minorHAnsi"/>
          <w:sz w:val="22"/>
        </w:rPr>
        <w:t>ustoms brokers have a single point of contact during the conversion or cancellation period. Both organisati</w:t>
      </w:r>
      <w:r w:rsidR="00396A04" w:rsidRPr="002F16FA">
        <w:rPr>
          <w:rFonts w:cstheme="minorHAnsi"/>
          <w:sz w:val="22"/>
        </w:rPr>
        <w:t xml:space="preserve">ons work together </w:t>
      </w:r>
      <w:r w:rsidR="004D3484" w:rsidRPr="002F16FA">
        <w:rPr>
          <w:rFonts w:cstheme="minorHAnsi"/>
          <w:sz w:val="22"/>
        </w:rPr>
        <w:t xml:space="preserve">to respond to </w:t>
      </w:r>
      <w:r w:rsidRPr="002F16FA">
        <w:rPr>
          <w:rFonts w:cstheme="minorHAnsi"/>
          <w:sz w:val="22"/>
        </w:rPr>
        <w:t>enquiries and provide a single source of advice back to the broker.</w:t>
      </w:r>
    </w:p>
    <w:p w14:paraId="252914C1" w14:textId="77777777" w:rsidR="00364214" w:rsidRDefault="00364214" w:rsidP="00C07AD0">
      <w:pPr>
        <w:spacing w:after="0" w:line="240" w:lineRule="auto"/>
        <w:rPr>
          <w:rFonts w:cstheme="minorHAnsi"/>
          <w:sz w:val="22"/>
        </w:rPr>
      </w:pPr>
    </w:p>
    <w:p w14:paraId="7BB79997" w14:textId="77777777" w:rsidR="00932848" w:rsidRPr="009914D0" w:rsidRDefault="00932848" w:rsidP="00C07AD0">
      <w:pPr>
        <w:spacing w:line="240" w:lineRule="auto"/>
        <w:rPr>
          <w:b/>
          <w:color w:val="2D2D2E"/>
          <w:sz w:val="22"/>
        </w:rPr>
      </w:pPr>
      <w:r w:rsidRPr="009914D0">
        <w:rPr>
          <w:b/>
          <w:color w:val="2D2D2E"/>
          <w:sz w:val="22"/>
        </w:rPr>
        <w:t>Discussion KPI 2</w:t>
      </w:r>
    </w:p>
    <w:p w14:paraId="3B0CDD7C" w14:textId="09CAFBCA" w:rsidR="006B1C1B" w:rsidRPr="002F16FA" w:rsidRDefault="00932848" w:rsidP="00C07AD0">
      <w:pPr>
        <w:spacing w:after="0" w:line="240" w:lineRule="auto"/>
        <w:rPr>
          <w:rFonts w:cstheme="minorHAnsi"/>
          <w:sz w:val="22"/>
        </w:rPr>
      </w:pPr>
      <w:r w:rsidRPr="002F16FA">
        <w:rPr>
          <w:rFonts w:cstheme="minorHAnsi"/>
          <w:sz w:val="22"/>
        </w:rPr>
        <w:t xml:space="preserve">The opportunities for regulated entities to participate in the anti-dumping system on an investigation level or at a broader system level are extensive. </w:t>
      </w:r>
      <w:r w:rsidR="009B07E9" w:rsidRPr="002F16FA">
        <w:rPr>
          <w:rFonts w:cstheme="minorHAnsi"/>
          <w:sz w:val="22"/>
        </w:rPr>
        <w:t xml:space="preserve">The Commission </w:t>
      </w:r>
      <w:r w:rsidR="006B1C1B" w:rsidRPr="002F16FA">
        <w:rPr>
          <w:rFonts w:cstheme="minorHAnsi"/>
          <w:sz w:val="22"/>
        </w:rPr>
        <w:t xml:space="preserve">has </w:t>
      </w:r>
      <w:r w:rsidR="009B07E9" w:rsidRPr="002F16FA">
        <w:rPr>
          <w:rFonts w:cstheme="minorHAnsi"/>
          <w:sz w:val="22"/>
        </w:rPr>
        <w:t xml:space="preserve">improved the opportunities for engagement with ITRF members on policy and practice issues </w:t>
      </w:r>
      <w:r w:rsidR="006B1C1B" w:rsidRPr="002F16FA">
        <w:rPr>
          <w:rFonts w:cstheme="minorHAnsi"/>
          <w:sz w:val="22"/>
        </w:rPr>
        <w:t>by</w:t>
      </w:r>
      <w:r w:rsidR="009B07E9" w:rsidRPr="002F16FA">
        <w:rPr>
          <w:rFonts w:cstheme="minorHAnsi"/>
          <w:sz w:val="22"/>
        </w:rPr>
        <w:t xml:space="preserve"> establish</w:t>
      </w:r>
      <w:r w:rsidR="006B1C1B" w:rsidRPr="002F16FA">
        <w:rPr>
          <w:rFonts w:cstheme="minorHAnsi"/>
          <w:sz w:val="22"/>
        </w:rPr>
        <w:t>ing</w:t>
      </w:r>
      <w:r w:rsidR="009B07E9" w:rsidRPr="002F16FA">
        <w:rPr>
          <w:rFonts w:cstheme="minorHAnsi"/>
          <w:sz w:val="22"/>
        </w:rPr>
        <w:t xml:space="preserve"> sub-committees. </w:t>
      </w:r>
    </w:p>
    <w:p w14:paraId="5F7DEDA5" w14:textId="77777777" w:rsidR="006B1C1B" w:rsidRPr="002F16FA" w:rsidRDefault="006B1C1B" w:rsidP="00C07AD0">
      <w:pPr>
        <w:spacing w:after="0" w:line="240" w:lineRule="auto"/>
        <w:rPr>
          <w:rFonts w:cstheme="minorHAnsi"/>
          <w:sz w:val="22"/>
        </w:rPr>
      </w:pPr>
    </w:p>
    <w:p w14:paraId="72ED5422" w14:textId="19A339DB" w:rsidR="006B1C1B" w:rsidRPr="002F16FA" w:rsidRDefault="00932848" w:rsidP="00C07AD0">
      <w:pPr>
        <w:spacing w:after="0" w:line="240" w:lineRule="auto"/>
        <w:rPr>
          <w:rFonts w:cstheme="minorHAnsi"/>
          <w:sz w:val="22"/>
        </w:rPr>
      </w:pPr>
      <w:r w:rsidRPr="002F16FA">
        <w:rPr>
          <w:rFonts w:cstheme="minorHAnsi"/>
          <w:sz w:val="22"/>
        </w:rPr>
        <w:t xml:space="preserve">The </w:t>
      </w:r>
      <w:r w:rsidR="006B1C1B" w:rsidRPr="002F16FA">
        <w:rPr>
          <w:rFonts w:cstheme="minorHAnsi"/>
          <w:sz w:val="22"/>
        </w:rPr>
        <w:t>survey results confirm</w:t>
      </w:r>
      <w:r w:rsidRPr="002F16FA">
        <w:rPr>
          <w:rFonts w:cstheme="minorHAnsi"/>
          <w:sz w:val="22"/>
        </w:rPr>
        <w:t xml:space="preserve"> that the opportunities for communication are sufficient and </w:t>
      </w:r>
      <w:r w:rsidR="006B1C1B" w:rsidRPr="002F16FA">
        <w:rPr>
          <w:rFonts w:cstheme="minorHAnsi"/>
          <w:sz w:val="22"/>
        </w:rPr>
        <w:t xml:space="preserve">the Commission’s communications with stakeholders are </w:t>
      </w:r>
      <w:r w:rsidR="00217EEE" w:rsidRPr="002F16FA">
        <w:rPr>
          <w:rFonts w:cstheme="minorHAnsi"/>
          <w:sz w:val="22"/>
        </w:rPr>
        <w:t xml:space="preserve">generally </w:t>
      </w:r>
      <w:r w:rsidR="006B1C1B" w:rsidRPr="002F16FA">
        <w:rPr>
          <w:rFonts w:cstheme="minorHAnsi"/>
          <w:sz w:val="22"/>
        </w:rPr>
        <w:t>effective</w:t>
      </w:r>
      <w:r w:rsidRPr="002F16FA">
        <w:rPr>
          <w:rFonts w:cstheme="minorHAnsi"/>
          <w:sz w:val="22"/>
        </w:rPr>
        <w:t xml:space="preserve">. </w:t>
      </w:r>
      <w:r w:rsidR="006B1C1B" w:rsidRPr="002F16FA">
        <w:rPr>
          <w:rFonts w:cstheme="minorHAnsi"/>
          <w:sz w:val="22"/>
        </w:rPr>
        <w:t xml:space="preserve">The Commission will continue to look for ways to improve its communications with stakeholders. </w:t>
      </w:r>
    </w:p>
    <w:p w14:paraId="3F57E8A4" w14:textId="77777777" w:rsidR="006B1C1B" w:rsidRPr="002F16FA" w:rsidRDefault="006B1C1B" w:rsidP="00C07AD0">
      <w:pPr>
        <w:spacing w:after="0" w:line="240" w:lineRule="auto"/>
        <w:rPr>
          <w:rFonts w:cstheme="minorHAnsi"/>
          <w:sz w:val="22"/>
        </w:rPr>
      </w:pPr>
    </w:p>
    <w:p w14:paraId="7BB79998" w14:textId="10BC9A60" w:rsidR="00932848" w:rsidRPr="002F16FA" w:rsidRDefault="00932848" w:rsidP="00C07AD0">
      <w:pPr>
        <w:spacing w:after="0" w:line="240" w:lineRule="auto"/>
        <w:rPr>
          <w:rFonts w:cstheme="minorHAnsi"/>
          <w:sz w:val="22"/>
        </w:rPr>
      </w:pPr>
      <w:r w:rsidRPr="002F16FA">
        <w:rPr>
          <w:rFonts w:cstheme="minorHAnsi"/>
          <w:sz w:val="22"/>
        </w:rPr>
        <w:t xml:space="preserve">Minimising information requests will always be an area that the Commission will find challenging due to the evidence-based nature of </w:t>
      </w:r>
      <w:r w:rsidR="006B1C1B" w:rsidRPr="002F16FA">
        <w:rPr>
          <w:rFonts w:cstheme="minorHAnsi"/>
          <w:sz w:val="22"/>
        </w:rPr>
        <w:t xml:space="preserve">investigation, inquiry and review </w:t>
      </w:r>
      <w:r w:rsidRPr="002F16FA">
        <w:rPr>
          <w:rFonts w:cstheme="minorHAnsi"/>
          <w:sz w:val="22"/>
        </w:rPr>
        <w:t>process</w:t>
      </w:r>
      <w:r w:rsidR="006B1C1B" w:rsidRPr="002F16FA">
        <w:rPr>
          <w:rFonts w:cstheme="minorHAnsi"/>
          <w:sz w:val="22"/>
        </w:rPr>
        <w:t xml:space="preserve">es, consistent with Australia’s international obligations under the </w:t>
      </w:r>
      <w:r w:rsidR="00EB214B" w:rsidRPr="002F16FA">
        <w:rPr>
          <w:rFonts w:cstheme="minorHAnsi"/>
          <w:sz w:val="22"/>
        </w:rPr>
        <w:t>WTO</w:t>
      </w:r>
      <w:r w:rsidR="006B1C1B" w:rsidRPr="002F16FA">
        <w:rPr>
          <w:rFonts w:cstheme="minorHAnsi"/>
          <w:sz w:val="22"/>
        </w:rPr>
        <w:t xml:space="preserve"> agreements</w:t>
      </w:r>
      <w:r w:rsidRPr="002F16FA">
        <w:rPr>
          <w:rFonts w:cstheme="minorHAnsi"/>
          <w:sz w:val="22"/>
        </w:rPr>
        <w:t xml:space="preserve">. </w:t>
      </w:r>
    </w:p>
    <w:p w14:paraId="7BB79999" w14:textId="77777777" w:rsidR="00932848" w:rsidRPr="00C07AD0" w:rsidRDefault="00932848" w:rsidP="00932848">
      <w:pPr>
        <w:contextualSpacing/>
        <w:rPr>
          <w:rFonts w:cstheme="minorHAnsi"/>
          <w:b/>
          <w:color w:val="1A495D" w:themeColor="accent1" w:themeShade="80"/>
          <w:sz w:val="22"/>
        </w:rPr>
      </w:pPr>
    </w:p>
    <w:p w14:paraId="24DC796D" w14:textId="2196BB58" w:rsidR="00B9289D" w:rsidRPr="009914D0" w:rsidRDefault="00932848" w:rsidP="00396A04">
      <w:pPr>
        <w:spacing w:line="240" w:lineRule="auto"/>
        <w:rPr>
          <w:b/>
          <w:color w:val="2D2D2E"/>
          <w:sz w:val="22"/>
        </w:rPr>
      </w:pPr>
      <w:r w:rsidRPr="009914D0">
        <w:rPr>
          <w:b/>
          <w:color w:val="2D2D2E"/>
          <w:sz w:val="22"/>
        </w:rPr>
        <w:t>Stakeholder Validation</w:t>
      </w:r>
    </w:p>
    <w:p w14:paraId="373C6F03" w14:textId="3AA792ED" w:rsidR="005757A1" w:rsidRDefault="009B07E9" w:rsidP="001E5C8A">
      <w:pPr>
        <w:spacing w:after="0" w:line="240" w:lineRule="auto"/>
        <w:rPr>
          <w:rFonts w:cstheme="minorHAnsi"/>
          <w:sz w:val="22"/>
        </w:rPr>
      </w:pPr>
      <w:r>
        <w:rPr>
          <w:rFonts w:cstheme="minorHAnsi"/>
          <w:sz w:val="22"/>
        </w:rPr>
        <w:t>As noted above</w:t>
      </w:r>
      <w:r w:rsidR="00A448DF">
        <w:rPr>
          <w:rFonts w:cstheme="minorHAnsi"/>
          <w:sz w:val="22"/>
        </w:rPr>
        <w:t>, the survey of ITRF members indicated that members are satisfied with the Commission’s performance for KPI 2.</w:t>
      </w:r>
    </w:p>
    <w:p w14:paraId="6DF66141" w14:textId="77777777" w:rsidR="003E3E63" w:rsidRDefault="003E3E63" w:rsidP="001E5C8A">
      <w:pPr>
        <w:spacing w:after="0" w:line="240" w:lineRule="auto"/>
        <w:rPr>
          <w:rFonts w:cstheme="minorHAnsi"/>
          <w:sz w:val="22"/>
        </w:rPr>
      </w:pPr>
    </w:p>
    <w:p w14:paraId="4477E570" w14:textId="77777777" w:rsidR="00F26EC0" w:rsidRPr="001E5C8A" w:rsidRDefault="00F26EC0" w:rsidP="001E5C8A">
      <w:pPr>
        <w:spacing w:after="0" w:line="240" w:lineRule="auto"/>
        <w:rPr>
          <w:rFonts w:cstheme="minorHAnsi"/>
          <w:sz w:val="22"/>
        </w:rPr>
      </w:pPr>
    </w:p>
    <w:p w14:paraId="7BB7999D" w14:textId="2E7B1CCF" w:rsidR="002A4AC8" w:rsidRPr="00396A04" w:rsidRDefault="00F203D5" w:rsidP="009914D0">
      <w:pPr>
        <w:pStyle w:val="Heading2"/>
        <w:numPr>
          <w:ilvl w:val="0"/>
          <w:numId w:val="0"/>
        </w:numPr>
        <w:ind w:left="578" w:hanging="578"/>
      </w:pPr>
      <w:bookmarkStart w:id="23" w:name="_Toc49953503"/>
      <w:bookmarkStart w:id="24" w:name="_Toc52456002"/>
      <w:r w:rsidRPr="00E43A12">
        <w:t xml:space="preserve">KPI </w:t>
      </w:r>
      <w:r>
        <w:t>3</w:t>
      </w:r>
      <w:r w:rsidRPr="00E43A12">
        <w:t xml:space="preserve"> - </w:t>
      </w:r>
      <w:r w:rsidRPr="00F203D5">
        <w:t>Actions undertaken by regulators are proportionate to the regulatory risk being managed</w:t>
      </w:r>
      <w:bookmarkEnd w:id="23"/>
      <w:bookmarkEnd w:id="24"/>
    </w:p>
    <w:p w14:paraId="7BB7999E" w14:textId="77777777" w:rsidR="00F203D5" w:rsidRPr="009914D0" w:rsidRDefault="00F203D5" w:rsidP="00155E86">
      <w:pPr>
        <w:keepNext/>
        <w:spacing w:line="240" w:lineRule="auto"/>
        <w:rPr>
          <w:b/>
          <w:color w:val="2D2D2E"/>
          <w:sz w:val="22"/>
        </w:rPr>
      </w:pPr>
      <w:r w:rsidRPr="009914D0">
        <w:rPr>
          <w:b/>
          <w:color w:val="2D2D2E"/>
          <w:sz w:val="22"/>
        </w:rPr>
        <w:t>Summary of achievement</w:t>
      </w:r>
    </w:p>
    <w:p w14:paraId="7BB799A0" w14:textId="5C44CE83" w:rsidR="00F203D5" w:rsidRPr="00A04DD7" w:rsidRDefault="00517E16" w:rsidP="00A04DD7">
      <w:pPr>
        <w:keepNext/>
        <w:spacing w:after="0" w:line="240" w:lineRule="auto"/>
        <w:rPr>
          <w:rFonts w:cstheme="minorHAnsi"/>
          <w:sz w:val="22"/>
        </w:rPr>
      </w:pPr>
      <w:r>
        <w:rPr>
          <w:rFonts w:cstheme="minorHAnsi"/>
          <w:sz w:val="22"/>
        </w:rPr>
        <w:t xml:space="preserve">During </w:t>
      </w:r>
      <w:r w:rsidR="00D7711E">
        <w:rPr>
          <w:rFonts w:cstheme="minorHAnsi"/>
          <w:sz w:val="22"/>
        </w:rPr>
        <w:t>20</w:t>
      </w:r>
      <w:r w:rsidR="00F24737">
        <w:rPr>
          <w:rFonts w:cstheme="minorHAnsi"/>
          <w:sz w:val="22"/>
        </w:rPr>
        <w:t>19</w:t>
      </w:r>
      <w:r w:rsidR="00D7711E">
        <w:rPr>
          <w:rFonts w:cstheme="minorHAnsi"/>
          <w:sz w:val="22"/>
        </w:rPr>
        <w:t>-</w:t>
      </w:r>
      <w:r w:rsidR="00F24737">
        <w:rPr>
          <w:rFonts w:cstheme="minorHAnsi"/>
          <w:sz w:val="22"/>
        </w:rPr>
        <w:t>20</w:t>
      </w:r>
      <w:r w:rsidR="00F203D5" w:rsidRPr="002A4AC8">
        <w:rPr>
          <w:rFonts w:cstheme="minorHAnsi"/>
          <w:sz w:val="22"/>
        </w:rPr>
        <w:t xml:space="preserve"> the Commission:</w:t>
      </w:r>
    </w:p>
    <w:p w14:paraId="3FD1A34B" w14:textId="449EE9BF" w:rsidR="006D3EE7" w:rsidRDefault="00FF29CC" w:rsidP="00396A04">
      <w:pPr>
        <w:pStyle w:val="ListParagraph"/>
        <w:numPr>
          <w:ilvl w:val="0"/>
          <w:numId w:val="5"/>
        </w:numPr>
        <w:spacing w:after="0" w:line="240" w:lineRule="auto"/>
        <w:contextualSpacing w:val="0"/>
        <w:rPr>
          <w:rFonts w:cstheme="minorHAnsi"/>
        </w:rPr>
      </w:pPr>
      <w:r>
        <w:rPr>
          <w:rFonts w:cstheme="minorHAnsi"/>
        </w:rPr>
        <w:t>continued to refine its</w:t>
      </w:r>
      <w:r w:rsidR="006D3EE7" w:rsidRPr="006D3EE7">
        <w:rPr>
          <w:rFonts w:cstheme="minorHAnsi"/>
        </w:rPr>
        <w:t xml:space="preserve"> quality assurance framework to document the policies, attitudes, actions and procedures necessary to ensure that quality is being maintained and enhanced across the range of the Commission’s operational activities</w:t>
      </w:r>
      <w:r w:rsidR="009E3AA0">
        <w:rPr>
          <w:rFonts w:cstheme="minorHAnsi"/>
        </w:rPr>
        <w:t>; and</w:t>
      </w:r>
    </w:p>
    <w:p w14:paraId="13A349E6" w14:textId="2FEDBA0B" w:rsidR="00783C04" w:rsidRPr="00A54413" w:rsidRDefault="007A2364" w:rsidP="00396A04">
      <w:pPr>
        <w:pStyle w:val="ListParagraph"/>
        <w:numPr>
          <w:ilvl w:val="0"/>
          <w:numId w:val="5"/>
        </w:numPr>
        <w:spacing w:after="0" w:line="240" w:lineRule="auto"/>
        <w:contextualSpacing w:val="0"/>
        <w:rPr>
          <w:rFonts w:cstheme="minorHAnsi"/>
        </w:rPr>
      </w:pPr>
      <w:r>
        <w:rPr>
          <w:rFonts w:cstheme="minorHAnsi"/>
        </w:rPr>
        <w:t>i</w:t>
      </w:r>
      <w:r w:rsidR="00783C04">
        <w:rPr>
          <w:rFonts w:cstheme="minorHAnsi"/>
        </w:rPr>
        <w:t xml:space="preserve">mplemented a </w:t>
      </w:r>
      <w:r w:rsidR="00460CD8">
        <w:rPr>
          <w:rFonts w:cstheme="minorHAnsi"/>
        </w:rPr>
        <w:t xml:space="preserve">new </w:t>
      </w:r>
      <w:r w:rsidR="00783C04">
        <w:rPr>
          <w:rFonts w:cstheme="minorHAnsi"/>
        </w:rPr>
        <w:t>workforce coordination</w:t>
      </w:r>
      <w:r w:rsidR="00460CD8">
        <w:rPr>
          <w:rFonts w:cstheme="minorHAnsi"/>
        </w:rPr>
        <w:t xml:space="preserve"> tool within the current C</w:t>
      </w:r>
      <w:r w:rsidR="00DD5E9A">
        <w:rPr>
          <w:rFonts w:cstheme="minorHAnsi"/>
        </w:rPr>
        <w:t xml:space="preserve">ase </w:t>
      </w:r>
      <w:r w:rsidR="00460CD8">
        <w:rPr>
          <w:rFonts w:cstheme="minorHAnsi"/>
        </w:rPr>
        <w:t>M</w:t>
      </w:r>
      <w:r w:rsidR="00DD5E9A">
        <w:rPr>
          <w:rFonts w:cstheme="minorHAnsi"/>
        </w:rPr>
        <w:t xml:space="preserve">anagement </w:t>
      </w:r>
      <w:r w:rsidR="00460CD8">
        <w:rPr>
          <w:rFonts w:cstheme="minorHAnsi"/>
        </w:rPr>
        <w:t>S</w:t>
      </w:r>
      <w:r w:rsidR="00DD5E9A">
        <w:rPr>
          <w:rFonts w:cstheme="minorHAnsi"/>
        </w:rPr>
        <w:t>ystem (CMS)</w:t>
      </w:r>
      <w:r w:rsidR="00783C04">
        <w:rPr>
          <w:rFonts w:cstheme="minorHAnsi"/>
        </w:rPr>
        <w:t xml:space="preserve"> for efficient and risk-based allocation of resources to operational activities</w:t>
      </w:r>
      <w:r w:rsidR="0043446D">
        <w:rPr>
          <w:rFonts w:cstheme="minorHAnsi"/>
        </w:rPr>
        <w:t>.</w:t>
      </w:r>
    </w:p>
    <w:p w14:paraId="59EA1879" w14:textId="77777777" w:rsidR="00D925F8" w:rsidRDefault="00D925F8" w:rsidP="002A4AC8">
      <w:pPr>
        <w:spacing w:line="240" w:lineRule="auto"/>
        <w:rPr>
          <w:b/>
          <w:color w:val="2D2D2E"/>
          <w:sz w:val="22"/>
        </w:rPr>
      </w:pPr>
    </w:p>
    <w:p w14:paraId="7BB799A3" w14:textId="04B9C436" w:rsidR="00F203D5" w:rsidRPr="009914D0" w:rsidRDefault="00F203D5" w:rsidP="002A4AC8">
      <w:pPr>
        <w:spacing w:line="240" w:lineRule="auto"/>
        <w:rPr>
          <w:b/>
          <w:color w:val="2D2D2E"/>
          <w:sz w:val="22"/>
        </w:rPr>
      </w:pPr>
      <w:r w:rsidRPr="009914D0">
        <w:rPr>
          <w:b/>
          <w:color w:val="2D2D2E"/>
          <w:sz w:val="22"/>
        </w:rPr>
        <w:t>Expectations for KPI 3</w:t>
      </w:r>
    </w:p>
    <w:p w14:paraId="7BB799A4" w14:textId="602EA088" w:rsidR="00F203D5" w:rsidRPr="002A4AC8" w:rsidRDefault="00F203D5" w:rsidP="002A4AC8">
      <w:pPr>
        <w:spacing w:after="0" w:line="240" w:lineRule="auto"/>
        <w:contextualSpacing/>
        <w:rPr>
          <w:rFonts w:cstheme="minorHAnsi"/>
          <w:b/>
          <w:color w:val="398E98" w:themeColor="accent2" w:themeShade="BF"/>
          <w:sz w:val="22"/>
        </w:rPr>
      </w:pPr>
      <w:r w:rsidRPr="002A4AC8">
        <w:rPr>
          <w:rFonts w:cstheme="minorHAnsi"/>
          <w:sz w:val="22"/>
        </w:rPr>
        <w:t xml:space="preserve">Comprehensive risk assessment processes are essential to ensuring that resources are targeted to the areas requiring the most attention. A risk-based approach promotes the most efficient use of resources and improves the effectiveness of the regulatory framework through minimising burden on those who are voluntarily compliant and ensuring that </w:t>
      </w:r>
      <w:r w:rsidR="00783C04">
        <w:rPr>
          <w:rFonts w:cstheme="minorHAnsi"/>
          <w:sz w:val="22"/>
        </w:rPr>
        <w:t xml:space="preserve">verification activity </w:t>
      </w:r>
      <w:r w:rsidRPr="002A4AC8">
        <w:rPr>
          <w:rFonts w:cstheme="minorHAnsi"/>
          <w:sz w:val="22"/>
        </w:rPr>
        <w:t xml:space="preserve">is proportionate and undertaken </w:t>
      </w:r>
      <w:r w:rsidR="00E84605">
        <w:rPr>
          <w:rFonts w:cstheme="minorHAnsi"/>
          <w:sz w:val="22"/>
        </w:rPr>
        <w:t xml:space="preserve">where assessed as </w:t>
      </w:r>
      <w:r w:rsidRPr="002A4AC8">
        <w:rPr>
          <w:rFonts w:cstheme="minorHAnsi"/>
          <w:sz w:val="22"/>
        </w:rPr>
        <w:t>necessary.</w:t>
      </w:r>
    </w:p>
    <w:p w14:paraId="7BB799A5" w14:textId="77777777" w:rsidR="00F203D5" w:rsidRPr="002A4AC8" w:rsidRDefault="00F203D5" w:rsidP="002A4AC8">
      <w:pPr>
        <w:spacing w:after="0" w:line="240" w:lineRule="auto"/>
        <w:rPr>
          <w:rFonts w:cstheme="minorHAnsi"/>
          <w:sz w:val="22"/>
        </w:rPr>
      </w:pPr>
    </w:p>
    <w:p w14:paraId="7BB799A6" w14:textId="77777777" w:rsidR="00F203D5" w:rsidRPr="002A4AC8" w:rsidRDefault="00F203D5" w:rsidP="002A4AC8">
      <w:pPr>
        <w:spacing w:after="0" w:line="240" w:lineRule="auto"/>
        <w:rPr>
          <w:rFonts w:cstheme="minorHAnsi"/>
          <w:sz w:val="22"/>
        </w:rPr>
      </w:pPr>
      <w:r w:rsidRPr="002A4AC8">
        <w:rPr>
          <w:rFonts w:cstheme="minorHAnsi"/>
          <w:sz w:val="22"/>
        </w:rPr>
        <w:t>Efficient regulatory risk assessment takes account of the regulated activity, the nature of the regulated cohort, including its compliance history, and other external factors affecting risk. Risk assessments are balanced and implemented uniformly and impartially, while also being dynamic and open to scrutiny. They are based on the recognition that not all risk can be eliminated and not all risk can be effectively mitigated by government.</w:t>
      </w:r>
    </w:p>
    <w:p w14:paraId="7BB799A7" w14:textId="77777777" w:rsidR="00F203D5" w:rsidRPr="002A4AC8" w:rsidRDefault="00F203D5" w:rsidP="002A4AC8">
      <w:pPr>
        <w:spacing w:after="0" w:line="240" w:lineRule="auto"/>
        <w:contextualSpacing/>
        <w:rPr>
          <w:rFonts w:cstheme="minorHAnsi"/>
          <w:b/>
          <w:color w:val="398E98" w:themeColor="accent2" w:themeShade="BF"/>
          <w:sz w:val="22"/>
        </w:rPr>
      </w:pPr>
    </w:p>
    <w:p w14:paraId="7BB799A8" w14:textId="2C90BF22" w:rsidR="00F203D5" w:rsidRPr="002A4AC8" w:rsidRDefault="00F203D5" w:rsidP="002A4AC8">
      <w:pPr>
        <w:spacing w:after="0" w:line="240" w:lineRule="auto"/>
        <w:contextualSpacing/>
        <w:rPr>
          <w:rFonts w:cstheme="minorHAnsi"/>
          <w:sz w:val="22"/>
        </w:rPr>
      </w:pPr>
      <w:r w:rsidRPr="002A4AC8">
        <w:rPr>
          <w:rFonts w:cstheme="minorHAnsi"/>
          <w:sz w:val="22"/>
        </w:rPr>
        <w:t>The objectives against this KPI are to show that</w:t>
      </w:r>
      <w:r w:rsidR="00301558">
        <w:rPr>
          <w:rFonts w:cstheme="minorHAnsi"/>
          <w:sz w:val="22"/>
        </w:rPr>
        <w:t xml:space="preserve"> the</w:t>
      </w:r>
      <w:r w:rsidRPr="002A4AC8">
        <w:rPr>
          <w:rFonts w:cstheme="minorHAnsi"/>
          <w:sz w:val="22"/>
        </w:rPr>
        <w:t xml:space="preserve"> Commission meets government’s expectations by demonstrating that:</w:t>
      </w:r>
    </w:p>
    <w:p w14:paraId="7BB799A9" w14:textId="1F7A123D" w:rsidR="00F203D5" w:rsidRPr="002A4AC8" w:rsidRDefault="002205A9" w:rsidP="002053E9">
      <w:pPr>
        <w:pStyle w:val="ListParagraph"/>
        <w:numPr>
          <w:ilvl w:val="0"/>
          <w:numId w:val="5"/>
        </w:numPr>
        <w:spacing w:before="120" w:after="0" w:line="240" w:lineRule="auto"/>
        <w:ind w:hanging="357"/>
        <w:contextualSpacing w:val="0"/>
        <w:rPr>
          <w:rFonts w:cstheme="minorHAnsi"/>
        </w:rPr>
      </w:pPr>
      <w:r>
        <w:rPr>
          <w:rFonts w:cstheme="minorHAnsi"/>
        </w:rPr>
        <w:t xml:space="preserve">the </w:t>
      </w:r>
      <w:r w:rsidR="00F203D5" w:rsidRPr="002A4AC8">
        <w:rPr>
          <w:rFonts w:cstheme="minorHAnsi"/>
        </w:rPr>
        <w:t>preferred approach to regulatory risk is regularly assessed</w:t>
      </w:r>
      <w:r w:rsidR="004E7A48">
        <w:rPr>
          <w:rFonts w:cstheme="minorHAnsi"/>
        </w:rPr>
        <w:t>; and</w:t>
      </w:r>
    </w:p>
    <w:p w14:paraId="7BB799AA" w14:textId="784AEBE7" w:rsidR="00F203D5" w:rsidRDefault="00F203D5" w:rsidP="002053E9">
      <w:pPr>
        <w:pStyle w:val="ListParagraph"/>
        <w:numPr>
          <w:ilvl w:val="0"/>
          <w:numId w:val="5"/>
        </w:numPr>
        <w:spacing w:after="0" w:line="240" w:lineRule="auto"/>
        <w:ind w:hanging="357"/>
        <w:rPr>
          <w:rFonts w:cstheme="minorHAnsi"/>
        </w:rPr>
      </w:pPr>
      <w:r w:rsidRPr="002A4AC8">
        <w:rPr>
          <w:rFonts w:cstheme="minorHAnsi"/>
        </w:rPr>
        <w:t>a risk-based approach to its investigations</w:t>
      </w:r>
      <w:r w:rsidR="004E7A48">
        <w:rPr>
          <w:rFonts w:cstheme="minorHAnsi"/>
        </w:rPr>
        <w:t xml:space="preserve"> is adopted</w:t>
      </w:r>
      <w:r w:rsidRPr="002A4AC8">
        <w:rPr>
          <w:rFonts w:cstheme="minorHAnsi"/>
        </w:rPr>
        <w:t>, evidence gathering and decision-making based on the regulatory risks being managed.</w:t>
      </w:r>
    </w:p>
    <w:p w14:paraId="7BB799AB" w14:textId="13D5DEC1" w:rsidR="00364214" w:rsidRDefault="00364214">
      <w:pPr>
        <w:spacing w:after="200"/>
      </w:pPr>
    </w:p>
    <w:p w14:paraId="7BB799AC" w14:textId="77777777" w:rsidR="00F203D5" w:rsidRPr="009914D0" w:rsidRDefault="00F203D5" w:rsidP="002A4AC8">
      <w:pPr>
        <w:spacing w:line="240" w:lineRule="auto"/>
        <w:rPr>
          <w:b/>
          <w:color w:val="2D2D2E"/>
          <w:sz w:val="22"/>
        </w:rPr>
      </w:pPr>
      <w:r w:rsidRPr="009914D0">
        <w:rPr>
          <w:b/>
          <w:color w:val="2D2D2E"/>
          <w:sz w:val="22"/>
        </w:rPr>
        <w:t>Our approach for KPI 3</w:t>
      </w:r>
    </w:p>
    <w:p w14:paraId="7BB799AE" w14:textId="2985E1E0" w:rsidR="00F203D5" w:rsidRDefault="00F203D5" w:rsidP="00AB0227">
      <w:pPr>
        <w:spacing w:after="0" w:line="240" w:lineRule="auto"/>
        <w:rPr>
          <w:rFonts w:cstheme="minorHAnsi"/>
          <w:sz w:val="22"/>
        </w:rPr>
      </w:pPr>
      <w:r w:rsidRPr="002A4AC8">
        <w:rPr>
          <w:rFonts w:cstheme="minorHAnsi"/>
          <w:sz w:val="22"/>
        </w:rPr>
        <w:t>For this KPI,</w:t>
      </w:r>
      <w:r w:rsidR="00590D7D">
        <w:rPr>
          <w:rFonts w:cstheme="minorHAnsi"/>
          <w:sz w:val="22"/>
        </w:rPr>
        <w:t xml:space="preserve"> the Commission has </w:t>
      </w:r>
      <w:r w:rsidR="00155E86">
        <w:rPr>
          <w:rFonts w:cstheme="minorHAnsi"/>
          <w:sz w:val="22"/>
        </w:rPr>
        <w:t>demonstrated its approach to assessing and managing risk</w:t>
      </w:r>
      <w:r w:rsidR="00E76485">
        <w:rPr>
          <w:rFonts w:cstheme="minorHAnsi"/>
          <w:sz w:val="22"/>
        </w:rPr>
        <w:t>. In relation to its verification</w:t>
      </w:r>
      <w:r w:rsidR="00155E86">
        <w:rPr>
          <w:rFonts w:cstheme="minorHAnsi"/>
          <w:sz w:val="22"/>
        </w:rPr>
        <w:t xml:space="preserve"> </w:t>
      </w:r>
      <w:r w:rsidR="00E76485">
        <w:rPr>
          <w:rFonts w:cstheme="minorHAnsi"/>
          <w:sz w:val="22"/>
        </w:rPr>
        <w:t>activities, it has</w:t>
      </w:r>
      <w:r w:rsidR="00155E86">
        <w:rPr>
          <w:rFonts w:cstheme="minorHAnsi"/>
          <w:sz w:val="22"/>
        </w:rPr>
        <w:t xml:space="preserve"> </w:t>
      </w:r>
      <w:r w:rsidR="00E76485">
        <w:rPr>
          <w:rFonts w:cstheme="minorHAnsi"/>
          <w:sz w:val="22"/>
        </w:rPr>
        <w:t>reported</w:t>
      </w:r>
      <w:r w:rsidR="00A94458">
        <w:rPr>
          <w:rFonts w:cstheme="minorHAnsi"/>
          <w:sz w:val="22"/>
        </w:rPr>
        <w:t xml:space="preserve"> data </w:t>
      </w:r>
      <w:r w:rsidR="00E76485">
        <w:rPr>
          <w:rFonts w:cstheme="minorHAnsi"/>
          <w:sz w:val="22"/>
        </w:rPr>
        <w:t xml:space="preserve">on its </w:t>
      </w:r>
      <w:r w:rsidR="00590D7D">
        <w:rPr>
          <w:rFonts w:cstheme="minorHAnsi"/>
          <w:sz w:val="22"/>
        </w:rPr>
        <w:t xml:space="preserve">on-site verification </w:t>
      </w:r>
      <w:r w:rsidR="000360A4">
        <w:rPr>
          <w:rFonts w:cstheme="minorHAnsi"/>
          <w:sz w:val="22"/>
        </w:rPr>
        <w:t>activity and the percent</w:t>
      </w:r>
      <w:r w:rsidR="00586877">
        <w:rPr>
          <w:rFonts w:cstheme="minorHAnsi"/>
          <w:sz w:val="22"/>
        </w:rPr>
        <w:t xml:space="preserve">ages of export volumes </w:t>
      </w:r>
      <w:r w:rsidR="00E76485">
        <w:rPr>
          <w:rFonts w:cstheme="minorHAnsi"/>
          <w:sz w:val="22"/>
        </w:rPr>
        <w:t>subject to on-site verification</w:t>
      </w:r>
      <w:r w:rsidR="00381F54">
        <w:rPr>
          <w:rFonts w:cstheme="minorHAnsi"/>
          <w:sz w:val="22"/>
        </w:rPr>
        <w:t>.</w:t>
      </w:r>
      <w:r w:rsidR="00AB0227">
        <w:rPr>
          <w:rFonts w:cstheme="minorHAnsi"/>
          <w:sz w:val="22"/>
        </w:rPr>
        <w:t xml:space="preserve"> </w:t>
      </w:r>
    </w:p>
    <w:p w14:paraId="6B581178" w14:textId="77777777" w:rsidR="000D2B86" w:rsidRDefault="000D2B86" w:rsidP="002A4AC8">
      <w:pPr>
        <w:spacing w:line="240" w:lineRule="auto"/>
        <w:rPr>
          <w:b/>
          <w:color w:val="2D2D2E"/>
          <w:sz w:val="22"/>
        </w:rPr>
      </w:pPr>
    </w:p>
    <w:p w14:paraId="7BB799AF" w14:textId="77777777" w:rsidR="00F203D5" w:rsidRPr="009914D0" w:rsidRDefault="00F203D5" w:rsidP="002A4AC8">
      <w:pPr>
        <w:spacing w:line="240" w:lineRule="auto"/>
        <w:rPr>
          <w:b/>
          <w:color w:val="2D2D2E"/>
          <w:sz w:val="22"/>
        </w:rPr>
      </w:pPr>
      <w:r w:rsidRPr="009914D0">
        <w:rPr>
          <w:b/>
          <w:color w:val="2D2D2E"/>
          <w:sz w:val="22"/>
        </w:rPr>
        <w:t>Results KPI 3</w:t>
      </w:r>
    </w:p>
    <w:p w14:paraId="7BB799B0" w14:textId="1D985A50" w:rsidR="00F203D5" w:rsidRPr="002A4AC8" w:rsidRDefault="00F203D5" w:rsidP="00F203D5">
      <w:pPr>
        <w:rPr>
          <w:rFonts w:cstheme="minorHAnsi"/>
          <w:b/>
          <w:sz w:val="22"/>
        </w:rPr>
      </w:pPr>
      <w:r w:rsidRPr="002A4AC8">
        <w:rPr>
          <w:rFonts w:cstheme="minorHAnsi"/>
          <w:b/>
          <w:sz w:val="22"/>
        </w:rPr>
        <w:t>Measure: The Commission’s preferred approach to regulatory risk is regularly assessed</w:t>
      </w:r>
      <w:r w:rsidR="000874EE">
        <w:rPr>
          <w:rFonts w:cstheme="minorHAnsi"/>
          <w:b/>
          <w:sz w:val="22"/>
        </w:rPr>
        <w:t>.</w:t>
      </w:r>
    </w:p>
    <w:p w14:paraId="7BB799B1" w14:textId="77777777" w:rsidR="00F203D5" w:rsidRPr="002A4AC8" w:rsidRDefault="00F203D5" w:rsidP="002053E9">
      <w:pPr>
        <w:pStyle w:val="ListParagraph"/>
        <w:numPr>
          <w:ilvl w:val="0"/>
          <w:numId w:val="18"/>
        </w:numPr>
        <w:spacing w:before="120" w:after="120"/>
        <w:ind w:left="567"/>
        <w:rPr>
          <w:rFonts w:cstheme="minorHAnsi"/>
          <w:i/>
        </w:rPr>
      </w:pPr>
      <w:r w:rsidRPr="002A4AC8">
        <w:rPr>
          <w:rFonts w:cstheme="minorHAnsi"/>
          <w:i/>
        </w:rPr>
        <w:t xml:space="preserve">Metric: Development and implementation of guidelines to inform all of the Commission’s investigations. </w:t>
      </w:r>
    </w:p>
    <w:p w14:paraId="00D35175" w14:textId="63C034FA" w:rsidR="00381F54" w:rsidRDefault="00381F54" w:rsidP="002A4AC8">
      <w:pPr>
        <w:spacing w:after="0" w:line="240" w:lineRule="auto"/>
        <w:rPr>
          <w:rFonts w:cstheme="minorHAnsi"/>
          <w:sz w:val="22"/>
        </w:rPr>
      </w:pPr>
    </w:p>
    <w:p w14:paraId="5626BEC1" w14:textId="2066BA76" w:rsidR="00FF1D70" w:rsidRPr="009B6A18" w:rsidRDefault="00FF1D70" w:rsidP="002053E9">
      <w:pPr>
        <w:spacing w:after="0" w:line="240" w:lineRule="auto"/>
        <w:rPr>
          <w:rFonts w:cstheme="minorHAnsi"/>
          <w:sz w:val="22"/>
        </w:rPr>
      </w:pPr>
      <w:r w:rsidRPr="00FF1D70">
        <w:rPr>
          <w:rFonts w:cstheme="minorHAnsi"/>
          <w:sz w:val="22"/>
        </w:rPr>
        <w:t>The imp</w:t>
      </w:r>
      <w:r>
        <w:rPr>
          <w:rFonts w:cstheme="minorHAnsi"/>
          <w:sz w:val="22"/>
        </w:rPr>
        <w:t>lementation of a comprehensive Q</w:t>
      </w:r>
      <w:r w:rsidRPr="00FF1D70">
        <w:rPr>
          <w:rFonts w:cstheme="minorHAnsi"/>
          <w:sz w:val="22"/>
        </w:rPr>
        <w:t xml:space="preserve">uality </w:t>
      </w:r>
      <w:r>
        <w:rPr>
          <w:rFonts w:cstheme="minorHAnsi"/>
          <w:sz w:val="22"/>
        </w:rPr>
        <w:t>A</w:t>
      </w:r>
      <w:r w:rsidRPr="00FF1D70">
        <w:rPr>
          <w:rFonts w:cstheme="minorHAnsi"/>
          <w:sz w:val="22"/>
        </w:rPr>
        <w:t>ssurance</w:t>
      </w:r>
      <w:r>
        <w:rPr>
          <w:rFonts w:cstheme="minorHAnsi"/>
          <w:sz w:val="22"/>
        </w:rPr>
        <w:t xml:space="preserve"> (QA) F</w:t>
      </w:r>
      <w:r w:rsidRPr="00FF1D70">
        <w:rPr>
          <w:rFonts w:cstheme="minorHAnsi"/>
          <w:sz w:val="22"/>
        </w:rPr>
        <w:t>ramework reflects the Commission’s commitment to strengthening bot</w:t>
      </w:r>
      <w:r w:rsidRPr="009B6A18">
        <w:rPr>
          <w:rFonts w:cstheme="minorHAnsi"/>
          <w:sz w:val="22"/>
        </w:rPr>
        <w:t xml:space="preserve">h the quality and consistency of case findings, reports and recommendations across the full remit of the Commission’s functions. </w:t>
      </w:r>
    </w:p>
    <w:p w14:paraId="72651F90" w14:textId="6D49024A" w:rsidR="00517324" w:rsidRDefault="00783C04" w:rsidP="00FF1D70">
      <w:pPr>
        <w:spacing w:after="0" w:line="240" w:lineRule="auto"/>
        <w:rPr>
          <w:rFonts w:cstheme="minorHAnsi"/>
          <w:sz w:val="22"/>
        </w:rPr>
      </w:pPr>
      <w:r>
        <w:rPr>
          <w:rFonts w:cstheme="minorHAnsi"/>
          <w:sz w:val="22"/>
        </w:rPr>
        <w:t>I</w:t>
      </w:r>
      <w:r w:rsidR="00381F54">
        <w:rPr>
          <w:rFonts w:cstheme="minorHAnsi"/>
          <w:sz w:val="22"/>
        </w:rPr>
        <w:t>t</w:t>
      </w:r>
      <w:r>
        <w:rPr>
          <w:rFonts w:cstheme="minorHAnsi"/>
          <w:sz w:val="22"/>
        </w:rPr>
        <w:t xml:space="preserve"> was designed to complement the implementation of the new </w:t>
      </w:r>
      <w:r w:rsidR="00E84605">
        <w:rPr>
          <w:rFonts w:cstheme="minorHAnsi"/>
          <w:sz w:val="22"/>
        </w:rPr>
        <w:t>i</w:t>
      </w:r>
      <w:r>
        <w:rPr>
          <w:rFonts w:cstheme="minorHAnsi"/>
          <w:sz w:val="22"/>
        </w:rPr>
        <w:t>nvestigations model.</w:t>
      </w:r>
      <w:r w:rsidR="00F203D5" w:rsidRPr="002A4AC8">
        <w:rPr>
          <w:rFonts w:cstheme="minorHAnsi"/>
          <w:sz w:val="22"/>
        </w:rPr>
        <w:t xml:space="preserve"> The QA Framework </w:t>
      </w:r>
      <w:r w:rsidR="009B6A18">
        <w:rPr>
          <w:rFonts w:cstheme="minorHAnsi"/>
          <w:sz w:val="22"/>
        </w:rPr>
        <w:t xml:space="preserve">provides for </w:t>
      </w:r>
      <w:r w:rsidR="00381F54">
        <w:rPr>
          <w:rFonts w:cstheme="minorHAnsi"/>
          <w:sz w:val="22"/>
        </w:rPr>
        <w:t xml:space="preserve">quality assurance processes </w:t>
      </w:r>
      <w:r w:rsidR="009B6A18">
        <w:rPr>
          <w:rFonts w:cstheme="minorHAnsi"/>
          <w:sz w:val="22"/>
        </w:rPr>
        <w:t xml:space="preserve">that are </w:t>
      </w:r>
      <w:r w:rsidR="00F203D5" w:rsidRPr="002A4AC8">
        <w:rPr>
          <w:rFonts w:cstheme="minorHAnsi"/>
          <w:sz w:val="22"/>
        </w:rPr>
        <w:t xml:space="preserve">embedded into the case planning and investigations process to ensure risks are identified and managed as early as possible in an investigation. </w:t>
      </w:r>
      <w:r w:rsidR="00FF1D70">
        <w:rPr>
          <w:rFonts w:cstheme="minorHAnsi"/>
          <w:sz w:val="22"/>
        </w:rPr>
        <w:t xml:space="preserve">The key enabler </w:t>
      </w:r>
      <w:r w:rsidR="00E84605">
        <w:rPr>
          <w:rFonts w:cstheme="minorHAnsi"/>
          <w:sz w:val="22"/>
        </w:rPr>
        <w:t xml:space="preserve">in this regard </w:t>
      </w:r>
      <w:r w:rsidR="00FF1D70">
        <w:rPr>
          <w:rFonts w:cstheme="minorHAnsi"/>
          <w:sz w:val="22"/>
        </w:rPr>
        <w:t>is the series of quality control point (QCP) meetings tha</w:t>
      </w:r>
      <w:r w:rsidR="00E84605">
        <w:rPr>
          <w:rFonts w:cstheme="minorHAnsi"/>
          <w:sz w:val="22"/>
        </w:rPr>
        <w:t>t</w:t>
      </w:r>
      <w:r w:rsidR="00FF1D70">
        <w:rPr>
          <w:rFonts w:cstheme="minorHAnsi"/>
          <w:sz w:val="22"/>
        </w:rPr>
        <w:t xml:space="preserve"> are schedule</w:t>
      </w:r>
      <w:r w:rsidR="000635B3">
        <w:rPr>
          <w:rFonts w:cstheme="minorHAnsi"/>
          <w:sz w:val="22"/>
        </w:rPr>
        <w:t>d</w:t>
      </w:r>
      <w:r w:rsidR="00FF1D70">
        <w:rPr>
          <w:rFonts w:cstheme="minorHAnsi"/>
          <w:sz w:val="22"/>
        </w:rPr>
        <w:t xml:space="preserve"> to take place at key mi</w:t>
      </w:r>
      <w:r w:rsidR="00E84605">
        <w:rPr>
          <w:rFonts w:cstheme="minorHAnsi"/>
          <w:sz w:val="22"/>
        </w:rPr>
        <w:t>lestone</w:t>
      </w:r>
      <w:r w:rsidR="000635B3">
        <w:rPr>
          <w:rFonts w:cstheme="minorHAnsi"/>
          <w:sz w:val="22"/>
        </w:rPr>
        <w:t>s</w:t>
      </w:r>
      <w:r w:rsidR="00FF1D70">
        <w:rPr>
          <w:rFonts w:cstheme="minorHAnsi"/>
          <w:sz w:val="22"/>
        </w:rPr>
        <w:t xml:space="preserve"> during each case.</w:t>
      </w:r>
      <w:r w:rsidR="00E84605">
        <w:rPr>
          <w:rFonts w:cstheme="minorHAnsi"/>
          <w:sz w:val="22"/>
        </w:rPr>
        <w:t xml:space="preserve"> Those QCP meetings are an opportunity for the case management team and </w:t>
      </w:r>
      <w:r w:rsidR="00301558">
        <w:rPr>
          <w:rFonts w:cstheme="minorHAnsi"/>
          <w:sz w:val="22"/>
        </w:rPr>
        <w:t xml:space="preserve">our key advisory teams (e.g. policy, legal and quality assurance) </w:t>
      </w:r>
      <w:r w:rsidR="00E84605">
        <w:rPr>
          <w:rFonts w:cstheme="minorHAnsi"/>
          <w:sz w:val="22"/>
        </w:rPr>
        <w:t>to consider risks and risk treatments.</w:t>
      </w:r>
      <w:r w:rsidR="00FF1D70">
        <w:rPr>
          <w:rFonts w:cstheme="minorHAnsi"/>
          <w:sz w:val="22"/>
        </w:rPr>
        <w:t xml:space="preserve"> </w:t>
      </w:r>
    </w:p>
    <w:p w14:paraId="7A34CDA5" w14:textId="77777777" w:rsidR="00517324" w:rsidRDefault="00517324" w:rsidP="00FF1D70">
      <w:pPr>
        <w:spacing w:after="0" w:line="240" w:lineRule="auto"/>
        <w:rPr>
          <w:rFonts w:cstheme="minorHAnsi"/>
          <w:sz w:val="22"/>
        </w:rPr>
      </w:pPr>
    </w:p>
    <w:p w14:paraId="01749821" w14:textId="2F3EF61D" w:rsidR="000D2B86" w:rsidRPr="00381F54" w:rsidRDefault="000D2B86" w:rsidP="000D2B86">
      <w:pPr>
        <w:spacing w:after="0" w:line="240" w:lineRule="auto"/>
        <w:rPr>
          <w:rFonts w:cstheme="minorHAnsi"/>
          <w:sz w:val="22"/>
        </w:rPr>
      </w:pPr>
      <w:r>
        <w:rPr>
          <w:rFonts w:cstheme="minorHAnsi"/>
          <w:sz w:val="22"/>
        </w:rPr>
        <w:t>The Commission has a dedicated Quality and Assurance team to provide expert quality assurance over all exporter verification activities to reduce the risk of incorrect outcomes from the verification process. This team is responsible for providing advice regarding the application of Commission policy and practice at a highly detailed level, while improving the quality and presentation of the dumping margin calculations.</w:t>
      </w:r>
      <w:r w:rsidRPr="000D2B86">
        <w:rPr>
          <w:rFonts w:cstheme="minorHAnsi"/>
          <w:sz w:val="22"/>
        </w:rPr>
        <w:t xml:space="preserve"> </w:t>
      </w:r>
      <w:r>
        <w:rPr>
          <w:rFonts w:cstheme="minorHAnsi"/>
          <w:sz w:val="22"/>
        </w:rPr>
        <w:t>.</w:t>
      </w:r>
      <w:r w:rsidRPr="00381F54">
        <w:rPr>
          <w:rFonts w:cstheme="minorHAnsi"/>
          <w:sz w:val="22"/>
        </w:rPr>
        <w:t xml:space="preserve"> </w:t>
      </w:r>
    </w:p>
    <w:p w14:paraId="595B9271" w14:textId="06871EAD" w:rsidR="000D2B86" w:rsidRDefault="000D2B86" w:rsidP="00FF1D70">
      <w:pPr>
        <w:spacing w:after="0" w:line="240" w:lineRule="auto"/>
        <w:rPr>
          <w:rFonts w:cstheme="minorHAnsi"/>
          <w:sz w:val="22"/>
        </w:rPr>
      </w:pPr>
    </w:p>
    <w:p w14:paraId="7BB799B4" w14:textId="593D802B" w:rsidR="00F203D5" w:rsidRDefault="00F203D5" w:rsidP="00FF1D70">
      <w:pPr>
        <w:spacing w:after="0" w:line="240" w:lineRule="auto"/>
        <w:rPr>
          <w:rFonts w:cstheme="minorHAnsi"/>
          <w:sz w:val="22"/>
        </w:rPr>
      </w:pPr>
      <w:r w:rsidRPr="002A4AC8">
        <w:rPr>
          <w:rFonts w:cstheme="minorHAnsi"/>
          <w:sz w:val="22"/>
        </w:rPr>
        <w:t>To complement the QA Framework, a Risk Management Framework</w:t>
      </w:r>
      <w:r w:rsidR="00A94458">
        <w:rPr>
          <w:rFonts w:cstheme="minorHAnsi"/>
          <w:sz w:val="22"/>
        </w:rPr>
        <w:t xml:space="preserve"> provides guidance to manage the</w:t>
      </w:r>
      <w:r w:rsidRPr="002A4AC8">
        <w:rPr>
          <w:rFonts w:cstheme="minorHAnsi"/>
          <w:sz w:val="22"/>
        </w:rPr>
        <w:t xml:space="preserve"> core operations capability in relation to risk.</w:t>
      </w:r>
    </w:p>
    <w:p w14:paraId="56C23B03" w14:textId="65A8EE75" w:rsidR="00517324" w:rsidRPr="002A4AC8" w:rsidRDefault="00517324" w:rsidP="00FF1D70">
      <w:pPr>
        <w:spacing w:after="0" w:line="240" w:lineRule="auto"/>
        <w:rPr>
          <w:rFonts w:cstheme="minorHAnsi"/>
          <w:sz w:val="22"/>
        </w:rPr>
      </w:pPr>
    </w:p>
    <w:p w14:paraId="0F8B5A48" w14:textId="3C79B4F2" w:rsidR="00381F54" w:rsidRDefault="00E84605" w:rsidP="002A4AC8">
      <w:pPr>
        <w:spacing w:after="0" w:line="240" w:lineRule="auto"/>
        <w:rPr>
          <w:rFonts w:cstheme="minorHAnsi"/>
          <w:sz w:val="22"/>
        </w:rPr>
      </w:pPr>
      <w:r>
        <w:rPr>
          <w:rFonts w:cstheme="minorHAnsi"/>
          <w:sz w:val="22"/>
        </w:rPr>
        <w:t>The Commission has continued to improve i</w:t>
      </w:r>
      <w:r w:rsidR="00517324">
        <w:rPr>
          <w:rFonts w:cstheme="minorHAnsi"/>
          <w:sz w:val="22"/>
        </w:rPr>
        <w:t>t</w:t>
      </w:r>
      <w:r>
        <w:rPr>
          <w:rFonts w:cstheme="minorHAnsi"/>
          <w:sz w:val="22"/>
        </w:rPr>
        <w:t xml:space="preserve">s capability and capacity </w:t>
      </w:r>
      <w:r w:rsidR="00517324">
        <w:rPr>
          <w:rFonts w:cstheme="minorHAnsi"/>
          <w:sz w:val="22"/>
        </w:rPr>
        <w:t xml:space="preserve">in </w:t>
      </w:r>
      <w:r>
        <w:rPr>
          <w:rFonts w:cstheme="minorHAnsi"/>
          <w:sz w:val="22"/>
        </w:rPr>
        <w:t xml:space="preserve">verification activities. </w:t>
      </w:r>
      <w:r w:rsidR="00E17C6F">
        <w:rPr>
          <w:rFonts w:cstheme="minorHAnsi"/>
          <w:sz w:val="22"/>
        </w:rPr>
        <w:t>In particular, it</w:t>
      </w:r>
      <w:r>
        <w:rPr>
          <w:rFonts w:cstheme="minorHAnsi"/>
          <w:sz w:val="22"/>
        </w:rPr>
        <w:t xml:space="preserve"> has developed and delivered a Verification Capability Framework, which includes multiple training</w:t>
      </w:r>
      <w:r w:rsidR="00E17C6F">
        <w:rPr>
          <w:rFonts w:cstheme="minorHAnsi"/>
          <w:sz w:val="22"/>
        </w:rPr>
        <w:t xml:space="preserve"> and development</w:t>
      </w:r>
      <w:r>
        <w:rPr>
          <w:rFonts w:cstheme="minorHAnsi"/>
          <w:sz w:val="22"/>
        </w:rPr>
        <w:t xml:space="preserve"> modules aimed at increasing the </w:t>
      </w:r>
      <w:r w:rsidR="00375A1E">
        <w:rPr>
          <w:rFonts w:cstheme="minorHAnsi"/>
          <w:sz w:val="22"/>
        </w:rPr>
        <w:t>e</w:t>
      </w:r>
      <w:r>
        <w:rPr>
          <w:rFonts w:cstheme="minorHAnsi"/>
          <w:sz w:val="22"/>
        </w:rPr>
        <w:t>ffic</w:t>
      </w:r>
      <w:r w:rsidR="00375A1E">
        <w:rPr>
          <w:rFonts w:cstheme="minorHAnsi"/>
          <w:sz w:val="22"/>
        </w:rPr>
        <w:t>ie</w:t>
      </w:r>
      <w:r>
        <w:rPr>
          <w:rFonts w:cstheme="minorHAnsi"/>
          <w:sz w:val="22"/>
        </w:rPr>
        <w:t xml:space="preserve">ncy and </w:t>
      </w:r>
      <w:r w:rsidR="00E17C6F">
        <w:rPr>
          <w:rFonts w:cstheme="minorHAnsi"/>
          <w:sz w:val="22"/>
        </w:rPr>
        <w:t>effectiveness</w:t>
      </w:r>
      <w:r>
        <w:rPr>
          <w:rFonts w:cstheme="minorHAnsi"/>
          <w:sz w:val="22"/>
        </w:rPr>
        <w:t xml:space="preserve"> of </w:t>
      </w:r>
      <w:r w:rsidR="00E17C6F">
        <w:rPr>
          <w:rFonts w:cstheme="minorHAnsi"/>
          <w:sz w:val="22"/>
        </w:rPr>
        <w:t xml:space="preserve">its </w:t>
      </w:r>
      <w:r>
        <w:rPr>
          <w:rFonts w:cstheme="minorHAnsi"/>
          <w:sz w:val="22"/>
        </w:rPr>
        <w:t>verification</w:t>
      </w:r>
      <w:r w:rsidR="00E17C6F">
        <w:rPr>
          <w:rFonts w:cstheme="minorHAnsi"/>
          <w:sz w:val="22"/>
        </w:rPr>
        <w:t xml:space="preserve"> activities.</w:t>
      </w:r>
      <w:r w:rsidR="002303DB">
        <w:rPr>
          <w:rFonts w:cstheme="minorHAnsi"/>
          <w:sz w:val="22"/>
        </w:rPr>
        <w:t xml:space="preserve"> </w:t>
      </w:r>
      <w:r w:rsidR="00987DB4">
        <w:rPr>
          <w:rFonts w:cstheme="minorHAnsi"/>
          <w:sz w:val="22"/>
        </w:rPr>
        <w:t xml:space="preserve">Currently, the Commission has </w:t>
      </w:r>
      <w:r w:rsidR="00F77196">
        <w:rPr>
          <w:rFonts w:cstheme="minorHAnsi"/>
          <w:sz w:val="22"/>
        </w:rPr>
        <w:t>19</w:t>
      </w:r>
      <w:r w:rsidR="00FC707E">
        <w:rPr>
          <w:rFonts w:cstheme="minorHAnsi"/>
          <w:sz w:val="22"/>
        </w:rPr>
        <w:t xml:space="preserve"> competent</w:t>
      </w:r>
      <w:r w:rsidR="00E76485">
        <w:rPr>
          <w:rFonts w:cstheme="minorHAnsi"/>
          <w:sz w:val="22"/>
        </w:rPr>
        <w:t> </w:t>
      </w:r>
      <w:r w:rsidR="002303DB">
        <w:rPr>
          <w:rFonts w:cstheme="minorHAnsi"/>
          <w:sz w:val="22"/>
        </w:rPr>
        <w:t xml:space="preserve">lead verifiers. </w:t>
      </w:r>
      <w:r w:rsidR="00C905E8">
        <w:rPr>
          <w:rFonts w:cstheme="minorHAnsi"/>
          <w:sz w:val="22"/>
        </w:rPr>
        <w:t xml:space="preserve">The Commission is in the process of conducting quality control checks on current leaders to ensure the standard of verification is maintained. </w:t>
      </w:r>
    </w:p>
    <w:p w14:paraId="7BB799B6" w14:textId="3FD71C3F" w:rsidR="00F203D5" w:rsidRPr="002A4AC8" w:rsidRDefault="00F203D5" w:rsidP="002A4AC8">
      <w:pPr>
        <w:spacing w:after="0" w:line="240" w:lineRule="auto"/>
        <w:rPr>
          <w:rFonts w:cstheme="minorHAnsi"/>
          <w:sz w:val="22"/>
        </w:rPr>
      </w:pPr>
    </w:p>
    <w:p w14:paraId="7BB799B7" w14:textId="77777777" w:rsidR="00F203D5" w:rsidRPr="002A4AC8" w:rsidRDefault="00F203D5" w:rsidP="002053E9">
      <w:pPr>
        <w:rPr>
          <w:rFonts w:cstheme="minorHAnsi"/>
          <w:b/>
          <w:sz w:val="22"/>
        </w:rPr>
      </w:pPr>
      <w:r w:rsidRPr="002A4AC8">
        <w:rPr>
          <w:rFonts w:cstheme="minorHAnsi"/>
          <w:b/>
          <w:sz w:val="22"/>
        </w:rPr>
        <w:t>Measure: The Commission adopts a risk-based approach to its investigations, evidence gathering and decision-making based on the regulatory risks being managed.</w:t>
      </w:r>
    </w:p>
    <w:p w14:paraId="7BB799B8" w14:textId="77777777" w:rsidR="00F203D5" w:rsidRPr="00364214" w:rsidRDefault="00F203D5" w:rsidP="002053E9">
      <w:pPr>
        <w:pStyle w:val="ListParagraph"/>
        <w:numPr>
          <w:ilvl w:val="0"/>
          <w:numId w:val="17"/>
        </w:numPr>
        <w:spacing w:before="120" w:after="120"/>
        <w:ind w:left="567"/>
        <w:rPr>
          <w:rFonts w:cstheme="minorHAnsi"/>
          <w:i/>
        </w:rPr>
      </w:pPr>
      <w:r w:rsidRPr="00364214">
        <w:rPr>
          <w:rFonts w:cstheme="minorHAnsi"/>
          <w:i/>
        </w:rPr>
        <w:t>Metric: Evidence of data being collected during investigations being based on a risk-based approach.</w:t>
      </w:r>
    </w:p>
    <w:p w14:paraId="7BB799B9" w14:textId="77777777" w:rsidR="00F203D5" w:rsidRPr="00364214" w:rsidRDefault="00F203D5" w:rsidP="002053E9">
      <w:pPr>
        <w:pStyle w:val="ListParagraph"/>
        <w:numPr>
          <w:ilvl w:val="0"/>
          <w:numId w:val="17"/>
        </w:numPr>
        <w:spacing w:before="120" w:after="120"/>
        <w:ind w:left="567"/>
        <w:rPr>
          <w:rFonts w:cstheme="minorHAnsi"/>
          <w:i/>
        </w:rPr>
      </w:pPr>
      <w:r w:rsidRPr="00364214">
        <w:rPr>
          <w:rFonts w:cstheme="minorHAnsi"/>
          <w:i/>
        </w:rPr>
        <w:t>Metric: Annual statistics of numbers of exporters that are verified in-country, by desktop audit, or other method.</w:t>
      </w:r>
    </w:p>
    <w:p w14:paraId="7BB799BA" w14:textId="658080C7" w:rsidR="00F203D5" w:rsidRDefault="00F203D5" w:rsidP="002053E9">
      <w:pPr>
        <w:spacing w:after="0" w:line="240" w:lineRule="auto"/>
        <w:ind w:right="-25"/>
        <w:rPr>
          <w:rFonts w:cstheme="minorHAnsi"/>
          <w:sz w:val="22"/>
        </w:rPr>
      </w:pPr>
      <w:r w:rsidRPr="002A4AC8">
        <w:rPr>
          <w:rFonts w:cstheme="minorHAnsi"/>
          <w:sz w:val="22"/>
        </w:rPr>
        <w:t xml:space="preserve">As discussed </w:t>
      </w:r>
      <w:r w:rsidR="00511D74">
        <w:rPr>
          <w:rFonts w:cstheme="minorHAnsi"/>
          <w:sz w:val="22"/>
        </w:rPr>
        <w:t>under</w:t>
      </w:r>
      <w:r w:rsidR="00511D74" w:rsidRPr="002A4AC8">
        <w:rPr>
          <w:rFonts w:cstheme="minorHAnsi"/>
          <w:sz w:val="22"/>
        </w:rPr>
        <w:t xml:space="preserve"> </w:t>
      </w:r>
      <w:r w:rsidRPr="002A4AC8">
        <w:rPr>
          <w:rFonts w:cstheme="minorHAnsi"/>
          <w:sz w:val="22"/>
        </w:rPr>
        <w:t>KPI 2 and KPI 3, a key area of managing regulat</w:t>
      </w:r>
      <w:r w:rsidR="00B710D5">
        <w:rPr>
          <w:rFonts w:cstheme="minorHAnsi"/>
          <w:sz w:val="22"/>
        </w:rPr>
        <w:t xml:space="preserve">ory risk for the Commission </w:t>
      </w:r>
      <w:r w:rsidRPr="002A4AC8">
        <w:rPr>
          <w:rFonts w:cstheme="minorHAnsi"/>
          <w:sz w:val="22"/>
        </w:rPr>
        <w:t>is the veri</w:t>
      </w:r>
      <w:r w:rsidR="00B710D5">
        <w:rPr>
          <w:rFonts w:cstheme="minorHAnsi"/>
          <w:sz w:val="22"/>
        </w:rPr>
        <w:t xml:space="preserve">fication of financial data, </w:t>
      </w:r>
      <w:r w:rsidRPr="002A4AC8">
        <w:rPr>
          <w:rFonts w:cstheme="minorHAnsi"/>
          <w:sz w:val="22"/>
        </w:rPr>
        <w:t>in particular, exporters’ data. During an investigation</w:t>
      </w:r>
      <w:r w:rsidR="00511D74">
        <w:rPr>
          <w:rFonts w:cstheme="minorHAnsi"/>
          <w:sz w:val="22"/>
        </w:rPr>
        <w:t>,</w:t>
      </w:r>
      <w:r w:rsidRPr="002A4AC8">
        <w:rPr>
          <w:rFonts w:cstheme="minorHAnsi"/>
          <w:sz w:val="22"/>
        </w:rPr>
        <w:t xml:space="preserve"> the Commission is required to establish that data provided by an exporter is complete, relevant and accurate and therefore suitable for evidence-based calculations of dumping and subsidy margins and injury assessments. On</w:t>
      </w:r>
      <w:r w:rsidR="00E76485">
        <w:rPr>
          <w:rFonts w:cstheme="minorHAnsi"/>
          <w:sz w:val="22"/>
        </w:rPr>
        <w:noBreakHyphen/>
      </w:r>
      <w:r w:rsidRPr="002A4AC8">
        <w:rPr>
          <w:rFonts w:cstheme="minorHAnsi"/>
          <w:sz w:val="22"/>
        </w:rPr>
        <w:t xml:space="preserve">site verification is one means to establish </w:t>
      </w:r>
      <w:r w:rsidR="00511D74">
        <w:rPr>
          <w:rFonts w:cstheme="minorHAnsi"/>
          <w:sz w:val="22"/>
        </w:rPr>
        <w:t xml:space="preserve">the suitability of the </w:t>
      </w:r>
      <w:r w:rsidRPr="002A4AC8">
        <w:rPr>
          <w:rFonts w:cstheme="minorHAnsi"/>
          <w:sz w:val="22"/>
        </w:rPr>
        <w:t>information provided and is an important part of the Commission’s strategy in conducting investigations.</w:t>
      </w:r>
    </w:p>
    <w:p w14:paraId="3526E24C" w14:textId="77777777" w:rsidR="00CC54D8" w:rsidRDefault="00CC54D8" w:rsidP="002053E9">
      <w:pPr>
        <w:spacing w:after="0" w:line="240" w:lineRule="auto"/>
        <w:ind w:right="-25"/>
        <w:rPr>
          <w:rFonts w:cstheme="minorHAnsi"/>
          <w:sz w:val="22"/>
        </w:rPr>
      </w:pPr>
    </w:p>
    <w:p w14:paraId="2BE3D53F" w14:textId="77777777" w:rsidR="00B710D5" w:rsidRPr="002F16FA" w:rsidRDefault="00F203D5" w:rsidP="002053E9">
      <w:pPr>
        <w:spacing w:after="0" w:line="240" w:lineRule="auto"/>
        <w:rPr>
          <w:rFonts w:cstheme="minorHAnsi"/>
          <w:sz w:val="22"/>
        </w:rPr>
      </w:pPr>
      <w:r w:rsidRPr="002F16FA">
        <w:rPr>
          <w:rFonts w:cstheme="minorHAnsi"/>
          <w:sz w:val="22"/>
        </w:rPr>
        <w:t>It is not possible for the Commission to undertake on</w:t>
      </w:r>
      <w:r w:rsidR="00E76485" w:rsidRPr="002F16FA">
        <w:rPr>
          <w:rFonts w:cstheme="minorHAnsi"/>
          <w:sz w:val="22"/>
        </w:rPr>
        <w:t>-</w:t>
      </w:r>
      <w:r w:rsidRPr="002F16FA">
        <w:rPr>
          <w:rFonts w:cstheme="minorHAnsi"/>
          <w:sz w:val="22"/>
        </w:rPr>
        <w:t xml:space="preserve">site verification exercises in relation to all parties in all types of investigations, reviews and other inquiries. Therefore, the Commission applies a risk management approach to its investigations when selecting the method of verification for a particular investigation. The Commission can only verify an exporter’s data if </w:t>
      </w:r>
      <w:r w:rsidR="00511D74" w:rsidRPr="002F16FA">
        <w:rPr>
          <w:rFonts w:cstheme="minorHAnsi"/>
          <w:sz w:val="22"/>
        </w:rPr>
        <w:t>it has</w:t>
      </w:r>
      <w:r w:rsidRPr="002F16FA">
        <w:rPr>
          <w:rFonts w:cstheme="minorHAnsi"/>
          <w:sz w:val="22"/>
        </w:rPr>
        <w:t xml:space="preserve"> completed an exporter questionnaire</w:t>
      </w:r>
      <w:r w:rsidR="00B710D5" w:rsidRPr="002F16FA">
        <w:rPr>
          <w:rFonts w:cstheme="minorHAnsi"/>
          <w:sz w:val="22"/>
        </w:rPr>
        <w:t xml:space="preserve"> and agrees to a verification visit</w:t>
      </w:r>
      <w:r w:rsidR="00CD7E4F" w:rsidRPr="002F16FA">
        <w:rPr>
          <w:rFonts w:cstheme="minorHAnsi"/>
          <w:sz w:val="22"/>
        </w:rPr>
        <w:t>.</w:t>
      </w:r>
      <w:r w:rsidR="00C905E8" w:rsidRPr="002F16FA">
        <w:rPr>
          <w:rFonts w:cstheme="minorHAnsi"/>
          <w:sz w:val="22"/>
        </w:rPr>
        <w:t xml:space="preserve"> </w:t>
      </w:r>
    </w:p>
    <w:p w14:paraId="530DF686" w14:textId="77777777" w:rsidR="00B710D5" w:rsidRPr="002F16FA" w:rsidRDefault="00B710D5" w:rsidP="002053E9">
      <w:pPr>
        <w:spacing w:after="0" w:line="240" w:lineRule="auto"/>
        <w:rPr>
          <w:rFonts w:cstheme="minorHAnsi"/>
          <w:sz w:val="22"/>
        </w:rPr>
      </w:pPr>
    </w:p>
    <w:p w14:paraId="340C8CDD" w14:textId="77777777" w:rsidR="00F835B6" w:rsidRDefault="00D7711E" w:rsidP="002053E9">
      <w:pPr>
        <w:spacing w:after="0" w:line="240" w:lineRule="auto"/>
        <w:rPr>
          <w:rFonts w:cstheme="minorHAnsi"/>
          <w:sz w:val="22"/>
        </w:rPr>
      </w:pPr>
      <w:r w:rsidRPr="002F16FA">
        <w:rPr>
          <w:rFonts w:cstheme="minorHAnsi"/>
          <w:sz w:val="22"/>
        </w:rPr>
        <w:t xml:space="preserve">In </w:t>
      </w:r>
      <w:r w:rsidR="00EC1722" w:rsidRPr="002F16FA">
        <w:rPr>
          <w:rFonts w:cstheme="minorHAnsi"/>
          <w:sz w:val="22"/>
        </w:rPr>
        <w:t>2019-20</w:t>
      </w:r>
      <w:r w:rsidRPr="002F16FA">
        <w:rPr>
          <w:rFonts w:cstheme="minorHAnsi"/>
          <w:sz w:val="22"/>
        </w:rPr>
        <w:t xml:space="preserve"> t</w:t>
      </w:r>
      <w:r w:rsidR="00B710D5" w:rsidRPr="002F16FA">
        <w:rPr>
          <w:rFonts w:cstheme="minorHAnsi"/>
          <w:sz w:val="22"/>
        </w:rPr>
        <w:t xml:space="preserve">he Commission undertook </w:t>
      </w:r>
      <w:r w:rsidR="00C01661" w:rsidRPr="002F16FA">
        <w:rPr>
          <w:rFonts w:cstheme="minorHAnsi"/>
          <w:sz w:val="22"/>
        </w:rPr>
        <w:t>20</w:t>
      </w:r>
      <w:r w:rsidR="00B710D5" w:rsidRPr="002F16FA">
        <w:rPr>
          <w:rFonts w:cstheme="minorHAnsi"/>
          <w:sz w:val="22"/>
        </w:rPr>
        <w:t xml:space="preserve"> </w:t>
      </w:r>
      <w:r w:rsidR="00EC1722" w:rsidRPr="002F16FA">
        <w:rPr>
          <w:rFonts w:cstheme="minorHAnsi"/>
          <w:sz w:val="22"/>
        </w:rPr>
        <w:t xml:space="preserve">onsite </w:t>
      </w:r>
      <w:r w:rsidR="00B710D5" w:rsidRPr="002F16FA">
        <w:rPr>
          <w:rFonts w:cstheme="minorHAnsi"/>
          <w:sz w:val="22"/>
        </w:rPr>
        <w:t>exporter verification visits</w:t>
      </w:r>
      <w:r w:rsidRPr="002F16FA">
        <w:rPr>
          <w:rFonts w:cstheme="minorHAnsi"/>
          <w:sz w:val="22"/>
        </w:rPr>
        <w:t>,</w:t>
      </w:r>
      <w:r w:rsidR="00B710D5" w:rsidRPr="002F16FA">
        <w:rPr>
          <w:rFonts w:cstheme="minorHAnsi"/>
          <w:sz w:val="22"/>
        </w:rPr>
        <w:t xml:space="preserve"> a </w:t>
      </w:r>
      <w:r w:rsidR="002058D3" w:rsidRPr="002F16FA">
        <w:rPr>
          <w:rFonts w:cstheme="minorHAnsi"/>
          <w:sz w:val="22"/>
        </w:rPr>
        <w:t>de</w:t>
      </w:r>
      <w:r w:rsidR="00B710D5" w:rsidRPr="002F16FA">
        <w:rPr>
          <w:rFonts w:cstheme="minorHAnsi"/>
          <w:sz w:val="22"/>
        </w:rPr>
        <w:t xml:space="preserve">crease of </w:t>
      </w:r>
      <w:r w:rsidR="00C01661" w:rsidRPr="002F16FA">
        <w:rPr>
          <w:rFonts w:cstheme="minorHAnsi"/>
          <w:sz w:val="22"/>
        </w:rPr>
        <w:t>8</w:t>
      </w:r>
      <w:r w:rsidR="00B710D5" w:rsidRPr="002F16FA">
        <w:rPr>
          <w:rFonts w:cstheme="minorHAnsi"/>
          <w:sz w:val="22"/>
        </w:rPr>
        <w:t xml:space="preserve"> from the previous </w:t>
      </w:r>
      <w:r w:rsidR="00D73630" w:rsidRPr="002F16FA">
        <w:rPr>
          <w:rFonts w:cstheme="minorHAnsi"/>
          <w:sz w:val="22"/>
        </w:rPr>
        <w:t>financial year</w:t>
      </w:r>
      <w:r w:rsidR="00B710D5" w:rsidRPr="002F16FA">
        <w:rPr>
          <w:rFonts w:cstheme="minorHAnsi"/>
          <w:sz w:val="22"/>
        </w:rPr>
        <w:t xml:space="preserve">. In addition to these </w:t>
      </w:r>
      <w:r w:rsidR="00C01661" w:rsidRPr="002F16FA">
        <w:rPr>
          <w:rFonts w:cstheme="minorHAnsi"/>
          <w:sz w:val="22"/>
        </w:rPr>
        <w:t>20</w:t>
      </w:r>
      <w:r w:rsidR="00B710D5" w:rsidRPr="002F16FA">
        <w:rPr>
          <w:rFonts w:cstheme="minorHAnsi"/>
          <w:sz w:val="22"/>
        </w:rPr>
        <w:t xml:space="preserve"> onsite verifications, </w:t>
      </w:r>
      <w:r w:rsidRPr="002F16FA">
        <w:rPr>
          <w:rFonts w:cstheme="minorHAnsi"/>
          <w:sz w:val="22"/>
        </w:rPr>
        <w:t xml:space="preserve">a further </w:t>
      </w:r>
      <w:r w:rsidR="00C01661" w:rsidRPr="002F16FA">
        <w:rPr>
          <w:rFonts w:cstheme="minorHAnsi"/>
          <w:sz w:val="22"/>
        </w:rPr>
        <w:t>39</w:t>
      </w:r>
      <w:r w:rsidRPr="002F16FA">
        <w:rPr>
          <w:rFonts w:cstheme="minorHAnsi"/>
          <w:sz w:val="22"/>
        </w:rPr>
        <w:t xml:space="preserve"> (up from </w:t>
      </w:r>
      <w:r w:rsidR="00C01661" w:rsidRPr="002F16FA">
        <w:rPr>
          <w:rFonts w:cstheme="minorHAnsi"/>
          <w:sz w:val="22"/>
        </w:rPr>
        <w:t>22</w:t>
      </w:r>
      <w:r w:rsidRPr="002F16FA">
        <w:rPr>
          <w:rFonts w:cstheme="minorHAnsi"/>
          <w:sz w:val="22"/>
        </w:rPr>
        <w:t>)</w:t>
      </w:r>
      <w:r w:rsidR="00B710D5" w:rsidRPr="002F16FA">
        <w:rPr>
          <w:rFonts w:cstheme="minorHAnsi"/>
          <w:sz w:val="22"/>
        </w:rPr>
        <w:t xml:space="preserve"> other </w:t>
      </w:r>
      <w:r w:rsidR="00244B34" w:rsidRPr="002F16FA">
        <w:rPr>
          <w:rFonts w:cstheme="minorHAnsi"/>
          <w:sz w:val="22"/>
        </w:rPr>
        <w:t>exporters</w:t>
      </w:r>
      <w:r w:rsidR="00B710D5" w:rsidRPr="002F16FA">
        <w:rPr>
          <w:rFonts w:cstheme="minorHAnsi"/>
          <w:sz w:val="22"/>
        </w:rPr>
        <w:t xml:space="preserve"> </w:t>
      </w:r>
      <w:r w:rsidR="00244B34" w:rsidRPr="002F16FA">
        <w:rPr>
          <w:rFonts w:cstheme="minorHAnsi"/>
          <w:sz w:val="22"/>
        </w:rPr>
        <w:t xml:space="preserve">had their data verified using desktop methods. The Commission measures the coverage of onsite verifications as the proportion of Free on Board (FOB) value of cooperating exporters visiting onsite, compared to the total FOB value of cooperating exporters. In </w:t>
      </w:r>
      <w:r w:rsidR="00EC1722" w:rsidRPr="002F16FA">
        <w:rPr>
          <w:rFonts w:cstheme="minorHAnsi"/>
          <w:sz w:val="22"/>
        </w:rPr>
        <w:t>2018</w:t>
      </w:r>
      <w:r w:rsidR="00244B34" w:rsidRPr="002F16FA">
        <w:rPr>
          <w:rFonts w:cstheme="minorHAnsi"/>
          <w:sz w:val="22"/>
        </w:rPr>
        <w:t>-</w:t>
      </w:r>
      <w:r w:rsidR="00EC1722" w:rsidRPr="002F16FA">
        <w:rPr>
          <w:rFonts w:cstheme="minorHAnsi"/>
          <w:sz w:val="22"/>
        </w:rPr>
        <w:t xml:space="preserve">19 </w:t>
      </w:r>
      <w:r w:rsidR="00244B34" w:rsidRPr="002F16FA">
        <w:rPr>
          <w:rFonts w:cstheme="minorHAnsi"/>
          <w:sz w:val="22"/>
        </w:rPr>
        <w:t xml:space="preserve">the coverage value was </w:t>
      </w:r>
      <w:r w:rsidR="00A5479B" w:rsidRPr="002F16FA">
        <w:rPr>
          <w:rFonts w:cstheme="minorHAnsi"/>
          <w:sz w:val="22"/>
        </w:rPr>
        <w:t>8</w:t>
      </w:r>
      <w:r w:rsidR="00C01661" w:rsidRPr="002F16FA">
        <w:rPr>
          <w:rFonts w:cstheme="minorHAnsi"/>
          <w:sz w:val="22"/>
        </w:rPr>
        <w:t>4</w:t>
      </w:r>
      <w:r w:rsidR="00F835B6">
        <w:rPr>
          <w:rFonts w:cstheme="minorHAnsi"/>
          <w:sz w:val="22"/>
        </w:rPr>
        <w:t xml:space="preserve"> per cent</w:t>
      </w:r>
      <w:r w:rsidR="00244B34" w:rsidRPr="002F16FA">
        <w:rPr>
          <w:rFonts w:cstheme="minorHAnsi"/>
          <w:sz w:val="22"/>
        </w:rPr>
        <w:t xml:space="preserve"> and in </w:t>
      </w:r>
      <w:r w:rsidR="00EC1722" w:rsidRPr="002F16FA">
        <w:rPr>
          <w:rFonts w:cstheme="minorHAnsi"/>
          <w:sz w:val="22"/>
        </w:rPr>
        <w:t>2019</w:t>
      </w:r>
      <w:r w:rsidR="002058D3" w:rsidRPr="002F16FA">
        <w:rPr>
          <w:rFonts w:cstheme="minorHAnsi"/>
          <w:sz w:val="22"/>
        </w:rPr>
        <w:t>-</w:t>
      </w:r>
      <w:r w:rsidR="00EC1722" w:rsidRPr="002F16FA">
        <w:rPr>
          <w:rFonts w:cstheme="minorHAnsi"/>
          <w:sz w:val="22"/>
        </w:rPr>
        <w:t>20</w:t>
      </w:r>
      <w:r w:rsidR="00244B34" w:rsidRPr="002F16FA">
        <w:rPr>
          <w:rFonts w:cstheme="minorHAnsi"/>
          <w:sz w:val="22"/>
        </w:rPr>
        <w:t xml:space="preserve"> this was</w:t>
      </w:r>
      <w:r w:rsidR="006442BE" w:rsidRPr="002F16FA">
        <w:rPr>
          <w:rFonts w:cstheme="minorHAnsi"/>
          <w:sz w:val="22"/>
        </w:rPr>
        <w:t xml:space="preserve"> </w:t>
      </w:r>
      <w:r w:rsidR="00C01661" w:rsidRPr="002F16FA">
        <w:rPr>
          <w:rFonts w:cstheme="minorHAnsi"/>
          <w:sz w:val="22"/>
        </w:rPr>
        <w:t>44</w:t>
      </w:r>
      <w:r w:rsidR="00F835B6">
        <w:rPr>
          <w:rFonts w:cstheme="minorHAnsi"/>
          <w:sz w:val="22"/>
        </w:rPr>
        <w:t xml:space="preserve"> per cent</w:t>
      </w:r>
      <w:r w:rsidR="00244B34" w:rsidRPr="002F16FA">
        <w:rPr>
          <w:rFonts w:cstheme="minorHAnsi"/>
          <w:sz w:val="22"/>
        </w:rPr>
        <w:t xml:space="preserve">. The Commission notes that this metric can change from year to year depending on the relative value of the goods under investigation each year. </w:t>
      </w:r>
    </w:p>
    <w:p w14:paraId="6415326C" w14:textId="77777777" w:rsidR="00F835B6" w:rsidRDefault="00F835B6" w:rsidP="002053E9">
      <w:pPr>
        <w:spacing w:after="0" w:line="240" w:lineRule="auto"/>
        <w:rPr>
          <w:rFonts w:cstheme="minorHAnsi"/>
          <w:sz w:val="22"/>
        </w:rPr>
      </w:pPr>
    </w:p>
    <w:p w14:paraId="4B6A23BB" w14:textId="6084DCBD" w:rsidR="00406A09" w:rsidRPr="002F16FA" w:rsidRDefault="00EC1722" w:rsidP="002053E9">
      <w:pPr>
        <w:spacing w:after="0" w:line="240" w:lineRule="auto"/>
        <w:rPr>
          <w:rFonts w:cstheme="minorHAnsi"/>
          <w:sz w:val="22"/>
        </w:rPr>
      </w:pPr>
      <w:r w:rsidRPr="002F16FA">
        <w:rPr>
          <w:rFonts w:cstheme="minorHAnsi"/>
          <w:sz w:val="22"/>
        </w:rPr>
        <w:t xml:space="preserve">The number of onsite verifications conducted in 2019-20 was impacted by the COVID-19 pandemic and related travel restrictions. On 20 March 2020 the Commission suspended all onsite exporter verification activities due to the global pandemic. </w:t>
      </w:r>
      <w:r w:rsidR="006C226A" w:rsidRPr="002F16FA">
        <w:rPr>
          <w:rFonts w:cstheme="minorHAnsi"/>
          <w:sz w:val="22"/>
        </w:rPr>
        <w:t xml:space="preserve">The Commission has undertaken desktop verification of exporters during this period, consistent with the practice of other Anti-Dumping administrations such as Canada and the United Kingdom. </w:t>
      </w:r>
      <w:r w:rsidR="00A00241" w:rsidRPr="002F16FA">
        <w:rPr>
          <w:rFonts w:cstheme="minorHAnsi"/>
          <w:sz w:val="22"/>
        </w:rPr>
        <w:t xml:space="preserve">The Commission plans to resume onsite verification as soon as practical. </w:t>
      </w:r>
    </w:p>
    <w:p w14:paraId="3BC27D20" w14:textId="77777777" w:rsidR="009D0DFC" w:rsidRPr="002F16FA" w:rsidRDefault="009D0DFC" w:rsidP="002053E9">
      <w:pPr>
        <w:spacing w:after="0" w:line="240" w:lineRule="auto"/>
        <w:rPr>
          <w:rFonts w:cstheme="minorHAnsi"/>
          <w:sz w:val="22"/>
        </w:rPr>
      </w:pPr>
    </w:p>
    <w:p w14:paraId="7DFACB3E" w14:textId="77777777" w:rsidR="00A00241" w:rsidRPr="002F16FA" w:rsidRDefault="00A00241" w:rsidP="009C7BFB">
      <w:pPr>
        <w:spacing w:after="0" w:line="240" w:lineRule="auto"/>
        <w:rPr>
          <w:rFonts w:cstheme="minorHAnsi"/>
          <w:sz w:val="22"/>
        </w:rPr>
      </w:pPr>
      <w:r w:rsidRPr="002F16FA">
        <w:rPr>
          <w:rFonts w:cstheme="minorHAnsi"/>
          <w:sz w:val="22"/>
        </w:rPr>
        <w:t>Following the completion of exporter verification visits in 2019-20, the Commission’s exporter verification reports were published (on average) within 75 days after commencing the verification. This is a decrease of 8 days from 2018-19. The Commission notes that from March 2020, the start of several verifications was delayed due to COVID related travel restrictions. This resulted in the average number of days a verification being completed after case initiation being 182 days, an increase of 28 from 2018-19.</w:t>
      </w:r>
    </w:p>
    <w:p w14:paraId="0B8CFC28" w14:textId="38C68605" w:rsidR="00406A09" w:rsidRPr="002A4AC8" w:rsidRDefault="00406A09" w:rsidP="002053E9">
      <w:pPr>
        <w:spacing w:after="0" w:line="240" w:lineRule="auto"/>
        <w:rPr>
          <w:rFonts w:cstheme="minorHAnsi"/>
          <w:sz w:val="22"/>
        </w:rPr>
      </w:pPr>
    </w:p>
    <w:p w14:paraId="7BB799BE" w14:textId="6202507E" w:rsidR="00F203D5" w:rsidRPr="009914D0" w:rsidRDefault="00F203D5" w:rsidP="002053E9">
      <w:pPr>
        <w:spacing w:line="240" w:lineRule="auto"/>
        <w:rPr>
          <w:b/>
          <w:color w:val="2D2D2E"/>
          <w:sz w:val="22"/>
        </w:rPr>
      </w:pPr>
      <w:r w:rsidRPr="009914D0">
        <w:rPr>
          <w:b/>
          <w:color w:val="2D2D2E"/>
          <w:sz w:val="22"/>
        </w:rPr>
        <w:t>Discussion KPI 3</w:t>
      </w:r>
    </w:p>
    <w:p w14:paraId="5B9B23D1" w14:textId="55E0032D" w:rsidR="004B0738" w:rsidRDefault="00F167BF" w:rsidP="009164D4">
      <w:pPr>
        <w:spacing w:after="0" w:line="240" w:lineRule="auto"/>
        <w:rPr>
          <w:rFonts w:cstheme="minorHAnsi"/>
          <w:sz w:val="22"/>
        </w:rPr>
      </w:pPr>
      <w:r>
        <w:rPr>
          <w:rFonts w:cstheme="minorHAnsi"/>
          <w:sz w:val="22"/>
        </w:rPr>
        <w:t xml:space="preserve">The implementation of the suite of frameworks </w:t>
      </w:r>
      <w:r w:rsidR="00CD7E4F">
        <w:rPr>
          <w:rFonts w:cstheme="minorHAnsi"/>
          <w:sz w:val="22"/>
        </w:rPr>
        <w:t xml:space="preserve">and the </w:t>
      </w:r>
      <w:r w:rsidR="00244B34">
        <w:rPr>
          <w:rFonts w:cstheme="minorHAnsi"/>
          <w:sz w:val="22"/>
        </w:rPr>
        <w:t>new</w:t>
      </w:r>
      <w:r w:rsidR="00CD7E4F">
        <w:rPr>
          <w:rFonts w:cstheme="minorHAnsi"/>
          <w:sz w:val="22"/>
        </w:rPr>
        <w:t xml:space="preserve"> </w:t>
      </w:r>
      <w:r w:rsidR="00244B34">
        <w:rPr>
          <w:rFonts w:cstheme="minorHAnsi"/>
          <w:sz w:val="22"/>
        </w:rPr>
        <w:t>Verification and Data A</w:t>
      </w:r>
      <w:r w:rsidR="00B710D5">
        <w:rPr>
          <w:rFonts w:cstheme="minorHAnsi"/>
          <w:sz w:val="22"/>
        </w:rPr>
        <w:t xml:space="preserve">ssurance </w:t>
      </w:r>
      <w:r w:rsidR="00244B34">
        <w:rPr>
          <w:rFonts w:cstheme="minorHAnsi"/>
          <w:sz w:val="22"/>
        </w:rPr>
        <w:t xml:space="preserve">(VADA) </w:t>
      </w:r>
      <w:r w:rsidR="00B710D5">
        <w:rPr>
          <w:rFonts w:cstheme="minorHAnsi"/>
          <w:sz w:val="22"/>
        </w:rPr>
        <w:t>team</w:t>
      </w:r>
      <w:r>
        <w:rPr>
          <w:rFonts w:cstheme="minorHAnsi"/>
          <w:sz w:val="22"/>
        </w:rPr>
        <w:t xml:space="preserve"> has strengthened the Commission’s performance against this KPI.</w:t>
      </w:r>
      <w:r w:rsidR="00E67B94">
        <w:rPr>
          <w:rFonts w:cstheme="minorHAnsi"/>
          <w:sz w:val="22"/>
        </w:rPr>
        <w:t xml:space="preserve"> </w:t>
      </w:r>
      <w:r w:rsidR="004B0738">
        <w:rPr>
          <w:rFonts w:cstheme="minorHAnsi"/>
          <w:sz w:val="22"/>
        </w:rPr>
        <w:t>By improving its approach to assessing risks and adopting</w:t>
      </w:r>
      <w:r w:rsidR="009164D4">
        <w:rPr>
          <w:rFonts w:cstheme="minorHAnsi"/>
          <w:sz w:val="22"/>
        </w:rPr>
        <w:t xml:space="preserve"> a more efficient and effective approach to workforce coordination</w:t>
      </w:r>
      <w:r w:rsidR="004B0738">
        <w:rPr>
          <w:rFonts w:cstheme="minorHAnsi"/>
          <w:sz w:val="22"/>
        </w:rPr>
        <w:t xml:space="preserve">, </w:t>
      </w:r>
      <w:r w:rsidR="00CD7E4F">
        <w:rPr>
          <w:rFonts w:cstheme="minorHAnsi"/>
          <w:sz w:val="22"/>
        </w:rPr>
        <w:t xml:space="preserve">while applying more detailed scrutiny to the results of verification activities, </w:t>
      </w:r>
      <w:r w:rsidR="004B0738">
        <w:rPr>
          <w:rFonts w:cstheme="minorHAnsi"/>
          <w:sz w:val="22"/>
        </w:rPr>
        <w:t>the Commission ensures that it focuses its resources on the areas of highest risk</w:t>
      </w:r>
      <w:r w:rsidR="009164D4">
        <w:rPr>
          <w:rFonts w:cstheme="minorHAnsi"/>
          <w:sz w:val="22"/>
        </w:rPr>
        <w:t xml:space="preserve">. </w:t>
      </w:r>
    </w:p>
    <w:p w14:paraId="1F87597A" w14:textId="77777777" w:rsidR="004B0738" w:rsidRDefault="004B0738" w:rsidP="009164D4">
      <w:pPr>
        <w:spacing w:after="0" w:line="240" w:lineRule="auto"/>
        <w:rPr>
          <w:rFonts w:cstheme="minorHAnsi"/>
          <w:sz w:val="22"/>
        </w:rPr>
      </w:pPr>
    </w:p>
    <w:p w14:paraId="79D9D67C" w14:textId="2B8EEB00" w:rsidR="00586877" w:rsidRDefault="004B0738" w:rsidP="002053E9">
      <w:pPr>
        <w:spacing w:after="0" w:line="240" w:lineRule="auto"/>
        <w:rPr>
          <w:rFonts w:cstheme="minorHAnsi"/>
          <w:sz w:val="22"/>
        </w:rPr>
      </w:pPr>
      <w:r>
        <w:rPr>
          <w:rFonts w:cstheme="minorHAnsi"/>
          <w:sz w:val="22"/>
        </w:rPr>
        <w:t>I</w:t>
      </w:r>
      <w:r w:rsidR="009164D4">
        <w:rPr>
          <w:rFonts w:cstheme="minorHAnsi"/>
          <w:sz w:val="22"/>
        </w:rPr>
        <w:t>mplement</w:t>
      </w:r>
      <w:r>
        <w:rPr>
          <w:rFonts w:cstheme="minorHAnsi"/>
          <w:sz w:val="22"/>
        </w:rPr>
        <w:t>ing</w:t>
      </w:r>
      <w:r w:rsidR="009164D4">
        <w:rPr>
          <w:rFonts w:cstheme="minorHAnsi"/>
          <w:sz w:val="22"/>
        </w:rPr>
        <w:t xml:space="preserve"> enhanced quality assurance processes and improv</w:t>
      </w:r>
      <w:r>
        <w:rPr>
          <w:rFonts w:cstheme="minorHAnsi"/>
          <w:sz w:val="22"/>
        </w:rPr>
        <w:t>ing</w:t>
      </w:r>
      <w:r w:rsidR="009164D4">
        <w:rPr>
          <w:rFonts w:cstheme="minorHAnsi"/>
          <w:sz w:val="22"/>
        </w:rPr>
        <w:t xml:space="preserve"> its capability and capacity </w:t>
      </w:r>
      <w:r>
        <w:rPr>
          <w:rFonts w:cstheme="minorHAnsi"/>
          <w:sz w:val="22"/>
        </w:rPr>
        <w:t>in</w:t>
      </w:r>
      <w:r w:rsidR="009164D4">
        <w:rPr>
          <w:rFonts w:cstheme="minorHAnsi"/>
          <w:sz w:val="22"/>
        </w:rPr>
        <w:t xml:space="preserve"> verification</w:t>
      </w:r>
      <w:r>
        <w:rPr>
          <w:rFonts w:cstheme="minorHAnsi"/>
          <w:sz w:val="22"/>
        </w:rPr>
        <w:t xml:space="preserve"> have further supported the Commission in taking a risk-based approach and ensuring that decisions and recommendations are based on reliable evidence and facts. In addition, by </w:t>
      </w:r>
      <w:r w:rsidR="00590D7D">
        <w:rPr>
          <w:rFonts w:cstheme="minorHAnsi"/>
          <w:sz w:val="22"/>
        </w:rPr>
        <w:t>maintaining</w:t>
      </w:r>
      <w:r w:rsidR="00B20604">
        <w:rPr>
          <w:rFonts w:cstheme="minorHAnsi"/>
          <w:sz w:val="22"/>
        </w:rPr>
        <w:t xml:space="preserve"> its timely</w:t>
      </w:r>
      <w:r w:rsidR="00A264CD" w:rsidRPr="00A264CD">
        <w:rPr>
          <w:rFonts w:cstheme="minorHAnsi"/>
          <w:sz w:val="22"/>
        </w:rPr>
        <w:t xml:space="preserve"> </w:t>
      </w:r>
      <w:r w:rsidR="00B20604">
        <w:rPr>
          <w:rFonts w:cstheme="minorHAnsi"/>
          <w:sz w:val="22"/>
        </w:rPr>
        <w:t>publication</w:t>
      </w:r>
      <w:r w:rsidR="00A264CD" w:rsidRPr="00A264CD">
        <w:rPr>
          <w:rFonts w:cstheme="minorHAnsi"/>
          <w:sz w:val="22"/>
        </w:rPr>
        <w:t xml:space="preserve"> </w:t>
      </w:r>
      <w:r w:rsidR="00B20604">
        <w:rPr>
          <w:rFonts w:cstheme="minorHAnsi"/>
          <w:sz w:val="22"/>
        </w:rPr>
        <w:t xml:space="preserve">of </w:t>
      </w:r>
      <w:r w:rsidR="00A264CD" w:rsidRPr="00A264CD">
        <w:rPr>
          <w:rFonts w:cstheme="minorHAnsi"/>
          <w:sz w:val="22"/>
        </w:rPr>
        <w:t>exporter verification reports</w:t>
      </w:r>
      <w:r>
        <w:rPr>
          <w:rFonts w:cstheme="minorHAnsi"/>
          <w:sz w:val="22"/>
        </w:rPr>
        <w:t>, the Commission facilitates submissions by interested parties on the evidence.</w:t>
      </w:r>
    </w:p>
    <w:p w14:paraId="7BB799C0" w14:textId="77777777" w:rsidR="00F203D5" w:rsidRPr="002A4AC8" w:rsidRDefault="00F203D5" w:rsidP="002053E9">
      <w:pPr>
        <w:spacing w:line="240" w:lineRule="auto"/>
        <w:contextualSpacing/>
        <w:rPr>
          <w:rFonts w:cstheme="minorHAnsi"/>
          <w:b/>
          <w:color w:val="1A495D" w:themeColor="accent1" w:themeShade="80"/>
          <w:sz w:val="22"/>
        </w:rPr>
      </w:pPr>
    </w:p>
    <w:p w14:paraId="7BB799C1" w14:textId="58A151B7" w:rsidR="00F203D5" w:rsidRPr="009914D0" w:rsidRDefault="00F203D5" w:rsidP="002053E9">
      <w:pPr>
        <w:spacing w:line="240" w:lineRule="auto"/>
        <w:rPr>
          <w:b/>
          <w:color w:val="2D2D2E"/>
          <w:sz w:val="22"/>
        </w:rPr>
      </w:pPr>
      <w:r w:rsidRPr="009914D0">
        <w:rPr>
          <w:b/>
          <w:color w:val="2D2D2E"/>
          <w:sz w:val="22"/>
        </w:rPr>
        <w:t xml:space="preserve">Stakeholder Validation </w:t>
      </w:r>
    </w:p>
    <w:p w14:paraId="7BB2273C" w14:textId="3812268E" w:rsidR="00AC2AC9" w:rsidRDefault="00405D9E" w:rsidP="00F26EC0">
      <w:pPr>
        <w:spacing w:after="0" w:line="240" w:lineRule="auto"/>
        <w:rPr>
          <w:rFonts w:cstheme="minorHAnsi"/>
          <w:sz w:val="22"/>
        </w:rPr>
      </w:pPr>
      <w:r w:rsidRPr="00405D9E">
        <w:rPr>
          <w:rFonts w:cstheme="minorHAnsi"/>
          <w:sz w:val="22"/>
        </w:rPr>
        <w:t xml:space="preserve">In the stakeholder survey, </w:t>
      </w:r>
      <w:r w:rsidR="009914D0">
        <w:rPr>
          <w:rFonts w:cstheme="minorHAnsi"/>
          <w:sz w:val="22"/>
        </w:rPr>
        <w:t>80</w:t>
      </w:r>
      <w:r w:rsidR="00C90686">
        <w:rPr>
          <w:rFonts w:cstheme="minorHAnsi"/>
          <w:sz w:val="22"/>
        </w:rPr>
        <w:t xml:space="preserve"> per cent</w:t>
      </w:r>
      <w:r w:rsidR="00C072FC">
        <w:rPr>
          <w:rFonts w:cstheme="minorHAnsi"/>
          <w:sz w:val="22"/>
        </w:rPr>
        <w:t xml:space="preserve"> of </w:t>
      </w:r>
      <w:r w:rsidR="00C90686">
        <w:rPr>
          <w:rFonts w:cstheme="minorHAnsi"/>
          <w:sz w:val="22"/>
        </w:rPr>
        <w:t xml:space="preserve">applicable </w:t>
      </w:r>
      <w:r w:rsidRPr="00405D9E">
        <w:rPr>
          <w:rFonts w:cstheme="minorHAnsi"/>
          <w:sz w:val="22"/>
        </w:rPr>
        <w:t xml:space="preserve">respondents were </w:t>
      </w:r>
      <w:r w:rsidR="00C072FC">
        <w:rPr>
          <w:rFonts w:cstheme="minorHAnsi"/>
          <w:sz w:val="22"/>
        </w:rPr>
        <w:t xml:space="preserve">somewhat </w:t>
      </w:r>
      <w:r w:rsidRPr="00405D9E">
        <w:rPr>
          <w:rFonts w:cstheme="minorHAnsi"/>
          <w:sz w:val="22"/>
        </w:rPr>
        <w:t>satisfied</w:t>
      </w:r>
      <w:r w:rsidR="00C072FC">
        <w:rPr>
          <w:rFonts w:cstheme="minorHAnsi"/>
          <w:sz w:val="22"/>
        </w:rPr>
        <w:t xml:space="preserve">, to very satisfied, </w:t>
      </w:r>
      <w:r w:rsidR="00A264CD" w:rsidRPr="00A264CD">
        <w:rPr>
          <w:rFonts w:cstheme="minorHAnsi"/>
          <w:sz w:val="22"/>
        </w:rPr>
        <w:t>with the Commission’s performance for KPI 3</w:t>
      </w:r>
      <w:r w:rsidR="00C90686">
        <w:rPr>
          <w:rFonts w:cstheme="minorHAnsi"/>
          <w:sz w:val="22"/>
        </w:rPr>
        <w:t>.</w:t>
      </w:r>
      <w:r w:rsidR="009409CE">
        <w:rPr>
          <w:rFonts w:cstheme="minorHAnsi"/>
          <w:sz w:val="22"/>
        </w:rPr>
        <w:t xml:space="preserve"> </w:t>
      </w:r>
      <w:r w:rsidR="00590D7D">
        <w:rPr>
          <w:rFonts w:cstheme="minorHAnsi"/>
          <w:sz w:val="22"/>
        </w:rPr>
        <w:t>The Commission</w:t>
      </w:r>
      <w:r w:rsidR="004B0738">
        <w:rPr>
          <w:rFonts w:cstheme="minorHAnsi"/>
          <w:sz w:val="22"/>
        </w:rPr>
        <w:t>’s approach to continuous operational improvement</w:t>
      </w:r>
      <w:r w:rsidR="00590D7D">
        <w:rPr>
          <w:rFonts w:cstheme="minorHAnsi"/>
          <w:sz w:val="22"/>
        </w:rPr>
        <w:t xml:space="preserve"> </w:t>
      </w:r>
      <w:r w:rsidR="004B0738">
        <w:rPr>
          <w:rFonts w:cstheme="minorHAnsi"/>
          <w:sz w:val="22"/>
        </w:rPr>
        <w:t xml:space="preserve">will </w:t>
      </w:r>
      <w:r w:rsidR="006B30BD">
        <w:rPr>
          <w:rFonts w:cstheme="minorHAnsi"/>
          <w:sz w:val="22"/>
        </w:rPr>
        <w:t>support its focus on the quality, evidence base and timeliness of its investigations</w:t>
      </w:r>
      <w:r w:rsidR="00590D7D">
        <w:rPr>
          <w:rFonts w:cstheme="minorHAnsi"/>
          <w:sz w:val="22"/>
        </w:rPr>
        <w:t>.</w:t>
      </w:r>
    </w:p>
    <w:p w14:paraId="2909843F" w14:textId="4A01326E" w:rsidR="00923D75" w:rsidRDefault="00923D75">
      <w:pPr>
        <w:spacing w:after="200"/>
        <w:rPr>
          <w:b/>
          <w:color w:val="81C8CF" w:themeColor="accent2" w:themeTint="BF"/>
          <w:sz w:val="24"/>
          <w:szCs w:val="24"/>
        </w:rPr>
      </w:pPr>
    </w:p>
    <w:p w14:paraId="7BB799C5" w14:textId="70F12936" w:rsidR="00AC0195" w:rsidRPr="00777EB0" w:rsidRDefault="00AC0195" w:rsidP="009914D0">
      <w:pPr>
        <w:pStyle w:val="Heading2"/>
        <w:numPr>
          <w:ilvl w:val="0"/>
          <w:numId w:val="0"/>
        </w:numPr>
        <w:ind w:left="578" w:hanging="578"/>
      </w:pPr>
      <w:bookmarkStart w:id="25" w:name="_Toc49952171"/>
      <w:bookmarkStart w:id="26" w:name="_Toc49952231"/>
      <w:bookmarkStart w:id="27" w:name="_Toc49952325"/>
      <w:bookmarkStart w:id="28" w:name="_Toc49952366"/>
      <w:bookmarkStart w:id="29" w:name="_Toc49953504"/>
      <w:bookmarkStart w:id="30" w:name="_Toc52456003"/>
      <w:bookmarkEnd w:id="25"/>
      <w:bookmarkEnd w:id="26"/>
      <w:bookmarkEnd w:id="27"/>
      <w:bookmarkEnd w:id="28"/>
      <w:r w:rsidRPr="00777EB0">
        <w:t>KPI 4 - Compliance and monitoring approaches are streamlined and</w:t>
      </w:r>
      <w:r w:rsidR="00777EB0" w:rsidRPr="00777EB0">
        <w:t xml:space="preserve"> </w:t>
      </w:r>
      <w:r w:rsidRPr="00777EB0">
        <w:t>co-ordinated</w:t>
      </w:r>
      <w:bookmarkEnd w:id="29"/>
      <w:bookmarkEnd w:id="30"/>
    </w:p>
    <w:p w14:paraId="7BB799C6" w14:textId="77777777" w:rsidR="00AC0195" w:rsidRPr="009914D0" w:rsidRDefault="00AC0195" w:rsidP="002053E9">
      <w:pPr>
        <w:spacing w:line="240" w:lineRule="auto"/>
        <w:rPr>
          <w:b/>
          <w:color w:val="2D2D2E"/>
          <w:sz w:val="22"/>
        </w:rPr>
      </w:pPr>
      <w:r w:rsidRPr="009914D0">
        <w:rPr>
          <w:b/>
          <w:color w:val="2D2D2E"/>
          <w:sz w:val="22"/>
        </w:rPr>
        <w:t>Summary of achievement</w:t>
      </w:r>
    </w:p>
    <w:p w14:paraId="7BB799C7" w14:textId="14BF6787" w:rsidR="00AC0195" w:rsidRDefault="00AC0195" w:rsidP="002053E9">
      <w:pPr>
        <w:spacing w:after="0" w:line="240" w:lineRule="auto"/>
        <w:ind w:right="-25"/>
        <w:contextualSpacing/>
        <w:rPr>
          <w:sz w:val="22"/>
        </w:rPr>
      </w:pPr>
      <w:r w:rsidRPr="00AC0195">
        <w:rPr>
          <w:sz w:val="22"/>
        </w:rPr>
        <w:t>During this reporting period</w:t>
      </w:r>
      <w:r w:rsidR="00570DA0">
        <w:rPr>
          <w:sz w:val="22"/>
        </w:rPr>
        <w:t>,</w:t>
      </w:r>
      <w:r w:rsidRPr="00AC0195">
        <w:rPr>
          <w:sz w:val="22"/>
        </w:rPr>
        <w:t xml:space="preserve"> the Commission </w:t>
      </w:r>
      <w:r w:rsidR="00570DA0">
        <w:rPr>
          <w:sz w:val="22"/>
        </w:rPr>
        <w:t xml:space="preserve">continued to </w:t>
      </w:r>
      <w:r w:rsidRPr="00AC0195">
        <w:rPr>
          <w:sz w:val="22"/>
        </w:rPr>
        <w:t xml:space="preserve">work with </w:t>
      </w:r>
      <w:r w:rsidR="00183017">
        <w:rPr>
          <w:sz w:val="22"/>
        </w:rPr>
        <w:t>Home Affairs</w:t>
      </w:r>
      <w:r w:rsidR="004066C5">
        <w:rPr>
          <w:sz w:val="22"/>
        </w:rPr>
        <w:t xml:space="preserve">, including the ABF, </w:t>
      </w:r>
      <w:r w:rsidRPr="00AC0195">
        <w:rPr>
          <w:sz w:val="22"/>
        </w:rPr>
        <w:t xml:space="preserve">to </w:t>
      </w:r>
      <w:r w:rsidR="00570DA0">
        <w:rPr>
          <w:sz w:val="22"/>
        </w:rPr>
        <w:t xml:space="preserve">further </w:t>
      </w:r>
      <w:r w:rsidRPr="00AC0195">
        <w:rPr>
          <w:sz w:val="22"/>
        </w:rPr>
        <w:t>enhance</w:t>
      </w:r>
      <w:r w:rsidR="00570DA0">
        <w:rPr>
          <w:sz w:val="22"/>
        </w:rPr>
        <w:t>, and improve the effectiven</w:t>
      </w:r>
      <w:r w:rsidR="000B0AAE">
        <w:rPr>
          <w:sz w:val="22"/>
        </w:rPr>
        <w:t>e</w:t>
      </w:r>
      <w:r w:rsidR="00570DA0">
        <w:rPr>
          <w:sz w:val="22"/>
        </w:rPr>
        <w:t>ss of</w:t>
      </w:r>
      <w:r w:rsidRPr="00AC0195">
        <w:rPr>
          <w:sz w:val="22"/>
        </w:rPr>
        <w:t xml:space="preserve"> the whole</w:t>
      </w:r>
      <w:r w:rsidR="00E56BB0">
        <w:rPr>
          <w:sz w:val="22"/>
        </w:rPr>
        <w:t>-</w:t>
      </w:r>
      <w:r w:rsidRPr="00AC0195">
        <w:rPr>
          <w:sz w:val="22"/>
        </w:rPr>
        <w:t>of</w:t>
      </w:r>
      <w:r w:rsidR="00E56BB0">
        <w:rPr>
          <w:sz w:val="22"/>
        </w:rPr>
        <w:t>-</w:t>
      </w:r>
      <w:r w:rsidRPr="00AC0195">
        <w:rPr>
          <w:sz w:val="22"/>
        </w:rPr>
        <w:t>government approach to anti-circumvention and compliance</w:t>
      </w:r>
      <w:r w:rsidR="00AA3975">
        <w:rPr>
          <w:sz w:val="22"/>
        </w:rPr>
        <w:t xml:space="preserve"> relating to trade remedies</w:t>
      </w:r>
      <w:r w:rsidRPr="00AC0195">
        <w:rPr>
          <w:sz w:val="22"/>
        </w:rPr>
        <w:t xml:space="preserve">. </w:t>
      </w:r>
    </w:p>
    <w:p w14:paraId="7BB799C8" w14:textId="77777777" w:rsidR="00316814" w:rsidRPr="00AC0195" w:rsidRDefault="00316814" w:rsidP="002053E9">
      <w:pPr>
        <w:spacing w:after="0" w:line="240" w:lineRule="auto"/>
        <w:ind w:right="-25"/>
        <w:contextualSpacing/>
        <w:rPr>
          <w:sz w:val="22"/>
        </w:rPr>
      </w:pPr>
    </w:p>
    <w:p w14:paraId="7BB799C9" w14:textId="77777777" w:rsidR="00AC0195" w:rsidRPr="009914D0" w:rsidRDefault="00AC0195" w:rsidP="002053E9">
      <w:pPr>
        <w:spacing w:line="240" w:lineRule="auto"/>
        <w:ind w:right="-25"/>
        <w:rPr>
          <w:b/>
          <w:color w:val="2D2D2E"/>
          <w:sz w:val="22"/>
        </w:rPr>
      </w:pPr>
      <w:r w:rsidRPr="009914D0">
        <w:rPr>
          <w:b/>
          <w:color w:val="2D2D2E"/>
          <w:sz w:val="22"/>
        </w:rPr>
        <w:t>Expectations for KPI 4</w:t>
      </w:r>
    </w:p>
    <w:p w14:paraId="7BB799CA" w14:textId="3441430B" w:rsidR="00AC0195" w:rsidRPr="00AC0195" w:rsidRDefault="00AC0195" w:rsidP="002053E9">
      <w:pPr>
        <w:spacing w:after="0" w:line="240" w:lineRule="auto"/>
        <w:ind w:right="-25"/>
        <w:rPr>
          <w:sz w:val="22"/>
        </w:rPr>
      </w:pPr>
      <w:r w:rsidRPr="00AC0195">
        <w:rPr>
          <w:sz w:val="22"/>
        </w:rPr>
        <w:t xml:space="preserve">Compliance and monitoring are an essential part of regulatory frameworks. </w:t>
      </w:r>
      <w:r w:rsidR="00E56BB0">
        <w:rPr>
          <w:sz w:val="22"/>
        </w:rPr>
        <w:t>Monitoring</w:t>
      </w:r>
      <w:r w:rsidRPr="00AC0195">
        <w:rPr>
          <w:sz w:val="22"/>
        </w:rPr>
        <w:t xml:space="preserve"> allow</w:t>
      </w:r>
      <w:r w:rsidR="00E56BB0">
        <w:rPr>
          <w:sz w:val="22"/>
        </w:rPr>
        <w:t>s</w:t>
      </w:r>
      <w:r w:rsidRPr="00AC0195">
        <w:rPr>
          <w:sz w:val="22"/>
        </w:rPr>
        <w:t xml:space="preserve"> regulators to determine the level of compliance with regulation. Effective regulators do not seek information from regulated entities unless the information is required to achieve the regulatory outcome sought. Regulators minimise duplicative information requests, including between regulators where possible, and consider whether the information sought is available from alternative means. </w:t>
      </w:r>
    </w:p>
    <w:p w14:paraId="7BB799CB" w14:textId="77777777" w:rsidR="00AC0195" w:rsidRPr="00AC0195" w:rsidRDefault="00AC0195" w:rsidP="002053E9">
      <w:pPr>
        <w:spacing w:after="0" w:line="240" w:lineRule="auto"/>
        <w:ind w:right="-25"/>
        <w:contextualSpacing/>
        <w:rPr>
          <w:b/>
          <w:color w:val="398E98" w:themeColor="accent2" w:themeShade="BF"/>
          <w:sz w:val="22"/>
        </w:rPr>
      </w:pPr>
    </w:p>
    <w:p w14:paraId="7BB799CC" w14:textId="7B3AE483" w:rsidR="00AC0195" w:rsidRPr="00AC0195" w:rsidRDefault="00AC0195" w:rsidP="002053E9">
      <w:pPr>
        <w:spacing w:after="0" w:line="240" w:lineRule="auto"/>
        <w:ind w:right="-25"/>
        <w:contextualSpacing/>
        <w:rPr>
          <w:sz w:val="22"/>
        </w:rPr>
      </w:pPr>
      <w:r w:rsidRPr="00AC0195">
        <w:rPr>
          <w:sz w:val="22"/>
        </w:rPr>
        <w:t xml:space="preserve">The Commission does not have a compliance role once duties are applied to imports of certain goods. </w:t>
      </w:r>
      <w:r w:rsidR="00DF7991" w:rsidRPr="00DF7991">
        <w:rPr>
          <w:sz w:val="22"/>
        </w:rPr>
        <w:t xml:space="preserve">The </w:t>
      </w:r>
      <w:r w:rsidR="004066C5">
        <w:rPr>
          <w:sz w:val="22"/>
        </w:rPr>
        <w:t>ABF</w:t>
      </w:r>
      <w:r w:rsidR="00DF7991" w:rsidRPr="00DF7991">
        <w:rPr>
          <w:sz w:val="22"/>
        </w:rPr>
        <w:t xml:space="preserve">, as </w:t>
      </w:r>
      <w:r w:rsidR="004804B7">
        <w:rPr>
          <w:sz w:val="22"/>
        </w:rPr>
        <w:t xml:space="preserve">an </w:t>
      </w:r>
      <w:r w:rsidR="004804B7" w:rsidRPr="004804B7">
        <w:rPr>
          <w:sz w:val="22"/>
        </w:rPr>
        <w:t>operationally independent body within the Home Affairs portfolio</w:t>
      </w:r>
      <w:r w:rsidR="00DF7991" w:rsidRPr="00DF7991">
        <w:rPr>
          <w:sz w:val="22"/>
        </w:rPr>
        <w:t>, is the regulator responsible for compliance</w:t>
      </w:r>
      <w:r w:rsidR="00F928B0">
        <w:rPr>
          <w:sz w:val="22"/>
        </w:rPr>
        <w:t>.</w:t>
      </w:r>
      <w:r w:rsidR="00E56BB0">
        <w:rPr>
          <w:sz w:val="22"/>
        </w:rPr>
        <w:t xml:space="preserve"> The Commission uses </w:t>
      </w:r>
      <w:r w:rsidR="002E7A92">
        <w:rPr>
          <w:sz w:val="22"/>
        </w:rPr>
        <w:t xml:space="preserve">Home Affairs </w:t>
      </w:r>
      <w:r w:rsidR="00AA3975">
        <w:rPr>
          <w:sz w:val="22"/>
        </w:rPr>
        <w:t>import data</w:t>
      </w:r>
      <w:r w:rsidR="00E56BB0">
        <w:rPr>
          <w:sz w:val="22"/>
        </w:rPr>
        <w:t xml:space="preserve"> to monitor the effectiveness of measures and to identify evidence of potential circumvention. T</w:t>
      </w:r>
      <w:r w:rsidRPr="00AC0195">
        <w:rPr>
          <w:sz w:val="22"/>
        </w:rPr>
        <w:t>he Commission work</w:t>
      </w:r>
      <w:r w:rsidR="00F928B0">
        <w:rPr>
          <w:sz w:val="22"/>
        </w:rPr>
        <w:t xml:space="preserve">s </w:t>
      </w:r>
      <w:r w:rsidRPr="00AC0195">
        <w:rPr>
          <w:sz w:val="22"/>
        </w:rPr>
        <w:t xml:space="preserve">with </w:t>
      </w:r>
      <w:r w:rsidR="002E7A92">
        <w:rPr>
          <w:sz w:val="22"/>
        </w:rPr>
        <w:t xml:space="preserve">Home Affairs </w:t>
      </w:r>
      <w:r w:rsidRPr="00AC0195">
        <w:rPr>
          <w:sz w:val="22"/>
        </w:rPr>
        <w:t>to adopt a whole</w:t>
      </w:r>
      <w:r w:rsidR="00E56BB0">
        <w:rPr>
          <w:sz w:val="22"/>
        </w:rPr>
        <w:t>-</w:t>
      </w:r>
      <w:r w:rsidRPr="00AC0195">
        <w:rPr>
          <w:sz w:val="22"/>
        </w:rPr>
        <w:t>of</w:t>
      </w:r>
      <w:r w:rsidR="00E56BB0">
        <w:rPr>
          <w:sz w:val="22"/>
        </w:rPr>
        <w:t>-</w:t>
      </w:r>
      <w:r w:rsidRPr="00AC0195">
        <w:rPr>
          <w:sz w:val="22"/>
        </w:rPr>
        <w:t>government approach to strengthen</w:t>
      </w:r>
      <w:r w:rsidR="007B3D0E">
        <w:rPr>
          <w:sz w:val="22"/>
        </w:rPr>
        <w:t>ing</w:t>
      </w:r>
      <w:r w:rsidRPr="00AC0195">
        <w:rPr>
          <w:sz w:val="22"/>
        </w:rPr>
        <w:t xml:space="preserve"> the anti-circumvention and compliance framework</w:t>
      </w:r>
      <w:r w:rsidR="00E56BB0">
        <w:rPr>
          <w:sz w:val="22"/>
        </w:rPr>
        <w:t>, including sharing information and market intelligence as appropriate</w:t>
      </w:r>
      <w:r w:rsidRPr="00AC0195">
        <w:rPr>
          <w:sz w:val="22"/>
        </w:rPr>
        <w:t>.</w:t>
      </w:r>
    </w:p>
    <w:p w14:paraId="7BB799CD" w14:textId="77777777" w:rsidR="00AC0195" w:rsidRPr="00AC0195" w:rsidRDefault="00AC0195" w:rsidP="002053E9">
      <w:pPr>
        <w:spacing w:after="0" w:line="240" w:lineRule="auto"/>
        <w:contextualSpacing/>
        <w:rPr>
          <w:b/>
          <w:color w:val="398E98" w:themeColor="accent2" w:themeShade="BF"/>
          <w:sz w:val="22"/>
        </w:rPr>
      </w:pPr>
    </w:p>
    <w:p w14:paraId="7BB799CE" w14:textId="77777777" w:rsidR="00AC0195" w:rsidRPr="009914D0" w:rsidRDefault="00AC0195" w:rsidP="00A2134C">
      <w:pPr>
        <w:keepNext/>
        <w:spacing w:line="240" w:lineRule="auto"/>
        <w:rPr>
          <w:b/>
          <w:color w:val="2D2D2E"/>
          <w:sz w:val="22"/>
        </w:rPr>
      </w:pPr>
      <w:r w:rsidRPr="009914D0">
        <w:rPr>
          <w:b/>
          <w:color w:val="2D2D2E"/>
          <w:sz w:val="22"/>
        </w:rPr>
        <w:t>Our approach for KPI 4</w:t>
      </w:r>
    </w:p>
    <w:p w14:paraId="7BB799CF" w14:textId="77777777" w:rsidR="00AC0195" w:rsidRPr="00AC0195" w:rsidRDefault="00AC0195" w:rsidP="002053E9">
      <w:pPr>
        <w:spacing w:after="0" w:line="240" w:lineRule="auto"/>
        <w:contextualSpacing/>
        <w:rPr>
          <w:rFonts w:ascii="Calibri" w:hAnsi="Calibri"/>
          <w:sz w:val="22"/>
        </w:rPr>
      </w:pPr>
      <w:r w:rsidRPr="00AC0195">
        <w:rPr>
          <w:sz w:val="22"/>
        </w:rPr>
        <w:t>The methodology for this KPI is to demonstrate the effort by describing examples of collaboration.</w:t>
      </w:r>
    </w:p>
    <w:p w14:paraId="6C15B0FA" w14:textId="77777777" w:rsidR="00923D75" w:rsidRDefault="00923D75" w:rsidP="00AC0195">
      <w:pPr>
        <w:spacing w:line="240" w:lineRule="auto"/>
        <w:rPr>
          <w:b/>
          <w:color w:val="2D2D2E"/>
          <w:sz w:val="22"/>
        </w:rPr>
      </w:pPr>
    </w:p>
    <w:p w14:paraId="7BB799D1" w14:textId="77777777" w:rsidR="00AC0195" w:rsidRPr="009914D0" w:rsidRDefault="00AC0195" w:rsidP="00AC0195">
      <w:pPr>
        <w:spacing w:line="240" w:lineRule="auto"/>
        <w:rPr>
          <w:b/>
          <w:color w:val="2D2D2E"/>
          <w:sz w:val="22"/>
        </w:rPr>
      </w:pPr>
      <w:r w:rsidRPr="009914D0">
        <w:rPr>
          <w:b/>
          <w:color w:val="2D2D2E"/>
          <w:sz w:val="22"/>
        </w:rPr>
        <w:t>Results KPI 4</w:t>
      </w:r>
    </w:p>
    <w:p w14:paraId="7BB799D2" w14:textId="1E9DFDCF" w:rsidR="00AC0195" w:rsidRPr="00AC0195" w:rsidRDefault="00AC0195" w:rsidP="00CE3B0E">
      <w:pPr>
        <w:spacing w:line="240" w:lineRule="auto"/>
        <w:rPr>
          <w:rFonts w:cstheme="minorHAnsi"/>
          <w:b/>
          <w:sz w:val="22"/>
        </w:rPr>
      </w:pPr>
      <w:r w:rsidRPr="00AC0195">
        <w:rPr>
          <w:rFonts w:cstheme="minorHAnsi"/>
          <w:b/>
          <w:sz w:val="22"/>
        </w:rPr>
        <w:t xml:space="preserve">Measure: The Commission does not have a compliance role once duties are applied on imports of certain goods. The </w:t>
      </w:r>
      <w:r w:rsidR="00DF7991">
        <w:rPr>
          <w:rFonts w:cstheme="minorHAnsi"/>
          <w:b/>
          <w:sz w:val="22"/>
        </w:rPr>
        <w:t>ABF</w:t>
      </w:r>
      <w:r w:rsidRPr="00AC0195">
        <w:rPr>
          <w:rFonts w:cstheme="minorHAnsi"/>
          <w:b/>
          <w:sz w:val="22"/>
        </w:rPr>
        <w:t xml:space="preserve"> monitors compliance; however, the Commission will adopt a whole of government approach.</w:t>
      </w:r>
    </w:p>
    <w:p w14:paraId="7BB799D3" w14:textId="529E3132" w:rsidR="00AC0195" w:rsidRPr="00AC0195" w:rsidRDefault="00AC0195" w:rsidP="00CE3B0E">
      <w:pPr>
        <w:pStyle w:val="ListParagraph"/>
        <w:numPr>
          <w:ilvl w:val="0"/>
          <w:numId w:val="19"/>
        </w:numPr>
        <w:spacing w:before="120" w:after="120" w:line="240" w:lineRule="auto"/>
        <w:ind w:left="567"/>
        <w:rPr>
          <w:rFonts w:cstheme="minorHAnsi"/>
          <w:i/>
        </w:rPr>
      </w:pPr>
      <w:r w:rsidRPr="00AC0195">
        <w:rPr>
          <w:rFonts w:cstheme="minorHAnsi"/>
          <w:i/>
        </w:rPr>
        <w:t>Metric: The Commission will put in place enhanced arrangements to continually promote robust whole</w:t>
      </w:r>
      <w:r w:rsidR="007B5CAE">
        <w:rPr>
          <w:rFonts w:cstheme="minorHAnsi"/>
          <w:i/>
        </w:rPr>
        <w:t>-</w:t>
      </w:r>
      <w:r w:rsidRPr="00AC0195">
        <w:rPr>
          <w:rFonts w:cstheme="minorHAnsi"/>
          <w:i/>
        </w:rPr>
        <w:t>of</w:t>
      </w:r>
      <w:r w:rsidR="007B5CAE">
        <w:rPr>
          <w:rFonts w:cstheme="minorHAnsi"/>
          <w:i/>
        </w:rPr>
        <w:t>-</w:t>
      </w:r>
      <w:r w:rsidRPr="00AC0195">
        <w:rPr>
          <w:rFonts w:cstheme="minorHAnsi"/>
          <w:i/>
        </w:rPr>
        <w:t>government collaboration to strengthen the anti-circumvention and compliance framework.</w:t>
      </w:r>
    </w:p>
    <w:p w14:paraId="7BB799D4" w14:textId="0DF3722C" w:rsidR="00AC0195" w:rsidRPr="00AC0195" w:rsidRDefault="00AC0195" w:rsidP="00CE3B0E">
      <w:pPr>
        <w:spacing w:after="0" w:line="240" w:lineRule="auto"/>
        <w:ind w:right="-25"/>
        <w:rPr>
          <w:rFonts w:cstheme="minorHAnsi"/>
          <w:sz w:val="22"/>
        </w:rPr>
      </w:pPr>
      <w:r w:rsidRPr="00AC0195">
        <w:rPr>
          <w:rFonts w:cstheme="minorHAnsi"/>
          <w:sz w:val="22"/>
        </w:rPr>
        <w:t xml:space="preserve">The Commission </w:t>
      </w:r>
      <w:r w:rsidR="00AE74A9">
        <w:rPr>
          <w:rFonts w:cstheme="minorHAnsi"/>
          <w:sz w:val="22"/>
        </w:rPr>
        <w:t xml:space="preserve">has </w:t>
      </w:r>
      <w:r w:rsidR="008115A7">
        <w:rPr>
          <w:rFonts w:cstheme="minorHAnsi"/>
          <w:sz w:val="22"/>
        </w:rPr>
        <w:t>continue</w:t>
      </w:r>
      <w:r w:rsidR="00AE74A9">
        <w:rPr>
          <w:rFonts w:cstheme="minorHAnsi"/>
          <w:sz w:val="22"/>
        </w:rPr>
        <w:t>d</w:t>
      </w:r>
      <w:r w:rsidRPr="00AC0195">
        <w:rPr>
          <w:rFonts w:cstheme="minorHAnsi"/>
          <w:sz w:val="22"/>
        </w:rPr>
        <w:t xml:space="preserve"> </w:t>
      </w:r>
      <w:r w:rsidR="008115A7">
        <w:rPr>
          <w:rFonts w:cstheme="minorHAnsi"/>
          <w:sz w:val="22"/>
        </w:rPr>
        <w:t>to work</w:t>
      </w:r>
      <w:r w:rsidR="008115A7" w:rsidRPr="00AC0195">
        <w:rPr>
          <w:rFonts w:cstheme="minorHAnsi"/>
          <w:sz w:val="22"/>
        </w:rPr>
        <w:t xml:space="preserve"> </w:t>
      </w:r>
      <w:r w:rsidRPr="00AC0195">
        <w:rPr>
          <w:rFonts w:cstheme="minorHAnsi"/>
          <w:sz w:val="22"/>
        </w:rPr>
        <w:t xml:space="preserve">with </w:t>
      </w:r>
      <w:r w:rsidR="00F97FCB">
        <w:rPr>
          <w:rFonts w:cstheme="minorHAnsi"/>
          <w:sz w:val="22"/>
        </w:rPr>
        <w:t>Home Affairs</w:t>
      </w:r>
      <w:r w:rsidR="004066C5">
        <w:rPr>
          <w:rFonts w:cstheme="minorHAnsi"/>
          <w:sz w:val="22"/>
        </w:rPr>
        <w:t xml:space="preserve">, including the </w:t>
      </w:r>
      <w:r w:rsidR="00DF7991">
        <w:rPr>
          <w:rFonts w:cstheme="minorHAnsi"/>
          <w:sz w:val="22"/>
        </w:rPr>
        <w:t>ABF</w:t>
      </w:r>
      <w:r w:rsidRPr="00AC0195">
        <w:rPr>
          <w:rFonts w:cstheme="minorHAnsi"/>
          <w:sz w:val="22"/>
        </w:rPr>
        <w:t xml:space="preserve"> </w:t>
      </w:r>
      <w:r w:rsidR="008115A7">
        <w:rPr>
          <w:rFonts w:cstheme="minorHAnsi"/>
          <w:sz w:val="22"/>
        </w:rPr>
        <w:t>on</w:t>
      </w:r>
      <w:r w:rsidR="008115A7" w:rsidRPr="00AC0195">
        <w:rPr>
          <w:rFonts w:cstheme="minorHAnsi"/>
          <w:sz w:val="22"/>
        </w:rPr>
        <w:t xml:space="preserve"> </w:t>
      </w:r>
      <w:r w:rsidR="008115A7">
        <w:rPr>
          <w:rFonts w:cstheme="minorHAnsi"/>
          <w:sz w:val="22"/>
        </w:rPr>
        <w:t xml:space="preserve">monitoring </w:t>
      </w:r>
      <w:r w:rsidRPr="00AC0195">
        <w:rPr>
          <w:rFonts w:cstheme="minorHAnsi"/>
          <w:sz w:val="22"/>
        </w:rPr>
        <w:t>compliance with anti-dumping measures</w:t>
      </w:r>
      <w:r w:rsidR="00FB2CEF">
        <w:rPr>
          <w:rFonts w:cstheme="minorHAnsi"/>
          <w:sz w:val="22"/>
        </w:rPr>
        <w:t>. This includes</w:t>
      </w:r>
      <w:r w:rsidR="00FB2CEF" w:rsidRPr="00AC0195">
        <w:rPr>
          <w:rFonts w:cstheme="minorHAnsi"/>
          <w:sz w:val="22"/>
        </w:rPr>
        <w:t xml:space="preserve"> </w:t>
      </w:r>
      <w:r w:rsidR="008D17BC">
        <w:rPr>
          <w:rFonts w:cstheme="minorHAnsi"/>
          <w:sz w:val="22"/>
        </w:rPr>
        <w:t xml:space="preserve">through </w:t>
      </w:r>
      <w:r w:rsidR="004B67DB">
        <w:rPr>
          <w:rFonts w:cstheme="minorHAnsi"/>
          <w:sz w:val="22"/>
        </w:rPr>
        <w:t xml:space="preserve">Commission referrals </w:t>
      </w:r>
      <w:r w:rsidR="008D17BC">
        <w:rPr>
          <w:rFonts w:cstheme="minorHAnsi"/>
          <w:sz w:val="22"/>
        </w:rPr>
        <w:t xml:space="preserve">of </w:t>
      </w:r>
      <w:r w:rsidR="004B67DB">
        <w:rPr>
          <w:rFonts w:cstheme="minorHAnsi"/>
          <w:sz w:val="22"/>
        </w:rPr>
        <w:t>potential non-compliance with measures</w:t>
      </w:r>
      <w:r w:rsidR="008115A7">
        <w:rPr>
          <w:rFonts w:cstheme="minorHAnsi"/>
          <w:sz w:val="22"/>
        </w:rPr>
        <w:t xml:space="preserve"> </w:t>
      </w:r>
      <w:r w:rsidR="001A4087">
        <w:rPr>
          <w:rFonts w:cstheme="minorHAnsi"/>
          <w:sz w:val="22"/>
        </w:rPr>
        <w:t xml:space="preserve">to the ABF, </w:t>
      </w:r>
      <w:r w:rsidR="002F49C4">
        <w:rPr>
          <w:rFonts w:cstheme="minorHAnsi"/>
          <w:sz w:val="22"/>
        </w:rPr>
        <w:t xml:space="preserve">conducting joint site visits, </w:t>
      </w:r>
      <w:r w:rsidR="001A4087">
        <w:rPr>
          <w:rFonts w:cstheme="minorHAnsi"/>
          <w:sz w:val="22"/>
        </w:rPr>
        <w:t xml:space="preserve">and </w:t>
      </w:r>
      <w:r w:rsidR="00301558">
        <w:rPr>
          <w:rFonts w:cstheme="minorHAnsi"/>
          <w:sz w:val="22"/>
        </w:rPr>
        <w:t xml:space="preserve">timely </w:t>
      </w:r>
      <w:r w:rsidR="001A4087">
        <w:rPr>
          <w:rFonts w:cstheme="minorHAnsi"/>
          <w:sz w:val="22"/>
        </w:rPr>
        <w:t>communication about potential</w:t>
      </w:r>
      <w:r w:rsidR="008115A7">
        <w:rPr>
          <w:rFonts w:cstheme="minorHAnsi"/>
          <w:sz w:val="22"/>
        </w:rPr>
        <w:t xml:space="preserve"> circumvention matters</w:t>
      </w:r>
      <w:r w:rsidRPr="00AC0195">
        <w:rPr>
          <w:rFonts w:cstheme="minorHAnsi"/>
          <w:sz w:val="22"/>
        </w:rPr>
        <w:t>.</w:t>
      </w:r>
    </w:p>
    <w:p w14:paraId="7BB799D5" w14:textId="77777777" w:rsidR="00AC0195" w:rsidRPr="00AC0195" w:rsidRDefault="00AC0195" w:rsidP="00CE3B0E">
      <w:pPr>
        <w:spacing w:after="0" w:line="240" w:lineRule="auto"/>
        <w:ind w:right="-25"/>
        <w:rPr>
          <w:rFonts w:cstheme="minorHAnsi"/>
          <w:sz w:val="22"/>
        </w:rPr>
      </w:pPr>
    </w:p>
    <w:p w14:paraId="5468C5CB" w14:textId="062E67E2" w:rsidR="00C739DB" w:rsidRDefault="00AC0195" w:rsidP="00CE3B0E">
      <w:pPr>
        <w:spacing w:after="0" w:line="240" w:lineRule="auto"/>
        <w:ind w:right="-25"/>
        <w:rPr>
          <w:rFonts w:cstheme="minorHAnsi"/>
          <w:sz w:val="22"/>
        </w:rPr>
      </w:pPr>
      <w:r w:rsidRPr="00AC0195">
        <w:rPr>
          <w:rFonts w:cstheme="minorHAnsi"/>
          <w:sz w:val="22"/>
        </w:rPr>
        <w:t xml:space="preserve">During </w:t>
      </w:r>
      <w:r w:rsidR="0034444B">
        <w:rPr>
          <w:rFonts w:cstheme="minorHAnsi"/>
          <w:sz w:val="22"/>
        </w:rPr>
        <w:t>2019-20</w:t>
      </w:r>
      <w:r w:rsidR="004B67DB">
        <w:rPr>
          <w:rFonts w:cstheme="minorHAnsi"/>
          <w:sz w:val="22"/>
        </w:rPr>
        <w:t>,</w:t>
      </w:r>
      <w:r w:rsidRPr="00AC0195">
        <w:rPr>
          <w:rFonts w:cstheme="minorHAnsi"/>
          <w:sz w:val="22"/>
        </w:rPr>
        <w:t xml:space="preserve"> </w:t>
      </w:r>
      <w:r w:rsidR="00F97FCB">
        <w:rPr>
          <w:rFonts w:cstheme="minorHAnsi"/>
          <w:sz w:val="22"/>
        </w:rPr>
        <w:t>Home Affairs</w:t>
      </w:r>
      <w:r w:rsidRPr="00AC0195">
        <w:rPr>
          <w:rFonts w:cstheme="minorHAnsi"/>
          <w:sz w:val="22"/>
        </w:rPr>
        <w:t xml:space="preserve"> </w:t>
      </w:r>
      <w:r w:rsidR="008D17BC">
        <w:rPr>
          <w:rFonts w:cstheme="minorHAnsi"/>
          <w:sz w:val="22"/>
        </w:rPr>
        <w:t xml:space="preserve">again </w:t>
      </w:r>
      <w:r w:rsidRPr="00AC0195">
        <w:rPr>
          <w:rFonts w:cstheme="minorHAnsi"/>
          <w:sz w:val="22"/>
        </w:rPr>
        <w:t xml:space="preserve">provided the Commission </w:t>
      </w:r>
      <w:r w:rsidR="002053E9" w:rsidRPr="00AC0195">
        <w:rPr>
          <w:rFonts w:cstheme="minorHAnsi"/>
          <w:sz w:val="22"/>
        </w:rPr>
        <w:t xml:space="preserve">with </w:t>
      </w:r>
      <w:r w:rsidR="00AE74A9">
        <w:rPr>
          <w:rFonts w:cstheme="minorHAnsi"/>
          <w:sz w:val="22"/>
        </w:rPr>
        <w:t xml:space="preserve">access to its </w:t>
      </w:r>
      <w:r w:rsidR="002140FD">
        <w:rPr>
          <w:rFonts w:cstheme="minorHAnsi"/>
          <w:sz w:val="22"/>
        </w:rPr>
        <w:t>import</w:t>
      </w:r>
      <w:r w:rsidR="008D17BC">
        <w:rPr>
          <w:rFonts w:cstheme="minorHAnsi"/>
          <w:sz w:val="22"/>
        </w:rPr>
        <w:t xml:space="preserve"> </w:t>
      </w:r>
      <w:r w:rsidR="00AE74A9">
        <w:rPr>
          <w:rFonts w:cstheme="minorHAnsi"/>
          <w:sz w:val="22"/>
        </w:rPr>
        <w:t xml:space="preserve">database and </w:t>
      </w:r>
      <w:r w:rsidRPr="00AC0195">
        <w:rPr>
          <w:rFonts w:cstheme="minorHAnsi"/>
          <w:sz w:val="22"/>
        </w:rPr>
        <w:t xml:space="preserve">information </w:t>
      </w:r>
      <w:r w:rsidR="00AE74A9">
        <w:rPr>
          <w:rFonts w:cstheme="minorHAnsi"/>
          <w:sz w:val="22"/>
        </w:rPr>
        <w:t>requested by</w:t>
      </w:r>
      <w:r w:rsidR="00973C03">
        <w:rPr>
          <w:rFonts w:cstheme="minorHAnsi"/>
          <w:sz w:val="22"/>
        </w:rPr>
        <w:t xml:space="preserve"> the Commission</w:t>
      </w:r>
      <w:r w:rsidR="00AE74A9">
        <w:rPr>
          <w:rFonts w:cstheme="minorHAnsi"/>
          <w:sz w:val="22"/>
        </w:rPr>
        <w:t xml:space="preserve"> on</w:t>
      </w:r>
      <w:r w:rsidRPr="00AC0195">
        <w:rPr>
          <w:rFonts w:cstheme="minorHAnsi"/>
          <w:sz w:val="22"/>
        </w:rPr>
        <w:t xml:space="preserve"> trade flow</w:t>
      </w:r>
      <w:r w:rsidR="00AE74A9">
        <w:rPr>
          <w:rFonts w:cstheme="minorHAnsi"/>
          <w:sz w:val="22"/>
        </w:rPr>
        <w:t>s,</w:t>
      </w:r>
      <w:r w:rsidRPr="00AC0195">
        <w:rPr>
          <w:rFonts w:cstheme="minorHAnsi"/>
          <w:sz w:val="22"/>
        </w:rPr>
        <w:t xml:space="preserve"> </w:t>
      </w:r>
      <w:r w:rsidR="00AE74A9">
        <w:rPr>
          <w:rFonts w:cstheme="minorHAnsi"/>
          <w:sz w:val="22"/>
        </w:rPr>
        <w:t>to</w:t>
      </w:r>
      <w:r w:rsidR="00AE74A9" w:rsidRPr="00AC0195">
        <w:rPr>
          <w:rFonts w:cstheme="minorHAnsi"/>
          <w:sz w:val="22"/>
        </w:rPr>
        <w:t xml:space="preserve"> </w:t>
      </w:r>
      <w:r w:rsidRPr="00AC0195">
        <w:rPr>
          <w:rFonts w:cstheme="minorHAnsi"/>
          <w:sz w:val="22"/>
        </w:rPr>
        <w:t>assist</w:t>
      </w:r>
      <w:r w:rsidR="00AE74A9">
        <w:rPr>
          <w:rFonts w:cstheme="minorHAnsi"/>
          <w:sz w:val="22"/>
        </w:rPr>
        <w:t xml:space="preserve"> the Commission in</w:t>
      </w:r>
      <w:r w:rsidRPr="00AC0195">
        <w:rPr>
          <w:rFonts w:cstheme="minorHAnsi"/>
          <w:sz w:val="22"/>
        </w:rPr>
        <w:t xml:space="preserve"> monitoring the effectiveness of measures</w:t>
      </w:r>
      <w:r w:rsidR="004B67DB">
        <w:rPr>
          <w:rFonts w:cstheme="minorHAnsi"/>
          <w:sz w:val="22"/>
        </w:rPr>
        <w:t>.</w:t>
      </w:r>
      <w:r w:rsidRPr="00AC0195">
        <w:rPr>
          <w:rFonts w:cstheme="minorHAnsi"/>
          <w:sz w:val="22"/>
        </w:rPr>
        <w:t xml:space="preserve"> </w:t>
      </w:r>
      <w:r w:rsidR="00AE74A9">
        <w:rPr>
          <w:rFonts w:cstheme="minorHAnsi"/>
          <w:sz w:val="22"/>
        </w:rPr>
        <w:t xml:space="preserve">In addition, </w:t>
      </w:r>
      <w:r w:rsidR="004066C5">
        <w:rPr>
          <w:rFonts w:cstheme="minorHAnsi"/>
          <w:sz w:val="22"/>
        </w:rPr>
        <w:t xml:space="preserve">the </w:t>
      </w:r>
      <w:r w:rsidR="00DF7991">
        <w:rPr>
          <w:rFonts w:cstheme="minorHAnsi"/>
          <w:sz w:val="22"/>
        </w:rPr>
        <w:t>ABF</w:t>
      </w:r>
      <w:r w:rsidRPr="00AC0195">
        <w:rPr>
          <w:rFonts w:cstheme="minorHAnsi"/>
          <w:sz w:val="22"/>
        </w:rPr>
        <w:t xml:space="preserve"> has </w:t>
      </w:r>
      <w:r w:rsidR="004B67DB">
        <w:rPr>
          <w:rFonts w:cstheme="minorHAnsi"/>
          <w:sz w:val="22"/>
        </w:rPr>
        <w:t xml:space="preserve">supported </w:t>
      </w:r>
      <w:r w:rsidRPr="00AC0195">
        <w:rPr>
          <w:rFonts w:cstheme="minorHAnsi"/>
          <w:sz w:val="22"/>
        </w:rPr>
        <w:t xml:space="preserve">a number of anti-dumping investigations </w:t>
      </w:r>
      <w:r w:rsidR="00AE74A9">
        <w:rPr>
          <w:rFonts w:cstheme="minorHAnsi"/>
          <w:sz w:val="22"/>
        </w:rPr>
        <w:t>by</w:t>
      </w:r>
      <w:r w:rsidRPr="00AC0195">
        <w:rPr>
          <w:rFonts w:cstheme="minorHAnsi"/>
          <w:sz w:val="22"/>
        </w:rPr>
        <w:t xml:space="preserve"> </w:t>
      </w:r>
      <w:r w:rsidR="00AE74A9" w:rsidRPr="00AC0195">
        <w:rPr>
          <w:rFonts w:cstheme="minorHAnsi"/>
          <w:sz w:val="22"/>
        </w:rPr>
        <w:t>provi</w:t>
      </w:r>
      <w:r w:rsidR="00AE74A9">
        <w:rPr>
          <w:rFonts w:cstheme="minorHAnsi"/>
          <w:sz w:val="22"/>
        </w:rPr>
        <w:t>ding</w:t>
      </w:r>
      <w:r w:rsidR="00AE74A9" w:rsidRPr="00AC0195">
        <w:rPr>
          <w:rFonts w:cstheme="minorHAnsi"/>
          <w:sz w:val="22"/>
        </w:rPr>
        <w:t xml:space="preserve"> </w:t>
      </w:r>
      <w:r w:rsidRPr="00AC0195">
        <w:rPr>
          <w:rFonts w:cstheme="minorHAnsi"/>
          <w:sz w:val="22"/>
        </w:rPr>
        <w:t>targeted import data</w:t>
      </w:r>
      <w:r w:rsidR="00AE74A9">
        <w:rPr>
          <w:rFonts w:cstheme="minorHAnsi"/>
          <w:sz w:val="22"/>
        </w:rPr>
        <w:t xml:space="preserve"> and advice (for example, on tariff classifications)</w:t>
      </w:r>
      <w:r w:rsidRPr="00AC0195">
        <w:rPr>
          <w:rFonts w:cstheme="minorHAnsi"/>
          <w:sz w:val="22"/>
        </w:rPr>
        <w:t xml:space="preserve"> early in the investigation process. </w:t>
      </w:r>
    </w:p>
    <w:p w14:paraId="048FFED8" w14:textId="77777777" w:rsidR="00C739DB" w:rsidRDefault="00C739DB" w:rsidP="00CE3B0E">
      <w:pPr>
        <w:spacing w:after="0" w:line="240" w:lineRule="auto"/>
        <w:ind w:right="-25"/>
        <w:rPr>
          <w:rFonts w:cstheme="minorHAnsi"/>
          <w:sz w:val="22"/>
        </w:rPr>
      </w:pPr>
    </w:p>
    <w:p w14:paraId="01EE2B27" w14:textId="648BF3F9" w:rsidR="00B1674E" w:rsidRDefault="00AC0195" w:rsidP="00CE3B0E">
      <w:pPr>
        <w:spacing w:after="0" w:line="240" w:lineRule="auto"/>
        <w:ind w:right="-25"/>
        <w:rPr>
          <w:rFonts w:cstheme="minorHAnsi"/>
          <w:color w:val="000000" w:themeColor="text1"/>
          <w:sz w:val="22"/>
          <w:lang w:val="en"/>
        </w:rPr>
      </w:pPr>
      <w:r w:rsidRPr="00AC0195">
        <w:rPr>
          <w:rFonts w:cstheme="minorHAnsi"/>
          <w:sz w:val="22"/>
        </w:rPr>
        <w:t xml:space="preserve">The Commission and </w:t>
      </w:r>
      <w:r w:rsidR="004066C5">
        <w:rPr>
          <w:rFonts w:cstheme="minorHAnsi"/>
          <w:sz w:val="22"/>
        </w:rPr>
        <w:t xml:space="preserve">the </w:t>
      </w:r>
      <w:r w:rsidR="00DF7991">
        <w:rPr>
          <w:rFonts w:cstheme="minorHAnsi"/>
          <w:sz w:val="22"/>
        </w:rPr>
        <w:t>ABF</w:t>
      </w:r>
      <w:r w:rsidRPr="00AC0195">
        <w:rPr>
          <w:rFonts w:cstheme="minorHAnsi"/>
          <w:sz w:val="22"/>
        </w:rPr>
        <w:t xml:space="preserve"> </w:t>
      </w:r>
      <w:r w:rsidR="004B67DB">
        <w:rPr>
          <w:rFonts w:cstheme="minorHAnsi"/>
          <w:sz w:val="22"/>
        </w:rPr>
        <w:t>continue to develop the</w:t>
      </w:r>
      <w:r w:rsidR="00161E92">
        <w:rPr>
          <w:rFonts w:cstheme="minorHAnsi"/>
          <w:sz w:val="22"/>
        </w:rPr>
        <w:t>ir</w:t>
      </w:r>
      <w:r w:rsidR="004B67DB">
        <w:rPr>
          <w:rFonts w:cstheme="minorHAnsi"/>
          <w:sz w:val="22"/>
        </w:rPr>
        <w:t xml:space="preserve"> working relationship and streamline interactions</w:t>
      </w:r>
      <w:r w:rsidR="0034444B">
        <w:rPr>
          <w:rFonts w:cstheme="minorHAnsi"/>
          <w:sz w:val="22"/>
        </w:rPr>
        <w:t xml:space="preserve"> pursuant to </w:t>
      </w:r>
      <w:r w:rsidR="002140FD">
        <w:rPr>
          <w:rFonts w:cstheme="minorHAnsi"/>
          <w:sz w:val="22"/>
        </w:rPr>
        <w:t xml:space="preserve">a protocol </w:t>
      </w:r>
      <w:r w:rsidR="00B1674E" w:rsidRPr="00B1674E">
        <w:rPr>
          <w:rFonts w:cstheme="minorHAnsi"/>
          <w:color w:val="000000" w:themeColor="text1"/>
          <w:sz w:val="22"/>
        </w:rPr>
        <w:t xml:space="preserve">which sets out the </w:t>
      </w:r>
      <w:r w:rsidR="00B1674E" w:rsidRPr="00B1674E">
        <w:rPr>
          <w:rFonts w:cstheme="minorHAnsi"/>
          <w:color w:val="000000" w:themeColor="text1"/>
          <w:sz w:val="22"/>
          <w:lang w:val="en"/>
        </w:rPr>
        <w:t xml:space="preserve">agreed working arrangements between the </w:t>
      </w:r>
      <w:r w:rsidR="00B1674E">
        <w:rPr>
          <w:rFonts w:cstheme="minorHAnsi"/>
          <w:color w:val="000000" w:themeColor="text1"/>
          <w:sz w:val="22"/>
          <w:lang w:val="en"/>
        </w:rPr>
        <w:t>two agencies</w:t>
      </w:r>
      <w:r w:rsidR="00B1674E" w:rsidRPr="00B1674E">
        <w:rPr>
          <w:rFonts w:cstheme="minorHAnsi"/>
          <w:color w:val="000000" w:themeColor="text1"/>
          <w:sz w:val="22"/>
          <w:lang w:val="en"/>
        </w:rPr>
        <w:t xml:space="preserve"> for ensuring an effective collaborative approach to monitoring potential non-compliance and circumvention of measures. </w:t>
      </w:r>
      <w:r w:rsidR="00B1674E">
        <w:rPr>
          <w:rFonts w:cstheme="minorHAnsi"/>
          <w:color w:val="000000" w:themeColor="text1"/>
          <w:sz w:val="22"/>
          <w:lang w:val="en"/>
        </w:rPr>
        <w:t xml:space="preserve">The protocol </w:t>
      </w:r>
      <w:r w:rsidR="0034444B">
        <w:rPr>
          <w:rFonts w:cstheme="minorHAnsi"/>
          <w:color w:val="000000" w:themeColor="text1"/>
          <w:sz w:val="22"/>
          <w:lang w:val="en"/>
        </w:rPr>
        <w:t>is available</w:t>
      </w:r>
      <w:r w:rsidR="00B1674E">
        <w:rPr>
          <w:rFonts w:cstheme="minorHAnsi"/>
          <w:color w:val="000000" w:themeColor="text1"/>
          <w:sz w:val="22"/>
          <w:lang w:val="en"/>
        </w:rPr>
        <w:t xml:space="preserve"> on the Commission’s website.</w:t>
      </w:r>
    </w:p>
    <w:p w14:paraId="18B8CB5E" w14:textId="14B67A6A" w:rsidR="00646ADE" w:rsidRDefault="00646ADE" w:rsidP="00CE3B0E">
      <w:pPr>
        <w:spacing w:after="0" w:line="240" w:lineRule="auto"/>
        <w:ind w:right="-25"/>
        <w:rPr>
          <w:rFonts w:cstheme="minorHAnsi"/>
          <w:color w:val="000000" w:themeColor="text1"/>
          <w:sz w:val="22"/>
        </w:rPr>
      </w:pPr>
      <w:r>
        <w:rPr>
          <w:rFonts w:cstheme="minorHAnsi"/>
          <w:color w:val="000000" w:themeColor="text1"/>
          <w:sz w:val="22"/>
        </w:rPr>
        <w:t xml:space="preserve">The Commission has </w:t>
      </w:r>
      <w:r w:rsidR="0034444B">
        <w:rPr>
          <w:rFonts w:cstheme="minorHAnsi"/>
          <w:color w:val="000000" w:themeColor="text1"/>
          <w:sz w:val="22"/>
        </w:rPr>
        <w:t xml:space="preserve">further developed the Trade Remedy Index to analyse the </w:t>
      </w:r>
      <w:r>
        <w:rPr>
          <w:rFonts w:cstheme="minorHAnsi"/>
          <w:color w:val="000000" w:themeColor="text1"/>
          <w:sz w:val="22"/>
        </w:rPr>
        <w:t>trade flow of certain products subject to anti-dumping measures</w:t>
      </w:r>
      <w:r w:rsidR="0034444B">
        <w:rPr>
          <w:rFonts w:cstheme="minorHAnsi"/>
          <w:color w:val="000000" w:themeColor="text1"/>
          <w:sz w:val="22"/>
        </w:rPr>
        <w:t xml:space="preserve">. An interactive version is now </w:t>
      </w:r>
      <w:r w:rsidR="002B6BC1">
        <w:rPr>
          <w:rFonts w:cstheme="minorHAnsi"/>
          <w:color w:val="000000" w:themeColor="text1"/>
          <w:sz w:val="22"/>
        </w:rPr>
        <w:t>published on</w:t>
      </w:r>
      <w:r>
        <w:rPr>
          <w:rFonts w:cstheme="minorHAnsi"/>
          <w:color w:val="000000" w:themeColor="text1"/>
          <w:sz w:val="22"/>
        </w:rPr>
        <w:t xml:space="preserve"> the website</w:t>
      </w:r>
      <w:r w:rsidR="0034444B">
        <w:rPr>
          <w:rFonts w:cstheme="minorHAnsi"/>
          <w:color w:val="000000" w:themeColor="text1"/>
          <w:sz w:val="22"/>
        </w:rPr>
        <w:t xml:space="preserve"> and updated monthly</w:t>
      </w:r>
      <w:r>
        <w:rPr>
          <w:rFonts w:cstheme="minorHAnsi"/>
          <w:color w:val="000000" w:themeColor="text1"/>
          <w:sz w:val="22"/>
        </w:rPr>
        <w:t xml:space="preserve">. </w:t>
      </w:r>
    </w:p>
    <w:p w14:paraId="3B360214" w14:textId="77777777" w:rsidR="00646ADE" w:rsidRDefault="00646ADE" w:rsidP="00CE3B0E">
      <w:pPr>
        <w:spacing w:after="0" w:line="240" w:lineRule="auto"/>
        <w:ind w:right="-25"/>
        <w:rPr>
          <w:rFonts w:cstheme="minorHAnsi"/>
          <w:color w:val="000000" w:themeColor="text1"/>
          <w:sz w:val="22"/>
        </w:rPr>
      </w:pPr>
    </w:p>
    <w:p w14:paraId="04BBA1E5" w14:textId="7B8FF5E8" w:rsidR="005329B7" w:rsidRDefault="005329B7" w:rsidP="00CE3B0E">
      <w:pPr>
        <w:spacing w:after="0" w:line="240" w:lineRule="auto"/>
        <w:ind w:right="-25"/>
        <w:rPr>
          <w:rFonts w:cstheme="minorHAnsi"/>
          <w:color w:val="000000" w:themeColor="text1"/>
          <w:sz w:val="22"/>
        </w:rPr>
      </w:pPr>
      <w:r>
        <w:rPr>
          <w:rFonts w:cstheme="minorHAnsi"/>
          <w:color w:val="000000" w:themeColor="text1"/>
          <w:sz w:val="22"/>
        </w:rPr>
        <w:t xml:space="preserve">The Commission and the ABF have also </w:t>
      </w:r>
      <w:r w:rsidR="0034444B">
        <w:rPr>
          <w:rFonts w:cstheme="minorHAnsi"/>
          <w:color w:val="000000" w:themeColor="text1"/>
          <w:sz w:val="22"/>
        </w:rPr>
        <w:t xml:space="preserve">continued </w:t>
      </w:r>
      <w:r>
        <w:rPr>
          <w:rFonts w:cstheme="minorHAnsi"/>
          <w:color w:val="000000" w:themeColor="text1"/>
          <w:sz w:val="22"/>
        </w:rPr>
        <w:t xml:space="preserve">a data analytics exchange arrangement where </w:t>
      </w:r>
      <w:r w:rsidR="00EC0872">
        <w:rPr>
          <w:rFonts w:cstheme="minorHAnsi"/>
          <w:color w:val="000000" w:themeColor="text1"/>
          <w:sz w:val="22"/>
        </w:rPr>
        <w:t xml:space="preserve">certain </w:t>
      </w:r>
      <w:r>
        <w:rPr>
          <w:rFonts w:cstheme="minorHAnsi"/>
          <w:color w:val="000000" w:themeColor="text1"/>
          <w:sz w:val="22"/>
        </w:rPr>
        <w:t xml:space="preserve">Commission staff members </w:t>
      </w:r>
      <w:r w:rsidR="00EC0872">
        <w:rPr>
          <w:rFonts w:cstheme="minorHAnsi"/>
          <w:color w:val="000000" w:themeColor="text1"/>
          <w:sz w:val="22"/>
        </w:rPr>
        <w:t>have access to</w:t>
      </w:r>
      <w:r>
        <w:rPr>
          <w:rFonts w:cstheme="minorHAnsi"/>
          <w:color w:val="000000" w:themeColor="text1"/>
          <w:sz w:val="22"/>
        </w:rPr>
        <w:t xml:space="preserve"> ABF data extraction and analytics capabilities. </w:t>
      </w:r>
    </w:p>
    <w:p w14:paraId="55C3EA2C" w14:textId="77777777" w:rsidR="00A65EE3" w:rsidRDefault="00A65EE3" w:rsidP="00CE3B0E">
      <w:pPr>
        <w:spacing w:after="0" w:line="240" w:lineRule="auto"/>
        <w:ind w:right="-25"/>
        <w:rPr>
          <w:rFonts w:cstheme="minorHAnsi"/>
          <w:color w:val="000000" w:themeColor="text1"/>
          <w:sz w:val="22"/>
        </w:rPr>
      </w:pPr>
    </w:p>
    <w:p w14:paraId="00D1A789" w14:textId="58F8903E" w:rsidR="00A65EE3" w:rsidRPr="00B1674E" w:rsidRDefault="00A65EE3" w:rsidP="00CE3B0E">
      <w:pPr>
        <w:spacing w:after="0" w:line="240" w:lineRule="auto"/>
        <w:ind w:right="-25"/>
        <w:rPr>
          <w:rFonts w:cstheme="minorHAnsi"/>
          <w:color w:val="000000" w:themeColor="text1"/>
          <w:sz w:val="22"/>
        </w:rPr>
      </w:pPr>
      <w:r>
        <w:rPr>
          <w:rFonts w:cstheme="minorHAnsi"/>
          <w:color w:val="000000" w:themeColor="text1"/>
          <w:sz w:val="22"/>
        </w:rPr>
        <w:t xml:space="preserve">The Commission continues to facilitate discussion with stakeholders and </w:t>
      </w:r>
      <w:r w:rsidR="004066C5">
        <w:rPr>
          <w:rFonts w:cstheme="minorHAnsi"/>
          <w:color w:val="000000" w:themeColor="text1"/>
          <w:sz w:val="22"/>
        </w:rPr>
        <w:t xml:space="preserve">the </w:t>
      </w:r>
      <w:r>
        <w:rPr>
          <w:rFonts w:cstheme="minorHAnsi"/>
          <w:color w:val="000000" w:themeColor="text1"/>
          <w:sz w:val="22"/>
        </w:rPr>
        <w:t xml:space="preserve">ABF on compliance and anti-circumvention issues through the ITRF sub-committee, which met </w:t>
      </w:r>
      <w:r w:rsidR="004059EF">
        <w:rPr>
          <w:rFonts w:cstheme="minorHAnsi"/>
          <w:color w:val="000000" w:themeColor="text1"/>
          <w:sz w:val="22"/>
        </w:rPr>
        <w:t>twice</w:t>
      </w:r>
      <w:r>
        <w:rPr>
          <w:rFonts w:cstheme="minorHAnsi"/>
          <w:color w:val="000000" w:themeColor="text1"/>
          <w:sz w:val="22"/>
        </w:rPr>
        <w:t xml:space="preserve"> in </w:t>
      </w:r>
      <w:r w:rsidR="0034444B">
        <w:rPr>
          <w:rFonts w:cstheme="minorHAnsi"/>
          <w:color w:val="000000" w:themeColor="text1"/>
          <w:sz w:val="22"/>
        </w:rPr>
        <w:t>2019-20</w:t>
      </w:r>
      <w:r>
        <w:rPr>
          <w:rFonts w:cstheme="minorHAnsi"/>
          <w:color w:val="000000" w:themeColor="text1"/>
          <w:sz w:val="22"/>
        </w:rPr>
        <w:t xml:space="preserve">. </w:t>
      </w:r>
    </w:p>
    <w:p w14:paraId="7BB799D9" w14:textId="77777777" w:rsidR="00AC0195" w:rsidRPr="00AC0195" w:rsidRDefault="00AC0195" w:rsidP="00AC0195">
      <w:pPr>
        <w:contextualSpacing/>
        <w:rPr>
          <w:rFonts w:cstheme="minorHAnsi"/>
          <w:sz w:val="22"/>
        </w:rPr>
      </w:pPr>
    </w:p>
    <w:p w14:paraId="7BB799DA" w14:textId="77777777" w:rsidR="00AC0195" w:rsidRPr="009914D0" w:rsidRDefault="00AC0195" w:rsidP="00AC0195">
      <w:pPr>
        <w:spacing w:line="240" w:lineRule="auto"/>
        <w:rPr>
          <w:b/>
          <w:color w:val="2D2D2E"/>
          <w:sz w:val="22"/>
        </w:rPr>
      </w:pPr>
      <w:r w:rsidRPr="009914D0">
        <w:rPr>
          <w:b/>
          <w:color w:val="2D2D2E"/>
          <w:sz w:val="22"/>
        </w:rPr>
        <w:t>Discussion KPI 4</w:t>
      </w:r>
    </w:p>
    <w:p w14:paraId="7BB799DB" w14:textId="39B42181" w:rsidR="00AC0195" w:rsidRDefault="004B67DB" w:rsidP="00CE3B0E">
      <w:pPr>
        <w:spacing w:after="0" w:line="240" w:lineRule="auto"/>
        <w:ind w:right="-25"/>
        <w:rPr>
          <w:sz w:val="22"/>
        </w:rPr>
      </w:pPr>
      <w:r>
        <w:rPr>
          <w:sz w:val="22"/>
        </w:rPr>
        <w:t>Whilst</w:t>
      </w:r>
      <w:r w:rsidR="00AC0195" w:rsidRPr="00AC0195">
        <w:rPr>
          <w:sz w:val="22"/>
        </w:rPr>
        <w:t xml:space="preserve"> the Commission is not directly responsible for compliance </w:t>
      </w:r>
      <w:r>
        <w:rPr>
          <w:sz w:val="22"/>
        </w:rPr>
        <w:t xml:space="preserve">activities </w:t>
      </w:r>
      <w:r w:rsidR="00AC0195" w:rsidRPr="00AC0195">
        <w:rPr>
          <w:sz w:val="22"/>
        </w:rPr>
        <w:t xml:space="preserve">once duties are applied, the Commission </w:t>
      </w:r>
      <w:r>
        <w:rPr>
          <w:sz w:val="22"/>
        </w:rPr>
        <w:t>continue</w:t>
      </w:r>
      <w:r w:rsidR="00DF71B6">
        <w:rPr>
          <w:sz w:val="22"/>
        </w:rPr>
        <w:t>s</w:t>
      </w:r>
      <w:r>
        <w:rPr>
          <w:sz w:val="22"/>
        </w:rPr>
        <w:t xml:space="preserve"> its commitment to work</w:t>
      </w:r>
      <w:r w:rsidR="00AC0195" w:rsidRPr="00AC0195">
        <w:rPr>
          <w:sz w:val="22"/>
        </w:rPr>
        <w:t xml:space="preserve"> with </w:t>
      </w:r>
      <w:r w:rsidR="000D33B2">
        <w:rPr>
          <w:sz w:val="22"/>
        </w:rPr>
        <w:t>Home Affairs</w:t>
      </w:r>
      <w:r w:rsidR="004066C5">
        <w:rPr>
          <w:sz w:val="22"/>
        </w:rPr>
        <w:t xml:space="preserve"> and the ABF</w:t>
      </w:r>
      <w:r w:rsidR="000D33B2" w:rsidRPr="00AC0195">
        <w:rPr>
          <w:sz w:val="22"/>
        </w:rPr>
        <w:t xml:space="preserve"> </w:t>
      </w:r>
      <w:r>
        <w:rPr>
          <w:sz w:val="22"/>
        </w:rPr>
        <w:t>to</w:t>
      </w:r>
      <w:r w:rsidR="00A965BB">
        <w:rPr>
          <w:sz w:val="22"/>
        </w:rPr>
        <w:t>wards</w:t>
      </w:r>
      <w:r w:rsidRPr="00AC0195">
        <w:rPr>
          <w:sz w:val="22"/>
        </w:rPr>
        <w:t xml:space="preserve"> </w:t>
      </w:r>
      <w:r w:rsidR="00AC0195" w:rsidRPr="00AC0195">
        <w:rPr>
          <w:sz w:val="22"/>
        </w:rPr>
        <w:t xml:space="preserve">strengthening </w:t>
      </w:r>
      <w:r>
        <w:rPr>
          <w:sz w:val="22"/>
        </w:rPr>
        <w:t>compliance</w:t>
      </w:r>
      <w:r w:rsidRPr="00AC0195">
        <w:rPr>
          <w:sz w:val="22"/>
        </w:rPr>
        <w:t xml:space="preserve"> </w:t>
      </w:r>
      <w:r w:rsidR="00AC0195" w:rsidRPr="00AC0195">
        <w:rPr>
          <w:sz w:val="22"/>
        </w:rPr>
        <w:t xml:space="preserve">monitoring and </w:t>
      </w:r>
      <w:r w:rsidR="004717C3">
        <w:rPr>
          <w:sz w:val="22"/>
        </w:rPr>
        <w:t xml:space="preserve">improving the Commission’s </w:t>
      </w:r>
      <w:r w:rsidR="00AC0195" w:rsidRPr="00AC0195">
        <w:rPr>
          <w:sz w:val="22"/>
        </w:rPr>
        <w:t xml:space="preserve">trade </w:t>
      </w:r>
      <w:r w:rsidR="008D17BC">
        <w:rPr>
          <w:sz w:val="22"/>
        </w:rPr>
        <w:t>flow</w:t>
      </w:r>
      <w:r w:rsidR="00AC0195" w:rsidRPr="00AC0195">
        <w:rPr>
          <w:sz w:val="22"/>
        </w:rPr>
        <w:t xml:space="preserve"> analysis capability. The Commission </w:t>
      </w:r>
      <w:r w:rsidR="004717C3">
        <w:rPr>
          <w:sz w:val="22"/>
        </w:rPr>
        <w:t>considers</w:t>
      </w:r>
      <w:r w:rsidR="00AC0195" w:rsidRPr="00AC0195">
        <w:rPr>
          <w:sz w:val="22"/>
        </w:rPr>
        <w:t xml:space="preserve"> that </w:t>
      </w:r>
      <w:r w:rsidR="004717C3">
        <w:rPr>
          <w:sz w:val="22"/>
        </w:rPr>
        <w:t xml:space="preserve">effective </w:t>
      </w:r>
      <w:r>
        <w:rPr>
          <w:sz w:val="22"/>
        </w:rPr>
        <w:t>whole</w:t>
      </w:r>
      <w:r w:rsidR="004717C3">
        <w:rPr>
          <w:sz w:val="22"/>
        </w:rPr>
        <w:t>-</w:t>
      </w:r>
      <w:r>
        <w:rPr>
          <w:sz w:val="22"/>
        </w:rPr>
        <w:t>of</w:t>
      </w:r>
      <w:r w:rsidR="004717C3">
        <w:rPr>
          <w:sz w:val="22"/>
        </w:rPr>
        <w:t>-</w:t>
      </w:r>
      <w:r>
        <w:rPr>
          <w:sz w:val="22"/>
        </w:rPr>
        <w:t>government collaboration has occurred</w:t>
      </w:r>
      <w:r w:rsidR="00AC0195" w:rsidRPr="00AC0195">
        <w:rPr>
          <w:sz w:val="22"/>
        </w:rPr>
        <w:t xml:space="preserve"> during this reporting period. </w:t>
      </w:r>
    </w:p>
    <w:p w14:paraId="6FA08FAE" w14:textId="77777777" w:rsidR="004717C3" w:rsidRPr="00AC0195" w:rsidRDefault="004717C3" w:rsidP="00CE3B0E">
      <w:pPr>
        <w:spacing w:after="0" w:line="240" w:lineRule="auto"/>
        <w:ind w:right="-25"/>
        <w:rPr>
          <w:sz w:val="22"/>
        </w:rPr>
      </w:pPr>
    </w:p>
    <w:p w14:paraId="7BB799DD" w14:textId="0CDF5D89" w:rsidR="00AC0195" w:rsidRPr="009914D0" w:rsidRDefault="00AC0195" w:rsidP="00CE3B0E">
      <w:pPr>
        <w:spacing w:line="240" w:lineRule="auto"/>
        <w:rPr>
          <w:b/>
          <w:color w:val="2D2D2E"/>
          <w:sz w:val="22"/>
        </w:rPr>
      </w:pPr>
      <w:r w:rsidRPr="009914D0">
        <w:rPr>
          <w:b/>
          <w:color w:val="2D2D2E"/>
          <w:sz w:val="22"/>
        </w:rPr>
        <w:t xml:space="preserve">Stakeholder Validation </w:t>
      </w:r>
    </w:p>
    <w:p w14:paraId="2536A300" w14:textId="04181136" w:rsidR="00AC2AC9" w:rsidRPr="00CE3B0E" w:rsidRDefault="007A50F5" w:rsidP="00CE3B0E">
      <w:pPr>
        <w:spacing w:after="0" w:line="240" w:lineRule="auto"/>
        <w:rPr>
          <w:rFonts w:cstheme="minorHAnsi"/>
        </w:rPr>
      </w:pPr>
      <w:r w:rsidRPr="00474CD5">
        <w:rPr>
          <w:sz w:val="22"/>
        </w:rPr>
        <w:t xml:space="preserve">In the </w:t>
      </w:r>
      <w:r w:rsidR="004717C3" w:rsidRPr="00474CD5">
        <w:rPr>
          <w:sz w:val="22"/>
        </w:rPr>
        <w:t xml:space="preserve">stakeholder </w:t>
      </w:r>
      <w:r w:rsidRPr="00474CD5">
        <w:rPr>
          <w:sz w:val="22"/>
        </w:rPr>
        <w:t xml:space="preserve">survey </w:t>
      </w:r>
      <w:r w:rsidR="004717C3" w:rsidRPr="00474CD5">
        <w:rPr>
          <w:sz w:val="22"/>
        </w:rPr>
        <w:t>reported</w:t>
      </w:r>
      <w:r w:rsidRPr="00474CD5">
        <w:rPr>
          <w:sz w:val="22"/>
        </w:rPr>
        <w:t xml:space="preserve"> </w:t>
      </w:r>
      <w:r w:rsidR="004717C3" w:rsidRPr="00474CD5">
        <w:rPr>
          <w:sz w:val="22"/>
        </w:rPr>
        <w:t xml:space="preserve">under </w:t>
      </w:r>
      <w:r w:rsidRPr="00474CD5">
        <w:rPr>
          <w:sz w:val="22"/>
        </w:rPr>
        <w:t xml:space="preserve">KPI 1, </w:t>
      </w:r>
      <w:r w:rsidR="00C072FC" w:rsidRPr="00474CD5">
        <w:rPr>
          <w:rFonts w:cstheme="minorHAnsi"/>
          <w:sz w:val="22"/>
        </w:rPr>
        <w:t>75</w:t>
      </w:r>
      <w:r w:rsidR="00F835B6">
        <w:rPr>
          <w:rFonts w:cstheme="minorHAnsi"/>
          <w:sz w:val="22"/>
        </w:rPr>
        <w:t xml:space="preserve"> per cent</w:t>
      </w:r>
      <w:r w:rsidR="00C072FC" w:rsidRPr="00474CD5">
        <w:rPr>
          <w:rFonts w:cstheme="minorHAnsi"/>
          <w:sz w:val="22"/>
        </w:rPr>
        <w:t xml:space="preserve"> of</w:t>
      </w:r>
      <w:r w:rsidRPr="00474CD5">
        <w:rPr>
          <w:rFonts w:cstheme="minorHAnsi"/>
          <w:sz w:val="22"/>
        </w:rPr>
        <w:t xml:space="preserve"> respondents were very satisfied</w:t>
      </w:r>
      <w:r w:rsidR="00A132DA" w:rsidRPr="00474CD5">
        <w:rPr>
          <w:rFonts w:cstheme="minorHAnsi"/>
          <w:sz w:val="22"/>
        </w:rPr>
        <w:t xml:space="preserve"> or </w:t>
      </w:r>
      <w:r w:rsidRPr="00474CD5">
        <w:rPr>
          <w:rFonts w:cstheme="minorHAnsi"/>
          <w:sz w:val="22"/>
        </w:rPr>
        <w:t xml:space="preserve">satisfied that the Commission was taking action to enhance whole-of-government collaboration to strengthen the anti-circumvention and compliance framework. </w:t>
      </w:r>
    </w:p>
    <w:p w14:paraId="147DD3A3" w14:textId="77777777" w:rsidR="00AC2AC9" w:rsidRPr="0017284E" w:rsidRDefault="00AC2AC9" w:rsidP="00CE3B0E">
      <w:pPr>
        <w:spacing w:after="0" w:line="240" w:lineRule="auto"/>
        <w:rPr>
          <w:b/>
          <w:color w:val="81C8CF" w:themeColor="accent2" w:themeTint="BF"/>
          <w:sz w:val="22"/>
          <w:szCs w:val="24"/>
        </w:rPr>
      </w:pPr>
    </w:p>
    <w:p w14:paraId="7BB799E2" w14:textId="4B7BB24A" w:rsidR="00AC0195" w:rsidRPr="00CE3B0E" w:rsidRDefault="00AC0195" w:rsidP="009914D0">
      <w:pPr>
        <w:pStyle w:val="Heading2"/>
        <w:numPr>
          <w:ilvl w:val="0"/>
          <w:numId w:val="0"/>
        </w:numPr>
        <w:ind w:left="578" w:hanging="578"/>
      </w:pPr>
      <w:bookmarkStart w:id="31" w:name="_Toc49953505"/>
      <w:bookmarkStart w:id="32" w:name="_Toc52456004"/>
      <w:r w:rsidRPr="0075369F">
        <w:t>KPI 5 - Regulators are open and transparent in their dealings with regulated entities</w:t>
      </w:r>
      <w:bookmarkEnd w:id="31"/>
      <w:bookmarkEnd w:id="32"/>
    </w:p>
    <w:p w14:paraId="7BB799E3" w14:textId="77777777" w:rsidR="00AC0195" w:rsidRPr="009914D0" w:rsidRDefault="00AC0195" w:rsidP="00CE3B0E">
      <w:pPr>
        <w:spacing w:line="240" w:lineRule="auto"/>
        <w:rPr>
          <w:b/>
          <w:color w:val="2D2D2E"/>
          <w:sz w:val="22"/>
        </w:rPr>
      </w:pPr>
      <w:r w:rsidRPr="009914D0">
        <w:rPr>
          <w:b/>
          <w:color w:val="2D2D2E"/>
          <w:sz w:val="22"/>
        </w:rPr>
        <w:t>Summary of achievement</w:t>
      </w:r>
    </w:p>
    <w:p w14:paraId="7BB799E4" w14:textId="05927C4A" w:rsidR="00AC0195" w:rsidRPr="00CE2B66" w:rsidRDefault="002A2A22" w:rsidP="00CE3B0E">
      <w:pPr>
        <w:spacing w:after="0" w:line="240" w:lineRule="auto"/>
        <w:rPr>
          <w:rFonts w:cstheme="minorHAnsi"/>
          <w:sz w:val="22"/>
        </w:rPr>
      </w:pPr>
      <w:r>
        <w:rPr>
          <w:rFonts w:cstheme="minorHAnsi"/>
          <w:sz w:val="22"/>
        </w:rPr>
        <w:t xml:space="preserve">In </w:t>
      </w:r>
      <w:r w:rsidR="00483A98">
        <w:rPr>
          <w:rFonts w:cstheme="minorHAnsi"/>
          <w:sz w:val="22"/>
        </w:rPr>
        <w:t>2019-20</w:t>
      </w:r>
      <w:r>
        <w:rPr>
          <w:rFonts w:cstheme="minorHAnsi"/>
          <w:sz w:val="22"/>
        </w:rPr>
        <w:t>, t</w:t>
      </w:r>
      <w:r w:rsidR="00AC0195" w:rsidRPr="00CE2B66">
        <w:rPr>
          <w:rFonts w:cstheme="minorHAnsi"/>
          <w:sz w:val="22"/>
        </w:rPr>
        <w:t>he Commission</w:t>
      </w:r>
      <w:r>
        <w:rPr>
          <w:rFonts w:cstheme="minorHAnsi"/>
          <w:sz w:val="22"/>
        </w:rPr>
        <w:t xml:space="preserve"> </w:t>
      </w:r>
      <w:r w:rsidRPr="002A2A22">
        <w:rPr>
          <w:rFonts w:cstheme="minorHAnsi"/>
          <w:sz w:val="22"/>
        </w:rPr>
        <w:t>published</w:t>
      </w:r>
      <w:r w:rsidR="00AC0195" w:rsidRPr="00CE2B66">
        <w:rPr>
          <w:rFonts w:cstheme="minorHAnsi"/>
          <w:sz w:val="22"/>
        </w:rPr>
        <w:t>:</w:t>
      </w:r>
    </w:p>
    <w:p w14:paraId="7BB799E5" w14:textId="4FBCF5B8" w:rsidR="00AC0195" w:rsidRPr="00CE2B66" w:rsidRDefault="00483A98" w:rsidP="00CE3B0E">
      <w:pPr>
        <w:pStyle w:val="ListParagraph"/>
        <w:numPr>
          <w:ilvl w:val="0"/>
          <w:numId w:val="5"/>
        </w:numPr>
        <w:spacing w:before="120" w:after="0" w:line="240" w:lineRule="auto"/>
        <w:ind w:hanging="357"/>
        <w:contextualSpacing w:val="0"/>
        <w:rPr>
          <w:rFonts w:cstheme="minorHAnsi"/>
        </w:rPr>
      </w:pPr>
      <w:r>
        <w:rPr>
          <w:rFonts w:cstheme="minorHAnsi"/>
        </w:rPr>
        <w:t xml:space="preserve">170 </w:t>
      </w:r>
      <w:r w:rsidR="00AC0195" w:rsidRPr="00CE2B66">
        <w:rPr>
          <w:rFonts w:cstheme="minorHAnsi"/>
        </w:rPr>
        <w:t xml:space="preserve">reports </w:t>
      </w:r>
      <w:r w:rsidR="005B1FD1">
        <w:rPr>
          <w:rFonts w:cstheme="minorHAnsi"/>
        </w:rPr>
        <w:t xml:space="preserve">setting out its recommendations or decisions and </w:t>
      </w:r>
      <w:r w:rsidR="00AC0195" w:rsidRPr="00CE2B66">
        <w:rPr>
          <w:rFonts w:cstheme="minorHAnsi"/>
        </w:rPr>
        <w:t xml:space="preserve">explaining </w:t>
      </w:r>
      <w:r w:rsidR="002A2A22">
        <w:rPr>
          <w:rFonts w:cstheme="minorHAnsi"/>
        </w:rPr>
        <w:t>the evidence base</w:t>
      </w:r>
      <w:r w:rsidR="00AC0195" w:rsidRPr="00CE2B66">
        <w:rPr>
          <w:rFonts w:cstheme="minorHAnsi"/>
        </w:rPr>
        <w:t xml:space="preserve"> and reasoning</w:t>
      </w:r>
      <w:r w:rsidR="002A2A22">
        <w:rPr>
          <w:rFonts w:cstheme="minorHAnsi"/>
        </w:rPr>
        <w:t xml:space="preserve"> for </w:t>
      </w:r>
      <w:r w:rsidR="005B1FD1">
        <w:rPr>
          <w:rFonts w:cstheme="minorHAnsi"/>
        </w:rPr>
        <w:t>those recommendations and</w:t>
      </w:r>
      <w:r w:rsidR="002A2A22">
        <w:rPr>
          <w:rFonts w:cstheme="minorHAnsi"/>
        </w:rPr>
        <w:t xml:space="preserve"> decisions</w:t>
      </w:r>
      <w:r w:rsidR="007D6109">
        <w:rPr>
          <w:rFonts w:cstheme="minorHAnsi"/>
        </w:rPr>
        <w:t>;</w:t>
      </w:r>
    </w:p>
    <w:p w14:paraId="7BB799E6" w14:textId="11C294FE" w:rsidR="00AC0195" w:rsidRDefault="004542D6" w:rsidP="00CE3B0E">
      <w:pPr>
        <w:pStyle w:val="ListParagraph"/>
        <w:numPr>
          <w:ilvl w:val="0"/>
          <w:numId w:val="5"/>
        </w:numPr>
        <w:spacing w:after="0" w:line="240" w:lineRule="auto"/>
        <w:ind w:hanging="357"/>
        <w:contextualSpacing w:val="0"/>
        <w:rPr>
          <w:rFonts w:cstheme="minorHAnsi"/>
        </w:rPr>
      </w:pPr>
      <w:r>
        <w:rPr>
          <w:rFonts w:cstheme="minorHAnsi"/>
        </w:rPr>
        <w:t>m</w:t>
      </w:r>
      <w:r w:rsidR="00AC0195" w:rsidRPr="00CE2B66">
        <w:rPr>
          <w:rFonts w:cstheme="minorHAnsi"/>
        </w:rPr>
        <w:t>onthly status report</w:t>
      </w:r>
      <w:r>
        <w:rPr>
          <w:rFonts w:cstheme="minorHAnsi"/>
        </w:rPr>
        <w:t>s</w:t>
      </w:r>
      <w:r w:rsidR="002A2A22">
        <w:rPr>
          <w:rFonts w:cstheme="minorHAnsi"/>
        </w:rPr>
        <w:t xml:space="preserve"> on its current cases</w:t>
      </w:r>
      <w:r w:rsidR="00C072FC">
        <w:rPr>
          <w:rFonts w:cstheme="minorHAnsi"/>
        </w:rPr>
        <w:t xml:space="preserve"> and measures</w:t>
      </w:r>
      <w:r w:rsidR="007D6109">
        <w:rPr>
          <w:rFonts w:cstheme="minorHAnsi"/>
        </w:rPr>
        <w:t>; and</w:t>
      </w:r>
    </w:p>
    <w:p w14:paraId="16962315" w14:textId="72970569" w:rsidR="0021654D" w:rsidRPr="00CE2B66" w:rsidRDefault="0021654D" w:rsidP="00CE3B0E">
      <w:pPr>
        <w:pStyle w:val="ListParagraph"/>
        <w:numPr>
          <w:ilvl w:val="0"/>
          <w:numId w:val="5"/>
        </w:numPr>
        <w:spacing w:after="0" w:line="240" w:lineRule="auto"/>
        <w:ind w:hanging="357"/>
        <w:contextualSpacing w:val="0"/>
        <w:rPr>
          <w:rFonts w:cstheme="minorHAnsi"/>
        </w:rPr>
      </w:pPr>
      <w:r>
        <w:rPr>
          <w:rFonts w:cstheme="minorHAnsi"/>
        </w:rPr>
        <w:t>quarterly performance indicators.</w:t>
      </w:r>
    </w:p>
    <w:p w14:paraId="7BB799E7" w14:textId="77777777" w:rsidR="00AC0195" w:rsidRPr="00CE2B66" w:rsidRDefault="00AC0195" w:rsidP="00CE3B0E">
      <w:pPr>
        <w:spacing w:line="240" w:lineRule="auto"/>
        <w:contextualSpacing/>
        <w:rPr>
          <w:rFonts w:cstheme="minorHAnsi"/>
          <w:b/>
          <w:color w:val="398E98" w:themeColor="accent2" w:themeShade="BF"/>
          <w:sz w:val="22"/>
        </w:rPr>
      </w:pPr>
    </w:p>
    <w:p w14:paraId="7BB799E8" w14:textId="77777777" w:rsidR="00AC0195" w:rsidRPr="009914D0" w:rsidRDefault="00AC0195" w:rsidP="00CE3B0E">
      <w:pPr>
        <w:spacing w:line="240" w:lineRule="auto"/>
        <w:rPr>
          <w:b/>
          <w:color w:val="2D2D2E"/>
          <w:sz w:val="22"/>
        </w:rPr>
      </w:pPr>
      <w:r w:rsidRPr="009914D0">
        <w:rPr>
          <w:b/>
          <w:color w:val="2D2D2E"/>
          <w:sz w:val="22"/>
        </w:rPr>
        <w:t>Expectations for KPI 5</w:t>
      </w:r>
    </w:p>
    <w:p w14:paraId="7BB799E9" w14:textId="560846CA" w:rsidR="00AC0195" w:rsidRPr="00CE2B66" w:rsidRDefault="00AC0195" w:rsidP="00CE3B0E">
      <w:pPr>
        <w:spacing w:after="0" w:line="240" w:lineRule="auto"/>
        <w:contextualSpacing/>
        <w:rPr>
          <w:rFonts w:cstheme="minorHAnsi"/>
          <w:b/>
          <w:color w:val="398E98" w:themeColor="accent2" w:themeShade="BF"/>
          <w:sz w:val="22"/>
        </w:rPr>
      </w:pPr>
      <w:r w:rsidRPr="00CE2B66">
        <w:rPr>
          <w:rFonts w:cstheme="minorHAnsi"/>
          <w:sz w:val="22"/>
        </w:rPr>
        <w:t>It is important that regulators are open and transparent in the way they regulate to ensure the confidence of those being regulated and the wider community. If regulated entities understand how and why they are being regulated, regulatory outcomes are more likely to be achieved. Transparency also contributes to a greater understanding of the regulator</w:t>
      </w:r>
      <w:r w:rsidR="00801517">
        <w:rPr>
          <w:rFonts w:cstheme="minorHAnsi"/>
          <w:sz w:val="22"/>
        </w:rPr>
        <w:t>’</w:t>
      </w:r>
      <w:r w:rsidRPr="00CE2B66">
        <w:rPr>
          <w:rFonts w:cstheme="minorHAnsi"/>
          <w:sz w:val="22"/>
        </w:rPr>
        <w:t xml:space="preserve">s role by both the regulated cohort and the broader community. </w:t>
      </w:r>
    </w:p>
    <w:p w14:paraId="7BB799EA" w14:textId="77777777" w:rsidR="00AC0195" w:rsidRPr="00CE2B66" w:rsidRDefault="00AC0195" w:rsidP="00CE3B0E">
      <w:pPr>
        <w:spacing w:after="0" w:line="240" w:lineRule="auto"/>
        <w:rPr>
          <w:rFonts w:cstheme="minorHAnsi"/>
          <w:sz w:val="22"/>
        </w:rPr>
      </w:pPr>
    </w:p>
    <w:p w14:paraId="7BB799EB" w14:textId="0395B681" w:rsidR="00AC0195" w:rsidRPr="00CE2B66" w:rsidRDefault="00AC0195" w:rsidP="00CE3B0E">
      <w:pPr>
        <w:spacing w:after="0" w:line="240" w:lineRule="auto"/>
        <w:rPr>
          <w:rFonts w:cstheme="minorHAnsi"/>
          <w:sz w:val="22"/>
        </w:rPr>
      </w:pPr>
      <w:r w:rsidRPr="00CE2B66">
        <w:rPr>
          <w:rFonts w:cstheme="minorHAnsi"/>
          <w:sz w:val="22"/>
        </w:rPr>
        <w:t xml:space="preserve">Open and transparent dealings with regulated entities increase the accountability of both regulators and government. Increased accountability, to both regulated entities and the wider community, improves the overall performance of regulators. Where possible, better practice regulators clearly communicate </w:t>
      </w:r>
      <w:r w:rsidR="00801517" w:rsidRPr="00CE2B66">
        <w:rPr>
          <w:rFonts w:cstheme="minorHAnsi"/>
          <w:sz w:val="22"/>
        </w:rPr>
        <w:t xml:space="preserve">to regulated entities </w:t>
      </w:r>
      <w:r w:rsidRPr="00CE2B66">
        <w:rPr>
          <w:rFonts w:cstheme="minorHAnsi"/>
          <w:sz w:val="22"/>
        </w:rPr>
        <w:t>the evidence base and approach used in the regulatory decision</w:t>
      </w:r>
      <w:r w:rsidR="00801517">
        <w:rPr>
          <w:rFonts w:cstheme="minorHAnsi"/>
          <w:sz w:val="22"/>
        </w:rPr>
        <w:t>-</w:t>
      </w:r>
      <w:r w:rsidRPr="00CE2B66">
        <w:rPr>
          <w:rFonts w:cstheme="minorHAnsi"/>
          <w:sz w:val="22"/>
        </w:rPr>
        <w:t>making process. Results from performance measurement against this framework are also made public in a timely way to ensure an open and transparent relationship with regulated entities.</w:t>
      </w:r>
    </w:p>
    <w:p w14:paraId="75032A25" w14:textId="77777777" w:rsidR="00A021F3" w:rsidRDefault="00A021F3" w:rsidP="00CE3B0E">
      <w:pPr>
        <w:spacing w:after="0" w:line="240" w:lineRule="auto"/>
        <w:contextualSpacing/>
        <w:rPr>
          <w:rFonts w:cstheme="minorHAnsi"/>
          <w:sz w:val="22"/>
        </w:rPr>
      </w:pPr>
    </w:p>
    <w:p w14:paraId="7BB799ED" w14:textId="77777777" w:rsidR="00AC0195" w:rsidRPr="00CE2B66" w:rsidRDefault="00AC0195" w:rsidP="00CE3B0E">
      <w:pPr>
        <w:spacing w:after="0" w:line="240" w:lineRule="auto"/>
        <w:contextualSpacing/>
        <w:rPr>
          <w:rFonts w:cstheme="minorHAnsi"/>
          <w:sz w:val="22"/>
        </w:rPr>
      </w:pPr>
      <w:r w:rsidRPr="00CE2B66">
        <w:rPr>
          <w:rFonts w:cstheme="minorHAnsi"/>
          <w:sz w:val="22"/>
        </w:rPr>
        <w:t>The objectives against this KPI are to show that Commission meets government’s expectations by demonstrating that:</w:t>
      </w:r>
    </w:p>
    <w:p w14:paraId="7BB799EE" w14:textId="4104F40E" w:rsidR="00AC0195" w:rsidRPr="00CE2B66" w:rsidRDefault="00AC0195" w:rsidP="00CE3B0E">
      <w:pPr>
        <w:pStyle w:val="ListParagraph"/>
        <w:numPr>
          <w:ilvl w:val="0"/>
          <w:numId w:val="5"/>
        </w:numPr>
        <w:spacing w:before="120" w:after="0" w:line="240" w:lineRule="auto"/>
        <w:ind w:hanging="357"/>
        <w:contextualSpacing w:val="0"/>
        <w:rPr>
          <w:rFonts w:cstheme="minorHAnsi"/>
        </w:rPr>
      </w:pPr>
      <w:r w:rsidRPr="00CE2B66">
        <w:rPr>
          <w:rFonts w:cstheme="minorHAnsi"/>
        </w:rPr>
        <w:t xml:space="preserve">the evidence-base and approach used in the regulatory decision-making process is communicated to regulated entities </w:t>
      </w:r>
    </w:p>
    <w:p w14:paraId="7BB799EF" w14:textId="77777777" w:rsidR="00AC0195" w:rsidRPr="00CE2B66" w:rsidRDefault="00AC0195" w:rsidP="00CE3B0E">
      <w:pPr>
        <w:pStyle w:val="ListParagraph"/>
        <w:numPr>
          <w:ilvl w:val="0"/>
          <w:numId w:val="5"/>
        </w:numPr>
        <w:spacing w:after="0" w:line="240" w:lineRule="auto"/>
        <w:rPr>
          <w:rFonts w:cstheme="minorHAnsi"/>
        </w:rPr>
      </w:pPr>
      <w:r w:rsidRPr="00CE2B66">
        <w:rPr>
          <w:rFonts w:cstheme="minorHAnsi"/>
        </w:rPr>
        <w:t>performance measurement results are published in a timely manner to ensure accountability to the public.</w:t>
      </w:r>
    </w:p>
    <w:p w14:paraId="7BB799F0" w14:textId="77777777" w:rsidR="00AC0195" w:rsidRPr="00CE2B66" w:rsidRDefault="00AC0195" w:rsidP="00CE3B0E">
      <w:pPr>
        <w:spacing w:line="240" w:lineRule="auto"/>
        <w:contextualSpacing/>
        <w:rPr>
          <w:rFonts w:cstheme="minorHAnsi"/>
          <w:b/>
          <w:color w:val="1A495D" w:themeColor="accent1" w:themeShade="80"/>
          <w:sz w:val="22"/>
        </w:rPr>
      </w:pPr>
    </w:p>
    <w:p w14:paraId="7BB799F1" w14:textId="77777777" w:rsidR="00AC0195" w:rsidRPr="009914D0" w:rsidRDefault="00AC0195" w:rsidP="00CE3B0E">
      <w:pPr>
        <w:spacing w:line="240" w:lineRule="auto"/>
        <w:rPr>
          <w:b/>
          <w:color w:val="2D2D2E"/>
          <w:sz w:val="22"/>
        </w:rPr>
      </w:pPr>
      <w:r w:rsidRPr="009914D0">
        <w:rPr>
          <w:b/>
          <w:color w:val="2D2D2E"/>
          <w:sz w:val="22"/>
        </w:rPr>
        <w:t>Our approach for KPI 5</w:t>
      </w:r>
    </w:p>
    <w:p w14:paraId="7BB799F2" w14:textId="39881BAB" w:rsidR="00AC0195" w:rsidRPr="00CE2B66" w:rsidRDefault="00AC0195" w:rsidP="00CE3B0E">
      <w:pPr>
        <w:spacing w:after="0" w:line="240" w:lineRule="auto"/>
        <w:rPr>
          <w:rFonts w:cstheme="minorHAnsi"/>
          <w:sz w:val="22"/>
        </w:rPr>
      </w:pPr>
      <w:r w:rsidRPr="00CE2B66">
        <w:rPr>
          <w:rFonts w:cstheme="minorHAnsi"/>
          <w:sz w:val="22"/>
        </w:rPr>
        <w:t xml:space="preserve">For this KPI, the Commission </w:t>
      </w:r>
      <w:r w:rsidR="00801517">
        <w:rPr>
          <w:rFonts w:cstheme="minorHAnsi"/>
          <w:sz w:val="22"/>
        </w:rPr>
        <w:t xml:space="preserve">has </w:t>
      </w:r>
      <w:r w:rsidRPr="00CE2B66">
        <w:rPr>
          <w:rFonts w:cstheme="minorHAnsi"/>
          <w:sz w:val="22"/>
        </w:rPr>
        <w:t>demo</w:t>
      </w:r>
      <w:r w:rsidR="00A94458">
        <w:rPr>
          <w:rFonts w:cstheme="minorHAnsi"/>
          <w:sz w:val="22"/>
        </w:rPr>
        <w:t>nstrated the transparency of</w:t>
      </w:r>
      <w:r w:rsidRPr="00CE2B66">
        <w:rPr>
          <w:rFonts w:cstheme="minorHAnsi"/>
          <w:sz w:val="22"/>
        </w:rPr>
        <w:t xml:space="preserve"> dealings with regulated entities </w:t>
      </w:r>
      <w:r w:rsidR="00801517">
        <w:rPr>
          <w:rFonts w:cstheme="minorHAnsi"/>
          <w:sz w:val="22"/>
        </w:rPr>
        <w:t>by describing</w:t>
      </w:r>
      <w:r w:rsidR="00801517" w:rsidRPr="00CE2B66">
        <w:rPr>
          <w:rFonts w:cstheme="minorHAnsi"/>
          <w:sz w:val="22"/>
        </w:rPr>
        <w:t xml:space="preserve"> </w:t>
      </w:r>
      <w:r w:rsidR="00801517">
        <w:rPr>
          <w:rFonts w:cstheme="minorHAnsi"/>
          <w:sz w:val="22"/>
        </w:rPr>
        <w:t>the</w:t>
      </w:r>
      <w:r w:rsidR="00801517" w:rsidRPr="00CE2B66">
        <w:rPr>
          <w:rFonts w:cstheme="minorHAnsi"/>
          <w:sz w:val="22"/>
        </w:rPr>
        <w:t xml:space="preserve"> </w:t>
      </w:r>
      <w:r w:rsidR="00A94458">
        <w:rPr>
          <w:rFonts w:cstheme="minorHAnsi"/>
          <w:sz w:val="22"/>
        </w:rPr>
        <w:t>range of information that is</w:t>
      </w:r>
      <w:r w:rsidRPr="00CE2B66">
        <w:rPr>
          <w:rFonts w:cstheme="minorHAnsi"/>
          <w:sz w:val="22"/>
        </w:rPr>
        <w:t xml:space="preserve"> </w:t>
      </w:r>
      <w:r w:rsidR="00801517">
        <w:rPr>
          <w:rFonts w:cstheme="minorHAnsi"/>
          <w:sz w:val="22"/>
        </w:rPr>
        <w:t>publish</w:t>
      </w:r>
      <w:r w:rsidR="00A94458">
        <w:rPr>
          <w:rFonts w:cstheme="minorHAnsi"/>
          <w:sz w:val="22"/>
        </w:rPr>
        <w:t>ed</w:t>
      </w:r>
      <w:r w:rsidRPr="00CE2B66">
        <w:rPr>
          <w:rFonts w:cstheme="minorHAnsi"/>
          <w:sz w:val="22"/>
        </w:rPr>
        <w:t>.</w:t>
      </w:r>
    </w:p>
    <w:p w14:paraId="7BB799F3" w14:textId="77777777" w:rsidR="00AC0195" w:rsidRPr="00CE2B66" w:rsidRDefault="00AC0195" w:rsidP="00CE3B0E">
      <w:pPr>
        <w:spacing w:after="0" w:line="240" w:lineRule="auto"/>
        <w:rPr>
          <w:rFonts w:cstheme="minorHAnsi"/>
          <w:sz w:val="22"/>
        </w:rPr>
      </w:pPr>
    </w:p>
    <w:p w14:paraId="7BB799F4" w14:textId="77777777" w:rsidR="00AC0195" w:rsidRPr="009914D0" w:rsidRDefault="00AC0195" w:rsidP="00CE3B0E">
      <w:pPr>
        <w:spacing w:line="240" w:lineRule="auto"/>
        <w:rPr>
          <w:b/>
          <w:color w:val="2D2D2E"/>
          <w:sz w:val="22"/>
        </w:rPr>
      </w:pPr>
      <w:r w:rsidRPr="009914D0">
        <w:rPr>
          <w:b/>
          <w:color w:val="2D2D2E"/>
          <w:sz w:val="22"/>
        </w:rPr>
        <w:t>Results KPI 5</w:t>
      </w:r>
    </w:p>
    <w:p w14:paraId="7BB799F5" w14:textId="34036E76" w:rsidR="00AC0195" w:rsidRPr="00CE2B66" w:rsidRDefault="00AC0195" w:rsidP="00CE3B0E">
      <w:pPr>
        <w:spacing w:line="240" w:lineRule="auto"/>
        <w:rPr>
          <w:rFonts w:cstheme="minorHAnsi"/>
          <w:b/>
          <w:bCs/>
          <w:iCs/>
          <w:sz w:val="22"/>
        </w:rPr>
      </w:pPr>
      <w:r w:rsidRPr="00CE2B66">
        <w:rPr>
          <w:rFonts w:cstheme="minorHAnsi"/>
          <w:b/>
          <w:bCs/>
          <w:iCs/>
          <w:sz w:val="22"/>
        </w:rPr>
        <w:t>Measure: The Commission communicates the evidence</w:t>
      </w:r>
      <w:r w:rsidR="005B1FD1">
        <w:rPr>
          <w:rFonts w:cstheme="minorHAnsi"/>
          <w:b/>
          <w:bCs/>
          <w:iCs/>
          <w:sz w:val="22"/>
        </w:rPr>
        <w:t xml:space="preserve"> </w:t>
      </w:r>
      <w:r w:rsidRPr="00CE2B66">
        <w:rPr>
          <w:rFonts w:cstheme="minorHAnsi"/>
          <w:b/>
          <w:bCs/>
          <w:iCs/>
          <w:sz w:val="22"/>
        </w:rPr>
        <w:t xml:space="preserve">base and approach used in the regulatory decision-making process to regulated entities. </w:t>
      </w:r>
    </w:p>
    <w:p w14:paraId="7BB799F6" w14:textId="77777777" w:rsidR="00AC0195" w:rsidRPr="00CE2B66" w:rsidRDefault="00AC0195" w:rsidP="00CE3B0E">
      <w:pPr>
        <w:pStyle w:val="ListParagraph"/>
        <w:numPr>
          <w:ilvl w:val="0"/>
          <w:numId w:val="23"/>
        </w:numPr>
        <w:spacing w:before="120" w:after="120" w:line="240" w:lineRule="auto"/>
        <w:ind w:left="567"/>
        <w:rPr>
          <w:rFonts w:cstheme="minorHAnsi"/>
          <w:i/>
        </w:rPr>
      </w:pPr>
      <w:r w:rsidRPr="00CE2B66">
        <w:rPr>
          <w:rFonts w:cstheme="minorHAnsi"/>
          <w:i/>
        </w:rPr>
        <w:t>Metric: Publication of all decisions and reasoning</w:t>
      </w:r>
    </w:p>
    <w:p w14:paraId="7BB799F7" w14:textId="2F932D72" w:rsidR="00AC0195" w:rsidRPr="00CE2B66" w:rsidRDefault="00AC0195" w:rsidP="00CE3B0E">
      <w:pPr>
        <w:spacing w:after="0" w:line="240" w:lineRule="auto"/>
        <w:rPr>
          <w:rFonts w:cstheme="minorHAnsi"/>
          <w:sz w:val="22"/>
        </w:rPr>
      </w:pPr>
      <w:r w:rsidRPr="00CE2B66">
        <w:rPr>
          <w:rFonts w:cstheme="minorHAnsi"/>
          <w:sz w:val="22"/>
        </w:rPr>
        <w:t xml:space="preserve">The Commission communicates </w:t>
      </w:r>
      <w:r w:rsidR="00885E32">
        <w:rPr>
          <w:rFonts w:cstheme="minorHAnsi"/>
          <w:sz w:val="22"/>
        </w:rPr>
        <w:t>its</w:t>
      </w:r>
      <w:r w:rsidR="00885E32" w:rsidRPr="00CE2B66">
        <w:rPr>
          <w:rFonts w:cstheme="minorHAnsi"/>
          <w:sz w:val="22"/>
        </w:rPr>
        <w:t xml:space="preserve"> </w:t>
      </w:r>
      <w:r w:rsidR="00B162EB">
        <w:rPr>
          <w:rFonts w:cstheme="minorHAnsi"/>
          <w:sz w:val="22"/>
        </w:rPr>
        <w:t xml:space="preserve">investigative </w:t>
      </w:r>
      <w:r w:rsidRPr="00CE2B66">
        <w:rPr>
          <w:rFonts w:cstheme="minorHAnsi"/>
          <w:sz w:val="22"/>
        </w:rPr>
        <w:t>approach</w:t>
      </w:r>
      <w:r w:rsidR="00885E32">
        <w:rPr>
          <w:rFonts w:cstheme="minorHAnsi"/>
          <w:sz w:val="22"/>
        </w:rPr>
        <w:t xml:space="preserve">, </w:t>
      </w:r>
      <w:r w:rsidR="00885E32" w:rsidRPr="00CE2B66">
        <w:rPr>
          <w:rFonts w:cstheme="minorHAnsi"/>
          <w:sz w:val="22"/>
        </w:rPr>
        <w:t>the evidence</w:t>
      </w:r>
      <w:r w:rsidR="00885E32">
        <w:rPr>
          <w:rFonts w:cstheme="minorHAnsi"/>
          <w:sz w:val="22"/>
        </w:rPr>
        <w:t xml:space="preserve"> </w:t>
      </w:r>
      <w:r w:rsidR="00885E32" w:rsidRPr="00CE2B66">
        <w:rPr>
          <w:rFonts w:cstheme="minorHAnsi"/>
          <w:sz w:val="22"/>
        </w:rPr>
        <w:t>base and</w:t>
      </w:r>
      <w:r w:rsidRPr="00CE2B66">
        <w:rPr>
          <w:rFonts w:cstheme="minorHAnsi"/>
          <w:sz w:val="22"/>
        </w:rPr>
        <w:t xml:space="preserve"> </w:t>
      </w:r>
      <w:r w:rsidR="00885E32">
        <w:rPr>
          <w:rFonts w:cstheme="minorHAnsi"/>
          <w:sz w:val="22"/>
        </w:rPr>
        <w:t xml:space="preserve">its reasoning </w:t>
      </w:r>
      <w:r w:rsidRPr="00CE2B66">
        <w:rPr>
          <w:rFonts w:cstheme="minorHAnsi"/>
          <w:sz w:val="22"/>
        </w:rPr>
        <w:t xml:space="preserve">to stakeholders </w:t>
      </w:r>
      <w:r w:rsidR="00885E32">
        <w:rPr>
          <w:rFonts w:cstheme="minorHAnsi"/>
          <w:sz w:val="22"/>
        </w:rPr>
        <w:t>in</w:t>
      </w:r>
      <w:r w:rsidR="00885E32" w:rsidRPr="00CE2B66">
        <w:rPr>
          <w:rFonts w:cstheme="minorHAnsi"/>
          <w:sz w:val="22"/>
        </w:rPr>
        <w:t xml:space="preserve"> </w:t>
      </w:r>
      <w:r w:rsidRPr="00CE2B66">
        <w:rPr>
          <w:rFonts w:cstheme="minorHAnsi"/>
          <w:sz w:val="22"/>
        </w:rPr>
        <w:t>its inve</w:t>
      </w:r>
      <w:r w:rsidR="00CE3B0E">
        <w:rPr>
          <w:rFonts w:cstheme="minorHAnsi"/>
          <w:sz w:val="22"/>
        </w:rPr>
        <w:t xml:space="preserve">stigation reports. In </w:t>
      </w:r>
      <w:r w:rsidR="00483A98">
        <w:rPr>
          <w:rFonts w:cstheme="minorHAnsi"/>
          <w:sz w:val="22"/>
        </w:rPr>
        <w:t>2019-20</w:t>
      </w:r>
      <w:r w:rsidR="00885E32">
        <w:rPr>
          <w:rFonts w:cstheme="minorHAnsi"/>
          <w:sz w:val="22"/>
        </w:rPr>
        <w:t>,</w:t>
      </w:r>
      <w:r w:rsidR="00CE3B0E">
        <w:rPr>
          <w:rFonts w:cstheme="minorHAnsi"/>
          <w:sz w:val="22"/>
        </w:rPr>
        <w:t xml:space="preserve"> </w:t>
      </w:r>
      <w:r w:rsidR="00483A98">
        <w:rPr>
          <w:rFonts w:cstheme="minorHAnsi"/>
          <w:sz w:val="22"/>
        </w:rPr>
        <w:t xml:space="preserve">170 </w:t>
      </w:r>
      <w:r w:rsidR="00CE3B0E">
        <w:rPr>
          <w:rFonts w:cstheme="minorHAnsi"/>
          <w:sz w:val="22"/>
        </w:rPr>
        <w:t>reports</w:t>
      </w:r>
      <w:r w:rsidR="00F50369">
        <w:rPr>
          <w:rFonts w:cstheme="minorHAnsi"/>
          <w:sz w:val="22"/>
        </w:rPr>
        <w:t xml:space="preserve"> </w:t>
      </w:r>
      <w:r w:rsidR="00885E32">
        <w:rPr>
          <w:rFonts w:cstheme="minorHAnsi"/>
          <w:sz w:val="22"/>
        </w:rPr>
        <w:t xml:space="preserve">were </w:t>
      </w:r>
      <w:r w:rsidR="00F50369">
        <w:rPr>
          <w:rFonts w:cstheme="minorHAnsi"/>
          <w:sz w:val="22"/>
        </w:rPr>
        <w:t xml:space="preserve">published </w:t>
      </w:r>
      <w:r w:rsidRPr="00CE2B66">
        <w:rPr>
          <w:rFonts w:cstheme="minorHAnsi"/>
          <w:sz w:val="22"/>
        </w:rPr>
        <w:t>on the Commission’s website</w:t>
      </w:r>
      <w:r w:rsidR="00483A98">
        <w:rPr>
          <w:rFonts w:cstheme="minorHAnsi"/>
          <w:sz w:val="22"/>
        </w:rPr>
        <w:t xml:space="preserve">. These reports resulted in over 340 submissions. </w:t>
      </w:r>
      <w:r w:rsidRPr="00CE2B66">
        <w:rPr>
          <w:rFonts w:cstheme="minorHAnsi"/>
          <w:sz w:val="22"/>
        </w:rPr>
        <w:t>The submissions received from stakeholders in relation to reports open new lines of inquiry, test the evidence</w:t>
      </w:r>
      <w:r w:rsidR="00885E32">
        <w:rPr>
          <w:rFonts w:cstheme="minorHAnsi"/>
          <w:sz w:val="22"/>
        </w:rPr>
        <w:t xml:space="preserve"> used,</w:t>
      </w:r>
      <w:r w:rsidR="00885E32" w:rsidRPr="00CE2B66">
        <w:rPr>
          <w:rFonts w:cstheme="minorHAnsi"/>
          <w:sz w:val="22"/>
        </w:rPr>
        <w:t xml:space="preserve"> </w:t>
      </w:r>
      <w:r w:rsidRPr="00CE2B66">
        <w:rPr>
          <w:rFonts w:cstheme="minorHAnsi"/>
          <w:sz w:val="22"/>
        </w:rPr>
        <w:t>and challenge the legal reasoning behind a particular decision taken, creating a high level of openness and transparency in Australia’s anti-dumping system.</w:t>
      </w:r>
    </w:p>
    <w:p w14:paraId="7BB799F8" w14:textId="3A9107F7" w:rsidR="00AC0195" w:rsidRPr="00CE2B66" w:rsidRDefault="00AC0195" w:rsidP="00CE3B0E">
      <w:pPr>
        <w:spacing w:before="120" w:line="240" w:lineRule="auto"/>
        <w:rPr>
          <w:rFonts w:cstheme="minorHAnsi"/>
          <w:b/>
          <w:bCs/>
          <w:iCs/>
          <w:sz w:val="22"/>
        </w:rPr>
      </w:pPr>
      <w:r w:rsidRPr="00CE2B66">
        <w:rPr>
          <w:rFonts w:cstheme="minorHAnsi"/>
          <w:b/>
          <w:bCs/>
          <w:iCs/>
          <w:sz w:val="22"/>
        </w:rPr>
        <w:t>Measure: The Commission’s performance measurement results are published in a timely manner to ensure accountability to the public</w:t>
      </w:r>
      <w:r w:rsidR="00885E32">
        <w:rPr>
          <w:rFonts w:cstheme="minorHAnsi"/>
          <w:b/>
          <w:bCs/>
          <w:iCs/>
          <w:sz w:val="22"/>
        </w:rPr>
        <w:t>.</w:t>
      </w:r>
    </w:p>
    <w:p w14:paraId="7BB799F9" w14:textId="77777777" w:rsidR="00AC0195" w:rsidRPr="00CE2B66" w:rsidRDefault="00AC0195" w:rsidP="00CE3B0E">
      <w:pPr>
        <w:pStyle w:val="ListParagraph"/>
        <w:numPr>
          <w:ilvl w:val="0"/>
          <w:numId w:val="22"/>
        </w:numPr>
        <w:spacing w:before="120" w:after="120" w:line="240" w:lineRule="auto"/>
        <w:ind w:left="567"/>
        <w:rPr>
          <w:rFonts w:cstheme="minorHAnsi"/>
          <w:i/>
        </w:rPr>
      </w:pPr>
      <w:r w:rsidRPr="00CE2B66">
        <w:rPr>
          <w:rFonts w:cstheme="minorHAnsi"/>
          <w:i/>
        </w:rPr>
        <w:t>Metric: Publication of a regular status report that is accessible and useful to a variety of audiences.</w:t>
      </w:r>
    </w:p>
    <w:p w14:paraId="114DD1D8" w14:textId="58518016" w:rsidR="00C9016B" w:rsidRPr="002F16FA" w:rsidRDefault="00AC0195" w:rsidP="009730AF">
      <w:pPr>
        <w:spacing w:after="0" w:line="240" w:lineRule="auto"/>
        <w:rPr>
          <w:color w:val="1F497D"/>
          <w:sz w:val="22"/>
        </w:rPr>
      </w:pPr>
      <w:r w:rsidRPr="002F16FA">
        <w:rPr>
          <w:rFonts w:cstheme="minorHAnsi"/>
          <w:sz w:val="22"/>
        </w:rPr>
        <w:t xml:space="preserve">The Commission publishes a monthly status report on </w:t>
      </w:r>
      <w:r w:rsidR="00885E32" w:rsidRPr="002F16FA">
        <w:rPr>
          <w:rFonts w:cstheme="minorHAnsi"/>
          <w:sz w:val="22"/>
        </w:rPr>
        <w:t xml:space="preserve">its </w:t>
      </w:r>
      <w:r w:rsidRPr="002F16FA">
        <w:rPr>
          <w:rFonts w:cstheme="minorHAnsi"/>
          <w:sz w:val="22"/>
        </w:rPr>
        <w:t xml:space="preserve">website to give stakeholders a holistic picture of the Commission’s overall case load and the commodities, companies and industries involved. The average time taken from the end of the month to publish a monthly status report was </w:t>
      </w:r>
      <w:r w:rsidR="005352AC" w:rsidRPr="002F16FA">
        <w:rPr>
          <w:rFonts w:cstheme="minorHAnsi"/>
          <w:sz w:val="22"/>
        </w:rPr>
        <w:t>1</w:t>
      </w:r>
      <w:r w:rsidR="00F95866" w:rsidRPr="002F16FA">
        <w:rPr>
          <w:rFonts w:cstheme="minorHAnsi"/>
          <w:sz w:val="22"/>
        </w:rPr>
        <w:t>1</w:t>
      </w:r>
      <w:r w:rsidR="00156BB0" w:rsidRPr="002F16FA">
        <w:rPr>
          <w:rFonts w:cstheme="minorHAnsi"/>
          <w:sz w:val="22"/>
        </w:rPr>
        <w:t>.5</w:t>
      </w:r>
      <w:r w:rsidR="0017284E" w:rsidRPr="002F16FA">
        <w:rPr>
          <w:rFonts w:cstheme="minorHAnsi"/>
          <w:sz w:val="22"/>
        </w:rPr>
        <w:t xml:space="preserve"> days</w:t>
      </w:r>
      <w:r w:rsidR="00885E32" w:rsidRPr="002F16FA">
        <w:rPr>
          <w:rFonts w:cstheme="minorHAnsi"/>
          <w:sz w:val="22"/>
        </w:rPr>
        <w:t xml:space="preserve"> in </w:t>
      </w:r>
      <w:r w:rsidR="00156BB0" w:rsidRPr="002F16FA">
        <w:rPr>
          <w:rFonts w:cstheme="minorHAnsi"/>
          <w:sz w:val="22"/>
        </w:rPr>
        <w:t>201</w:t>
      </w:r>
      <w:r w:rsidR="00F95866" w:rsidRPr="002F16FA">
        <w:rPr>
          <w:rFonts w:cstheme="minorHAnsi"/>
          <w:sz w:val="22"/>
        </w:rPr>
        <w:t>9</w:t>
      </w:r>
      <w:r w:rsidR="00156BB0" w:rsidRPr="002F16FA">
        <w:rPr>
          <w:rFonts w:cstheme="minorHAnsi"/>
          <w:sz w:val="22"/>
        </w:rPr>
        <w:t>-20</w:t>
      </w:r>
      <w:r w:rsidR="0017284E" w:rsidRPr="002F16FA">
        <w:rPr>
          <w:rFonts w:cstheme="minorHAnsi"/>
          <w:sz w:val="22"/>
        </w:rPr>
        <w:t xml:space="preserve">, </w:t>
      </w:r>
      <w:r w:rsidR="00156BB0" w:rsidRPr="002F16FA">
        <w:rPr>
          <w:rFonts w:cstheme="minorHAnsi"/>
          <w:sz w:val="22"/>
        </w:rPr>
        <w:t>which was consistent with the previous year</w:t>
      </w:r>
      <w:r w:rsidR="00F95866" w:rsidRPr="002F16FA">
        <w:rPr>
          <w:rFonts w:cstheme="minorHAnsi"/>
          <w:sz w:val="22"/>
        </w:rPr>
        <w:t>. In addition to c</w:t>
      </w:r>
      <w:r w:rsidRPr="002F16FA">
        <w:rPr>
          <w:rFonts w:cstheme="minorHAnsi"/>
          <w:sz w:val="22"/>
        </w:rPr>
        <w:t xml:space="preserve">omplementing this monthly status report </w:t>
      </w:r>
      <w:r w:rsidR="00F95866" w:rsidRPr="002F16FA">
        <w:rPr>
          <w:rFonts w:cstheme="minorHAnsi"/>
          <w:sz w:val="22"/>
        </w:rPr>
        <w:t xml:space="preserve">the Commission also produced monthly updates to the </w:t>
      </w:r>
      <w:r w:rsidR="00EB214B" w:rsidRPr="002F16FA">
        <w:rPr>
          <w:rFonts w:cstheme="minorHAnsi"/>
          <w:sz w:val="22"/>
        </w:rPr>
        <w:t>WTO</w:t>
      </w:r>
      <w:r w:rsidR="00F95866" w:rsidRPr="002F16FA">
        <w:rPr>
          <w:rFonts w:cstheme="minorHAnsi"/>
          <w:sz w:val="22"/>
        </w:rPr>
        <w:t xml:space="preserve"> along with </w:t>
      </w:r>
      <w:r w:rsidRPr="002F16FA">
        <w:rPr>
          <w:rFonts w:cstheme="minorHAnsi"/>
          <w:sz w:val="22"/>
        </w:rPr>
        <w:t xml:space="preserve">is the publication of </w:t>
      </w:r>
      <w:r w:rsidR="00111D36">
        <w:rPr>
          <w:rFonts w:cstheme="minorHAnsi"/>
          <w:sz w:val="22"/>
        </w:rPr>
        <w:t>semi</w:t>
      </w:r>
      <w:r w:rsidRPr="002F16FA">
        <w:rPr>
          <w:rFonts w:cstheme="minorHAnsi"/>
          <w:sz w:val="22"/>
        </w:rPr>
        <w:t>-annual case report</w:t>
      </w:r>
      <w:r w:rsidR="00111D36">
        <w:rPr>
          <w:rFonts w:cstheme="minorHAnsi"/>
          <w:sz w:val="22"/>
        </w:rPr>
        <w:t>s</w:t>
      </w:r>
      <w:r w:rsidRPr="002F16FA">
        <w:rPr>
          <w:rFonts w:cstheme="minorHAnsi"/>
          <w:sz w:val="22"/>
        </w:rPr>
        <w:t xml:space="preserve">. </w:t>
      </w:r>
      <w:r w:rsidR="00111D36">
        <w:rPr>
          <w:rFonts w:cstheme="minorHAnsi"/>
          <w:sz w:val="22"/>
        </w:rPr>
        <w:t xml:space="preserve">Australia’s semi-annual </w:t>
      </w:r>
      <w:r w:rsidRPr="002F16FA">
        <w:rPr>
          <w:rFonts w:cstheme="minorHAnsi"/>
          <w:sz w:val="22"/>
        </w:rPr>
        <w:t>report</w:t>
      </w:r>
      <w:r w:rsidR="003E37F2">
        <w:rPr>
          <w:rFonts w:cstheme="minorHAnsi"/>
          <w:sz w:val="22"/>
        </w:rPr>
        <w:t>s</w:t>
      </w:r>
      <w:r w:rsidRPr="002F16FA">
        <w:rPr>
          <w:rFonts w:cstheme="minorHAnsi"/>
          <w:sz w:val="22"/>
        </w:rPr>
        <w:t xml:space="preserve"> </w:t>
      </w:r>
      <w:r w:rsidR="003E37F2">
        <w:rPr>
          <w:rFonts w:cstheme="minorHAnsi"/>
          <w:sz w:val="22"/>
        </w:rPr>
        <w:t>are</w:t>
      </w:r>
      <w:r w:rsidRPr="002F16FA">
        <w:rPr>
          <w:rFonts w:cstheme="minorHAnsi"/>
          <w:sz w:val="22"/>
        </w:rPr>
        <w:t xml:space="preserve"> public</w:t>
      </w:r>
      <w:r w:rsidR="00111D36">
        <w:rPr>
          <w:rFonts w:cstheme="minorHAnsi"/>
          <w:sz w:val="22"/>
        </w:rPr>
        <w:t xml:space="preserve">ly available on the </w:t>
      </w:r>
      <w:hyperlink r:id="rId20" w:history="1">
        <w:r w:rsidR="00111D36" w:rsidRPr="00111D36">
          <w:rPr>
            <w:rStyle w:val="Hyperlink"/>
            <w:rFonts w:cstheme="minorHAnsi"/>
            <w:sz w:val="22"/>
          </w:rPr>
          <w:t>WTO website</w:t>
        </w:r>
      </w:hyperlink>
      <w:r w:rsidR="00111D36">
        <w:rPr>
          <w:rFonts w:cstheme="minorHAnsi"/>
          <w:sz w:val="22"/>
        </w:rPr>
        <w:t xml:space="preserve"> under notifications.</w:t>
      </w:r>
    </w:p>
    <w:p w14:paraId="0D12C38B" w14:textId="77777777" w:rsidR="00F95866" w:rsidRPr="002F16FA" w:rsidRDefault="00F95866" w:rsidP="009730AF">
      <w:pPr>
        <w:spacing w:after="0" w:line="240" w:lineRule="auto"/>
        <w:rPr>
          <w:rFonts w:cstheme="minorHAnsi"/>
          <w:sz w:val="22"/>
        </w:rPr>
      </w:pPr>
    </w:p>
    <w:p w14:paraId="21A8E664" w14:textId="5CD9AFAE" w:rsidR="00C9016B" w:rsidRPr="002F16FA" w:rsidRDefault="00C9016B" w:rsidP="00CE3B0E">
      <w:pPr>
        <w:spacing w:after="0" w:line="240" w:lineRule="auto"/>
        <w:rPr>
          <w:rFonts w:cstheme="minorHAnsi"/>
          <w:sz w:val="22"/>
        </w:rPr>
      </w:pPr>
      <w:r w:rsidRPr="002F16FA">
        <w:rPr>
          <w:rFonts w:cstheme="minorHAnsi"/>
          <w:sz w:val="22"/>
        </w:rPr>
        <w:t xml:space="preserve">The Commission has also </w:t>
      </w:r>
      <w:r w:rsidR="00147D51" w:rsidRPr="002F16FA">
        <w:rPr>
          <w:rFonts w:cstheme="minorHAnsi"/>
          <w:sz w:val="22"/>
        </w:rPr>
        <w:t xml:space="preserve">developed </w:t>
      </w:r>
      <w:r w:rsidRPr="002F16FA">
        <w:rPr>
          <w:rFonts w:cstheme="minorHAnsi"/>
          <w:sz w:val="22"/>
        </w:rPr>
        <w:t xml:space="preserve">a set of performance indicators for </w:t>
      </w:r>
      <w:r w:rsidR="00147D51" w:rsidRPr="002F16FA">
        <w:rPr>
          <w:rFonts w:cstheme="minorHAnsi"/>
          <w:sz w:val="22"/>
        </w:rPr>
        <w:t>i</w:t>
      </w:r>
      <w:r w:rsidRPr="002F16FA">
        <w:rPr>
          <w:rFonts w:cstheme="minorHAnsi"/>
          <w:sz w:val="22"/>
        </w:rPr>
        <w:t xml:space="preserve">nvestigations, </w:t>
      </w:r>
      <w:r w:rsidR="00147D51" w:rsidRPr="002F16FA">
        <w:rPr>
          <w:rFonts w:cstheme="minorHAnsi"/>
          <w:sz w:val="22"/>
        </w:rPr>
        <w:t>r</w:t>
      </w:r>
      <w:r w:rsidRPr="002F16FA">
        <w:rPr>
          <w:rFonts w:cstheme="minorHAnsi"/>
          <w:sz w:val="22"/>
        </w:rPr>
        <w:t xml:space="preserve">eviews and </w:t>
      </w:r>
      <w:r w:rsidR="00147D51" w:rsidRPr="002F16FA">
        <w:rPr>
          <w:rFonts w:cstheme="minorHAnsi"/>
          <w:sz w:val="22"/>
        </w:rPr>
        <w:t>r</w:t>
      </w:r>
      <w:r w:rsidRPr="002F16FA">
        <w:rPr>
          <w:rFonts w:cstheme="minorHAnsi"/>
          <w:sz w:val="22"/>
        </w:rPr>
        <w:t>evocations,</w:t>
      </w:r>
      <w:r w:rsidR="00147D51" w:rsidRPr="002F16FA">
        <w:rPr>
          <w:rFonts w:cstheme="minorHAnsi"/>
          <w:sz w:val="22"/>
        </w:rPr>
        <w:t xml:space="preserve"> and</w:t>
      </w:r>
      <w:r w:rsidRPr="002F16FA">
        <w:rPr>
          <w:rFonts w:cstheme="minorHAnsi"/>
          <w:sz w:val="22"/>
        </w:rPr>
        <w:t xml:space="preserve"> </w:t>
      </w:r>
      <w:r w:rsidR="00147D51" w:rsidRPr="002F16FA">
        <w:rPr>
          <w:rFonts w:cstheme="minorHAnsi"/>
          <w:sz w:val="22"/>
        </w:rPr>
        <w:t>c</w:t>
      </w:r>
      <w:r w:rsidRPr="002F16FA">
        <w:rPr>
          <w:rFonts w:cstheme="minorHAnsi"/>
          <w:sz w:val="22"/>
        </w:rPr>
        <w:t xml:space="preserve">ontinuation and </w:t>
      </w:r>
      <w:r w:rsidR="00147D51" w:rsidRPr="002F16FA">
        <w:rPr>
          <w:rFonts w:cstheme="minorHAnsi"/>
          <w:sz w:val="22"/>
        </w:rPr>
        <w:t>e</w:t>
      </w:r>
      <w:r w:rsidRPr="002F16FA">
        <w:rPr>
          <w:rFonts w:cstheme="minorHAnsi"/>
          <w:sz w:val="22"/>
        </w:rPr>
        <w:t xml:space="preserve">xemption </w:t>
      </w:r>
      <w:r w:rsidR="00147D51" w:rsidRPr="002F16FA">
        <w:rPr>
          <w:rFonts w:cstheme="minorHAnsi"/>
          <w:sz w:val="22"/>
        </w:rPr>
        <w:t>i</w:t>
      </w:r>
      <w:r w:rsidRPr="002F16FA">
        <w:rPr>
          <w:rFonts w:cstheme="minorHAnsi"/>
          <w:sz w:val="22"/>
        </w:rPr>
        <w:t>nquiries that allow the Commission to monitor the achievement of objectives, support operational improvement</w:t>
      </w:r>
      <w:r w:rsidR="00147D51" w:rsidRPr="002F16FA">
        <w:rPr>
          <w:rFonts w:cstheme="minorHAnsi"/>
          <w:sz w:val="22"/>
        </w:rPr>
        <w:t>s</w:t>
      </w:r>
      <w:r w:rsidRPr="002F16FA">
        <w:rPr>
          <w:rFonts w:cstheme="minorHAnsi"/>
          <w:sz w:val="22"/>
        </w:rPr>
        <w:t xml:space="preserve"> and </w:t>
      </w:r>
      <w:r w:rsidR="00147D51" w:rsidRPr="002F16FA">
        <w:rPr>
          <w:rFonts w:cstheme="minorHAnsi"/>
          <w:sz w:val="22"/>
        </w:rPr>
        <w:t xml:space="preserve">increase </w:t>
      </w:r>
      <w:r w:rsidRPr="002F16FA">
        <w:rPr>
          <w:rFonts w:cstheme="minorHAnsi"/>
          <w:sz w:val="22"/>
        </w:rPr>
        <w:t>transparency. These performance indicators are published quarterly</w:t>
      </w:r>
      <w:r w:rsidR="00F95866" w:rsidRPr="002F16FA">
        <w:rPr>
          <w:rFonts w:cstheme="minorHAnsi"/>
          <w:sz w:val="22"/>
        </w:rPr>
        <w:t xml:space="preserve"> on the Commission’s website</w:t>
      </w:r>
      <w:r w:rsidR="00147D51" w:rsidRPr="002F16FA">
        <w:rPr>
          <w:rFonts w:cstheme="minorHAnsi"/>
          <w:sz w:val="22"/>
        </w:rPr>
        <w:t>.</w:t>
      </w:r>
      <w:r w:rsidRPr="002F16FA">
        <w:rPr>
          <w:rFonts w:cstheme="minorHAnsi"/>
          <w:sz w:val="22"/>
        </w:rPr>
        <w:t xml:space="preserve"> </w:t>
      </w:r>
      <w:r w:rsidR="00147D51" w:rsidRPr="002F16FA">
        <w:rPr>
          <w:rFonts w:cstheme="minorHAnsi"/>
          <w:sz w:val="22"/>
        </w:rPr>
        <w:t xml:space="preserve">The Commission has invited comments on the value of these indicators from </w:t>
      </w:r>
      <w:r w:rsidRPr="002F16FA">
        <w:rPr>
          <w:rFonts w:cstheme="minorHAnsi"/>
          <w:sz w:val="22"/>
        </w:rPr>
        <w:t>ITRF members</w:t>
      </w:r>
      <w:r w:rsidR="00147D51" w:rsidRPr="002F16FA">
        <w:rPr>
          <w:rFonts w:cstheme="minorHAnsi"/>
          <w:sz w:val="22"/>
        </w:rPr>
        <w:t>; responses to date have been positive</w:t>
      </w:r>
      <w:r w:rsidRPr="002F16FA">
        <w:rPr>
          <w:rFonts w:cstheme="minorHAnsi"/>
          <w:sz w:val="22"/>
        </w:rPr>
        <w:t>.</w:t>
      </w:r>
    </w:p>
    <w:p w14:paraId="7BB799FB" w14:textId="77777777" w:rsidR="00AC0195" w:rsidRPr="00CE2B66" w:rsidRDefault="00AC0195" w:rsidP="00CE3B0E">
      <w:pPr>
        <w:spacing w:after="0" w:line="240" w:lineRule="auto"/>
        <w:rPr>
          <w:rFonts w:cstheme="minorHAnsi"/>
          <w:b/>
          <w:color w:val="398E98" w:themeColor="accent2" w:themeShade="BF"/>
          <w:sz w:val="22"/>
        </w:rPr>
      </w:pPr>
    </w:p>
    <w:p w14:paraId="7BB799FC" w14:textId="77777777" w:rsidR="00AC0195" w:rsidRPr="009914D0" w:rsidRDefault="00AC0195" w:rsidP="00CE3B0E">
      <w:pPr>
        <w:spacing w:line="240" w:lineRule="auto"/>
        <w:rPr>
          <w:b/>
          <w:color w:val="2D2D2E"/>
          <w:sz w:val="22"/>
        </w:rPr>
      </w:pPr>
      <w:r w:rsidRPr="009914D0">
        <w:rPr>
          <w:b/>
          <w:color w:val="2D2D2E"/>
          <w:sz w:val="22"/>
        </w:rPr>
        <w:t>Discussion KPI 5</w:t>
      </w:r>
    </w:p>
    <w:p w14:paraId="7BB799FD" w14:textId="5A5845E1" w:rsidR="00AC0195" w:rsidRPr="00CE2B66" w:rsidRDefault="00AC0195" w:rsidP="00CE3B0E">
      <w:pPr>
        <w:spacing w:after="0" w:line="240" w:lineRule="auto"/>
        <w:rPr>
          <w:rFonts w:cstheme="minorHAnsi"/>
          <w:sz w:val="22"/>
        </w:rPr>
      </w:pPr>
      <w:r w:rsidRPr="00CE2B66">
        <w:rPr>
          <w:rFonts w:cstheme="minorHAnsi"/>
          <w:sz w:val="22"/>
        </w:rPr>
        <w:t xml:space="preserve">The Commission </w:t>
      </w:r>
      <w:r w:rsidR="001F0B12">
        <w:rPr>
          <w:rFonts w:cstheme="minorHAnsi"/>
          <w:sz w:val="22"/>
        </w:rPr>
        <w:t>is satisfied with its performance</w:t>
      </w:r>
      <w:r w:rsidRPr="00CE2B66">
        <w:rPr>
          <w:rFonts w:cstheme="minorHAnsi"/>
          <w:sz w:val="22"/>
        </w:rPr>
        <w:t xml:space="preserve"> against KPI 5 and </w:t>
      </w:r>
      <w:r w:rsidR="00D94C11">
        <w:rPr>
          <w:rFonts w:cstheme="minorHAnsi"/>
          <w:sz w:val="22"/>
        </w:rPr>
        <w:t xml:space="preserve">that </w:t>
      </w:r>
      <w:r w:rsidRPr="00CE2B66">
        <w:rPr>
          <w:rFonts w:cstheme="minorHAnsi"/>
          <w:sz w:val="22"/>
        </w:rPr>
        <w:t xml:space="preserve">the metrics are a good indicator of the transparency of the anti-dumping system. </w:t>
      </w:r>
      <w:r w:rsidR="00D94C11">
        <w:rPr>
          <w:rFonts w:cstheme="minorHAnsi"/>
          <w:sz w:val="22"/>
        </w:rPr>
        <w:t xml:space="preserve">The Commission has responded to </w:t>
      </w:r>
      <w:r w:rsidR="00F10376">
        <w:rPr>
          <w:rFonts w:cstheme="minorHAnsi"/>
          <w:sz w:val="22"/>
        </w:rPr>
        <w:t>feedback from stakeholders</w:t>
      </w:r>
      <w:r w:rsidR="00D94C11">
        <w:rPr>
          <w:rFonts w:cstheme="minorHAnsi"/>
          <w:sz w:val="22"/>
        </w:rPr>
        <w:t xml:space="preserve"> by developing the quarterly performance indicators and</w:t>
      </w:r>
      <w:r w:rsidR="00F10376">
        <w:rPr>
          <w:rFonts w:cstheme="minorHAnsi"/>
          <w:sz w:val="22"/>
        </w:rPr>
        <w:t xml:space="preserve"> publishing the </w:t>
      </w:r>
      <w:r w:rsidR="00D94C11">
        <w:rPr>
          <w:rFonts w:cstheme="minorHAnsi"/>
          <w:sz w:val="22"/>
        </w:rPr>
        <w:t xml:space="preserve">monthly </w:t>
      </w:r>
      <w:r w:rsidR="00F10376">
        <w:rPr>
          <w:rFonts w:cstheme="minorHAnsi"/>
          <w:sz w:val="22"/>
        </w:rPr>
        <w:t>status report</w:t>
      </w:r>
      <w:r w:rsidR="00D94C11">
        <w:rPr>
          <w:rFonts w:cstheme="minorHAnsi"/>
          <w:sz w:val="22"/>
        </w:rPr>
        <w:t xml:space="preserve"> more quickly.</w:t>
      </w:r>
      <w:r w:rsidR="00F10376">
        <w:rPr>
          <w:rFonts w:cstheme="minorHAnsi"/>
          <w:sz w:val="22"/>
        </w:rPr>
        <w:t xml:space="preserve"> </w:t>
      </w:r>
      <w:r w:rsidR="00D94C11">
        <w:rPr>
          <w:rFonts w:cstheme="minorHAnsi"/>
          <w:sz w:val="22"/>
        </w:rPr>
        <w:t xml:space="preserve">The Commission </w:t>
      </w:r>
      <w:r w:rsidR="00CE3B0E">
        <w:rPr>
          <w:rFonts w:cstheme="minorHAnsi"/>
          <w:sz w:val="22"/>
        </w:rPr>
        <w:t xml:space="preserve">will continue to make improvements in </w:t>
      </w:r>
      <w:r w:rsidR="009E6A83">
        <w:rPr>
          <w:rFonts w:cstheme="minorHAnsi"/>
          <w:sz w:val="22"/>
        </w:rPr>
        <w:t>2019-20</w:t>
      </w:r>
      <w:r w:rsidR="00CE3B0E">
        <w:rPr>
          <w:rFonts w:cstheme="minorHAnsi"/>
          <w:sz w:val="22"/>
        </w:rPr>
        <w:t>.</w:t>
      </w:r>
    </w:p>
    <w:p w14:paraId="7BB799FE" w14:textId="064F9621" w:rsidR="00923D75" w:rsidRDefault="00923D75">
      <w:pPr>
        <w:spacing w:after="200"/>
        <w:rPr>
          <w:rFonts w:cstheme="minorHAnsi"/>
          <w:b/>
          <w:color w:val="1A495D" w:themeColor="accent1" w:themeShade="80"/>
          <w:sz w:val="22"/>
        </w:rPr>
      </w:pPr>
    </w:p>
    <w:p w14:paraId="7BB799FF" w14:textId="65242244" w:rsidR="00AC0195" w:rsidRPr="009914D0" w:rsidRDefault="00AC0195" w:rsidP="00CE3B0E">
      <w:pPr>
        <w:spacing w:line="240" w:lineRule="auto"/>
        <w:rPr>
          <w:b/>
          <w:color w:val="2D2D2E"/>
          <w:sz w:val="22"/>
        </w:rPr>
      </w:pPr>
      <w:r w:rsidRPr="009914D0">
        <w:rPr>
          <w:b/>
          <w:color w:val="2D2D2E"/>
          <w:sz w:val="22"/>
        </w:rPr>
        <w:t xml:space="preserve">Stakeholder Validation </w:t>
      </w:r>
    </w:p>
    <w:p w14:paraId="7BB79A00" w14:textId="5DB7FDB6" w:rsidR="00AC0195" w:rsidRPr="001F0B12" w:rsidRDefault="001F0B12" w:rsidP="00CE3B0E">
      <w:pPr>
        <w:spacing w:after="0" w:line="240" w:lineRule="auto"/>
        <w:contextualSpacing/>
        <w:rPr>
          <w:rFonts w:cstheme="minorHAnsi"/>
          <w:sz w:val="22"/>
        </w:rPr>
      </w:pPr>
      <w:r w:rsidRPr="0043033C">
        <w:rPr>
          <w:rFonts w:cstheme="minorHAnsi"/>
          <w:sz w:val="22"/>
        </w:rPr>
        <w:t xml:space="preserve">Feedback from stakeholders on this KPI was </w:t>
      </w:r>
      <w:r w:rsidR="0043033C" w:rsidRPr="0043033C">
        <w:rPr>
          <w:rFonts w:cstheme="minorHAnsi"/>
          <w:sz w:val="22"/>
        </w:rPr>
        <w:t xml:space="preserve">generally positive regarding information available from the Commission. </w:t>
      </w:r>
    </w:p>
    <w:p w14:paraId="2067AAD6" w14:textId="77777777" w:rsidR="003E3E63" w:rsidRDefault="003E3E63" w:rsidP="00CE3B0E">
      <w:pPr>
        <w:spacing w:after="0" w:line="240" w:lineRule="auto"/>
        <w:contextualSpacing/>
        <w:rPr>
          <w:rFonts w:cstheme="minorHAnsi"/>
          <w:sz w:val="22"/>
        </w:rPr>
      </w:pPr>
    </w:p>
    <w:p w14:paraId="397A0BD0" w14:textId="77777777" w:rsidR="00AB0227" w:rsidRPr="001F0B12" w:rsidRDefault="00AB0227" w:rsidP="00CE3B0E">
      <w:pPr>
        <w:spacing w:after="0" w:line="240" w:lineRule="auto"/>
        <w:contextualSpacing/>
        <w:rPr>
          <w:rFonts w:cstheme="minorHAnsi"/>
          <w:sz w:val="22"/>
        </w:rPr>
      </w:pPr>
    </w:p>
    <w:p w14:paraId="7BB79A02" w14:textId="49605DBB" w:rsidR="00AC0195" w:rsidRPr="00CE3B0E" w:rsidRDefault="00AC0195" w:rsidP="009914D0">
      <w:pPr>
        <w:pStyle w:val="Heading2"/>
        <w:numPr>
          <w:ilvl w:val="0"/>
          <w:numId w:val="0"/>
        </w:numPr>
        <w:ind w:left="578" w:hanging="578"/>
      </w:pPr>
      <w:bookmarkStart w:id="33" w:name="_Toc49953506"/>
      <w:bookmarkStart w:id="34" w:name="_Toc52456005"/>
      <w:r w:rsidRPr="0075369F">
        <w:t>KPI 6 - Regulators actively contribute to the continuous improvement of regulatory frameworks</w:t>
      </w:r>
      <w:bookmarkEnd w:id="33"/>
      <w:bookmarkEnd w:id="34"/>
    </w:p>
    <w:p w14:paraId="7BB79A03" w14:textId="77777777" w:rsidR="00AC0195" w:rsidRPr="009914D0" w:rsidRDefault="00AC0195" w:rsidP="00CE3B0E">
      <w:pPr>
        <w:spacing w:line="240" w:lineRule="auto"/>
        <w:rPr>
          <w:b/>
          <w:color w:val="2D2D2E"/>
          <w:sz w:val="22"/>
        </w:rPr>
      </w:pPr>
      <w:r w:rsidRPr="009914D0">
        <w:rPr>
          <w:b/>
          <w:color w:val="2D2D2E"/>
          <w:sz w:val="22"/>
        </w:rPr>
        <w:t>Summary of achievement</w:t>
      </w:r>
    </w:p>
    <w:p w14:paraId="7BB79A04" w14:textId="6DABE0D0" w:rsidR="00AC0195" w:rsidRPr="00CE2B66" w:rsidRDefault="008A6517" w:rsidP="00CE3B0E">
      <w:pPr>
        <w:spacing w:after="0" w:line="240" w:lineRule="auto"/>
        <w:contextualSpacing/>
        <w:rPr>
          <w:rFonts w:cstheme="minorHAnsi"/>
          <w:sz w:val="22"/>
        </w:rPr>
      </w:pPr>
      <w:r>
        <w:rPr>
          <w:rFonts w:cstheme="minorHAnsi"/>
          <w:sz w:val="22"/>
        </w:rPr>
        <w:t xml:space="preserve">Over </w:t>
      </w:r>
      <w:r w:rsidR="00016C2F">
        <w:rPr>
          <w:rFonts w:cstheme="minorHAnsi"/>
          <w:sz w:val="22"/>
        </w:rPr>
        <w:t>2019-20</w:t>
      </w:r>
      <w:r>
        <w:rPr>
          <w:rFonts w:cstheme="minorHAnsi"/>
          <w:sz w:val="22"/>
        </w:rPr>
        <w:t>, t</w:t>
      </w:r>
      <w:r w:rsidR="00AC0195" w:rsidRPr="00CE2B66">
        <w:rPr>
          <w:rFonts w:cstheme="minorHAnsi"/>
          <w:sz w:val="22"/>
        </w:rPr>
        <w:t>he Commission</w:t>
      </w:r>
      <w:r w:rsidR="00D07192">
        <w:rPr>
          <w:rFonts w:cstheme="minorHAnsi"/>
          <w:sz w:val="22"/>
        </w:rPr>
        <w:t xml:space="preserve"> has continued to implement improvements to its operations.</w:t>
      </w:r>
      <w:r w:rsidR="00AC0195" w:rsidRPr="00CE2B66">
        <w:rPr>
          <w:rFonts w:cstheme="minorHAnsi"/>
          <w:sz w:val="22"/>
        </w:rPr>
        <w:t xml:space="preserve"> </w:t>
      </w:r>
      <w:r>
        <w:rPr>
          <w:rFonts w:cstheme="minorHAnsi"/>
          <w:sz w:val="22"/>
        </w:rPr>
        <w:t xml:space="preserve">The Commission </w:t>
      </w:r>
      <w:r w:rsidR="00301600">
        <w:rPr>
          <w:rFonts w:cstheme="minorHAnsi"/>
          <w:sz w:val="22"/>
        </w:rPr>
        <w:t>i</w:t>
      </w:r>
      <w:r>
        <w:rPr>
          <w:rFonts w:cstheme="minorHAnsi"/>
          <w:sz w:val="22"/>
        </w:rPr>
        <w:t xml:space="preserve">s </w:t>
      </w:r>
      <w:r w:rsidR="00301600">
        <w:rPr>
          <w:rFonts w:cstheme="minorHAnsi"/>
          <w:sz w:val="22"/>
        </w:rPr>
        <w:t>committed</w:t>
      </w:r>
      <w:r>
        <w:rPr>
          <w:rFonts w:cstheme="minorHAnsi"/>
          <w:sz w:val="22"/>
        </w:rPr>
        <w:t xml:space="preserve"> to</w:t>
      </w:r>
      <w:r w:rsidRPr="00CE2B66">
        <w:rPr>
          <w:rFonts w:cstheme="minorHAnsi"/>
          <w:sz w:val="22"/>
        </w:rPr>
        <w:t xml:space="preserve"> </w:t>
      </w:r>
      <w:r w:rsidR="00AC0195" w:rsidRPr="00CE2B66">
        <w:rPr>
          <w:rFonts w:cstheme="minorHAnsi"/>
          <w:sz w:val="22"/>
        </w:rPr>
        <w:t xml:space="preserve">continuous improvement </w:t>
      </w:r>
      <w:r>
        <w:rPr>
          <w:rFonts w:cstheme="minorHAnsi"/>
          <w:sz w:val="22"/>
        </w:rPr>
        <w:t>and will look for further ways to improve its efficiency and effectiveness</w:t>
      </w:r>
      <w:r w:rsidR="00AC0195" w:rsidRPr="00CE2B66">
        <w:rPr>
          <w:rFonts w:cstheme="minorHAnsi"/>
          <w:sz w:val="22"/>
        </w:rPr>
        <w:t>.</w:t>
      </w:r>
      <w:r>
        <w:rPr>
          <w:rFonts w:cstheme="minorHAnsi"/>
          <w:sz w:val="22"/>
        </w:rPr>
        <w:t xml:space="preserve"> In addition, the Commission contributed to the policy development process led by the Department of Industry, Science, </w:t>
      </w:r>
      <w:r w:rsidR="009D3301">
        <w:rPr>
          <w:rFonts w:cstheme="minorHAnsi"/>
          <w:sz w:val="22"/>
        </w:rPr>
        <w:t xml:space="preserve">Energy and Resources </w:t>
      </w:r>
      <w:r>
        <w:rPr>
          <w:rFonts w:cstheme="minorHAnsi"/>
          <w:sz w:val="22"/>
        </w:rPr>
        <w:t xml:space="preserve">including through its role in </w:t>
      </w:r>
      <w:r w:rsidR="00FD0005">
        <w:rPr>
          <w:rFonts w:cstheme="minorHAnsi"/>
          <w:sz w:val="22"/>
        </w:rPr>
        <w:t xml:space="preserve">providing secretariat </w:t>
      </w:r>
      <w:r>
        <w:rPr>
          <w:rFonts w:cstheme="minorHAnsi"/>
          <w:sz w:val="22"/>
        </w:rPr>
        <w:t>support</w:t>
      </w:r>
      <w:r w:rsidR="00FD0005">
        <w:rPr>
          <w:rFonts w:cstheme="minorHAnsi"/>
          <w:sz w:val="22"/>
        </w:rPr>
        <w:t xml:space="preserve"> for</w:t>
      </w:r>
      <w:r>
        <w:rPr>
          <w:rFonts w:cstheme="minorHAnsi"/>
          <w:sz w:val="22"/>
        </w:rPr>
        <w:t xml:space="preserve"> the ITRF.</w:t>
      </w:r>
    </w:p>
    <w:p w14:paraId="2F79D339" w14:textId="143C2C45" w:rsidR="0073286A" w:rsidRDefault="0073286A" w:rsidP="00CE3B0E">
      <w:pPr>
        <w:spacing w:after="0" w:line="240" w:lineRule="auto"/>
        <w:contextualSpacing/>
        <w:rPr>
          <w:rFonts w:cstheme="minorHAnsi"/>
          <w:sz w:val="22"/>
        </w:rPr>
      </w:pPr>
    </w:p>
    <w:p w14:paraId="2CB41952" w14:textId="02C28C8A" w:rsidR="0073286A" w:rsidRPr="00CE2B66" w:rsidRDefault="0073286A" w:rsidP="00CE3B0E">
      <w:pPr>
        <w:spacing w:after="0" w:line="240" w:lineRule="auto"/>
        <w:contextualSpacing/>
        <w:rPr>
          <w:rFonts w:cstheme="minorHAnsi"/>
          <w:sz w:val="22"/>
        </w:rPr>
      </w:pPr>
      <w:r w:rsidRPr="00E41535">
        <w:rPr>
          <w:rFonts w:cstheme="minorHAnsi"/>
          <w:sz w:val="22"/>
        </w:rPr>
        <w:t xml:space="preserve">The Commission has </w:t>
      </w:r>
      <w:r>
        <w:rPr>
          <w:rFonts w:cstheme="minorHAnsi"/>
          <w:sz w:val="22"/>
        </w:rPr>
        <w:t xml:space="preserve">enhanced </w:t>
      </w:r>
      <w:r w:rsidRPr="00E41535">
        <w:rPr>
          <w:rFonts w:cstheme="minorHAnsi"/>
          <w:sz w:val="22"/>
        </w:rPr>
        <w:t xml:space="preserve">the Trade Remedy Index which tracks on a monthly basis the volume and pricing movements of products subject to anti-dumping measures. The Trade Remedy Index </w:t>
      </w:r>
      <w:r>
        <w:rPr>
          <w:rFonts w:cstheme="minorHAnsi"/>
          <w:sz w:val="22"/>
        </w:rPr>
        <w:t xml:space="preserve">provides information to industry members on developments affecting their industries and </w:t>
      </w:r>
      <w:r w:rsidRPr="00255F95">
        <w:rPr>
          <w:rFonts w:cstheme="minorHAnsi"/>
          <w:sz w:val="22"/>
        </w:rPr>
        <w:t>helps the Commission assess</w:t>
      </w:r>
      <w:r w:rsidRPr="00220C50">
        <w:rPr>
          <w:rFonts w:cstheme="minorHAnsi"/>
          <w:sz w:val="22"/>
        </w:rPr>
        <w:t xml:space="preserve"> </w:t>
      </w:r>
      <w:r>
        <w:rPr>
          <w:rFonts w:cstheme="minorHAnsi"/>
          <w:sz w:val="22"/>
        </w:rPr>
        <w:t>how</w:t>
      </w:r>
      <w:r w:rsidRPr="00220C50">
        <w:rPr>
          <w:rFonts w:cstheme="minorHAnsi"/>
          <w:sz w:val="22"/>
        </w:rPr>
        <w:t xml:space="preserve"> anti-dumping measures may be impacting on the volumes, pricing and source of imports.</w:t>
      </w:r>
      <w:r>
        <w:rPr>
          <w:rFonts w:cstheme="minorHAnsi"/>
          <w:sz w:val="22"/>
        </w:rPr>
        <w:t xml:space="preserve"> It is now published in an interactive format on the website and updated monthly.</w:t>
      </w:r>
    </w:p>
    <w:p w14:paraId="159651CE" w14:textId="77777777" w:rsidR="00923D75" w:rsidRDefault="00923D75" w:rsidP="00CE3B0E">
      <w:pPr>
        <w:spacing w:line="240" w:lineRule="auto"/>
        <w:rPr>
          <w:b/>
          <w:color w:val="2D2D2E"/>
          <w:sz w:val="22"/>
        </w:rPr>
      </w:pPr>
    </w:p>
    <w:p w14:paraId="7BB79A06" w14:textId="5564BB16" w:rsidR="00AC0195" w:rsidRPr="009914D0" w:rsidRDefault="00AC0195" w:rsidP="00CE3B0E">
      <w:pPr>
        <w:spacing w:line="240" w:lineRule="auto"/>
        <w:rPr>
          <w:b/>
          <w:color w:val="2D2D2E"/>
          <w:sz w:val="22"/>
        </w:rPr>
      </w:pPr>
      <w:r w:rsidRPr="009914D0">
        <w:rPr>
          <w:b/>
          <w:color w:val="2D2D2E"/>
          <w:sz w:val="22"/>
        </w:rPr>
        <w:t>Expectations for KPI 6</w:t>
      </w:r>
    </w:p>
    <w:p w14:paraId="7BB79A07" w14:textId="77777777" w:rsidR="00AC0195" w:rsidRPr="00CE2B66" w:rsidRDefault="00AC0195" w:rsidP="00CE3B0E">
      <w:pPr>
        <w:spacing w:after="0" w:line="240" w:lineRule="auto"/>
        <w:contextualSpacing/>
        <w:rPr>
          <w:rFonts w:cstheme="minorHAnsi"/>
          <w:b/>
          <w:color w:val="398E98" w:themeColor="accent2" w:themeShade="BF"/>
          <w:sz w:val="22"/>
        </w:rPr>
      </w:pPr>
      <w:r w:rsidRPr="00CE2B66">
        <w:rPr>
          <w:rFonts w:cstheme="minorHAnsi"/>
          <w:sz w:val="22"/>
        </w:rPr>
        <w:t xml:space="preserve">Better practice regulators actively contribute to the continuous improvement of regulatory frameworks. No service remains the same over time, and continuous improvement ensures a regulatory framework has the flexibility to adjust to changing circumstances. </w:t>
      </w:r>
    </w:p>
    <w:p w14:paraId="7BB79A08" w14:textId="77777777" w:rsidR="00AC0195" w:rsidRPr="00CE2B66" w:rsidRDefault="00AC0195" w:rsidP="00CE3B0E">
      <w:pPr>
        <w:spacing w:after="0" w:line="240" w:lineRule="auto"/>
        <w:rPr>
          <w:rFonts w:cstheme="minorHAnsi"/>
          <w:sz w:val="22"/>
        </w:rPr>
      </w:pPr>
    </w:p>
    <w:p w14:paraId="7BB79A09" w14:textId="77777777" w:rsidR="00AC0195" w:rsidRDefault="00AC0195" w:rsidP="00CE3B0E">
      <w:pPr>
        <w:spacing w:after="0" w:line="240" w:lineRule="auto"/>
        <w:rPr>
          <w:rFonts w:cstheme="minorHAnsi"/>
          <w:sz w:val="22"/>
        </w:rPr>
      </w:pPr>
      <w:r w:rsidRPr="00CE2B66">
        <w:rPr>
          <w:rFonts w:cstheme="minorHAnsi"/>
          <w:sz w:val="22"/>
        </w:rPr>
        <w:t>Better practice regulators follow the principles identified in KPI 2, building appropriate communication channels to promote a regular feedback cycle with peers and regulated entities. Information collected as part of monitoring and compliance approaches is used by these regulators to inform improvements in the authorising legislation and achieve reductions in compliance costs. Stakeholder feedback informs the development of any proposed change to management activities, to ensure the proposed actions are appropriately targeted. This process maintains the cycle of continuous improvement, and provides the flexibility for regulatory frameworks to adapt to changes in the external environment.</w:t>
      </w:r>
    </w:p>
    <w:p w14:paraId="7229AC8D" w14:textId="77777777" w:rsidR="000D57F7" w:rsidRPr="00CE2B66" w:rsidRDefault="000D57F7" w:rsidP="00CE3B0E">
      <w:pPr>
        <w:spacing w:after="0" w:line="240" w:lineRule="auto"/>
        <w:rPr>
          <w:rFonts w:cstheme="minorHAnsi"/>
          <w:sz w:val="22"/>
        </w:rPr>
      </w:pPr>
    </w:p>
    <w:p w14:paraId="7BB79A0B" w14:textId="17110BBA" w:rsidR="00AC0195" w:rsidRPr="00CE2B66" w:rsidRDefault="00AC0195" w:rsidP="009D0DFC">
      <w:pPr>
        <w:spacing w:after="0" w:line="240" w:lineRule="auto"/>
        <w:contextualSpacing/>
        <w:rPr>
          <w:rFonts w:cstheme="minorHAnsi"/>
          <w:sz w:val="22"/>
        </w:rPr>
      </w:pPr>
      <w:r w:rsidRPr="00CE2B66">
        <w:rPr>
          <w:rFonts w:cstheme="minorHAnsi"/>
          <w:sz w:val="22"/>
        </w:rPr>
        <w:t xml:space="preserve">The objectives against this KPI are to show that Commission meets </w:t>
      </w:r>
      <w:r w:rsidR="000D57F7">
        <w:rPr>
          <w:rFonts w:cstheme="minorHAnsi"/>
          <w:sz w:val="22"/>
        </w:rPr>
        <w:t xml:space="preserve">the </w:t>
      </w:r>
      <w:r w:rsidRPr="00CE2B66">
        <w:rPr>
          <w:rFonts w:cstheme="minorHAnsi"/>
          <w:sz w:val="22"/>
        </w:rPr>
        <w:t>government’s expectations by demonstrating that we:</w:t>
      </w:r>
    </w:p>
    <w:p w14:paraId="7BB79A0C" w14:textId="2127888C" w:rsidR="00AC0195" w:rsidRPr="00CE2B66" w:rsidRDefault="00AC0195" w:rsidP="009D0DFC">
      <w:pPr>
        <w:pStyle w:val="ListParagraph"/>
        <w:numPr>
          <w:ilvl w:val="0"/>
          <w:numId w:val="5"/>
        </w:numPr>
        <w:spacing w:before="120" w:after="0" w:line="240" w:lineRule="auto"/>
        <w:ind w:right="-25" w:hanging="357"/>
        <w:contextualSpacing w:val="0"/>
        <w:rPr>
          <w:rFonts w:cstheme="minorHAnsi"/>
        </w:rPr>
      </w:pPr>
      <w:r w:rsidRPr="00CE2B66">
        <w:rPr>
          <w:rFonts w:cstheme="minorHAnsi"/>
        </w:rPr>
        <w:t>establish and maintain cooperative and collaborative relationships with stakeholders to promote trust and improve the efficacy and effectiven</w:t>
      </w:r>
      <w:r w:rsidR="00193402">
        <w:rPr>
          <w:rFonts w:cstheme="minorHAnsi"/>
        </w:rPr>
        <w:t>ess of the regulatory framework</w:t>
      </w:r>
    </w:p>
    <w:p w14:paraId="7BB79A0D" w14:textId="7690F8C7" w:rsidR="00AC0195" w:rsidRDefault="00AC0195" w:rsidP="009D0DFC">
      <w:pPr>
        <w:pStyle w:val="ListParagraph"/>
        <w:numPr>
          <w:ilvl w:val="0"/>
          <w:numId w:val="5"/>
        </w:numPr>
        <w:spacing w:after="0" w:line="240" w:lineRule="auto"/>
        <w:ind w:hanging="357"/>
        <w:rPr>
          <w:rFonts w:cstheme="minorHAnsi"/>
        </w:rPr>
      </w:pPr>
      <w:r w:rsidRPr="00CE2B66">
        <w:rPr>
          <w:rFonts w:cstheme="minorHAnsi"/>
        </w:rPr>
        <w:t xml:space="preserve">regularly share feedback from stakeholders and performance information with policy areas to improve </w:t>
      </w:r>
      <w:r w:rsidR="000D57F7">
        <w:rPr>
          <w:rFonts w:cstheme="minorHAnsi"/>
        </w:rPr>
        <w:t xml:space="preserve">the </w:t>
      </w:r>
      <w:r w:rsidRPr="00CE2B66">
        <w:rPr>
          <w:rFonts w:cstheme="minorHAnsi"/>
        </w:rPr>
        <w:t>operation of the regulatory framework.</w:t>
      </w:r>
    </w:p>
    <w:p w14:paraId="5C4F103F" w14:textId="77777777" w:rsidR="00FF4EC6" w:rsidRDefault="00FF4EC6" w:rsidP="00FF4EC6">
      <w:pPr>
        <w:pStyle w:val="ListParagraph"/>
        <w:spacing w:after="0" w:line="240" w:lineRule="auto"/>
        <w:ind w:left="567"/>
        <w:rPr>
          <w:rFonts w:cstheme="minorHAnsi"/>
        </w:rPr>
      </w:pPr>
    </w:p>
    <w:p w14:paraId="7BB79A0E" w14:textId="77777777" w:rsidR="00AC0195" w:rsidRPr="009914D0" w:rsidRDefault="00AC0195" w:rsidP="009D0DFC">
      <w:pPr>
        <w:spacing w:line="240" w:lineRule="auto"/>
        <w:rPr>
          <w:b/>
          <w:color w:val="2D2D2E"/>
          <w:sz w:val="22"/>
        </w:rPr>
      </w:pPr>
      <w:r w:rsidRPr="009914D0">
        <w:rPr>
          <w:b/>
          <w:color w:val="2D2D2E"/>
          <w:sz w:val="22"/>
        </w:rPr>
        <w:t>Our approach for KPI 6</w:t>
      </w:r>
    </w:p>
    <w:p w14:paraId="7BB79A0F" w14:textId="57410F0C" w:rsidR="00AC0195" w:rsidRPr="00CE2B66" w:rsidRDefault="00AC0195" w:rsidP="009D0DFC">
      <w:pPr>
        <w:spacing w:after="0" w:line="240" w:lineRule="auto"/>
        <w:contextualSpacing/>
        <w:rPr>
          <w:rFonts w:cstheme="minorHAnsi"/>
          <w:sz w:val="22"/>
        </w:rPr>
      </w:pPr>
      <w:r w:rsidRPr="00CE2B66">
        <w:rPr>
          <w:rFonts w:cstheme="minorHAnsi"/>
          <w:sz w:val="22"/>
        </w:rPr>
        <w:t xml:space="preserve">The Commission has </w:t>
      </w:r>
      <w:r w:rsidR="000D57F7">
        <w:rPr>
          <w:rFonts w:cstheme="minorHAnsi"/>
          <w:sz w:val="22"/>
        </w:rPr>
        <w:t>described its</w:t>
      </w:r>
      <w:r w:rsidRPr="00CE2B66">
        <w:rPr>
          <w:rFonts w:cstheme="minorHAnsi"/>
          <w:sz w:val="22"/>
        </w:rPr>
        <w:t xml:space="preserve"> activit</w:t>
      </w:r>
      <w:r w:rsidR="000D57F7">
        <w:rPr>
          <w:rFonts w:cstheme="minorHAnsi"/>
          <w:sz w:val="22"/>
        </w:rPr>
        <w:t>ies in developing and implementing operational reforms and its actions in</w:t>
      </w:r>
      <w:r w:rsidRPr="00CE2B66">
        <w:rPr>
          <w:rFonts w:cstheme="minorHAnsi"/>
          <w:sz w:val="22"/>
        </w:rPr>
        <w:t xml:space="preserve"> collaborat</w:t>
      </w:r>
      <w:r w:rsidR="000D57F7">
        <w:rPr>
          <w:rFonts w:cstheme="minorHAnsi"/>
          <w:sz w:val="22"/>
        </w:rPr>
        <w:t>ing</w:t>
      </w:r>
      <w:r w:rsidRPr="00CE2B66">
        <w:rPr>
          <w:rFonts w:cstheme="minorHAnsi"/>
          <w:sz w:val="22"/>
        </w:rPr>
        <w:t xml:space="preserve"> with </w:t>
      </w:r>
      <w:r w:rsidR="000D57F7">
        <w:rPr>
          <w:rFonts w:cstheme="minorHAnsi"/>
          <w:sz w:val="22"/>
        </w:rPr>
        <w:t>stakeholders and policymakers to demonstrate its commitment to continuous improvement of the anti-dumping system</w:t>
      </w:r>
      <w:r w:rsidRPr="00CE2B66">
        <w:rPr>
          <w:rFonts w:cstheme="minorHAnsi"/>
          <w:sz w:val="22"/>
        </w:rPr>
        <w:t>.</w:t>
      </w:r>
    </w:p>
    <w:p w14:paraId="7BB79A10" w14:textId="77777777" w:rsidR="00AC0195" w:rsidRPr="00CE2B66" w:rsidRDefault="00AC0195" w:rsidP="009D0DFC">
      <w:pPr>
        <w:spacing w:after="0" w:line="240" w:lineRule="auto"/>
        <w:contextualSpacing/>
        <w:rPr>
          <w:rFonts w:cstheme="minorHAnsi"/>
          <w:sz w:val="22"/>
        </w:rPr>
      </w:pPr>
    </w:p>
    <w:p w14:paraId="7BB79A11" w14:textId="77777777" w:rsidR="00AC0195" w:rsidRPr="009914D0" w:rsidRDefault="00AC0195" w:rsidP="00846757">
      <w:pPr>
        <w:keepNext/>
        <w:spacing w:line="240" w:lineRule="auto"/>
        <w:rPr>
          <w:b/>
          <w:color w:val="2D2D2E"/>
          <w:sz w:val="22"/>
        </w:rPr>
      </w:pPr>
      <w:r w:rsidRPr="009914D0">
        <w:rPr>
          <w:b/>
          <w:color w:val="2D2D2E"/>
          <w:sz w:val="22"/>
        </w:rPr>
        <w:t>Results KPI 6</w:t>
      </w:r>
    </w:p>
    <w:p w14:paraId="7BB79A12" w14:textId="77777777" w:rsidR="00AC0195" w:rsidRPr="00CE2B66" w:rsidRDefault="00AC0195" w:rsidP="009D0DFC">
      <w:pPr>
        <w:spacing w:line="240" w:lineRule="auto"/>
        <w:rPr>
          <w:rFonts w:cstheme="minorHAnsi"/>
          <w:b/>
          <w:sz w:val="22"/>
        </w:rPr>
      </w:pPr>
      <w:r w:rsidRPr="00CE2B66">
        <w:rPr>
          <w:rFonts w:cstheme="minorHAnsi"/>
          <w:b/>
          <w:sz w:val="22"/>
        </w:rPr>
        <w:t xml:space="preserve">Measure: Establish and maintain cooperative and collaborative relationships with stakeholders to promote trust and improve the efficacy and effectiveness of the regulatory framework. </w:t>
      </w:r>
    </w:p>
    <w:p w14:paraId="4AB7D703" w14:textId="66D21565" w:rsidR="00301600" w:rsidRPr="00301600" w:rsidRDefault="00AC0195" w:rsidP="00301600">
      <w:pPr>
        <w:pStyle w:val="ListParagraph"/>
        <w:numPr>
          <w:ilvl w:val="0"/>
          <w:numId w:val="21"/>
        </w:numPr>
        <w:spacing w:before="120" w:after="120" w:line="240" w:lineRule="auto"/>
        <w:ind w:left="567"/>
        <w:rPr>
          <w:rFonts w:cstheme="minorHAnsi"/>
          <w:i/>
        </w:rPr>
      </w:pPr>
      <w:r w:rsidRPr="00CE2B66">
        <w:rPr>
          <w:rFonts w:cstheme="minorHAnsi"/>
          <w:i/>
        </w:rPr>
        <w:t>Metric: Implementing recent reforms and contributing to the development of new reforms.</w:t>
      </w:r>
    </w:p>
    <w:p w14:paraId="4F5B68CC" w14:textId="3A20B29B" w:rsidR="00490869" w:rsidRDefault="00490869" w:rsidP="00490869">
      <w:pPr>
        <w:spacing w:after="0" w:line="240" w:lineRule="auto"/>
        <w:rPr>
          <w:sz w:val="22"/>
        </w:rPr>
      </w:pPr>
      <w:r w:rsidRPr="00DC45D0">
        <w:rPr>
          <w:sz w:val="22"/>
        </w:rPr>
        <w:t xml:space="preserve">The Commission has </w:t>
      </w:r>
      <w:r w:rsidR="00217EEE">
        <w:rPr>
          <w:sz w:val="22"/>
        </w:rPr>
        <w:t xml:space="preserve">continued to </w:t>
      </w:r>
      <w:r>
        <w:rPr>
          <w:sz w:val="22"/>
        </w:rPr>
        <w:t>actively contribute to the policy development process being led by the Anti-Dumping Policy Section of the Department of Industry, Science</w:t>
      </w:r>
      <w:r w:rsidR="009D3301">
        <w:rPr>
          <w:sz w:val="22"/>
        </w:rPr>
        <w:t>, Energy and Resources</w:t>
      </w:r>
      <w:r>
        <w:rPr>
          <w:sz w:val="22"/>
        </w:rPr>
        <w:t>. The Commission provided information and feedback on implementation issues in 201</w:t>
      </w:r>
      <w:r w:rsidR="0062042A">
        <w:rPr>
          <w:sz w:val="22"/>
        </w:rPr>
        <w:t>9-20</w:t>
      </w:r>
      <w:r>
        <w:rPr>
          <w:sz w:val="22"/>
        </w:rPr>
        <w:t xml:space="preserve"> to assist the Anti-Dumping Policy Section in developing policy options for consideration by Government. In addition, the recommendations of the ITRF sub</w:t>
      </w:r>
      <w:r>
        <w:rPr>
          <w:sz w:val="22"/>
        </w:rPr>
        <w:noBreakHyphen/>
        <w:t xml:space="preserve">committees convened by the Commission have been incorporated into the policy development process.  </w:t>
      </w:r>
    </w:p>
    <w:p w14:paraId="00D037D9" w14:textId="77777777" w:rsidR="00490869" w:rsidRDefault="00490869" w:rsidP="009D0DFC">
      <w:pPr>
        <w:spacing w:after="0" w:line="240" w:lineRule="auto"/>
        <w:contextualSpacing/>
        <w:rPr>
          <w:sz w:val="22"/>
        </w:rPr>
      </w:pPr>
    </w:p>
    <w:p w14:paraId="1C899291" w14:textId="7B992B76" w:rsidR="009D0DFC" w:rsidRDefault="00490869" w:rsidP="009D0DFC">
      <w:pPr>
        <w:spacing w:after="0" w:line="240" w:lineRule="auto"/>
        <w:contextualSpacing/>
        <w:rPr>
          <w:sz w:val="22"/>
        </w:rPr>
      </w:pPr>
      <w:r>
        <w:rPr>
          <w:sz w:val="22"/>
        </w:rPr>
        <w:t>T</w:t>
      </w:r>
      <w:r w:rsidR="00AD44A2" w:rsidRPr="00714AB7">
        <w:rPr>
          <w:sz w:val="22"/>
        </w:rPr>
        <w:t xml:space="preserve">he Commission </w:t>
      </w:r>
      <w:r w:rsidR="008D4962" w:rsidRPr="00714AB7">
        <w:rPr>
          <w:sz w:val="22"/>
        </w:rPr>
        <w:t xml:space="preserve">has continued to strengthen and embed the </w:t>
      </w:r>
      <w:r w:rsidR="009D3301">
        <w:rPr>
          <w:sz w:val="22"/>
        </w:rPr>
        <w:t>i</w:t>
      </w:r>
      <w:r w:rsidR="008D4962" w:rsidRPr="00714AB7">
        <w:rPr>
          <w:sz w:val="22"/>
        </w:rPr>
        <w:t xml:space="preserve">nvestigations </w:t>
      </w:r>
      <w:r w:rsidR="009D3301">
        <w:rPr>
          <w:sz w:val="22"/>
        </w:rPr>
        <w:t>m</w:t>
      </w:r>
      <w:r w:rsidR="009D3301" w:rsidRPr="00714AB7">
        <w:rPr>
          <w:sz w:val="22"/>
        </w:rPr>
        <w:t>odel</w:t>
      </w:r>
      <w:r w:rsidR="009D3301">
        <w:rPr>
          <w:sz w:val="22"/>
        </w:rPr>
        <w:t xml:space="preserve"> </w:t>
      </w:r>
      <w:r w:rsidR="00714AB7">
        <w:rPr>
          <w:sz w:val="22"/>
        </w:rPr>
        <w:t>implemented in late 2016</w:t>
      </w:r>
      <w:r w:rsidR="008D4962">
        <w:rPr>
          <w:sz w:val="22"/>
        </w:rPr>
        <w:t xml:space="preserve"> into its high caseload. Ongoing monitoring and evaluation </w:t>
      </w:r>
      <w:r w:rsidR="0029436D">
        <w:rPr>
          <w:sz w:val="22"/>
        </w:rPr>
        <w:t>has been</w:t>
      </w:r>
      <w:r w:rsidR="0029436D" w:rsidRPr="00153D03">
        <w:rPr>
          <w:sz w:val="22"/>
        </w:rPr>
        <w:t xml:space="preserve"> </w:t>
      </w:r>
      <w:r w:rsidR="00AD18C7" w:rsidRPr="00153D03">
        <w:rPr>
          <w:sz w:val="22"/>
        </w:rPr>
        <w:t xml:space="preserve">important to the development and implementation of these </w:t>
      </w:r>
      <w:r w:rsidR="008D4962">
        <w:rPr>
          <w:sz w:val="22"/>
        </w:rPr>
        <w:t xml:space="preserve">vital </w:t>
      </w:r>
      <w:r w:rsidR="00AD44A2" w:rsidRPr="00153D03">
        <w:rPr>
          <w:sz w:val="22"/>
        </w:rPr>
        <w:t xml:space="preserve">reform </w:t>
      </w:r>
      <w:r w:rsidR="00AD18C7" w:rsidRPr="00153D03">
        <w:rPr>
          <w:sz w:val="22"/>
        </w:rPr>
        <w:t xml:space="preserve">initiatives.  </w:t>
      </w:r>
      <w:r w:rsidR="00714AB7">
        <w:rPr>
          <w:sz w:val="22"/>
        </w:rPr>
        <w:t xml:space="preserve">These reforms </w:t>
      </w:r>
      <w:r w:rsidR="00714AB7" w:rsidRPr="00714AB7">
        <w:rPr>
          <w:sz w:val="22"/>
        </w:rPr>
        <w:t xml:space="preserve">are ensuring the Commission completes cases and allocates resources as efficiently as possible. These efficiencies have meant that timeframes have not increased significantly for complex cases, </w:t>
      </w:r>
      <w:r w:rsidR="00B00EEB">
        <w:rPr>
          <w:sz w:val="22"/>
        </w:rPr>
        <w:t xml:space="preserve">with the financial years of 2018-19 and 2019-20 delivering consistent complex case lengths. </w:t>
      </w:r>
    </w:p>
    <w:p w14:paraId="58908CED" w14:textId="0823307E" w:rsidR="009F22EE" w:rsidRDefault="009F22EE" w:rsidP="009D0DFC">
      <w:pPr>
        <w:spacing w:after="0" w:line="240" w:lineRule="auto"/>
        <w:contextualSpacing/>
        <w:rPr>
          <w:sz w:val="22"/>
        </w:rPr>
      </w:pPr>
    </w:p>
    <w:p w14:paraId="0FDC0E74" w14:textId="3B73F2A1" w:rsidR="009F22EE" w:rsidRDefault="009F22EE" w:rsidP="009D0DFC">
      <w:pPr>
        <w:spacing w:after="0" w:line="240" w:lineRule="auto"/>
        <w:contextualSpacing/>
        <w:rPr>
          <w:sz w:val="22"/>
        </w:rPr>
      </w:pPr>
      <w:r>
        <w:rPr>
          <w:sz w:val="22"/>
        </w:rPr>
        <w:t xml:space="preserve">A collaborative relationship with stakeholders enabled the ongoing publication of </w:t>
      </w:r>
      <w:r w:rsidR="009C37F0">
        <w:rPr>
          <w:sz w:val="22"/>
        </w:rPr>
        <w:t xml:space="preserve">and improvement to </w:t>
      </w:r>
      <w:r>
        <w:rPr>
          <w:sz w:val="22"/>
        </w:rPr>
        <w:t xml:space="preserve">the Trade Remedy Index, which provides better information earlier on the trade flow of products subject to anti-dumping measures. </w:t>
      </w:r>
    </w:p>
    <w:p w14:paraId="24AA39FE" w14:textId="77777777" w:rsidR="00301600" w:rsidRPr="00153D03" w:rsidRDefault="00301600" w:rsidP="009D0DFC">
      <w:pPr>
        <w:spacing w:after="0" w:line="240" w:lineRule="auto"/>
        <w:rPr>
          <w:rFonts w:cstheme="minorHAnsi"/>
          <w:sz w:val="22"/>
        </w:rPr>
      </w:pPr>
    </w:p>
    <w:p w14:paraId="7BB79A1D" w14:textId="1C6D51E6" w:rsidR="00AC0195" w:rsidRPr="00CE2B66" w:rsidRDefault="00AC0195" w:rsidP="009D0DFC">
      <w:pPr>
        <w:rPr>
          <w:rFonts w:cstheme="minorHAnsi"/>
          <w:b/>
          <w:sz w:val="22"/>
        </w:rPr>
      </w:pPr>
      <w:r w:rsidRPr="00CE2B66">
        <w:rPr>
          <w:rFonts w:cstheme="minorHAnsi"/>
          <w:b/>
          <w:sz w:val="22"/>
        </w:rPr>
        <w:t xml:space="preserve">Measure: The Commission regularly shares feedback from stakeholders and performance information with policy areas to improve </w:t>
      </w:r>
      <w:r w:rsidR="005E3B8C">
        <w:rPr>
          <w:rFonts w:cstheme="minorHAnsi"/>
          <w:b/>
          <w:sz w:val="22"/>
        </w:rPr>
        <w:t xml:space="preserve">the </w:t>
      </w:r>
      <w:r w:rsidRPr="00CE2B66">
        <w:rPr>
          <w:rFonts w:cstheme="minorHAnsi"/>
          <w:b/>
          <w:sz w:val="22"/>
        </w:rPr>
        <w:t>operation of the regulatory framework.</w:t>
      </w:r>
    </w:p>
    <w:p w14:paraId="7BB79A1E" w14:textId="65FCD3B2" w:rsidR="00AC0195" w:rsidRPr="00CE2B66" w:rsidRDefault="00AC0195" w:rsidP="009D0DFC">
      <w:pPr>
        <w:pStyle w:val="ListParagraph"/>
        <w:numPr>
          <w:ilvl w:val="0"/>
          <w:numId w:val="20"/>
        </w:numPr>
        <w:spacing w:before="120" w:after="120"/>
        <w:ind w:left="567"/>
        <w:rPr>
          <w:rFonts w:cstheme="minorHAnsi"/>
          <w:i/>
        </w:rPr>
      </w:pPr>
      <w:r w:rsidRPr="00CE2B66">
        <w:rPr>
          <w:rFonts w:cstheme="minorHAnsi"/>
          <w:i/>
        </w:rPr>
        <w:t xml:space="preserve">Metric: </w:t>
      </w:r>
      <w:r w:rsidR="005E3B8C">
        <w:rPr>
          <w:rFonts w:cstheme="minorHAnsi"/>
          <w:i/>
        </w:rPr>
        <w:t>P</w:t>
      </w:r>
      <w:r w:rsidRPr="00CE2B66">
        <w:rPr>
          <w:rFonts w:cstheme="minorHAnsi"/>
          <w:i/>
        </w:rPr>
        <w:t>rocedures are in place to facilitate the flow of information between policy areas and the Commission regarding stakeholder feedback and performance through joint Ministerial briefings, policy development and reforms.</w:t>
      </w:r>
    </w:p>
    <w:p w14:paraId="7BB79A1F" w14:textId="6D16C90C" w:rsidR="00AC0195" w:rsidRDefault="00AC0195" w:rsidP="0075369F">
      <w:pPr>
        <w:spacing w:after="0" w:line="240" w:lineRule="auto"/>
        <w:contextualSpacing/>
        <w:rPr>
          <w:rFonts w:cstheme="minorHAnsi"/>
          <w:sz w:val="22"/>
        </w:rPr>
      </w:pPr>
      <w:r w:rsidRPr="00CE2B66">
        <w:rPr>
          <w:rFonts w:cstheme="minorHAnsi"/>
          <w:sz w:val="22"/>
        </w:rPr>
        <w:t>To effectively undertake its responsibilities as a regulator</w:t>
      </w:r>
      <w:r w:rsidR="005E3B8C">
        <w:rPr>
          <w:rFonts w:cstheme="minorHAnsi"/>
          <w:sz w:val="22"/>
        </w:rPr>
        <w:t>,</w:t>
      </w:r>
      <w:r w:rsidRPr="00CE2B66">
        <w:rPr>
          <w:rFonts w:cstheme="minorHAnsi"/>
          <w:sz w:val="22"/>
        </w:rPr>
        <w:t xml:space="preserve"> the Commission has in place procedures and processes to facilitate the </w:t>
      </w:r>
      <w:r w:rsidR="005E3B8C">
        <w:rPr>
          <w:rFonts w:cstheme="minorHAnsi"/>
          <w:sz w:val="22"/>
        </w:rPr>
        <w:t xml:space="preserve">regular </w:t>
      </w:r>
      <w:r w:rsidRPr="00CE2B66">
        <w:rPr>
          <w:rFonts w:cstheme="minorHAnsi"/>
          <w:sz w:val="22"/>
        </w:rPr>
        <w:t xml:space="preserve">flow of information to departmental policy areas and key Australian Government partners such as </w:t>
      </w:r>
      <w:r w:rsidR="00041369">
        <w:rPr>
          <w:rFonts w:cstheme="minorHAnsi"/>
          <w:sz w:val="22"/>
        </w:rPr>
        <w:t>Home Affairs</w:t>
      </w:r>
      <w:r w:rsidR="00041369" w:rsidRPr="00CE2B66">
        <w:rPr>
          <w:rFonts w:cstheme="minorHAnsi"/>
          <w:sz w:val="22"/>
        </w:rPr>
        <w:t xml:space="preserve"> </w:t>
      </w:r>
      <w:r w:rsidRPr="00CE2B66">
        <w:rPr>
          <w:rFonts w:cstheme="minorHAnsi"/>
          <w:sz w:val="22"/>
        </w:rPr>
        <w:t xml:space="preserve">and DFAT. These procedures involve designating responsibility for managing a relationship to </w:t>
      </w:r>
      <w:r w:rsidR="00AF6AD1">
        <w:rPr>
          <w:rFonts w:cstheme="minorHAnsi"/>
          <w:sz w:val="22"/>
        </w:rPr>
        <w:t xml:space="preserve">a </w:t>
      </w:r>
      <w:r w:rsidRPr="00CE2B66">
        <w:rPr>
          <w:rFonts w:cstheme="minorHAnsi"/>
          <w:sz w:val="22"/>
        </w:rPr>
        <w:t>specific team within the Commission. The Commission has specific relationship managers with the International Trade Remedies Advisory Service, the Anti-Dumping Review Panel secretariat</w:t>
      </w:r>
      <w:r w:rsidR="00D605D1">
        <w:rPr>
          <w:rFonts w:cstheme="minorHAnsi"/>
          <w:sz w:val="22"/>
        </w:rPr>
        <w:t xml:space="preserve"> and</w:t>
      </w:r>
      <w:r w:rsidRPr="00CE2B66">
        <w:rPr>
          <w:rFonts w:cstheme="minorHAnsi"/>
          <w:sz w:val="22"/>
        </w:rPr>
        <w:t xml:space="preserve"> the Anti-Dumping Policy Section within the Department of Industry, Science</w:t>
      </w:r>
      <w:r w:rsidR="00AF6AD1">
        <w:rPr>
          <w:rFonts w:cstheme="minorHAnsi"/>
          <w:sz w:val="22"/>
        </w:rPr>
        <w:t>, Energy and Resources</w:t>
      </w:r>
      <w:r w:rsidRPr="00CE2B66">
        <w:rPr>
          <w:rFonts w:cstheme="minorHAnsi"/>
          <w:sz w:val="22"/>
        </w:rPr>
        <w:t xml:space="preserve">. The aim is to ensure consistent, considered and timely whole-of-department </w:t>
      </w:r>
      <w:r w:rsidR="00EC0872">
        <w:rPr>
          <w:rFonts w:cstheme="minorHAnsi"/>
          <w:sz w:val="22"/>
        </w:rPr>
        <w:t>engagement</w:t>
      </w:r>
      <w:r w:rsidRPr="00CE2B66">
        <w:rPr>
          <w:rFonts w:cstheme="minorHAnsi"/>
          <w:sz w:val="22"/>
        </w:rPr>
        <w:t xml:space="preserve">. A similar approach applies to </w:t>
      </w:r>
      <w:r w:rsidR="00160A7B">
        <w:rPr>
          <w:rFonts w:cstheme="minorHAnsi"/>
          <w:sz w:val="22"/>
        </w:rPr>
        <w:t>Home Affairs</w:t>
      </w:r>
      <w:r w:rsidR="00160A7B" w:rsidRPr="00CE2B66">
        <w:rPr>
          <w:rFonts w:cstheme="minorHAnsi"/>
          <w:sz w:val="22"/>
        </w:rPr>
        <w:t xml:space="preserve"> </w:t>
      </w:r>
      <w:r w:rsidRPr="00CE2B66">
        <w:rPr>
          <w:rFonts w:cstheme="minorHAnsi"/>
          <w:sz w:val="22"/>
        </w:rPr>
        <w:t xml:space="preserve">and DFAT, with whom the Commission works together formally and informally on a daily basis. </w:t>
      </w:r>
    </w:p>
    <w:p w14:paraId="34DDA405" w14:textId="622818A8" w:rsidR="00AA16BE" w:rsidRDefault="00AA16BE" w:rsidP="0075369F">
      <w:pPr>
        <w:spacing w:after="0" w:line="240" w:lineRule="auto"/>
        <w:contextualSpacing/>
        <w:rPr>
          <w:rFonts w:cstheme="minorHAnsi"/>
          <w:sz w:val="22"/>
        </w:rPr>
      </w:pPr>
    </w:p>
    <w:p w14:paraId="64D889B7" w14:textId="2903FEEF" w:rsidR="00AA16BE" w:rsidRPr="00CE2B66" w:rsidRDefault="00AA16BE" w:rsidP="0075369F">
      <w:pPr>
        <w:spacing w:after="0" w:line="240" w:lineRule="auto"/>
        <w:contextualSpacing/>
        <w:rPr>
          <w:rFonts w:cstheme="minorHAnsi"/>
          <w:sz w:val="22"/>
        </w:rPr>
      </w:pPr>
      <w:r>
        <w:rPr>
          <w:rFonts w:cstheme="minorHAnsi"/>
          <w:sz w:val="22"/>
        </w:rPr>
        <w:t>The Commission also facilitates the communication of feedback to policy areas through the involvement</w:t>
      </w:r>
      <w:r w:rsidR="005E3B8C">
        <w:rPr>
          <w:rFonts w:cstheme="minorHAnsi"/>
          <w:sz w:val="22"/>
        </w:rPr>
        <w:t xml:space="preserve"> of relevant government agencies</w:t>
      </w:r>
      <w:r>
        <w:rPr>
          <w:rFonts w:cstheme="minorHAnsi"/>
          <w:sz w:val="22"/>
        </w:rPr>
        <w:t xml:space="preserve"> in meetings of the ITRF and ITRF sub</w:t>
      </w:r>
      <w:r w:rsidR="00540AFD">
        <w:rPr>
          <w:rFonts w:cstheme="minorHAnsi"/>
          <w:sz w:val="22"/>
        </w:rPr>
        <w:noBreakHyphen/>
      </w:r>
      <w:r>
        <w:rPr>
          <w:rFonts w:cstheme="minorHAnsi"/>
          <w:sz w:val="22"/>
        </w:rPr>
        <w:t xml:space="preserve">committees. </w:t>
      </w:r>
      <w:r w:rsidR="003B5628">
        <w:rPr>
          <w:rFonts w:cstheme="minorHAnsi"/>
          <w:sz w:val="22"/>
        </w:rPr>
        <w:t>F</w:t>
      </w:r>
      <w:r>
        <w:rPr>
          <w:rFonts w:cstheme="minorHAnsi"/>
          <w:sz w:val="22"/>
        </w:rPr>
        <w:t xml:space="preserve">orums </w:t>
      </w:r>
      <w:r w:rsidR="003B5628">
        <w:rPr>
          <w:rFonts w:cstheme="minorHAnsi"/>
          <w:sz w:val="22"/>
        </w:rPr>
        <w:t xml:space="preserve">such as these </w:t>
      </w:r>
      <w:r>
        <w:rPr>
          <w:rFonts w:cstheme="minorHAnsi"/>
          <w:sz w:val="22"/>
        </w:rPr>
        <w:t>provide an opportunity for policy areas to engage directly and regularly with the Commission’s stakeholders about operational and policy issues relating to the Commission’s regulatory framework.</w:t>
      </w:r>
    </w:p>
    <w:p w14:paraId="7BB79A20" w14:textId="77777777" w:rsidR="00AC0195" w:rsidRPr="00CE2B66" w:rsidRDefault="00AC0195" w:rsidP="0075369F">
      <w:pPr>
        <w:spacing w:after="0" w:line="240" w:lineRule="auto"/>
        <w:contextualSpacing/>
        <w:rPr>
          <w:rFonts w:cstheme="minorHAnsi"/>
          <w:sz w:val="22"/>
        </w:rPr>
      </w:pPr>
    </w:p>
    <w:p w14:paraId="7BB79A21" w14:textId="10C4E615" w:rsidR="00AC0195" w:rsidRPr="009914D0" w:rsidRDefault="00AC0195" w:rsidP="0075369F">
      <w:pPr>
        <w:spacing w:line="240" w:lineRule="auto"/>
        <w:rPr>
          <w:b/>
          <w:color w:val="2D2D2E"/>
          <w:sz w:val="22"/>
        </w:rPr>
      </w:pPr>
      <w:r w:rsidRPr="009914D0">
        <w:rPr>
          <w:b/>
          <w:color w:val="2D2D2E"/>
          <w:sz w:val="22"/>
        </w:rPr>
        <w:t>Discussion KPI 6</w:t>
      </w:r>
    </w:p>
    <w:p w14:paraId="7BB79A22" w14:textId="77777777" w:rsidR="00AC0195" w:rsidRPr="00CE2B66" w:rsidRDefault="00AC0195" w:rsidP="0075369F">
      <w:pPr>
        <w:spacing w:after="0" w:line="240" w:lineRule="auto"/>
        <w:rPr>
          <w:rFonts w:cstheme="minorHAnsi"/>
          <w:sz w:val="22"/>
        </w:rPr>
      </w:pPr>
      <w:r w:rsidRPr="00CE2B66">
        <w:rPr>
          <w:rFonts w:cstheme="minorHAnsi"/>
          <w:sz w:val="22"/>
        </w:rPr>
        <w:t xml:space="preserve">The results against this KPI demonstrate that the Commission works closely with departmental colleagues to ensure that the administration of the trade remedies system is consistent with the Government’s policy on anti-dumping and with its broader industry policy and regulation reform agendas. </w:t>
      </w:r>
    </w:p>
    <w:p w14:paraId="6595E3A0" w14:textId="77777777" w:rsidR="00923D75" w:rsidRDefault="00923D75" w:rsidP="0075369F">
      <w:pPr>
        <w:spacing w:line="240" w:lineRule="auto"/>
        <w:rPr>
          <w:b/>
          <w:color w:val="2D2D2E"/>
          <w:sz w:val="22"/>
        </w:rPr>
      </w:pPr>
    </w:p>
    <w:p w14:paraId="7BB79A24" w14:textId="246EA795" w:rsidR="00AC0195" w:rsidRPr="009914D0" w:rsidRDefault="00AC0195" w:rsidP="0075369F">
      <w:pPr>
        <w:spacing w:line="240" w:lineRule="auto"/>
        <w:rPr>
          <w:b/>
          <w:color w:val="2D2D2E"/>
          <w:sz w:val="22"/>
        </w:rPr>
      </w:pPr>
      <w:r w:rsidRPr="009914D0">
        <w:rPr>
          <w:b/>
          <w:color w:val="2D2D2E"/>
          <w:sz w:val="22"/>
        </w:rPr>
        <w:t xml:space="preserve">Stakeholder Validation </w:t>
      </w:r>
    </w:p>
    <w:p w14:paraId="7BB79A25" w14:textId="39954A40" w:rsidR="00AC0195" w:rsidRPr="0075369F" w:rsidRDefault="006D7759" w:rsidP="00DC45D0">
      <w:pPr>
        <w:spacing w:after="0" w:line="240" w:lineRule="auto"/>
        <w:rPr>
          <w:rFonts w:cstheme="minorHAnsi"/>
          <w:sz w:val="22"/>
        </w:rPr>
      </w:pPr>
      <w:r w:rsidRPr="008D6C0B">
        <w:rPr>
          <w:rFonts w:cstheme="minorHAnsi"/>
          <w:sz w:val="22"/>
        </w:rPr>
        <w:t xml:space="preserve">The </w:t>
      </w:r>
      <w:r w:rsidR="00AB1C56">
        <w:rPr>
          <w:rFonts w:cstheme="minorHAnsi"/>
          <w:sz w:val="22"/>
        </w:rPr>
        <w:t>s</w:t>
      </w:r>
      <w:r w:rsidRPr="008D6C0B">
        <w:rPr>
          <w:rFonts w:cstheme="minorHAnsi"/>
          <w:sz w:val="22"/>
        </w:rPr>
        <w:t xml:space="preserve">urvey </w:t>
      </w:r>
      <w:r w:rsidR="00AB1C56">
        <w:rPr>
          <w:rFonts w:cstheme="minorHAnsi"/>
          <w:sz w:val="22"/>
        </w:rPr>
        <w:t>results reported under</w:t>
      </w:r>
      <w:r w:rsidRPr="008D6C0B">
        <w:rPr>
          <w:rFonts w:cstheme="minorHAnsi"/>
          <w:sz w:val="22"/>
        </w:rPr>
        <w:t xml:space="preserve"> KPI 1</w:t>
      </w:r>
      <w:r w:rsidRPr="00E54E40">
        <w:rPr>
          <w:rFonts w:cstheme="minorHAnsi"/>
          <w:sz w:val="22"/>
        </w:rPr>
        <w:t xml:space="preserve"> </w:t>
      </w:r>
      <w:r w:rsidRPr="006D7759">
        <w:rPr>
          <w:rFonts w:cstheme="minorHAnsi"/>
          <w:sz w:val="22"/>
        </w:rPr>
        <w:t xml:space="preserve">indicated that </w:t>
      </w:r>
      <w:r w:rsidR="00156BB0">
        <w:rPr>
          <w:rFonts w:cstheme="minorHAnsi"/>
          <w:sz w:val="22"/>
        </w:rPr>
        <w:t xml:space="preserve">90 per cent of applicable </w:t>
      </w:r>
      <w:r w:rsidR="007A50F5">
        <w:rPr>
          <w:rFonts w:cstheme="minorHAnsi"/>
          <w:sz w:val="22"/>
        </w:rPr>
        <w:t xml:space="preserve">respondents </w:t>
      </w:r>
      <w:r w:rsidR="007A50F5" w:rsidRPr="007A50F5">
        <w:rPr>
          <w:rFonts w:cstheme="minorHAnsi"/>
          <w:sz w:val="22"/>
        </w:rPr>
        <w:t xml:space="preserve">were </w:t>
      </w:r>
      <w:r w:rsidR="00DD47A5">
        <w:rPr>
          <w:rFonts w:cstheme="minorHAnsi"/>
          <w:sz w:val="22"/>
        </w:rPr>
        <w:t xml:space="preserve">very satisfied, </w:t>
      </w:r>
      <w:r w:rsidR="007A50F5" w:rsidRPr="007A50F5">
        <w:rPr>
          <w:rFonts w:cstheme="minorHAnsi"/>
          <w:sz w:val="22"/>
        </w:rPr>
        <w:t xml:space="preserve">satisfied </w:t>
      </w:r>
      <w:r w:rsidR="00DD47A5">
        <w:rPr>
          <w:rFonts w:cstheme="minorHAnsi"/>
          <w:sz w:val="22"/>
        </w:rPr>
        <w:t xml:space="preserve">or somewhat satisfied </w:t>
      </w:r>
      <w:r w:rsidR="007A50F5" w:rsidRPr="007A50F5">
        <w:rPr>
          <w:rFonts w:cstheme="minorHAnsi"/>
          <w:sz w:val="22"/>
        </w:rPr>
        <w:t>with the Commission’s commitment to continuous improvement</w:t>
      </w:r>
      <w:r w:rsidRPr="00DC45D0">
        <w:rPr>
          <w:rFonts w:cstheme="minorHAnsi"/>
          <w:sz w:val="22"/>
        </w:rPr>
        <w:t>.</w:t>
      </w:r>
      <w:r w:rsidRPr="008D6C0B">
        <w:rPr>
          <w:rFonts w:cstheme="minorHAnsi"/>
        </w:rPr>
        <w:t xml:space="preserve"> </w:t>
      </w:r>
    </w:p>
    <w:p w14:paraId="453835F7" w14:textId="0CC679BB" w:rsidR="007A50F5" w:rsidRPr="00CE2B66" w:rsidRDefault="007A50F5" w:rsidP="0075369F">
      <w:pPr>
        <w:spacing w:after="0" w:line="240" w:lineRule="auto"/>
        <w:rPr>
          <w:rFonts w:cstheme="minorHAnsi"/>
          <w:sz w:val="22"/>
        </w:rPr>
      </w:pPr>
    </w:p>
    <w:sectPr w:rsidR="007A50F5" w:rsidRPr="00CE2B66" w:rsidSect="00DF0029">
      <w:headerReference w:type="even" r:id="rId21"/>
      <w:headerReference w:type="default" r:id="rId22"/>
      <w:footerReference w:type="default" r:id="rId23"/>
      <w:headerReference w:type="first" r:id="rId24"/>
      <w:footerReference w:type="first" r:id="rId25"/>
      <w:pgSz w:w="11906" w:h="16838"/>
      <w:pgMar w:top="1440" w:right="1440" w:bottom="141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86081" w14:textId="77777777" w:rsidR="000A635B" w:rsidRDefault="000A635B" w:rsidP="00B526AB">
      <w:pPr>
        <w:spacing w:after="0" w:line="240" w:lineRule="auto"/>
      </w:pPr>
      <w:r>
        <w:separator/>
      </w:r>
    </w:p>
  </w:endnote>
  <w:endnote w:type="continuationSeparator" w:id="0">
    <w:p w14:paraId="403783AA" w14:textId="77777777" w:rsidR="000A635B" w:rsidRDefault="000A635B" w:rsidP="00B526AB">
      <w:pPr>
        <w:spacing w:after="0" w:line="240" w:lineRule="auto"/>
      </w:pPr>
      <w:r>
        <w:continuationSeparator/>
      </w:r>
    </w:p>
  </w:endnote>
  <w:endnote w:type="continuationNotice" w:id="1">
    <w:p w14:paraId="4E77CCB1" w14:textId="77777777" w:rsidR="000A635B" w:rsidRDefault="000A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79A3B" w14:textId="77777777" w:rsidR="000A635B" w:rsidRDefault="000A635B" w:rsidP="00915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79A3C" w14:textId="77777777" w:rsidR="000A635B" w:rsidRDefault="000A635B" w:rsidP="003165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79A3E" w14:textId="77777777" w:rsidR="000A635B" w:rsidRDefault="000A635B" w:rsidP="00915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35DE">
      <w:rPr>
        <w:rStyle w:val="PageNumber"/>
        <w:noProof/>
      </w:rPr>
      <w:t>2</w:t>
    </w:r>
    <w:r>
      <w:rPr>
        <w:rStyle w:val="PageNumber"/>
      </w:rPr>
      <w:fldChar w:fldCharType="end"/>
    </w:r>
  </w:p>
  <w:p w14:paraId="646D6B91" w14:textId="23C4A2B5" w:rsidR="000A635B" w:rsidRPr="0092569F" w:rsidRDefault="000A635B" w:rsidP="00D7114C">
    <w:pPr>
      <w:pStyle w:val="Footer"/>
      <w:rPr>
        <w:sz w:val="16"/>
        <w:szCs w:val="16"/>
      </w:rPr>
    </w:pPr>
    <w:r>
      <w:rPr>
        <w:sz w:val="16"/>
        <w:szCs w:val="16"/>
      </w:rPr>
      <w:t>Regulator Self-Assessment – Anti-Dumping Commission 2019-20</w:t>
    </w:r>
  </w:p>
  <w:p w14:paraId="7BB79A40" w14:textId="77777777" w:rsidR="000A635B" w:rsidRDefault="000A635B" w:rsidP="0031658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79A42" w14:textId="77777777" w:rsidR="000A635B" w:rsidRDefault="000A635B" w:rsidP="00915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79A43" w14:textId="77777777" w:rsidR="000A635B" w:rsidRDefault="000A635B" w:rsidP="0031658C">
    <w:pPr>
      <w:pStyle w:val="Footer"/>
      <w:tabs>
        <w:tab w:val="clear" w:pos="8640"/>
      </w:tabs>
      <w:ind w:right="379"/>
    </w:pPr>
    <w:r>
      <w:t>Document Title</w:t>
    </w:r>
    <w:r>
      <w:tab/>
      <w:t>industry.gov.au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E0906" w14:textId="77777777" w:rsidR="000A635B" w:rsidRDefault="000A635B" w:rsidP="00B526AB">
      <w:pPr>
        <w:spacing w:after="0" w:line="240" w:lineRule="auto"/>
      </w:pPr>
      <w:r>
        <w:separator/>
      </w:r>
    </w:p>
  </w:footnote>
  <w:footnote w:type="continuationSeparator" w:id="0">
    <w:p w14:paraId="3FBC7319" w14:textId="77777777" w:rsidR="000A635B" w:rsidRDefault="000A635B" w:rsidP="00B526AB">
      <w:pPr>
        <w:spacing w:after="0" w:line="240" w:lineRule="auto"/>
      </w:pPr>
      <w:r>
        <w:continuationSeparator/>
      </w:r>
    </w:p>
  </w:footnote>
  <w:footnote w:type="continuationNotice" w:id="1">
    <w:p w14:paraId="60D284D3" w14:textId="77777777" w:rsidR="000A635B" w:rsidRDefault="000A635B">
      <w:pPr>
        <w:spacing w:after="0" w:line="240" w:lineRule="auto"/>
      </w:pPr>
    </w:p>
  </w:footnote>
  <w:footnote w:id="2">
    <w:p w14:paraId="7BB79A44" w14:textId="77777777" w:rsidR="000A635B" w:rsidRDefault="000A635B" w:rsidP="00DF0029">
      <w:pPr>
        <w:pStyle w:val="FootnoteText"/>
        <w:spacing w:after="0"/>
      </w:pPr>
      <w:r>
        <w:rPr>
          <w:rStyle w:val="FootnoteReference"/>
        </w:rPr>
        <w:footnoteRef/>
      </w:r>
      <w:r>
        <w:t xml:space="preserve"> The reports include Consideration Reports, Verification Reports, Statements of Essential Facts, Preliminary Affirmative Determinations, Day 60 Status Reports and Final Reports.</w:t>
      </w:r>
    </w:p>
  </w:footnote>
  <w:footnote w:id="3">
    <w:p w14:paraId="7BB79A45" w14:textId="36A28727" w:rsidR="000A635B" w:rsidRPr="008901D1" w:rsidRDefault="000A635B" w:rsidP="00DF0029">
      <w:pPr>
        <w:spacing w:after="0"/>
        <w:rPr>
          <w:sz w:val="16"/>
          <w:szCs w:val="16"/>
        </w:rPr>
      </w:pPr>
      <w:r>
        <w:rPr>
          <w:rStyle w:val="FootnoteReference"/>
        </w:rPr>
        <w:footnoteRef/>
      </w:r>
      <w:r>
        <w:t xml:space="preserve"> </w:t>
      </w:r>
      <w:r>
        <w:rPr>
          <w:sz w:val="16"/>
          <w:szCs w:val="16"/>
        </w:rPr>
        <w:t xml:space="preserve"> World Trade Organization (WTO) method of case counting is used where each country and each type (dumping and/or countervailing) is counted as one.  For example an investigation into two countries each with dumping and countervailing considered will be counted as four cases.</w:t>
      </w:r>
    </w:p>
  </w:footnote>
  <w:footnote w:id="4">
    <w:p w14:paraId="7BB79A46" w14:textId="77777777" w:rsidR="000A635B" w:rsidRDefault="000A635B" w:rsidP="00235C24">
      <w:pPr>
        <w:pStyle w:val="FootnoteText"/>
        <w:spacing w:after="0"/>
      </w:pPr>
      <w:r>
        <w:rPr>
          <w:rStyle w:val="FootnoteReference"/>
        </w:rPr>
        <w:footnoteRef/>
      </w:r>
      <w:r>
        <w:t xml:space="preserve"> OECD (2014), </w:t>
      </w:r>
      <w:r w:rsidRPr="00536490">
        <w:rPr>
          <w:i/>
        </w:rPr>
        <w:t>OECD Framework for Regulatory Policy Evaluation</w:t>
      </w:r>
      <w:r>
        <w:t xml:space="preserve">, OECD publishing, </w:t>
      </w:r>
      <w:hyperlink r:id="rId1" w:history="1">
        <w:r w:rsidRPr="00784F1C">
          <w:rPr>
            <w:rStyle w:val="Hyperlink"/>
          </w:rPr>
          <w:t>http://dx.doi.org/10.1787/9789264214453-en</w:t>
        </w:r>
      </w:hyperlink>
      <w:r>
        <w:t xml:space="preserve"> </w:t>
      </w:r>
    </w:p>
  </w:footnote>
  <w:footnote w:id="5">
    <w:p w14:paraId="7BB79A47" w14:textId="77777777" w:rsidR="000A635B" w:rsidRDefault="000A635B" w:rsidP="00235C24">
      <w:pPr>
        <w:pStyle w:val="FootnoteText"/>
      </w:pPr>
      <w:r>
        <w:rPr>
          <w:rStyle w:val="FootnoteReference"/>
        </w:rPr>
        <w:footnoteRef/>
      </w:r>
      <w:r>
        <w:t xml:space="preserve"> Australian Government Department of Finance (2015), </w:t>
      </w:r>
      <w:r w:rsidRPr="00A3502A">
        <w:rPr>
          <w:i/>
        </w:rPr>
        <w:t>Resource Management Guide no.131: Developing good performance information</w:t>
      </w:r>
      <w:r>
        <w:t xml:space="preserve">, </w:t>
      </w:r>
      <w:hyperlink r:id="rId2" w:history="1">
        <w:r w:rsidRPr="00A3502A">
          <w:rPr>
            <w:rStyle w:val="Hyperlink"/>
          </w:rPr>
          <w:t>http://www.finance.gov.au/resource-management/performance/</w:t>
        </w:r>
      </w:hyperlink>
      <w:r>
        <w:t xml:space="preserve"> </w:t>
      </w:r>
    </w:p>
  </w:footnote>
  <w:footnote w:id="6">
    <w:p w14:paraId="7BB79A48" w14:textId="77777777" w:rsidR="000A635B" w:rsidRDefault="000A635B" w:rsidP="00235C24">
      <w:pPr>
        <w:pStyle w:val="FootnoteText"/>
      </w:pPr>
      <w:r>
        <w:rPr>
          <w:rStyle w:val="FootnoteReference"/>
        </w:rPr>
        <w:footnoteRef/>
      </w:r>
      <w:r>
        <w:t xml:space="preserve"> Australian Government Department of the Prime Minister and Cabinet (2014), Cutting Red Tape, </w:t>
      </w:r>
      <w:r w:rsidRPr="00F10F6D">
        <w:rPr>
          <w:rStyle w:val="Hyperlink"/>
        </w:rPr>
        <w:t>http://www.cuttingredtape.gov.au/resources/rpf</w:t>
      </w:r>
    </w:p>
  </w:footnote>
  <w:footnote w:id="7">
    <w:p w14:paraId="7BB79A49" w14:textId="77777777" w:rsidR="000A635B" w:rsidRDefault="000A635B" w:rsidP="00235C24">
      <w:pPr>
        <w:pStyle w:val="FootnoteText"/>
      </w:pPr>
      <w:r>
        <w:rPr>
          <w:rStyle w:val="FootnoteReference"/>
        </w:rPr>
        <w:footnoteRef/>
      </w:r>
      <w:r>
        <w:t xml:space="preserve"> Australian Government Productivity Commission (2014), Regulator Audit Framework, </w:t>
      </w:r>
      <w:hyperlink r:id="rId3" w:history="1">
        <w:r w:rsidRPr="0044014A">
          <w:rPr>
            <w:rStyle w:val="Hyperlink"/>
          </w:rPr>
          <w:t>http://www.pc.gov.au/research/supporting/regulator-audit-framework</w:t>
        </w:r>
      </w:hyperlink>
      <w:r>
        <w:t xml:space="preserve"> </w:t>
      </w:r>
    </w:p>
  </w:footnote>
  <w:footnote w:id="8">
    <w:p w14:paraId="7BB79A4A" w14:textId="77777777" w:rsidR="000A635B" w:rsidRDefault="000A635B" w:rsidP="00E43A12">
      <w:pPr>
        <w:pStyle w:val="FootnoteText"/>
      </w:pPr>
      <w:r>
        <w:rPr>
          <w:rStyle w:val="FootnoteReference"/>
        </w:rPr>
        <w:footnoteRef/>
      </w:r>
      <w:r>
        <w:t xml:space="preserve"> The government’s expectations for each KPI are explained in full in the Regulator Performance Framework. </w:t>
      </w:r>
    </w:p>
    <w:p w14:paraId="7BB79A4B" w14:textId="77777777" w:rsidR="000A635B" w:rsidRDefault="000A635B" w:rsidP="00E43A12">
      <w:pPr>
        <w:pStyle w:val="FootnoteText"/>
      </w:pPr>
      <w:r>
        <w:t xml:space="preserve">Australian Government Department of the Prime Minister and Cabinet (2014), Cutting Red Tape, </w:t>
      </w:r>
      <w:r w:rsidRPr="00F10F6D">
        <w:rPr>
          <w:rStyle w:val="Hyperlink"/>
        </w:rPr>
        <w:t>http://www.cuttingredtape.gov.au/resources/rpf</w:t>
      </w:r>
      <w:r>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DC4D" w14:textId="1B04A760" w:rsidR="000A635B" w:rsidRDefault="000A63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79A3D" w14:textId="02123CAE" w:rsidR="000A635B" w:rsidRPr="007B6E7A" w:rsidRDefault="000A635B" w:rsidP="007B6E7A">
    <w:pPr>
      <w:pStyle w:val="Header"/>
      <w:jc w:val="center"/>
      <w:rPr>
        <w:color w:val="FF0000"/>
      </w:rPr>
    </w:pPr>
    <w:r>
      <w:rPr>
        <w:color w:val="FF0000"/>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79A41" w14:textId="69CA9009" w:rsidR="000A635B" w:rsidRDefault="000A6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0F05DB2"/>
    <w:lvl w:ilvl="0">
      <w:start w:val="1"/>
      <w:numFmt w:val="bullet"/>
      <w:pStyle w:val="ListBullet2"/>
      <w:lvlText w:val=""/>
      <w:lvlJc w:val="left"/>
      <w:pPr>
        <w:ind w:left="644" w:hanging="360"/>
      </w:pPr>
      <w:rPr>
        <w:rFonts w:ascii="Symbol" w:hAnsi="Symbol" w:hint="default"/>
        <w:b/>
        <w:i w:val="0"/>
        <w:color w:val="3494BA" w:themeColor="accent1"/>
      </w:rPr>
    </w:lvl>
  </w:abstractNum>
  <w:abstractNum w:abstractNumId="1" w15:restartNumberingAfterBreak="0">
    <w:nsid w:val="FFFFFF89"/>
    <w:multiLevelType w:val="singleLevel"/>
    <w:tmpl w:val="131A1AA8"/>
    <w:lvl w:ilvl="0">
      <w:start w:val="1"/>
      <w:numFmt w:val="bullet"/>
      <w:pStyle w:val="ListBullet"/>
      <w:lvlText w:val=""/>
      <w:lvlJc w:val="left"/>
      <w:pPr>
        <w:ind w:left="360" w:hanging="360"/>
      </w:pPr>
      <w:rPr>
        <w:rFonts w:ascii="Symbol" w:hAnsi="Symbol" w:hint="default"/>
        <w:color w:val="3494BA" w:themeColor="accent1"/>
      </w:rPr>
    </w:lvl>
  </w:abstractNum>
  <w:abstractNum w:abstractNumId="2" w15:restartNumberingAfterBreak="0">
    <w:nsid w:val="0148444F"/>
    <w:multiLevelType w:val="hybridMultilevel"/>
    <w:tmpl w:val="BB346DC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BE5AC9"/>
    <w:multiLevelType w:val="hybridMultilevel"/>
    <w:tmpl w:val="55A05FF4"/>
    <w:lvl w:ilvl="0" w:tplc="FFFFFFFF">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A0FF8"/>
    <w:multiLevelType w:val="hybridMultilevel"/>
    <w:tmpl w:val="BB3A50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557275"/>
    <w:multiLevelType w:val="hybridMultilevel"/>
    <w:tmpl w:val="7F4264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383C6B"/>
    <w:multiLevelType w:val="hybridMultilevel"/>
    <w:tmpl w:val="3FFACCB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784AE2"/>
    <w:multiLevelType w:val="multilevel"/>
    <w:tmpl w:val="33CA39FC"/>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D0728D"/>
    <w:multiLevelType w:val="hybridMultilevel"/>
    <w:tmpl w:val="5F4C7E9E"/>
    <w:lvl w:ilvl="0" w:tplc="F1B68ADE">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1E5B5211"/>
    <w:multiLevelType w:val="hybridMultilevel"/>
    <w:tmpl w:val="2796F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4A2CC7"/>
    <w:multiLevelType w:val="hybridMultilevel"/>
    <w:tmpl w:val="12583DB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AF4EB1"/>
    <w:multiLevelType w:val="hybridMultilevel"/>
    <w:tmpl w:val="4AFCFF6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DE3C6C"/>
    <w:multiLevelType w:val="hybridMultilevel"/>
    <w:tmpl w:val="79ECE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4658F"/>
    <w:multiLevelType w:val="hybridMultilevel"/>
    <w:tmpl w:val="EACAE31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7F20E4"/>
    <w:multiLevelType w:val="hybridMultilevel"/>
    <w:tmpl w:val="F68276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0E2A5A"/>
    <w:multiLevelType w:val="hybridMultilevel"/>
    <w:tmpl w:val="02E8FF04"/>
    <w:lvl w:ilvl="0" w:tplc="80A6E5BC">
      <w:start w:val="3"/>
      <w:numFmt w:val="bullet"/>
      <w:lvlText w:val="-"/>
      <w:lvlJc w:val="left"/>
      <w:pPr>
        <w:ind w:left="720" w:hanging="360"/>
      </w:pPr>
      <w:rPr>
        <w:rFonts w:ascii="Arial" w:eastAsiaTheme="minorHAnsi"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133D6A"/>
    <w:multiLevelType w:val="hybridMultilevel"/>
    <w:tmpl w:val="70862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292261"/>
    <w:multiLevelType w:val="hybridMultilevel"/>
    <w:tmpl w:val="27BEEEE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545A91"/>
    <w:multiLevelType w:val="hybridMultilevel"/>
    <w:tmpl w:val="6B10B61A"/>
    <w:lvl w:ilvl="0" w:tplc="0C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B231C5"/>
    <w:multiLevelType w:val="hybridMultilevel"/>
    <w:tmpl w:val="3E549E1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7E38CA"/>
    <w:multiLevelType w:val="hybridMultilevel"/>
    <w:tmpl w:val="D66465C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626296"/>
    <w:multiLevelType w:val="hybridMultilevel"/>
    <w:tmpl w:val="3898A1E4"/>
    <w:lvl w:ilvl="0" w:tplc="F322F106">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2" w15:restartNumberingAfterBreak="0">
    <w:nsid w:val="5CA329A0"/>
    <w:multiLevelType w:val="hybridMultilevel"/>
    <w:tmpl w:val="3322170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EE6EBC"/>
    <w:multiLevelType w:val="hybridMultilevel"/>
    <w:tmpl w:val="E426492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ED7ED9"/>
    <w:multiLevelType w:val="hybridMultilevel"/>
    <w:tmpl w:val="2FD45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365086"/>
    <w:multiLevelType w:val="hybridMultilevel"/>
    <w:tmpl w:val="E93ADA7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C37E44"/>
    <w:multiLevelType w:val="hybridMultilevel"/>
    <w:tmpl w:val="BA2E0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B57C50"/>
    <w:multiLevelType w:val="hybridMultilevel"/>
    <w:tmpl w:val="4A02A072"/>
    <w:lvl w:ilvl="0" w:tplc="0C090001">
      <w:start w:val="1"/>
      <w:numFmt w:val="bullet"/>
      <w:lvlText w:val=""/>
      <w:lvlJc w:val="left"/>
      <w:pPr>
        <w:ind w:left="567" w:hanging="360"/>
      </w:pPr>
      <w:rPr>
        <w:rFonts w:ascii="Symbol" w:hAnsi="Symbol" w:hint="default"/>
      </w:rPr>
    </w:lvl>
    <w:lvl w:ilvl="1" w:tplc="0C090003">
      <w:start w:val="1"/>
      <w:numFmt w:val="bullet"/>
      <w:lvlText w:val="o"/>
      <w:lvlJc w:val="left"/>
      <w:pPr>
        <w:ind w:left="1287" w:hanging="360"/>
      </w:pPr>
      <w:rPr>
        <w:rFonts w:ascii="Courier New" w:hAnsi="Courier New" w:cs="Courier New" w:hint="default"/>
      </w:rPr>
    </w:lvl>
    <w:lvl w:ilvl="2" w:tplc="0C090005">
      <w:start w:val="1"/>
      <w:numFmt w:val="bullet"/>
      <w:lvlText w:val=""/>
      <w:lvlJc w:val="left"/>
      <w:pPr>
        <w:ind w:left="2007" w:hanging="360"/>
      </w:pPr>
      <w:rPr>
        <w:rFonts w:ascii="Wingdings" w:hAnsi="Wingdings" w:hint="default"/>
      </w:rPr>
    </w:lvl>
    <w:lvl w:ilvl="3" w:tplc="0C09000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28" w15:restartNumberingAfterBreak="0">
    <w:nsid w:val="7C203D92"/>
    <w:multiLevelType w:val="hybridMultilevel"/>
    <w:tmpl w:val="B09A94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C20627"/>
    <w:multiLevelType w:val="hybridMultilevel"/>
    <w:tmpl w:val="92C2B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7"/>
    <w:lvlOverride w:ilvl="0">
      <w:startOverride w:val="1"/>
    </w:lvlOverride>
  </w:num>
  <w:num w:numId="5">
    <w:abstractNumId w:val="27"/>
  </w:num>
  <w:num w:numId="6">
    <w:abstractNumId w:val="24"/>
  </w:num>
  <w:num w:numId="7">
    <w:abstractNumId w:val="26"/>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20"/>
  </w:num>
  <w:num w:numId="10">
    <w:abstractNumId w:val="4"/>
  </w:num>
  <w:num w:numId="11">
    <w:abstractNumId w:val="14"/>
  </w:num>
  <w:num w:numId="12">
    <w:abstractNumId w:val="29"/>
  </w:num>
  <w:num w:numId="13">
    <w:abstractNumId w:val="10"/>
  </w:num>
  <w:num w:numId="14">
    <w:abstractNumId w:val="17"/>
  </w:num>
  <w:num w:numId="15">
    <w:abstractNumId w:val="11"/>
  </w:num>
  <w:num w:numId="16">
    <w:abstractNumId w:val="5"/>
  </w:num>
  <w:num w:numId="17">
    <w:abstractNumId w:val="28"/>
  </w:num>
  <w:num w:numId="18">
    <w:abstractNumId w:val="6"/>
  </w:num>
  <w:num w:numId="19">
    <w:abstractNumId w:val="2"/>
  </w:num>
  <w:num w:numId="20">
    <w:abstractNumId w:val="22"/>
  </w:num>
  <w:num w:numId="21">
    <w:abstractNumId w:val="25"/>
  </w:num>
  <w:num w:numId="22">
    <w:abstractNumId w:val="19"/>
  </w:num>
  <w:num w:numId="23">
    <w:abstractNumId w:val="23"/>
  </w:num>
  <w:num w:numId="24">
    <w:abstractNumId w:val="21"/>
  </w:num>
  <w:num w:numId="25">
    <w:abstractNumId w:val="9"/>
  </w:num>
  <w:num w:numId="26">
    <w:abstractNumId w:val="8"/>
  </w:num>
  <w:num w:numId="27">
    <w:abstractNumId w:val="13"/>
  </w:num>
  <w:num w:numId="28">
    <w:abstractNumId w:val="16"/>
  </w:num>
  <w:num w:numId="29">
    <w:abstractNumId w:val="15"/>
  </w:num>
  <w:num w:numId="30">
    <w:abstractNumId w:val="18"/>
  </w:num>
  <w:num w:numId="3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50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F5"/>
    <w:rsid w:val="00003AA0"/>
    <w:rsid w:val="00004F76"/>
    <w:rsid w:val="00005C94"/>
    <w:rsid w:val="000077B0"/>
    <w:rsid w:val="00007F23"/>
    <w:rsid w:val="00010D62"/>
    <w:rsid w:val="00014B82"/>
    <w:rsid w:val="00014C8E"/>
    <w:rsid w:val="00014F58"/>
    <w:rsid w:val="00015C21"/>
    <w:rsid w:val="00016C2F"/>
    <w:rsid w:val="00017F22"/>
    <w:rsid w:val="00020B54"/>
    <w:rsid w:val="000228F4"/>
    <w:rsid w:val="00024324"/>
    <w:rsid w:val="00033AFB"/>
    <w:rsid w:val="000348F3"/>
    <w:rsid w:val="000360A4"/>
    <w:rsid w:val="00036C41"/>
    <w:rsid w:val="000403A4"/>
    <w:rsid w:val="00041369"/>
    <w:rsid w:val="000435DE"/>
    <w:rsid w:val="00044712"/>
    <w:rsid w:val="00044EE4"/>
    <w:rsid w:val="00046EBE"/>
    <w:rsid w:val="0005010B"/>
    <w:rsid w:val="00051586"/>
    <w:rsid w:val="00051761"/>
    <w:rsid w:val="00054895"/>
    <w:rsid w:val="000555A3"/>
    <w:rsid w:val="00057727"/>
    <w:rsid w:val="000635B3"/>
    <w:rsid w:val="00063C3D"/>
    <w:rsid w:val="00064AEE"/>
    <w:rsid w:val="00065F55"/>
    <w:rsid w:val="0006636D"/>
    <w:rsid w:val="00066A5D"/>
    <w:rsid w:val="0007225C"/>
    <w:rsid w:val="00072541"/>
    <w:rsid w:val="00074C27"/>
    <w:rsid w:val="00080965"/>
    <w:rsid w:val="0008149B"/>
    <w:rsid w:val="00084C7D"/>
    <w:rsid w:val="000855C1"/>
    <w:rsid w:val="00086058"/>
    <w:rsid w:val="000870D6"/>
    <w:rsid w:val="000874EE"/>
    <w:rsid w:val="00087525"/>
    <w:rsid w:val="00090CE1"/>
    <w:rsid w:val="000926DF"/>
    <w:rsid w:val="00093156"/>
    <w:rsid w:val="00093C99"/>
    <w:rsid w:val="00093D09"/>
    <w:rsid w:val="00094322"/>
    <w:rsid w:val="000A2D63"/>
    <w:rsid w:val="000A3726"/>
    <w:rsid w:val="000A476B"/>
    <w:rsid w:val="000A5104"/>
    <w:rsid w:val="000A5FD1"/>
    <w:rsid w:val="000A635B"/>
    <w:rsid w:val="000B04A6"/>
    <w:rsid w:val="000B0AAE"/>
    <w:rsid w:val="000B238F"/>
    <w:rsid w:val="000B24E3"/>
    <w:rsid w:val="000B422A"/>
    <w:rsid w:val="000B7422"/>
    <w:rsid w:val="000B772C"/>
    <w:rsid w:val="000C0129"/>
    <w:rsid w:val="000C18ED"/>
    <w:rsid w:val="000C3A89"/>
    <w:rsid w:val="000C5582"/>
    <w:rsid w:val="000D2B86"/>
    <w:rsid w:val="000D33B2"/>
    <w:rsid w:val="000D37BC"/>
    <w:rsid w:val="000D57F7"/>
    <w:rsid w:val="000E252E"/>
    <w:rsid w:val="000E4A2C"/>
    <w:rsid w:val="000E4BD2"/>
    <w:rsid w:val="000E5149"/>
    <w:rsid w:val="000F1870"/>
    <w:rsid w:val="000F1E33"/>
    <w:rsid w:val="000F205F"/>
    <w:rsid w:val="000F23DA"/>
    <w:rsid w:val="000F2DC1"/>
    <w:rsid w:val="000F47D7"/>
    <w:rsid w:val="000F5CA7"/>
    <w:rsid w:val="00100B81"/>
    <w:rsid w:val="00104735"/>
    <w:rsid w:val="00105598"/>
    <w:rsid w:val="0010690C"/>
    <w:rsid w:val="00110A56"/>
    <w:rsid w:val="00111D36"/>
    <w:rsid w:val="00112825"/>
    <w:rsid w:val="00113E93"/>
    <w:rsid w:val="00114777"/>
    <w:rsid w:val="00114F92"/>
    <w:rsid w:val="001156D2"/>
    <w:rsid w:val="0011664E"/>
    <w:rsid w:val="001209BB"/>
    <w:rsid w:val="00121573"/>
    <w:rsid w:val="00122598"/>
    <w:rsid w:val="001229F1"/>
    <w:rsid w:val="00130D91"/>
    <w:rsid w:val="00131866"/>
    <w:rsid w:val="001330B4"/>
    <w:rsid w:val="00136D7F"/>
    <w:rsid w:val="00141B87"/>
    <w:rsid w:val="00142F97"/>
    <w:rsid w:val="001431FA"/>
    <w:rsid w:val="00143AF0"/>
    <w:rsid w:val="00146D26"/>
    <w:rsid w:val="00147D51"/>
    <w:rsid w:val="001500CD"/>
    <w:rsid w:val="001518D5"/>
    <w:rsid w:val="0015234A"/>
    <w:rsid w:val="0015251C"/>
    <w:rsid w:val="00153D03"/>
    <w:rsid w:val="001541C5"/>
    <w:rsid w:val="00154DD6"/>
    <w:rsid w:val="00155E86"/>
    <w:rsid w:val="0015680E"/>
    <w:rsid w:val="00156BB0"/>
    <w:rsid w:val="00160A7B"/>
    <w:rsid w:val="0016167F"/>
    <w:rsid w:val="00161E92"/>
    <w:rsid w:val="00162724"/>
    <w:rsid w:val="00163B54"/>
    <w:rsid w:val="00164A79"/>
    <w:rsid w:val="0017284E"/>
    <w:rsid w:val="0017284F"/>
    <w:rsid w:val="00174378"/>
    <w:rsid w:val="001779BE"/>
    <w:rsid w:val="0018055D"/>
    <w:rsid w:val="00182A74"/>
    <w:rsid w:val="00183017"/>
    <w:rsid w:val="00193402"/>
    <w:rsid w:val="0019569F"/>
    <w:rsid w:val="00195966"/>
    <w:rsid w:val="001959A0"/>
    <w:rsid w:val="001A0AC1"/>
    <w:rsid w:val="001A25A3"/>
    <w:rsid w:val="001A25AE"/>
    <w:rsid w:val="001A2DC6"/>
    <w:rsid w:val="001A4087"/>
    <w:rsid w:val="001A46FD"/>
    <w:rsid w:val="001A6A30"/>
    <w:rsid w:val="001B0F01"/>
    <w:rsid w:val="001B37D0"/>
    <w:rsid w:val="001B4405"/>
    <w:rsid w:val="001B5E75"/>
    <w:rsid w:val="001C2787"/>
    <w:rsid w:val="001C2C62"/>
    <w:rsid w:val="001C4D3C"/>
    <w:rsid w:val="001C7496"/>
    <w:rsid w:val="001D1108"/>
    <w:rsid w:val="001D14A7"/>
    <w:rsid w:val="001D1D95"/>
    <w:rsid w:val="001E0389"/>
    <w:rsid w:val="001E135B"/>
    <w:rsid w:val="001E27CC"/>
    <w:rsid w:val="001E57D8"/>
    <w:rsid w:val="001E5C8A"/>
    <w:rsid w:val="001E6D98"/>
    <w:rsid w:val="001F0B12"/>
    <w:rsid w:val="001F3B43"/>
    <w:rsid w:val="001F5F67"/>
    <w:rsid w:val="001F64FD"/>
    <w:rsid w:val="00203C92"/>
    <w:rsid w:val="002040D0"/>
    <w:rsid w:val="00204F7A"/>
    <w:rsid w:val="002053E9"/>
    <w:rsid w:val="002058D3"/>
    <w:rsid w:val="00205D49"/>
    <w:rsid w:val="0020731D"/>
    <w:rsid w:val="002140FD"/>
    <w:rsid w:val="00214C5F"/>
    <w:rsid w:val="00216355"/>
    <w:rsid w:val="0021654D"/>
    <w:rsid w:val="0021684D"/>
    <w:rsid w:val="00217EEE"/>
    <w:rsid w:val="002205A9"/>
    <w:rsid w:val="00220C50"/>
    <w:rsid w:val="0022336F"/>
    <w:rsid w:val="002263B9"/>
    <w:rsid w:val="00226472"/>
    <w:rsid w:val="00227CCA"/>
    <w:rsid w:val="002300AC"/>
    <w:rsid w:val="002303DB"/>
    <w:rsid w:val="00231E31"/>
    <w:rsid w:val="00235C24"/>
    <w:rsid w:val="00237AD6"/>
    <w:rsid w:val="002438B8"/>
    <w:rsid w:val="00244584"/>
    <w:rsid w:val="00244596"/>
    <w:rsid w:val="00244B34"/>
    <w:rsid w:val="00247488"/>
    <w:rsid w:val="00250F2D"/>
    <w:rsid w:val="002542B1"/>
    <w:rsid w:val="002544B2"/>
    <w:rsid w:val="00254BBC"/>
    <w:rsid w:val="00255F95"/>
    <w:rsid w:val="00256105"/>
    <w:rsid w:val="00257201"/>
    <w:rsid w:val="00260399"/>
    <w:rsid w:val="00261C81"/>
    <w:rsid w:val="00263E00"/>
    <w:rsid w:val="0026452E"/>
    <w:rsid w:val="00265D93"/>
    <w:rsid w:val="00267907"/>
    <w:rsid w:val="002679A3"/>
    <w:rsid w:val="002714B6"/>
    <w:rsid w:val="00271893"/>
    <w:rsid w:val="0027196A"/>
    <w:rsid w:val="00271D69"/>
    <w:rsid w:val="00274381"/>
    <w:rsid w:val="00275573"/>
    <w:rsid w:val="002827CD"/>
    <w:rsid w:val="002831AD"/>
    <w:rsid w:val="00290115"/>
    <w:rsid w:val="00292558"/>
    <w:rsid w:val="0029436D"/>
    <w:rsid w:val="002953C2"/>
    <w:rsid w:val="00297177"/>
    <w:rsid w:val="002977E4"/>
    <w:rsid w:val="00297F0A"/>
    <w:rsid w:val="002A23F9"/>
    <w:rsid w:val="002A2A22"/>
    <w:rsid w:val="002A4841"/>
    <w:rsid w:val="002A4AC8"/>
    <w:rsid w:val="002A67DF"/>
    <w:rsid w:val="002B01D1"/>
    <w:rsid w:val="002B57BF"/>
    <w:rsid w:val="002B5963"/>
    <w:rsid w:val="002B6BC1"/>
    <w:rsid w:val="002C011B"/>
    <w:rsid w:val="002C0C05"/>
    <w:rsid w:val="002C3424"/>
    <w:rsid w:val="002C46E9"/>
    <w:rsid w:val="002C4757"/>
    <w:rsid w:val="002C49A2"/>
    <w:rsid w:val="002C50DF"/>
    <w:rsid w:val="002C7A1E"/>
    <w:rsid w:val="002D17D6"/>
    <w:rsid w:val="002D1B4E"/>
    <w:rsid w:val="002D3954"/>
    <w:rsid w:val="002D7C5B"/>
    <w:rsid w:val="002E005D"/>
    <w:rsid w:val="002E0DB6"/>
    <w:rsid w:val="002E14EA"/>
    <w:rsid w:val="002E201E"/>
    <w:rsid w:val="002E265A"/>
    <w:rsid w:val="002E2915"/>
    <w:rsid w:val="002E4447"/>
    <w:rsid w:val="002E4EA9"/>
    <w:rsid w:val="002E550C"/>
    <w:rsid w:val="002E6F0D"/>
    <w:rsid w:val="002E770F"/>
    <w:rsid w:val="002E7A92"/>
    <w:rsid w:val="002F003E"/>
    <w:rsid w:val="002F025E"/>
    <w:rsid w:val="002F16FA"/>
    <w:rsid w:val="002F49C4"/>
    <w:rsid w:val="002F5B75"/>
    <w:rsid w:val="002F65AF"/>
    <w:rsid w:val="002F7931"/>
    <w:rsid w:val="00301558"/>
    <w:rsid w:val="00301600"/>
    <w:rsid w:val="003047BF"/>
    <w:rsid w:val="00304B71"/>
    <w:rsid w:val="00304E99"/>
    <w:rsid w:val="00304F04"/>
    <w:rsid w:val="00305BF3"/>
    <w:rsid w:val="00306753"/>
    <w:rsid w:val="00311718"/>
    <w:rsid w:val="00311EB0"/>
    <w:rsid w:val="00312321"/>
    <w:rsid w:val="00314AA4"/>
    <w:rsid w:val="0031658C"/>
    <w:rsid w:val="00316814"/>
    <w:rsid w:val="0031688A"/>
    <w:rsid w:val="00320346"/>
    <w:rsid w:val="00320F18"/>
    <w:rsid w:val="003306B8"/>
    <w:rsid w:val="00333C59"/>
    <w:rsid w:val="003404CB"/>
    <w:rsid w:val="00341E31"/>
    <w:rsid w:val="0034444B"/>
    <w:rsid w:val="00345BA6"/>
    <w:rsid w:val="00346742"/>
    <w:rsid w:val="00347C0B"/>
    <w:rsid w:val="003506B5"/>
    <w:rsid w:val="00355703"/>
    <w:rsid w:val="003567A7"/>
    <w:rsid w:val="003614D2"/>
    <w:rsid w:val="003630F9"/>
    <w:rsid w:val="0036406F"/>
    <w:rsid w:val="00364214"/>
    <w:rsid w:val="003647CA"/>
    <w:rsid w:val="00364F2F"/>
    <w:rsid w:val="00367300"/>
    <w:rsid w:val="00367BF5"/>
    <w:rsid w:val="00371438"/>
    <w:rsid w:val="00372E76"/>
    <w:rsid w:val="00375A1E"/>
    <w:rsid w:val="0037761B"/>
    <w:rsid w:val="00381F54"/>
    <w:rsid w:val="0038442D"/>
    <w:rsid w:val="00385042"/>
    <w:rsid w:val="003854B8"/>
    <w:rsid w:val="00386E0F"/>
    <w:rsid w:val="003873A4"/>
    <w:rsid w:val="0038740E"/>
    <w:rsid w:val="003905A6"/>
    <w:rsid w:val="0039235C"/>
    <w:rsid w:val="00393008"/>
    <w:rsid w:val="00394252"/>
    <w:rsid w:val="003967C4"/>
    <w:rsid w:val="00396A04"/>
    <w:rsid w:val="00396B39"/>
    <w:rsid w:val="00397DD1"/>
    <w:rsid w:val="003A29E7"/>
    <w:rsid w:val="003A2D40"/>
    <w:rsid w:val="003A30A5"/>
    <w:rsid w:val="003B1761"/>
    <w:rsid w:val="003B1EE6"/>
    <w:rsid w:val="003B2337"/>
    <w:rsid w:val="003B244A"/>
    <w:rsid w:val="003B5628"/>
    <w:rsid w:val="003B625D"/>
    <w:rsid w:val="003D10DA"/>
    <w:rsid w:val="003D19FC"/>
    <w:rsid w:val="003D21A8"/>
    <w:rsid w:val="003D22EC"/>
    <w:rsid w:val="003D2D9A"/>
    <w:rsid w:val="003E1393"/>
    <w:rsid w:val="003E19C8"/>
    <w:rsid w:val="003E22A3"/>
    <w:rsid w:val="003E37F2"/>
    <w:rsid w:val="003E3E63"/>
    <w:rsid w:val="003E7A3C"/>
    <w:rsid w:val="003E7E64"/>
    <w:rsid w:val="003F01B6"/>
    <w:rsid w:val="003F1106"/>
    <w:rsid w:val="003F2D85"/>
    <w:rsid w:val="003F4C86"/>
    <w:rsid w:val="003F7E50"/>
    <w:rsid w:val="0040015C"/>
    <w:rsid w:val="00400224"/>
    <w:rsid w:val="00402E42"/>
    <w:rsid w:val="00403190"/>
    <w:rsid w:val="004059EF"/>
    <w:rsid w:val="00405A3F"/>
    <w:rsid w:val="00405D9E"/>
    <w:rsid w:val="004066C5"/>
    <w:rsid w:val="00406A09"/>
    <w:rsid w:val="00406DF4"/>
    <w:rsid w:val="00407ECA"/>
    <w:rsid w:val="004111E9"/>
    <w:rsid w:val="004128BD"/>
    <w:rsid w:val="00412E93"/>
    <w:rsid w:val="004134A7"/>
    <w:rsid w:val="00416E48"/>
    <w:rsid w:val="00417C8C"/>
    <w:rsid w:val="00422090"/>
    <w:rsid w:val="0042226D"/>
    <w:rsid w:val="0042262F"/>
    <w:rsid w:val="00424A36"/>
    <w:rsid w:val="00427240"/>
    <w:rsid w:val="0043033C"/>
    <w:rsid w:val="00433288"/>
    <w:rsid w:val="0043446D"/>
    <w:rsid w:val="004352D6"/>
    <w:rsid w:val="0043558C"/>
    <w:rsid w:val="00436643"/>
    <w:rsid w:val="00436B60"/>
    <w:rsid w:val="00441BC0"/>
    <w:rsid w:val="00444174"/>
    <w:rsid w:val="004449B9"/>
    <w:rsid w:val="00452BA6"/>
    <w:rsid w:val="004542D6"/>
    <w:rsid w:val="004549AA"/>
    <w:rsid w:val="00455445"/>
    <w:rsid w:val="00460CD8"/>
    <w:rsid w:val="004627BB"/>
    <w:rsid w:val="004717C3"/>
    <w:rsid w:val="00473552"/>
    <w:rsid w:val="00474CD5"/>
    <w:rsid w:val="00474FA2"/>
    <w:rsid w:val="004804B7"/>
    <w:rsid w:val="00481BEF"/>
    <w:rsid w:val="0048260B"/>
    <w:rsid w:val="00483A98"/>
    <w:rsid w:val="0048519C"/>
    <w:rsid w:val="00486708"/>
    <w:rsid w:val="004879E2"/>
    <w:rsid w:val="00490869"/>
    <w:rsid w:val="00494BF3"/>
    <w:rsid w:val="004A1BDB"/>
    <w:rsid w:val="004A1D0A"/>
    <w:rsid w:val="004A2B02"/>
    <w:rsid w:val="004A3B8E"/>
    <w:rsid w:val="004A636B"/>
    <w:rsid w:val="004A6E4D"/>
    <w:rsid w:val="004A76B6"/>
    <w:rsid w:val="004B0441"/>
    <w:rsid w:val="004B0738"/>
    <w:rsid w:val="004B2C75"/>
    <w:rsid w:val="004B417C"/>
    <w:rsid w:val="004B49B7"/>
    <w:rsid w:val="004B67DB"/>
    <w:rsid w:val="004B7143"/>
    <w:rsid w:val="004C0342"/>
    <w:rsid w:val="004C15E1"/>
    <w:rsid w:val="004C21C7"/>
    <w:rsid w:val="004C2D9A"/>
    <w:rsid w:val="004C331C"/>
    <w:rsid w:val="004D1082"/>
    <w:rsid w:val="004D1214"/>
    <w:rsid w:val="004D3484"/>
    <w:rsid w:val="004D7779"/>
    <w:rsid w:val="004E12C5"/>
    <w:rsid w:val="004E157D"/>
    <w:rsid w:val="004E2C7D"/>
    <w:rsid w:val="004E39EE"/>
    <w:rsid w:val="004E3D54"/>
    <w:rsid w:val="004E53E0"/>
    <w:rsid w:val="004E7A48"/>
    <w:rsid w:val="004F0F9E"/>
    <w:rsid w:val="004F1FBA"/>
    <w:rsid w:val="004F315E"/>
    <w:rsid w:val="004F31CC"/>
    <w:rsid w:val="004F4D76"/>
    <w:rsid w:val="004F6464"/>
    <w:rsid w:val="004F68B8"/>
    <w:rsid w:val="0050009D"/>
    <w:rsid w:val="00500460"/>
    <w:rsid w:val="005011B7"/>
    <w:rsid w:val="005021CE"/>
    <w:rsid w:val="005067E3"/>
    <w:rsid w:val="00506B54"/>
    <w:rsid w:val="00507CA7"/>
    <w:rsid w:val="00511207"/>
    <w:rsid w:val="00511D74"/>
    <w:rsid w:val="005126B9"/>
    <w:rsid w:val="00513530"/>
    <w:rsid w:val="00515909"/>
    <w:rsid w:val="00516184"/>
    <w:rsid w:val="00517324"/>
    <w:rsid w:val="00517E16"/>
    <w:rsid w:val="005201D9"/>
    <w:rsid w:val="00520DC5"/>
    <w:rsid w:val="005234A5"/>
    <w:rsid w:val="00526832"/>
    <w:rsid w:val="00527094"/>
    <w:rsid w:val="00527E5A"/>
    <w:rsid w:val="0053257E"/>
    <w:rsid w:val="005329B7"/>
    <w:rsid w:val="005352AC"/>
    <w:rsid w:val="00535ADE"/>
    <w:rsid w:val="00540AFD"/>
    <w:rsid w:val="00545771"/>
    <w:rsid w:val="00553C0C"/>
    <w:rsid w:val="00555ADC"/>
    <w:rsid w:val="005563B4"/>
    <w:rsid w:val="00556924"/>
    <w:rsid w:val="00561DBE"/>
    <w:rsid w:val="005642F2"/>
    <w:rsid w:val="005652B9"/>
    <w:rsid w:val="00566F6B"/>
    <w:rsid w:val="0056735E"/>
    <w:rsid w:val="00567EBE"/>
    <w:rsid w:val="00570286"/>
    <w:rsid w:val="005709BE"/>
    <w:rsid w:val="00570DA0"/>
    <w:rsid w:val="005714AB"/>
    <w:rsid w:val="00574853"/>
    <w:rsid w:val="00574A23"/>
    <w:rsid w:val="00574B6E"/>
    <w:rsid w:val="005757A1"/>
    <w:rsid w:val="0058208D"/>
    <w:rsid w:val="00584A43"/>
    <w:rsid w:val="00585806"/>
    <w:rsid w:val="005864ED"/>
    <w:rsid w:val="00586877"/>
    <w:rsid w:val="00586B4E"/>
    <w:rsid w:val="00586D7C"/>
    <w:rsid w:val="00590D7D"/>
    <w:rsid w:val="005911D3"/>
    <w:rsid w:val="00595A0A"/>
    <w:rsid w:val="00597FC9"/>
    <w:rsid w:val="005A25E2"/>
    <w:rsid w:val="005A260F"/>
    <w:rsid w:val="005A3C23"/>
    <w:rsid w:val="005A6897"/>
    <w:rsid w:val="005A6B24"/>
    <w:rsid w:val="005B1FD1"/>
    <w:rsid w:val="005B3102"/>
    <w:rsid w:val="005B31F4"/>
    <w:rsid w:val="005B3A86"/>
    <w:rsid w:val="005B4EBA"/>
    <w:rsid w:val="005B5D01"/>
    <w:rsid w:val="005B635C"/>
    <w:rsid w:val="005C079F"/>
    <w:rsid w:val="005C0EA6"/>
    <w:rsid w:val="005C17D2"/>
    <w:rsid w:val="005C3B08"/>
    <w:rsid w:val="005C69C7"/>
    <w:rsid w:val="005D0228"/>
    <w:rsid w:val="005D1FA1"/>
    <w:rsid w:val="005D302D"/>
    <w:rsid w:val="005D3FB0"/>
    <w:rsid w:val="005D577D"/>
    <w:rsid w:val="005E2F61"/>
    <w:rsid w:val="005E2F9E"/>
    <w:rsid w:val="005E3B8C"/>
    <w:rsid w:val="005E45B8"/>
    <w:rsid w:val="005E50F0"/>
    <w:rsid w:val="005F1934"/>
    <w:rsid w:val="005F21F1"/>
    <w:rsid w:val="005F2F51"/>
    <w:rsid w:val="005F3733"/>
    <w:rsid w:val="005F5F7D"/>
    <w:rsid w:val="006001E9"/>
    <w:rsid w:val="00600A35"/>
    <w:rsid w:val="00602C92"/>
    <w:rsid w:val="006053B8"/>
    <w:rsid w:val="006104CB"/>
    <w:rsid w:val="00611D37"/>
    <w:rsid w:val="0061541F"/>
    <w:rsid w:val="0062042A"/>
    <w:rsid w:val="00620EDA"/>
    <w:rsid w:val="0062295E"/>
    <w:rsid w:val="006246E1"/>
    <w:rsid w:val="0062502D"/>
    <w:rsid w:val="00626DC6"/>
    <w:rsid w:val="00626E9E"/>
    <w:rsid w:val="006272A4"/>
    <w:rsid w:val="006276A8"/>
    <w:rsid w:val="00637615"/>
    <w:rsid w:val="00637B5F"/>
    <w:rsid w:val="00643C22"/>
    <w:rsid w:val="006442BE"/>
    <w:rsid w:val="00644F64"/>
    <w:rsid w:val="00646ADE"/>
    <w:rsid w:val="00647DD4"/>
    <w:rsid w:val="0065466A"/>
    <w:rsid w:val="00654D06"/>
    <w:rsid w:val="00655157"/>
    <w:rsid w:val="00656E59"/>
    <w:rsid w:val="00660A8A"/>
    <w:rsid w:val="0066207A"/>
    <w:rsid w:val="00666271"/>
    <w:rsid w:val="006706A3"/>
    <w:rsid w:val="00672233"/>
    <w:rsid w:val="006725FA"/>
    <w:rsid w:val="0067326D"/>
    <w:rsid w:val="00676150"/>
    <w:rsid w:val="00676E27"/>
    <w:rsid w:val="0067745C"/>
    <w:rsid w:val="00677889"/>
    <w:rsid w:val="006800B0"/>
    <w:rsid w:val="006820A5"/>
    <w:rsid w:val="006830D5"/>
    <w:rsid w:val="00683534"/>
    <w:rsid w:val="006840DD"/>
    <w:rsid w:val="006862A8"/>
    <w:rsid w:val="00690E60"/>
    <w:rsid w:val="006924F4"/>
    <w:rsid w:val="006945D1"/>
    <w:rsid w:val="006947B5"/>
    <w:rsid w:val="00697AE4"/>
    <w:rsid w:val="006A2772"/>
    <w:rsid w:val="006B1C1B"/>
    <w:rsid w:val="006B30BD"/>
    <w:rsid w:val="006B55F2"/>
    <w:rsid w:val="006B57F5"/>
    <w:rsid w:val="006B63AC"/>
    <w:rsid w:val="006B711B"/>
    <w:rsid w:val="006B7347"/>
    <w:rsid w:val="006C076F"/>
    <w:rsid w:val="006C179C"/>
    <w:rsid w:val="006C226A"/>
    <w:rsid w:val="006C2852"/>
    <w:rsid w:val="006C3193"/>
    <w:rsid w:val="006C33CB"/>
    <w:rsid w:val="006D141E"/>
    <w:rsid w:val="006D3924"/>
    <w:rsid w:val="006D3EE7"/>
    <w:rsid w:val="006D747B"/>
    <w:rsid w:val="006D7759"/>
    <w:rsid w:val="006E2199"/>
    <w:rsid w:val="006E310E"/>
    <w:rsid w:val="006E612D"/>
    <w:rsid w:val="006F0384"/>
    <w:rsid w:val="006F0712"/>
    <w:rsid w:val="006F0BFF"/>
    <w:rsid w:val="006F1A80"/>
    <w:rsid w:val="006F5C2E"/>
    <w:rsid w:val="00702EFB"/>
    <w:rsid w:val="00706764"/>
    <w:rsid w:val="00706814"/>
    <w:rsid w:val="00712226"/>
    <w:rsid w:val="00712B6D"/>
    <w:rsid w:val="00714AB7"/>
    <w:rsid w:val="00715B21"/>
    <w:rsid w:val="007204C8"/>
    <w:rsid w:val="00723B30"/>
    <w:rsid w:val="00723D45"/>
    <w:rsid w:val="0072416B"/>
    <w:rsid w:val="007307BD"/>
    <w:rsid w:val="0073286A"/>
    <w:rsid w:val="00732B99"/>
    <w:rsid w:val="007400D6"/>
    <w:rsid w:val="007404F5"/>
    <w:rsid w:val="007412C5"/>
    <w:rsid w:val="00742E92"/>
    <w:rsid w:val="00744B58"/>
    <w:rsid w:val="00746C3D"/>
    <w:rsid w:val="007504AA"/>
    <w:rsid w:val="00752723"/>
    <w:rsid w:val="0075363B"/>
    <w:rsid w:val="0075369F"/>
    <w:rsid w:val="00761C81"/>
    <w:rsid w:val="00762648"/>
    <w:rsid w:val="00763ACC"/>
    <w:rsid w:val="007653A9"/>
    <w:rsid w:val="00765A9C"/>
    <w:rsid w:val="00765F27"/>
    <w:rsid w:val="00770BB2"/>
    <w:rsid w:val="007726F5"/>
    <w:rsid w:val="007747E3"/>
    <w:rsid w:val="007773AA"/>
    <w:rsid w:val="00777EB0"/>
    <w:rsid w:val="00781C4F"/>
    <w:rsid w:val="00783AB1"/>
    <w:rsid w:val="00783C04"/>
    <w:rsid w:val="00783E50"/>
    <w:rsid w:val="00783FE6"/>
    <w:rsid w:val="00790B31"/>
    <w:rsid w:val="00792C26"/>
    <w:rsid w:val="0079331B"/>
    <w:rsid w:val="007A0893"/>
    <w:rsid w:val="007A2364"/>
    <w:rsid w:val="007A50F5"/>
    <w:rsid w:val="007A5ADD"/>
    <w:rsid w:val="007B0157"/>
    <w:rsid w:val="007B3D0E"/>
    <w:rsid w:val="007B508D"/>
    <w:rsid w:val="007B5CAE"/>
    <w:rsid w:val="007B6010"/>
    <w:rsid w:val="007B6E7A"/>
    <w:rsid w:val="007C0E26"/>
    <w:rsid w:val="007C1045"/>
    <w:rsid w:val="007C259B"/>
    <w:rsid w:val="007C5771"/>
    <w:rsid w:val="007C68FC"/>
    <w:rsid w:val="007D1585"/>
    <w:rsid w:val="007D1A44"/>
    <w:rsid w:val="007D2EAE"/>
    <w:rsid w:val="007D2FC5"/>
    <w:rsid w:val="007D35D5"/>
    <w:rsid w:val="007D3872"/>
    <w:rsid w:val="007D496E"/>
    <w:rsid w:val="007D6109"/>
    <w:rsid w:val="007D6562"/>
    <w:rsid w:val="007E0B18"/>
    <w:rsid w:val="007E3F25"/>
    <w:rsid w:val="007F23BF"/>
    <w:rsid w:val="007F2930"/>
    <w:rsid w:val="007F5CD8"/>
    <w:rsid w:val="007F7FCA"/>
    <w:rsid w:val="00800315"/>
    <w:rsid w:val="008003F3"/>
    <w:rsid w:val="00801517"/>
    <w:rsid w:val="00802816"/>
    <w:rsid w:val="00803B79"/>
    <w:rsid w:val="008070F3"/>
    <w:rsid w:val="008115A7"/>
    <w:rsid w:val="00811D43"/>
    <w:rsid w:val="008124A6"/>
    <w:rsid w:val="008137BB"/>
    <w:rsid w:val="00816F3B"/>
    <w:rsid w:val="00821D25"/>
    <w:rsid w:val="00822068"/>
    <w:rsid w:val="00825C2D"/>
    <w:rsid w:val="00826902"/>
    <w:rsid w:val="00831F03"/>
    <w:rsid w:val="00836FEC"/>
    <w:rsid w:val="0083710C"/>
    <w:rsid w:val="00840454"/>
    <w:rsid w:val="00840C6B"/>
    <w:rsid w:val="00841F2F"/>
    <w:rsid w:val="00842B8D"/>
    <w:rsid w:val="0084378C"/>
    <w:rsid w:val="008437ED"/>
    <w:rsid w:val="00843A31"/>
    <w:rsid w:val="00846757"/>
    <w:rsid w:val="00846C76"/>
    <w:rsid w:val="008472AF"/>
    <w:rsid w:val="008478B5"/>
    <w:rsid w:val="00850038"/>
    <w:rsid w:val="0085079B"/>
    <w:rsid w:val="00852D8F"/>
    <w:rsid w:val="00853237"/>
    <w:rsid w:val="00856CE7"/>
    <w:rsid w:val="008602BC"/>
    <w:rsid w:val="008611BC"/>
    <w:rsid w:val="0086122B"/>
    <w:rsid w:val="00861BF8"/>
    <w:rsid w:val="008637C5"/>
    <w:rsid w:val="00867DC5"/>
    <w:rsid w:val="00870C33"/>
    <w:rsid w:val="00871EFE"/>
    <w:rsid w:val="00875BFE"/>
    <w:rsid w:val="00877295"/>
    <w:rsid w:val="00880C9F"/>
    <w:rsid w:val="00881432"/>
    <w:rsid w:val="0088260D"/>
    <w:rsid w:val="0088599C"/>
    <w:rsid w:val="00885E32"/>
    <w:rsid w:val="0088639D"/>
    <w:rsid w:val="008867D0"/>
    <w:rsid w:val="008872A1"/>
    <w:rsid w:val="0089171F"/>
    <w:rsid w:val="008A162D"/>
    <w:rsid w:val="008A5D5C"/>
    <w:rsid w:val="008A650A"/>
    <w:rsid w:val="008A6517"/>
    <w:rsid w:val="008A65DF"/>
    <w:rsid w:val="008B1D8E"/>
    <w:rsid w:val="008B3F32"/>
    <w:rsid w:val="008B60C6"/>
    <w:rsid w:val="008B7C24"/>
    <w:rsid w:val="008C65C5"/>
    <w:rsid w:val="008C6981"/>
    <w:rsid w:val="008C69AA"/>
    <w:rsid w:val="008D122F"/>
    <w:rsid w:val="008D1241"/>
    <w:rsid w:val="008D17BC"/>
    <w:rsid w:val="008D4962"/>
    <w:rsid w:val="008D4969"/>
    <w:rsid w:val="008D6BA5"/>
    <w:rsid w:val="008D6C0B"/>
    <w:rsid w:val="008D6F6A"/>
    <w:rsid w:val="008E252E"/>
    <w:rsid w:val="008E2E86"/>
    <w:rsid w:val="008E55DA"/>
    <w:rsid w:val="008E65C8"/>
    <w:rsid w:val="008F2833"/>
    <w:rsid w:val="008F3B8D"/>
    <w:rsid w:val="008F5900"/>
    <w:rsid w:val="008F64B7"/>
    <w:rsid w:val="00900BE1"/>
    <w:rsid w:val="00904CCC"/>
    <w:rsid w:val="00907192"/>
    <w:rsid w:val="00907D79"/>
    <w:rsid w:val="009116B1"/>
    <w:rsid w:val="00912918"/>
    <w:rsid w:val="00915145"/>
    <w:rsid w:val="009164D4"/>
    <w:rsid w:val="00923797"/>
    <w:rsid w:val="009239EA"/>
    <w:rsid w:val="00923D75"/>
    <w:rsid w:val="009251D7"/>
    <w:rsid w:val="0092684D"/>
    <w:rsid w:val="009274E3"/>
    <w:rsid w:val="00932848"/>
    <w:rsid w:val="009409CE"/>
    <w:rsid w:val="00941849"/>
    <w:rsid w:val="00943E56"/>
    <w:rsid w:val="00953A6A"/>
    <w:rsid w:val="00953B87"/>
    <w:rsid w:val="0095572A"/>
    <w:rsid w:val="00956813"/>
    <w:rsid w:val="00956D2F"/>
    <w:rsid w:val="00957CE7"/>
    <w:rsid w:val="0096259D"/>
    <w:rsid w:val="00970040"/>
    <w:rsid w:val="009730AF"/>
    <w:rsid w:val="00973C03"/>
    <w:rsid w:val="009753DB"/>
    <w:rsid w:val="00975726"/>
    <w:rsid w:val="00981854"/>
    <w:rsid w:val="009826A1"/>
    <w:rsid w:val="009839F9"/>
    <w:rsid w:val="0098538B"/>
    <w:rsid w:val="009855C5"/>
    <w:rsid w:val="0098655C"/>
    <w:rsid w:val="00986B91"/>
    <w:rsid w:val="00987282"/>
    <w:rsid w:val="00987DB4"/>
    <w:rsid w:val="00990998"/>
    <w:rsid w:val="009914D0"/>
    <w:rsid w:val="00991FDD"/>
    <w:rsid w:val="00992DF5"/>
    <w:rsid w:val="00995A58"/>
    <w:rsid w:val="009977E2"/>
    <w:rsid w:val="009A0EF0"/>
    <w:rsid w:val="009A5141"/>
    <w:rsid w:val="009A755D"/>
    <w:rsid w:val="009B07E9"/>
    <w:rsid w:val="009B0DC5"/>
    <w:rsid w:val="009B225C"/>
    <w:rsid w:val="009B2F4A"/>
    <w:rsid w:val="009B54F7"/>
    <w:rsid w:val="009B6A18"/>
    <w:rsid w:val="009C10DC"/>
    <w:rsid w:val="009C37F0"/>
    <w:rsid w:val="009C5CD4"/>
    <w:rsid w:val="009C7818"/>
    <w:rsid w:val="009C7BFB"/>
    <w:rsid w:val="009D0DFC"/>
    <w:rsid w:val="009D1211"/>
    <w:rsid w:val="009D2AF4"/>
    <w:rsid w:val="009D3301"/>
    <w:rsid w:val="009D3650"/>
    <w:rsid w:val="009D378A"/>
    <w:rsid w:val="009D3D84"/>
    <w:rsid w:val="009D7BB6"/>
    <w:rsid w:val="009E3AA0"/>
    <w:rsid w:val="009E671E"/>
    <w:rsid w:val="009E6A83"/>
    <w:rsid w:val="009E7071"/>
    <w:rsid w:val="009F0F4D"/>
    <w:rsid w:val="009F1E53"/>
    <w:rsid w:val="009F1EFD"/>
    <w:rsid w:val="009F22EE"/>
    <w:rsid w:val="009F2C25"/>
    <w:rsid w:val="009F30E5"/>
    <w:rsid w:val="009F5301"/>
    <w:rsid w:val="009F63BB"/>
    <w:rsid w:val="009F6D70"/>
    <w:rsid w:val="00A00241"/>
    <w:rsid w:val="00A00552"/>
    <w:rsid w:val="00A021F3"/>
    <w:rsid w:val="00A04DD7"/>
    <w:rsid w:val="00A04FFC"/>
    <w:rsid w:val="00A054DE"/>
    <w:rsid w:val="00A06D68"/>
    <w:rsid w:val="00A07927"/>
    <w:rsid w:val="00A07CDD"/>
    <w:rsid w:val="00A132DA"/>
    <w:rsid w:val="00A155E6"/>
    <w:rsid w:val="00A15B95"/>
    <w:rsid w:val="00A208C8"/>
    <w:rsid w:val="00A2134C"/>
    <w:rsid w:val="00A23B7A"/>
    <w:rsid w:val="00A24AE4"/>
    <w:rsid w:val="00A25849"/>
    <w:rsid w:val="00A264CD"/>
    <w:rsid w:val="00A270B6"/>
    <w:rsid w:val="00A32AAA"/>
    <w:rsid w:val="00A3711E"/>
    <w:rsid w:val="00A40646"/>
    <w:rsid w:val="00A41288"/>
    <w:rsid w:val="00A422C7"/>
    <w:rsid w:val="00A42A4D"/>
    <w:rsid w:val="00A42C3B"/>
    <w:rsid w:val="00A447C6"/>
    <w:rsid w:val="00A448DF"/>
    <w:rsid w:val="00A45D77"/>
    <w:rsid w:val="00A4772B"/>
    <w:rsid w:val="00A51083"/>
    <w:rsid w:val="00A51E16"/>
    <w:rsid w:val="00A54413"/>
    <w:rsid w:val="00A5479B"/>
    <w:rsid w:val="00A55775"/>
    <w:rsid w:val="00A57156"/>
    <w:rsid w:val="00A60304"/>
    <w:rsid w:val="00A60376"/>
    <w:rsid w:val="00A63765"/>
    <w:rsid w:val="00A653AA"/>
    <w:rsid w:val="00A65B01"/>
    <w:rsid w:val="00A65C8D"/>
    <w:rsid w:val="00A65EE3"/>
    <w:rsid w:val="00A662FC"/>
    <w:rsid w:val="00A672B6"/>
    <w:rsid w:val="00A710F1"/>
    <w:rsid w:val="00A717FB"/>
    <w:rsid w:val="00A7255E"/>
    <w:rsid w:val="00A73990"/>
    <w:rsid w:val="00A73A6F"/>
    <w:rsid w:val="00A74A9B"/>
    <w:rsid w:val="00A82068"/>
    <w:rsid w:val="00A83162"/>
    <w:rsid w:val="00A833A5"/>
    <w:rsid w:val="00A84D61"/>
    <w:rsid w:val="00A85BA1"/>
    <w:rsid w:val="00A86434"/>
    <w:rsid w:val="00A9330B"/>
    <w:rsid w:val="00A94458"/>
    <w:rsid w:val="00A965AA"/>
    <w:rsid w:val="00A965BB"/>
    <w:rsid w:val="00A97753"/>
    <w:rsid w:val="00AA16BE"/>
    <w:rsid w:val="00AA3975"/>
    <w:rsid w:val="00AA7571"/>
    <w:rsid w:val="00AA78B8"/>
    <w:rsid w:val="00AB0191"/>
    <w:rsid w:val="00AB0227"/>
    <w:rsid w:val="00AB1C56"/>
    <w:rsid w:val="00AB4589"/>
    <w:rsid w:val="00AB59D2"/>
    <w:rsid w:val="00AC0195"/>
    <w:rsid w:val="00AC0582"/>
    <w:rsid w:val="00AC2AC9"/>
    <w:rsid w:val="00AC3644"/>
    <w:rsid w:val="00AC49DE"/>
    <w:rsid w:val="00AC50AC"/>
    <w:rsid w:val="00AC6175"/>
    <w:rsid w:val="00AC63DF"/>
    <w:rsid w:val="00AD05B5"/>
    <w:rsid w:val="00AD18C7"/>
    <w:rsid w:val="00AD21CE"/>
    <w:rsid w:val="00AD44A2"/>
    <w:rsid w:val="00AD4F48"/>
    <w:rsid w:val="00AD7D5F"/>
    <w:rsid w:val="00AE01D4"/>
    <w:rsid w:val="00AE140F"/>
    <w:rsid w:val="00AE3423"/>
    <w:rsid w:val="00AE34D9"/>
    <w:rsid w:val="00AE4DEA"/>
    <w:rsid w:val="00AE6658"/>
    <w:rsid w:val="00AE6740"/>
    <w:rsid w:val="00AE74A9"/>
    <w:rsid w:val="00AE7901"/>
    <w:rsid w:val="00AE7911"/>
    <w:rsid w:val="00AF0622"/>
    <w:rsid w:val="00AF0728"/>
    <w:rsid w:val="00AF599E"/>
    <w:rsid w:val="00AF6AD1"/>
    <w:rsid w:val="00AF7642"/>
    <w:rsid w:val="00AF7B4B"/>
    <w:rsid w:val="00B00EEB"/>
    <w:rsid w:val="00B0106E"/>
    <w:rsid w:val="00B01C9E"/>
    <w:rsid w:val="00B02547"/>
    <w:rsid w:val="00B03D37"/>
    <w:rsid w:val="00B06E41"/>
    <w:rsid w:val="00B077C9"/>
    <w:rsid w:val="00B162EB"/>
    <w:rsid w:val="00B1674E"/>
    <w:rsid w:val="00B20604"/>
    <w:rsid w:val="00B212C6"/>
    <w:rsid w:val="00B227A0"/>
    <w:rsid w:val="00B2569F"/>
    <w:rsid w:val="00B26C25"/>
    <w:rsid w:val="00B315DB"/>
    <w:rsid w:val="00B362C3"/>
    <w:rsid w:val="00B37916"/>
    <w:rsid w:val="00B37D5B"/>
    <w:rsid w:val="00B42A78"/>
    <w:rsid w:val="00B46C28"/>
    <w:rsid w:val="00B4734F"/>
    <w:rsid w:val="00B47EF8"/>
    <w:rsid w:val="00B51477"/>
    <w:rsid w:val="00B52630"/>
    <w:rsid w:val="00B526AB"/>
    <w:rsid w:val="00B53981"/>
    <w:rsid w:val="00B56FD0"/>
    <w:rsid w:val="00B57643"/>
    <w:rsid w:val="00B60DFF"/>
    <w:rsid w:val="00B6148D"/>
    <w:rsid w:val="00B66788"/>
    <w:rsid w:val="00B6690F"/>
    <w:rsid w:val="00B67BC9"/>
    <w:rsid w:val="00B710D5"/>
    <w:rsid w:val="00B73162"/>
    <w:rsid w:val="00B75FB2"/>
    <w:rsid w:val="00B85B73"/>
    <w:rsid w:val="00B90B63"/>
    <w:rsid w:val="00B9289D"/>
    <w:rsid w:val="00B928B0"/>
    <w:rsid w:val="00B934FB"/>
    <w:rsid w:val="00B967B1"/>
    <w:rsid w:val="00B97691"/>
    <w:rsid w:val="00B97A52"/>
    <w:rsid w:val="00BA6D79"/>
    <w:rsid w:val="00BB5361"/>
    <w:rsid w:val="00BC1055"/>
    <w:rsid w:val="00BC2926"/>
    <w:rsid w:val="00BC392F"/>
    <w:rsid w:val="00BC3FF6"/>
    <w:rsid w:val="00BC4872"/>
    <w:rsid w:val="00BC6961"/>
    <w:rsid w:val="00BC7E63"/>
    <w:rsid w:val="00BD2D31"/>
    <w:rsid w:val="00BD354A"/>
    <w:rsid w:val="00BD57C3"/>
    <w:rsid w:val="00BE6C28"/>
    <w:rsid w:val="00BE75A8"/>
    <w:rsid w:val="00BF127D"/>
    <w:rsid w:val="00BF2D87"/>
    <w:rsid w:val="00BF4C1C"/>
    <w:rsid w:val="00BF5939"/>
    <w:rsid w:val="00BF5A72"/>
    <w:rsid w:val="00C00B0E"/>
    <w:rsid w:val="00C01661"/>
    <w:rsid w:val="00C02BD4"/>
    <w:rsid w:val="00C072FC"/>
    <w:rsid w:val="00C07AD0"/>
    <w:rsid w:val="00C11625"/>
    <w:rsid w:val="00C14C8F"/>
    <w:rsid w:val="00C15D88"/>
    <w:rsid w:val="00C17EC1"/>
    <w:rsid w:val="00C23643"/>
    <w:rsid w:val="00C24511"/>
    <w:rsid w:val="00C246C1"/>
    <w:rsid w:val="00C24B19"/>
    <w:rsid w:val="00C268FC"/>
    <w:rsid w:val="00C27B2B"/>
    <w:rsid w:val="00C30916"/>
    <w:rsid w:val="00C32E45"/>
    <w:rsid w:val="00C3311A"/>
    <w:rsid w:val="00C33346"/>
    <w:rsid w:val="00C33625"/>
    <w:rsid w:val="00C352FF"/>
    <w:rsid w:val="00C37317"/>
    <w:rsid w:val="00C374EC"/>
    <w:rsid w:val="00C423AA"/>
    <w:rsid w:val="00C43286"/>
    <w:rsid w:val="00C45F80"/>
    <w:rsid w:val="00C47005"/>
    <w:rsid w:val="00C515AA"/>
    <w:rsid w:val="00C51E10"/>
    <w:rsid w:val="00C56A5A"/>
    <w:rsid w:val="00C6094F"/>
    <w:rsid w:val="00C626E9"/>
    <w:rsid w:val="00C63CA5"/>
    <w:rsid w:val="00C661B3"/>
    <w:rsid w:val="00C661BB"/>
    <w:rsid w:val="00C66E65"/>
    <w:rsid w:val="00C739DB"/>
    <w:rsid w:val="00C7524B"/>
    <w:rsid w:val="00C75410"/>
    <w:rsid w:val="00C760B2"/>
    <w:rsid w:val="00C81ADD"/>
    <w:rsid w:val="00C82F88"/>
    <w:rsid w:val="00C9016B"/>
    <w:rsid w:val="00C905E8"/>
    <w:rsid w:val="00C90686"/>
    <w:rsid w:val="00C908BF"/>
    <w:rsid w:val="00C92A07"/>
    <w:rsid w:val="00C92B93"/>
    <w:rsid w:val="00C9641D"/>
    <w:rsid w:val="00C97F69"/>
    <w:rsid w:val="00CA4ECB"/>
    <w:rsid w:val="00CB2680"/>
    <w:rsid w:val="00CB29FF"/>
    <w:rsid w:val="00CB5D3D"/>
    <w:rsid w:val="00CB6E82"/>
    <w:rsid w:val="00CC1FB1"/>
    <w:rsid w:val="00CC5186"/>
    <w:rsid w:val="00CC54D8"/>
    <w:rsid w:val="00CC5C95"/>
    <w:rsid w:val="00CC717D"/>
    <w:rsid w:val="00CC76F0"/>
    <w:rsid w:val="00CC7875"/>
    <w:rsid w:val="00CD1518"/>
    <w:rsid w:val="00CD1BC7"/>
    <w:rsid w:val="00CD1DB2"/>
    <w:rsid w:val="00CD23F0"/>
    <w:rsid w:val="00CD41BA"/>
    <w:rsid w:val="00CD5C34"/>
    <w:rsid w:val="00CD6F5A"/>
    <w:rsid w:val="00CD7E4F"/>
    <w:rsid w:val="00CE1EBB"/>
    <w:rsid w:val="00CE2B66"/>
    <w:rsid w:val="00CE370F"/>
    <w:rsid w:val="00CE3B0E"/>
    <w:rsid w:val="00CE5B9C"/>
    <w:rsid w:val="00CE7F49"/>
    <w:rsid w:val="00CE7FC6"/>
    <w:rsid w:val="00CF10C1"/>
    <w:rsid w:val="00CF7E1C"/>
    <w:rsid w:val="00D03128"/>
    <w:rsid w:val="00D07192"/>
    <w:rsid w:val="00D07220"/>
    <w:rsid w:val="00D073D1"/>
    <w:rsid w:val="00D129AD"/>
    <w:rsid w:val="00D12DC0"/>
    <w:rsid w:val="00D2285E"/>
    <w:rsid w:val="00D34351"/>
    <w:rsid w:val="00D364B2"/>
    <w:rsid w:val="00D40CF0"/>
    <w:rsid w:val="00D4117A"/>
    <w:rsid w:val="00D4123D"/>
    <w:rsid w:val="00D44367"/>
    <w:rsid w:val="00D46D83"/>
    <w:rsid w:val="00D47DD7"/>
    <w:rsid w:val="00D50EC7"/>
    <w:rsid w:val="00D50F99"/>
    <w:rsid w:val="00D51288"/>
    <w:rsid w:val="00D539BE"/>
    <w:rsid w:val="00D53CDA"/>
    <w:rsid w:val="00D53F9F"/>
    <w:rsid w:val="00D605D1"/>
    <w:rsid w:val="00D64866"/>
    <w:rsid w:val="00D659CE"/>
    <w:rsid w:val="00D7088A"/>
    <w:rsid w:val="00D7114C"/>
    <w:rsid w:val="00D71A70"/>
    <w:rsid w:val="00D72532"/>
    <w:rsid w:val="00D73630"/>
    <w:rsid w:val="00D73656"/>
    <w:rsid w:val="00D73BD8"/>
    <w:rsid w:val="00D7413F"/>
    <w:rsid w:val="00D7711E"/>
    <w:rsid w:val="00D81C66"/>
    <w:rsid w:val="00D84647"/>
    <w:rsid w:val="00D860A3"/>
    <w:rsid w:val="00D87BC8"/>
    <w:rsid w:val="00D910F0"/>
    <w:rsid w:val="00D9184B"/>
    <w:rsid w:val="00D9192C"/>
    <w:rsid w:val="00D925F8"/>
    <w:rsid w:val="00D93F35"/>
    <w:rsid w:val="00D94281"/>
    <w:rsid w:val="00D94C11"/>
    <w:rsid w:val="00D95714"/>
    <w:rsid w:val="00D958BD"/>
    <w:rsid w:val="00D96D39"/>
    <w:rsid w:val="00D972BF"/>
    <w:rsid w:val="00DA0F02"/>
    <w:rsid w:val="00DA2F6C"/>
    <w:rsid w:val="00DA3393"/>
    <w:rsid w:val="00DA346E"/>
    <w:rsid w:val="00DA401A"/>
    <w:rsid w:val="00DA4813"/>
    <w:rsid w:val="00DB4AA7"/>
    <w:rsid w:val="00DB5DAF"/>
    <w:rsid w:val="00DB64D1"/>
    <w:rsid w:val="00DB6B66"/>
    <w:rsid w:val="00DC05F1"/>
    <w:rsid w:val="00DC135F"/>
    <w:rsid w:val="00DC2442"/>
    <w:rsid w:val="00DC29BE"/>
    <w:rsid w:val="00DC45D0"/>
    <w:rsid w:val="00DC4CD9"/>
    <w:rsid w:val="00DD0DFB"/>
    <w:rsid w:val="00DD132D"/>
    <w:rsid w:val="00DD1C36"/>
    <w:rsid w:val="00DD47A5"/>
    <w:rsid w:val="00DD5E9A"/>
    <w:rsid w:val="00DD62E3"/>
    <w:rsid w:val="00DD630E"/>
    <w:rsid w:val="00DD6413"/>
    <w:rsid w:val="00DD7D8C"/>
    <w:rsid w:val="00DE1F42"/>
    <w:rsid w:val="00DE4134"/>
    <w:rsid w:val="00DF0029"/>
    <w:rsid w:val="00DF09B4"/>
    <w:rsid w:val="00DF0CFC"/>
    <w:rsid w:val="00DF6C0D"/>
    <w:rsid w:val="00DF71B6"/>
    <w:rsid w:val="00DF7991"/>
    <w:rsid w:val="00E01732"/>
    <w:rsid w:val="00E029B2"/>
    <w:rsid w:val="00E057BD"/>
    <w:rsid w:val="00E07E46"/>
    <w:rsid w:val="00E1152A"/>
    <w:rsid w:val="00E12B25"/>
    <w:rsid w:val="00E16F0E"/>
    <w:rsid w:val="00E17C6F"/>
    <w:rsid w:val="00E2118D"/>
    <w:rsid w:val="00E21B55"/>
    <w:rsid w:val="00E230C7"/>
    <w:rsid w:val="00E30AF7"/>
    <w:rsid w:val="00E32089"/>
    <w:rsid w:val="00E32ACB"/>
    <w:rsid w:val="00E333F8"/>
    <w:rsid w:val="00E35311"/>
    <w:rsid w:val="00E3574C"/>
    <w:rsid w:val="00E357CA"/>
    <w:rsid w:val="00E41535"/>
    <w:rsid w:val="00E43A12"/>
    <w:rsid w:val="00E4740D"/>
    <w:rsid w:val="00E47C40"/>
    <w:rsid w:val="00E521D7"/>
    <w:rsid w:val="00E53D30"/>
    <w:rsid w:val="00E54E40"/>
    <w:rsid w:val="00E55777"/>
    <w:rsid w:val="00E55EAD"/>
    <w:rsid w:val="00E56BA4"/>
    <w:rsid w:val="00E56BB0"/>
    <w:rsid w:val="00E57E81"/>
    <w:rsid w:val="00E620DE"/>
    <w:rsid w:val="00E6490C"/>
    <w:rsid w:val="00E65585"/>
    <w:rsid w:val="00E67B94"/>
    <w:rsid w:val="00E67CA7"/>
    <w:rsid w:val="00E717B8"/>
    <w:rsid w:val="00E719E4"/>
    <w:rsid w:val="00E72774"/>
    <w:rsid w:val="00E7445C"/>
    <w:rsid w:val="00E76485"/>
    <w:rsid w:val="00E819E5"/>
    <w:rsid w:val="00E82112"/>
    <w:rsid w:val="00E84224"/>
    <w:rsid w:val="00E84605"/>
    <w:rsid w:val="00E8654E"/>
    <w:rsid w:val="00E901C6"/>
    <w:rsid w:val="00E92BEF"/>
    <w:rsid w:val="00E93561"/>
    <w:rsid w:val="00E95114"/>
    <w:rsid w:val="00E9523A"/>
    <w:rsid w:val="00E97136"/>
    <w:rsid w:val="00EA2769"/>
    <w:rsid w:val="00EA2F6C"/>
    <w:rsid w:val="00EA3829"/>
    <w:rsid w:val="00EA4131"/>
    <w:rsid w:val="00EA5439"/>
    <w:rsid w:val="00EB1961"/>
    <w:rsid w:val="00EB214B"/>
    <w:rsid w:val="00EB3CBE"/>
    <w:rsid w:val="00EB4750"/>
    <w:rsid w:val="00EB6934"/>
    <w:rsid w:val="00EC0872"/>
    <w:rsid w:val="00EC1722"/>
    <w:rsid w:val="00EC2A20"/>
    <w:rsid w:val="00EC4A12"/>
    <w:rsid w:val="00EC5192"/>
    <w:rsid w:val="00EC76CF"/>
    <w:rsid w:val="00EC7ED4"/>
    <w:rsid w:val="00ED17D8"/>
    <w:rsid w:val="00ED1E42"/>
    <w:rsid w:val="00EE4B40"/>
    <w:rsid w:val="00EE58D8"/>
    <w:rsid w:val="00EE6C2F"/>
    <w:rsid w:val="00EE7CFA"/>
    <w:rsid w:val="00EF2F20"/>
    <w:rsid w:val="00EF5509"/>
    <w:rsid w:val="00EF5DD0"/>
    <w:rsid w:val="00EF6072"/>
    <w:rsid w:val="00EF632B"/>
    <w:rsid w:val="00EF6765"/>
    <w:rsid w:val="00EF7873"/>
    <w:rsid w:val="00F029AE"/>
    <w:rsid w:val="00F06676"/>
    <w:rsid w:val="00F06F04"/>
    <w:rsid w:val="00F06F3D"/>
    <w:rsid w:val="00F10376"/>
    <w:rsid w:val="00F11624"/>
    <w:rsid w:val="00F11C75"/>
    <w:rsid w:val="00F1206B"/>
    <w:rsid w:val="00F158DB"/>
    <w:rsid w:val="00F167BF"/>
    <w:rsid w:val="00F17925"/>
    <w:rsid w:val="00F203D5"/>
    <w:rsid w:val="00F2188C"/>
    <w:rsid w:val="00F21F5A"/>
    <w:rsid w:val="00F227FF"/>
    <w:rsid w:val="00F22985"/>
    <w:rsid w:val="00F22FA2"/>
    <w:rsid w:val="00F23112"/>
    <w:rsid w:val="00F24737"/>
    <w:rsid w:val="00F25F29"/>
    <w:rsid w:val="00F26EC0"/>
    <w:rsid w:val="00F278E0"/>
    <w:rsid w:val="00F30632"/>
    <w:rsid w:val="00F317DB"/>
    <w:rsid w:val="00F34C8F"/>
    <w:rsid w:val="00F411DB"/>
    <w:rsid w:val="00F47407"/>
    <w:rsid w:val="00F50369"/>
    <w:rsid w:val="00F519D6"/>
    <w:rsid w:val="00F5439F"/>
    <w:rsid w:val="00F55873"/>
    <w:rsid w:val="00F559AA"/>
    <w:rsid w:val="00F55EF8"/>
    <w:rsid w:val="00F56433"/>
    <w:rsid w:val="00F57E4C"/>
    <w:rsid w:val="00F63EA1"/>
    <w:rsid w:val="00F654E8"/>
    <w:rsid w:val="00F65666"/>
    <w:rsid w:val="00F66F91"/>
    <w:rsid w:val="00F71E71"/>
    <w:rsid w:val="00F763CB"/>
    <w:rsid w:val="00F76816"/>
    <w:rsid w:val="00F77196"/>
    <w:rsid w:val="00F80799"/>
    <w:rsid w:val="00F835B6"/>
    <w:rsid w:val="00F85C77"/>
    <w:rsid w:val="00F928B0"/>
    <w:rsid w:val="00F95866"/>
    <w:rsid w:val="00F96B12"/>
    <w:rsid w:val="00F97817"/>
    <w:rsid w:val="00F97E9A"/>
    <w:rsid w:val="00F97FCB"/>
    <w:rsid w:val="00FA07A8"/>
    <w:rsid w:val="00FA1944"/>
    <w:rsid w:val="00FB1725"/>
    <w:rsid w:val="00FB26F3"/>
    <w:rsid w:val="00FB2CEF"/>
    <w:rsid w:val="00FC1A62"/>
    <w:rsid w:val="00FC432E"/>
    <w:rsid w:val="00FC5C40"/>
    <w:rsid w:val="00FC707E"/>
    <w:rsid w:val="00FC70DE"/>
    <w:rsid w:val="00FD0005"/>
    <w:rsid w:val="00FD01FB"/>
    <w:rsid w:val="00FD31E9"/>
    <w:rsid w:val="00FD5DE8"/>
    <w:rsid w:val="00FE5FD0"/>
    <w:rsid w:val="00FF1D70"/>
    <w:rsid w:val="00FF29CC"/>
    <w:rsid w:val="00FF453B"/>
    <w:rsid w:val="00FF46C8"/>
    <w:rsid w:val="00FF4B89"/>
    <w:rsid w:val="00FF4EC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0209"/>
    <o:shapelayout v:ext="edit">
      <o:idmap v:ext="edit" data="1"/>
    </o:shapelayout>
  </w:shapeDefaults>
  <w:decimalSymbol w:val="."/>
  <w:listSeparator w:val=","/>
  <w14:docId w14:val="7BB7989C"/>
  <w15:docId w15:val="{9D79508A-14B1-466E-AC19-05F5B0BE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B"/>
    <w:pPr>
      <w:spacing w:after="120"/>
    </w:pPr>
    <w:rPr>
      <w:sz w:val="20"/>
    </w:rPr>
  </w:style>
  <w:style w:type="paragraph" w:styleId="Heading1">
    <w:name w:val="heading 1"/>
    <w:basedOn w:val="Normal"/>
    <w:next w:val="Normal"/>
    <w:link w:val="Heading1Char"/>
    <w:autoRedefine/>
    <w:uiPriority w:val="9"/>
    <w:qFormat/>
    <w:rsid w:val="009E7071"/>
    <w:pPr>
      <w:keepNext/>
      <w:keepLines/>
      <w:spacing w:before="480" w:after="0"/>
      <w:outlineLvl w:val="0"/>
    </w:pPr>
    <w:rPr>
      <w:rFonts w:asciiTheme="majorHAnsi" w:eastAsiaTheme="majorEastAsia" w:hAnsiTheme="majorHAnsi" w:cstheme="majorBidi"/>
      <w:b/>
      <w:bCs/>
      <w:color w:val="609DC5"/>
      <w:sz w:val="28"/>
      <w:szCs w:val="28"/>
    </w:rPr>
  </w:style>
  <w:style w:type="paragraph" w:styleId="Heading2">
    <w:name w:val="heading 2"/>
    <w:basedOn w:val="Heading1"/>
    <w:next w:val="Heading3"/>
    <w:link w:val="Heading2Char"/>
    <w:uiPriority w:val="9"/>
    <w:unhideWhenUsed/>
    <w:qFormat/>
    <w:rsid w:val="00777EB0"/>
    <w:pPr>
      <w:numPr>
        <w:ilvl w:val="1"/>
        <w:numId w:val="3"/>
      </w:numPr>
      <w:spacing w:before="0" w:after="240"/>
      <w:ind w:left="578" w:hanging="578"/>
      <w:outlineLvl w:val="1"/>
    </w:pPr>
    <w:rPr>
      <w:bCs w:val="0"/>
      <w:color w:val="EC6F60"/>
      <w:sz w:val="22"/>
      <w:szCs w:val="26"/>
    </w:rPr>
  </w:style>
  <w:style w:type="paragraph" w:styleId="Heading3">
    <w:name w:val="heading 3"/>
    <w:basedOn w:val="Heading2"/>
    <w:next w:val="Heading4"/>
    <w:link w:val="Heading3Char"/>
    <w:uiPriority w:val="9"/>
    <w:unhideWhenUsed/>
    <w:qFormat/>
    <w:rsid w:val="00EA4131"/>
    <w:pPr>
      <w:numPr>
        <w:ilvl w:val="2"/>
      </w:numPr>
      <w:outlineLvl w:val="2"/>
    </w:pPr>
    <w:rPr>
      <w:bCs/>
      <w:szCs w:val="24"/>
    </w:rPr>
  </w:style>
  <w:style w:type="paragraph" w:styleId="Heading4">
    <w:name w:val="heading 4"/>
    <w:basedOn w:val="Heading3"/>
    <w:next w:val="Heading5"/>
    <w:link w:val="Heading4Char"/>
    <w:uiPriority w:val="9"/>
    <w:unhideWhenUsed/>
    <w:qFormat/>
    <w:rsid w:val="0098655C"/>
    <w:pPr>
      <w:numPr>
        <w:ilvl w:val="3"/>
      </w:numPr>
      <w:spacing w:line="240" w:lineRule="auto"/>
      <w:outlineLvl w:val="3"/>
    </w:pPr>
    <w:rPr>
      <w:b w:val="0"/>
      <w:bCs w:val="0"/>
      <w:iCs/>
      <w:color w:val="auto"/>
    </w:rPr>
  </w:style>
  <w:style w:type="paragraph" w:styleId="Heading5">
    <w:name w:val="heading 5"/>
    <w:basedOn w:val="Normal"/>
    <w:next w:val="Normal"/>
    <w:link w:val="Heading5Char"/>
    <w:uiPriority w:val="9"/>
    <w:unhideWhenUsed/>
    <w:qFormat/>
    <w:rsid w:val="00E620DE"/>
    <w:pPr>
      <w:keepNext/>
      <w:keepLines/>
      <w:spacing w:before="200" w:after="0"/>
      <w:outlineLvl w:val="4"/>
    </w:pPr>
    <w:rPr>
      <w:rFonts w:asciiTheme="majorHAnsi" w:eastAsiaTheme="majorEastAsia" w:hAnsiTheme="majorHAnsi" w:cstheme="majorBidi"/>
      <w:b/>
      <w:color w:val="1A495C" w:themeColor="accent1" w:themeShade="7F"/>
    </w:rPr>
  </w:style>
  <w:style w:type="paragraph" w:styleId="Heading6">
    <w:name w:val="heading 6"/>
    <w:basedOn w:val="Normal"/>
    <w:next w:val="Normal"/>
    <w:link w:val="Heading6Char"/>
    <w:uiPriority w:val="9"/>
    <w:unhideWhenUsed/>
    <w:qFormat/>
    <w:rsid w:val="00E620DE"/>
    <w:pPr>
      <w:keepNext/>
      <w:keepLines/>
      <w:spacing w:before="200" w:after="0"/>
      <w:outlineLvl w:val="5"/>
    </w:pPr>
    <w:rPr>
      <w:rFonts w:asciiTheme="majorHAnsi" w:eastAsiaTheme="majorEastAsia" w:hAnsiTheme="majorHAnsi" w:cstheme="majorBidi"/>
      <w:b/>
      <w:i/>
      <w:iCs/>
      <w:color w:val="1A495C" w:themeColor="accent1" w:themeShade="7F"/>
    </w:rPr>
  </w:style>
  <w:style w:type="paragraph" w:styleId="Heading7">
    <w:name w:val="heading 7"/>
    <w:basedOn w:val="Normal"/>
    <w:next w:val="Normal"/>
    <w:link w:val="Heading7Char"/>
    <w:uiPriority w:val="9"/>
    <w:unhideWhenUsed/>
    <w:qFormat/>
    <w:rsid w:val="00E620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D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620D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726"/>
    <w:pPr>
      <w:spacing w:after="0" w:line="240" w:lineRule="auto"/>
    </w:pPr>
  </w:style>
  <w:style w:type="character" w:customStyle="1" w:styleId="Heading1Char">
    <w:name w:val="Heading 1 Char"/>
    <w:basedOn w:val="DefaultParagraphFont"/>
    <w:link w:val="Heading1"/>
    <w:uiPriority w:val="9"/>
    <w:rsid w:val="009E7071"/>
    <w:rPr>
      <w:rFonts w:asciiTheme="majorHAnsi" w:eastAsiaTheme="majorEastAsia" w:hAnsiTheme="majorHAnsi" w:cstheme="majorBidi"/>
      <w:b/>
      <w:bCs/>
      <w:color w:val="609DC5"/>
      <w:sz w:val="28"/>
      <w:szCs w:val="28"/>
    </w:rPr>
  </w:style>
  <w:style w:type="character" w:customStyle="1" w:styleId="Heading2Char">
    <w:name w:val="Heading 2 Char"/>
    <w:basedOn w:val="DefaultParagraphFont"/>
    <w:link w:val="Heading2"/>
    <w:uiPriority w:val="9"/>
    <w:rsid w:val="00777EB0"/>
    <w:rPr>
      <w:rFonts w:asciiTheme="majorHAnsi" w:eastAsiaTheme="majorEastAsia" w:hAnsiTheme="majorHAnsi" w:cstheme="majorBidi"/>
      <w:b/>
      <w:color w:val="EC6F60"/>
      <w:szCs w:val="26"/>
    </w:rPr>
  </w:style>
  <w:style w:type="paragraph" w:styleId="Title">
    <w:name w:val="Title"/>
    <w:basedOn w:val="Normal"/>
    <w:next w:val="Normal"/>
    <w:link w:val="TitleChar"/>
    <w:uiPriority w:val="10"/>
    <w:qFormat/>
    <w:rsid w:val="00FC70DE"/>
    <w:pPr>
      <w:spacing w:before="4480" w:after="480" w:line="240" w:lineRule="auto"/>
      <w:contextualSpacing/>
    </w:pPr>
    <w:rPr>
      <w:rFonts w:asciiTheme="majorHAnsi" w:eastAsiaTheme="majorEastAsia" w:hAnsiTheme="majorHAnsi" w:cstheme="majorBidi"/>
      <w:b/>
      <w:color w:val="1B1A22" w:themeColor="text2" w:themeShade="80"/>
      <w:spacing w:val="5"/>
      <w:kern w:val="28"/>
      <w:sz w:val="64"/>
      <w:szCs w:val="52"/>
    </w:rPr>
  </w:style>
  <w:style w:type="character" w:customStyle="1" w:styleId="TitleChar">
    <w:name w:val="Title Char"/>
    <w:basedOn w:val="DefaultParagraphFont"/>
    <w:link w:val="Title"/>
    <w:uiPriority w:val="10"/>
    <w:rsid w:val="00FC70DE"/>
    <w:rPr>
      <w:rFonts w:asciiTheme="majorHAnsi" w:eastAsiaTheme="majorEastAsia" w:hAnsiTheme="majorHAnsi" w:cstheme="majorBidi"/>
      <w:b/>
      <w:color w:val="1B1A22" w:themeColor="text2" w:themeShade="80"/>
      <w:spacing w:val="5"/>
      <w:kern w:val="28"/>
      <w:sz w:val="64"/>
      <w:szCs w:val="52"/>
    </w:rPr>
  </w:style>
  <w:style w:type="paragraph" w:styleId="Subtitle">
    <w:name w:val="Subtitle"/>
    <w:basedOn w:val="Normal"/>
    <w:next w:val="Normal"/>
    <w:link w:val="SubtitleChar"/>
    <w:uiPriority w:val="11"/>
    <w:qFormat/>
    <w:rsid w:val="005F1934"/>
    <w:pPr>
      <w:numPr>
        <w:ilvl w:val="1"/>
      </w:numPr>
    </w:pPr>
    <w:rPr>
      <w:rFonts w:asciiTheme="majorHAnsi" w:eastAsiaTheme="majorEastAsia" w:hAnsiTheme="majorHAnsi" w:cstheme="majorBidi"/>
      <w:iCs/>
      <w:color w:val="CEDBE6" w:themeColor="background2"/>
      <w:spacing w:val="15"/>
      <w:sz w:val="40"/>
      <w:szCs w:val="24"/>
    </w:rPr>
  </w:style>
  <w:style w:type="character" w:customStyle="1" w:styleId="SubtitleChar">
    <w:name w:val="Subtitle Char"/>
    <w:basedOn w:val="DefaultParagraphFont"/>
    <w:link w:val="Subtitle"/>
    <w:uiPriority w:val="11"/>
    <w:rsid w:val="005F1934"/>
    <w:rPr>
      <w:rFonts w:asciiTheme="majorHAnsi" w:eastAsiaTheme="majorEastAsia" w:hAnsiTheme="majorHAnsi" w:cstheme="majorBidi"/>
      <w:iCs/>
      <w:color w:val="CEDBE6" w:themeColor="background2"/>
      <w:spacing w:val="15"/>
      <w:sz w:val="40"/>
      <w:szCs w:val="24"/>
    </w:rPr>
  </w:style>
  <w:style w:type="character" w:styleId="Emphasis">
    <w:name w:val="Emphasis"/>
    <w:basedOn w:val="DefaultParagraphFont"/>
    <w:uiPriority w:val="20"/>
    <w:qFormat/>
    <w:rsid w:val="00975726"/>
    <w:rPr>
      <w:i/>
      <w:iCs/>
    </w:rPr>
  </w:style>
  <w:style w:type="character" w:styleId="Strong">
    <w:name w:val="Strong"/>
    <w:basedOn w:val="DefaultParagraphFont"/>
    <w:uiPriority w:val="22"/>
    <w:qFormat/>
    <w:rsid w:val="00975726"/>
    <w:rPr>
      <w:b/>
      <w:bCs/>
    </w:rPr>
  </w:style>
  <w:style w:type="character" w:styleId="Hyperlink">
    <w:name w:val="Hyperlink"/>
    <w:basedOn w:val="DefaultParagraphFont"/>
    <w:uiPriority w:val="99"/>
    <w:unhideWhenUsed/>
    <w:rsid w:val="00822068"/>
    <w:rPr>
      <w:color w:val="6B9F25" w:themeColor="hyperlink"/>
      <w:u w:val="single"/>
    </w:rPr>
  </w:style>
  <w:style w:type="character" w:customStyle="1" w:styleId="Heading3Char">
    <w:name w:val="Heading 3 Char"/>
    <w:basedOn w:val="DefaultParagraphFont"/>
    <w:link w:val="Heading3"/>
    <w:uiPriority w:val="9"/>
    <w:rsid w:val="00EA4131"/>
    <w:rPr>
      <w:rFonts w:asciiTheme="majorHAnsi" w:eastAsiaTheme="majorEastAsia" w:hAnsiTheme="majorHAnsi" w:cstheme="majorBidi"/>
      <w:b/>
      <w:bCs/>
      <w:color w:val="FFFFFF" w:themeColor="background1"/>
      <w:szCs w:val="24"/>
    </w:rPr>
  </w:style>
  <w:style w:type="character" w:customStyle="1" w:styleId="Heading4Char">
    <w:name w:val="Heading 4 Char"/>
    <w:basedOn w:val="DefaultParagraphFont"/>
    <w:link w:val="Heading4"/>
    <w:uiPriority w:val="9"/>
    <w:rsid w:val="0098655C"/>
    <w:rPr>
      <w:rFonts w:asciiTheme="majorHAnsi" w:eastAsiaTheme="majorEastAsia" w:hAnsiTheme="majorHAnsi" w:cstheme="majorBidi"/>
      <w:iCs/>
      <w:szCs w:val="24"/>
    </w:rPr>
  </w:style>
  <w:style w:type="character" w:customStyle="1" w:styleId="Heading5Char">
    <w:name w:val="Heading 5 Char"/>
    <w:basedOn w:val="DefaultParagraphFont"/>
    <w:link w:val="Heading5"/>
    <w:uiPriority w:val="9"/>
    <w:rsid w:val="00C81ADD"/>
    <w:rPr>
      <w:rFonts w:asciiTheme="majorHAnsi" w:eastAsiaTheme="majorEastAsia" w:hAnsiTheme="majorHAnsi" w:cstheme="majorBidi"/>
      <w:b/>
      <w:color w:val="1A495C" w:themeColor="accent1" w:themeShade="7F"/>
      <w:sz w:val="20"/>
    </w:rPr>
  </w:style>
  <w:style w:type="table" w:styleId="TableGrid">
    <w:name w:val="Table Grid"/>
    <w:basedOn w:val="TableNormal"/>
    <w:uiPriority w:val="59"/>
    <w:rsid w:val="0082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81ADD"/>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CellMar>
        <w:top w:w="57" w:type="dxa"/>
        <w:left w:w="57" w:type="dxa"/>
        <w:bottom w:w="57" w:type="dxa"/>
        <w:right w:w="57" w:type="dxa"/>
      </w:tblCellMar>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rFonts w:ascii="Adobe Caslon Pro" w:hAnsi="Adobe Caslon Pro"/>
        <w:b w:val="0"/>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rsid w:val="00822068"/>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rsid w:val="00822068"/>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rsid w:val="00822068"/>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customStyle="1" w:styleId="Style1">
    <w:name w:val="Style1"/>
    <w:basedOn w:val="TableNormal"/>
    <w:uiPriority w:val="99"/>
    <w:rsid w:val="00DA0F02"/>
    <w:pPr>
      <w:spacing w:after="0" w:line="240" w:lineRule="auto"/>
    </w:pPr>
    <w:rPr>
      <w:rFonts w:ascii="Arial" w:hAnsi="Arial"/>
      <w:color w:val="000000" w:themeColor="text1"/>
      <w:sz w:val="24"/>
    </w:rPr>
    <w:tblPr>
      <w:tblBorders>
        <w:bottom w:val="single" w:sz="2" w:space="0" w:color="3494BA" w:themeColor="accent1"/>
        <w:insideH w:val="single" w:sz="2" w:space="0" w:color="3494BA" w:themeColor="accent1"/>
      </w:tblBorders>
    </w:tblPr>
    <w:tcPr>
      <w:shd w:val="clear" w:color="auto" w:fill="auto"/>
      <w:vAlign w:val="center"/>
    </w:tcPr>
    <w:tblStylePr w:type="firstRow">
      <w:pPr>
        <w:jc w:val="left"/>
      </w:pPr>
      <w:rPr>
        <w:rFonts w:ascii="Arial" w:hAnsi="Arial"/>
        <w:b/>
        <w:color w:val="FFFFFF" w:themeColor="background1"/>
        <w:sz w:val="28"/>
      </w:rPr>
      <w:tblPr/>
      <w:tcPr>
        <w:shd w:val="clear" w:color="auto" w:fill="3494BA" w:themeFill="accent1"/>
      </w:tcPr>
    </w:tblStylePr>
    <w:tblStylePr w:type="lastRow">
      <w:pPr>
        <w:jc w:val="left"/>
      </w:pPr>
      <w:rPr>
        <w:rFonts w:ascii="Arial" w:hAnsi="Arial"/>
        <w:b/>
      </w:rPr>
    </w:tblStylePr>
    <w:tblStylePr w:type="firstCol">
      <w:rPr>
        <w:b/>
      </w:rPr>
    </w:tblStylePr>
  </w:style>
  <w:style w:type="paragraph" w:styleId="TOCHeading">
    <w:name w:val="TOC Heading"/>
    <w:basedOn w:val="Heading1"/>
    <w:next w:val="Normal"/>
    <w:uiPriority w:val="39"/>
    <w:unhideWhenUsed/>
    <w:qFormat/>
    <w:rsid w:val="00CB2680"/>
    <w:pPr>
      <w:spacing w:before="0" w:after="240"/>
      <w:outlineLvl w:val="9"/>
    </w:pPr>
    <w:rPr>
      <w:lang w:val="en-US" w:eastAsia="ja-JP"/>
    </w:rPr>
  </w:style>
  <w:style w:type="paragraph" w:styleId="TOC1">
    <w:name w:val="toc 1"/>
    <w:basedOn w:val="Normal"/>
    <w:next w:val="Normal"/>
    <w:autoRedefine/>
    <w:uiPriority w:val="39"/>
    <w:unhideWhenUsed/>
    <w:qFormat/>
    <w:rsid w:val="005E2F61"/>
    <w:pPr>
      <w:tabs>
        <w:tab w:val="left" w:pos="373"/>
        <w:tab w:val="right" w:leader="dot" w:pos="8896"/>
      </w:tabs>
      <w:spacing w:after="100"/>
    </w:pPr>
    <w:rPr>
      <w:noProof/>
      <w:sz w:val="24"/>
    </w:rPr>
  </w:style>
  <w:style w:type="paragraph" w:styleId="TOC2">
    <w:name w:val="toc 2"/>
    <w:basedOn w:val="Normal"/>
    <w:next w:val="Normal"/>
    <w:autoRedefine/>
    <w:uiPriority w:val="39"/>
    <w:unhideWhenUsed/>
    <w:qFormat/>
    <w:rsid w:val="00265D93"/>
    <w:pPr>
      <w:tabs>
        <w:tab w:val="left" w:pos="703"/>
        <w:tab w:val="right" w:leader="dot" w:pos="8896"/>
      </w:tabs>
      <w:spacing w:after="100"/>
      <w:ind w:left="200"/>
    </w:pPr>
    <w:rPr>
      <w:color w:val="373545" w:themeColor="text2"/>
    </w:rPr>
  </w:style>
  <w:style w:type="paragraph" w:styleId="TOC3">
    <w:name w:val="toc 3"/>
    <w:basedOn w:val="Normal"/>
    <w:next w:val="Normal"/>
    <w:autoRedefine/>
    <w:uiPriority w:val="39"/>
    <w:unhideWhenUsed/>
    <w:qFormat/>
    <w:rsid w:val="002E14EA"/>
    <w:pPr>
      <w:spacing w:after="100"/>
      <w:ind w:left="400"/>
    </w:pPr>
  </w:style>
  <w:style w:type="paragraph" w:styleId="BalloonText">
    <w:name w:val="Balloon Text"/>
    <w:basedOn w:val="Normal"/>
    <w:link w:val="BalloonTextChar"/>
    <w:uiPriority w:val="99"/>
    <w:semiHidden/>
    <w:unhideWhenUsed/>
    <w:rsid w:val="002E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4EA"/>
    <w:rPr>
      <w:rFonts w:ascii="Tahoma" w:hAnsi="Tahoma" w:cs="Tahoma"/>
      <w:sz w:val="16"/>
      <w:szCs w:val="16"/>
    </w:rPr>
  </w:style>
  <w:style w:type="paragraph" w:styleId="ListBullet">
    <w:name w:val="List Bullet"/>
    <w:basedOn w:val="Normal"/>
    <w:uiPriority w:val="99"/>
    <w:unhideWhenUsed/>
    <w:rsid w:val="009D7BB6"/>
    <w:pPr>
      <w:numPr>
        <w:numId w:val="1"/>
      </w:numPr>
      <w:ind w:left="284" w:hanging="284"/>
      <w:contextualSpacing/>
    </w:pPr>
  </w:style>
  <w:style w:type="paragraph" w:styleId="ListBullet2">
    <w:name w:val="List Bullet 2"/>
    <w:basedOn w:val="Normal"/>
    <w:uiPriority w:val="99"/>
    <w:unhideWhenUsed/>
    <w:rsid w:val="002F65AF"/>
    <w:pPr>
      <w:numPr>
        <w:numId w:val="2"/>
      </w:numPr>
      <w:contextualSpacing/>
    </w:pPr>
  </w:style>
  <w:style w:type="paragraph" w:styleId="Quote">
    <w:name w:val="Quote"/>
    <w:basedOn w:val="Normal"/>
    <w:next w:val="Normal"/>
    <w:link w:val="QuoteChar"/>
    <w:uiPriority w:val="29"/>
    <w:qFormat/>
    <w:rsid w:val="009D7BB6"/>
    <w:pPr>
      <w:pBdr>
        <w:top w:val="single" w:sz="4" w:space="1" w:color="75BDA7" w:themeColor="accent3"/>
        <w:bottom w:val="single" w:sz="4" w:space="1" w:color="75BDA7" w:themeColor="accent3"/>
      </w:pBdr>
      <w:spacing w:before="240" w:after="240"/>
    </w:pPr>
    <w:rPr>
      <w:i/>
      <w:iCs/>
      <w:color w:val="3494BA" w:themeColor="accent1"/>
      <w:sz w:val="24"/>
    </w:rPr>
  </w:style>
  <w:style w:type="character" w:customStyle="1" w:styleId="QuoteChar">
    <w:name w:val="Quote Char"/>
    <w:basedOn w:val="DefaultParagraphFont"/>
    <w:link w:val="Quote"/>
    <w:uiPriority w:val="29"/>
    <w:rsid w:val="009D7BB6"/>
    <w:rPr>
      <w:i/>
      <w:iCs/>
      <w:color w:val="3494BA" w:themeColor="accent1"/>
      <w:sz w:val="24"/>
    </w:rPr>
  </w:style>
  <w:style w:type="character" w:styleId="SubtleEmphasis">
    <w:name w:val="Subtle Emphasis"/>
    <w:basedOn w:val="DefaultParagraphFont"/>
    <w:uiPriority w:val="19"/>
    <w:qFormat/>
    <w:rsid w:val="005D0228"/>
    <w:rPr>
      <w:i/>
      <w:iCs/>
      <w:color w:val="808080" w:themeColor="text1" w:themeTint="7F"/>
      <w:sz w:val="28"/>
    </w:rPr>
  </w:style>
  <w:style w:type="character" w:styleId="IntenseEmphasis">
    <w:name w:val="Intense Emphasis"/>
    <w:basedOn w:val="DefaultParagraphFont"/>
    <w:uiPriority w:val="21"/>
    <w:qFormat/>
    <w:rsid w:val="005D0228"/>
    <w:rPr>
      <w:b/>
      <w:bCs/>
      <w:i/>
      <w:iCs/>
      <w:color w:val="3494BA" w:themeColor="accent1"/>
    </w:rPr>
  </w:style>
  <w:style w:type="paragraph" w:styleId="Caption">
    <w:name w:val="caption"/>
    <w:basedOn w:val="Normal"/>
    <w:next w:val="Normal"/>
    <w:uiPriority w:val="35"/>
    <w:unhideWhenUsed/>
    <w:qFormat/>
    <w:rsid w:val="00B526AB"/>
    <w:pPr>
      <w:spacing w:after="360" w:line="240" w:lineRule="auto"/>
    </w:pPr>
    <w:rPr>
      <w:bCs/>
      <w:color w:val="3494BA" w:themeColor="accent1"/>
      <w:sz w:val="18"/>
      <w:szCs w:val="18"/>
    </w:rPr>
  </w:style>
  <w:style w:type="character" w:customStyle="1" w:styleId="Tabletitle">
    <w:name w:val="Table title"/>
    <w:basedOn w:val="DefaultParagraphFont"/>
    <w:uiPriority w:val="1"/>
    <w:qFormat/>
    <w:rsid w:val="00D87BC8"/>
    <w:rPr>
      <w:b/>
      <w:color w:val="3494BA" w:themeColor="accent1"/>
    </w:rPr>
  </w:style>
  <w:style w:type="character" w:customStyle="1" w:styleId="Figuretitle">
    <w:name w:val="Figure title"/>
    <w:basedOn w:val="Tabletitle"/>
    <w:uiPriority w:val="1"/>
    <w:qFormat/>
    <w:rsid w:val="00D87BC8"/>
    <w:rPr>
      <w:b/>
      <w:color w:val="3494BA" w:themeColor="accent1"/>
    </w:rPr>
  </w:style>
  <w:style w:type="paragraph" w:customStyle="1" w:styleId="Credit">
    <w:name w:val="Credit"/>
    <w:basedOn w:val="Caption"/>
    <w:qFormat/>
    <w:rsid w:val="00A51E16"/>
    <w:rPr>
      <w:color w:val="373545" w:themeColor="text2"/>
    </w:rPr>
  </w:style>
  <w:style w:type="paragraph" w:styleId="EndnoteText">
    <w:name w:val="endnote text"/>
    <w:basedOn w:val="Normal"/>
    <w:link w:val="EndnoteTextChar"/>
    <w:uiPriority w:val="99"/>
    <w:semiHidden/>
    <w:unhideWhenUsed/>
    <w:rsid w:val="00B526AB"/>
    <w:pPr>
      <w:spacing w:after="0" w:line="240" w:lineRule="auto"/>
    </w:pPr>
    <w:rPr>
      <w:szCs w:val="20"/>
    </w:rPr>
  </w:style>
  <w:style w:type="character" w:customStyle="1" w:styleId="EndnoteTextChar">
    <w:name w:val="Endnote Text Char"/>
    <w:basedOn w:val="DefaultParagraphFont"/>
    <w:link w:val="EndnoteText"/>
    <w:uiPriority w:val="99"/>
    <w:semiHidden/>
    <w:rsid w:val="00B526AB"/>
    <w:rPr>
      <w:sz w:val="20"/>
      <w:szCs w:val="20"/>
    </w:rPr>
  </w:style>
  <w:style w:type="character" w:styleId="EndnoteReference">
    <w:name w:val="endnote reference"/>
    <w:basedOn w:val="DefaultParagraphFont"/>
    <w:uiPriority w:val="99"/>
    <w:semiHidden/>
    <w:unhideWhenUsed/>
    <w:rsid w:val="00B526AB"/>
    <w:rPr>
      <w:vertAlign w:val="superscript"/>
    </w:rPr>
  </w:style>
  <w:style w:type="paragraph" w:styleId="FootnoteText">
    <w:name w:val="footnote text"/>
    <w:basedOn w:val="Normal"/>
    <w:link w:val="FootnoteTextChar"/>
    <w:uiPriority w:val="99"/>
    <w:unhideWhenUsed/>
    <w:rsid w:val="00B526AB"/>
    <w:pPr>
      <w:spacing w:after="60" w:line="240" w:lineRule="auto"/>
    </w:pPr>
    <w:rPr>
      <w:sz w:val="16"/>
      <w:szCs w:val="20"/>
    </w:rPr>
  </w:style>
  <w:style w:type="character" w:customStyle="1" w:styleId="FootnoteTextChar">
    <w:name w:val="Footnote Text Char"/>
    <w:basedOn w:val="DefaultParagraphFont"/>
    <w:link w:val="FootnoteText"/>
    <w:uiPriority w:val="99"/>
    <w:rsid w:val="00B526AB"/>
    <w:rPr>
      <w:sz w:val="16"/>
      <w:szCs w:val="20"/>
    </w:rPr>
  </w:style>
  <w:style w:type="character" w:styleId="FootnoteReference">
    <w:name w:val="footnote reference"/>
    <w:basedOn w:val="DefaultParagraphFont"/>
    <w:uiPriority w:val="99"/>
    <w:semiHidden/>
    <w:unhideWhenUsed/>
    <w:rsid w:val="00B526AB"/>
    <w:rPr>
      <w:vertAlign w:val="superscript"/>
    </w:rPr>
  </w:style>
  <w:style w:type="paragraph" w:customStyle="1" w:styleId="Casestudy">
    <w:name w:val="Case study"/>
    <w:basedOn w:val="Normal"/>
    <w:qFormat/>
    <w:rsid w:val="00244596"/>
    <w:pPr>
      <w:pBdr>
        <w:top w:val="single" w:sz="4" w:space="4" w:color="58B6C0" w:themeColor="accent2"/>
        <w:left w:val="single" w:sz="4" w:space="4" w:color="58B6C0" w:themeColor="accent2"/>
        <w:bottom w:val="single" w:sz="4" w:space="4" w:color="58B6C0" w:themeColor="accent2"/>
        <w:right w:val="single" w:sz="4" w:space="4" w:color="58B6C0" w:themeColor="accent2"/>
      </w:pBdr>
      <w:shd w:val="clear" w:color="auto" w:fill="EDF7F8" w:themeFill="accent2" w:themeFillTint="1A"/>
      <w:ind w:left="113" w:right="113"/>
    </w:pPr>
  </w:style>
  <w:style w:type="paragraph" w:customStyle="1" w:styleId="Casestudytitle">
    <w:name w:val="Case study title"/>
    <w:basedOn w:val="Casestudy"/>
    <w:qFormat/>
    <w:rsid w:val="002D3954"/>
    <w:pPr>
      <w:spacing w:before="360"/>
    </w:pPr>
    <w:rPr>
      <w:color w:val="58B6C0" w:themeColor="accent2"/>
      <w:sz w:val="28"/>
    </w:rPr>
  </w:style>
  <w:style w:type="paragraph" w:customStyle="1" w:styleId="Casestudysource">
    <w:name w:val="Case study source"/>
    <w:basedOn w:val="Casestudy"/>
    <w:qFormat/>
    <w:rsid w:val="00F25F29"/>
    <w:pPr>
      <w:spacing w:before="240" w:after="480"/>
    </w:pPr>
    <w:rPr>
      <w:color w:val="58B6C0" w:themeColor="accent2"/>
      <w:sz w:val="16"/>
    </w:rPr>
  </w:style>
  <w:style w:type="paragraph" w:styleId="Header">
    <w:name w:val="header"/>
    <w:basedOn w:val="Normal"/>
    <w:link w:val="HeaderChar"/>
    <w:uiPriority w:val="99"/>
    <w:unhideWhenUsed/>
    <w:rsid w:val="00991F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1FDD"/>
    <w:rPr>
      <w:sz w:val="20"/>
    </w:rPr>
  </w:style>
  <w:style w:type="paragraph" w:styleId="Footer">
    <w:name w:val="footer"/>
    <w:basedOn w:val="Normal"/>
    <w:link w:val="FooterChar"/>
    <w:uiPriority w:val="99"/>
    <w:unhideWhenUsed/>
    <w:rsid w:val="00991F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1FDD"/>
    <w:rPr>
      <w:sz w:val="20"/>
    </w:rPr>
  </w:style>
  <w:style w:type="character" w:styleId="PageNumber">
    <w:name w:val="page number"/>
    <w:basedOn w:val="DefaultParagraphFont"/>
    <w:uiPriority w:val="99"/>
    <w:semiHidden/>
    <w:unhideWhenUsed/>
    <w:rsid w:val="0031658C"/>
  </w:style>
  <w:style w:type="character" w:customStyle="1" w:styleId="Heading6Char">
    <w:name w:val="Heading 6 Char"/>
    <w:basedOn w:val="DefaultParagraphFont"/>
    <w:link w:val="Heading6"/>
    <w:uiPriority w:val="9"/>
    <w:rsid w:val="00C81ADD"/>
    <w:rPr>
      <w:rFonts w:asciiTheme="majorHAnsi" w:eastAsiaTheme="majorEastAsia" w:hAnsiTheme="majorHAnsi" w:cstheme="majorBidi"/>
      <w:b/>
      <w:i/>
      <w:iCs/>
      <w:color w:val="1A495C" w:themeColor="accent1" w:themeShade="7F"/>
      <w:sz w:val="20"/>
    </w:rPr>
  </w:style>
  <w:style w:type="character" w:customStyle="1" w:styleId="Heading7Char">
    <w:name w:val="Heading 7 Char"/>
    <w:basedOn w:val="DefaultParagraphFont"/>
    <w:link w:val="Heading7"/>
    <w:uiPriority w:val="9"/>
    <w:rsid w:val="00C81ADD"/>
    <w:rPr>
      <w:rFonts w:asciiTheme="majorHAnsi" w:eastAsiaTheme="majorEastAsia" w:hAnsiTheme="majorHAnsi" w:cstheme="majorBidi"/>
      <w:i/>
      <w:iCs/>
      <w:color w:val="404040" w:themeColor="text1" w:themeTint="BF"/>
      <w:sz w:val="20"/>
    </w:rPr>
  </w:style>
  <w:style w:type="paragraph" w:styleId="TOC4">
    <w:name w:val="toc 4"/>
    <w:basedOn w:val="Normal"/>
    <w:next w:val="Normal"/>
    <w:autoRedefine/>
    <w:uiPriority w:val="39"/>
    <w:unhideWhenUsed/>
    <w:rsid w:val="00B37916"/>
    <w:pPr>
      <w:ind w:left="600"/>
    </w:pPr>
  </w:style>
  <w:style w:type="paragraph" w:styleId="TOC5">
    <w:name w:val="toc 5"/>
    <w:basedOn w:val="Normal"/>
    <w:next w:val="Normal"/>
    <w:autoRedefine/>
    <w:uiPriority w:val="39"/>
    <w:unhideWhenUsed/>
    <w:rsid w:val="00B37916"/>
    <w:pPr>
      <w:ind w:left="800"/>
    </w:pPr>
  </w:style>
  <w:style w:type="paragraph" w:styleId="TOC6">
    <w:name w:val="toc 6"/>
    <w:basedOn w:val="Normal"/>
    <w:next w:val="Normal"/>
    <w:autoRedefine/>
    <w:uiPriority w:val="39"/>
    <w:unhideWhenUsed/>
    <w:rsid w:val="00B37916"/>
    <w:pPr>
      <w:ind w:left="1000"/>
    </w:pPr>
  </w:style>
  <w:style w:type="paragraph" w:styleId="TOC7">
    <w:name w:val="toc 7"/>
    <w:basedOn w:val="Normal"/>
    <w:next w:val="Normal"/>
    <w:autoRedefine/>
    <w:uiPriority w:val="39"/>
    <w:unhideWhenUsed/>
    <w:rsid w:val="00B37916"/>
    <w:pPr>
      <w:ind w:left="1200"/>
    </w:pPr>
  </w:style>
  <w:style w:type="paragraph" w:styleId="TOC8">
    <w:name w:val="toc 8"/>
    <w:basedOn w:val="Normal"/>
    <w:next w:val="Normal"/>
    <w:autoRedefine/>
    <w:uiPriority w:val="39"/>
    <w:unhideWhenUsed/>
    <w:rsid w:val="00B37916"/>
    <w:pPr>
      <w:ind w:left="1400"/>
    </w:pPr>
  </w:style>
  <w:style w:type="paragraph" w:styleId="TOC9">
    <w:name w:val="toc 9"/>
    <w:basedOn w:val="Normal"/>
    <w:next w:val="Normal"/>
    <w:autoRedefine/>
    <w:uiPriority w:val="39"/>
    <w:unhideWhenUsed/>
    <w:rsid w:val="00B37916"/>
    <w:pPr>
      <w:ind w:left="1600"/>
    </w:pPr>
  </w:style>
  <w:style w:type="paragraph" w:styleId="ListParagraph">
    <w:name w:val="List Paragraph"/>
    <w:aliases w:val="L,List Paragraph1,List Paragraph11,Recommendation,bullet point list"/>
    <w:basedOn w:val="Normal"/>
    <w:link w:val="ListParagraphChar"/>
    <w:uiPriority w:val="34"/>
    <w:qFormat/>
    <w:rsid w:val="006B57F5"/>
    <w:pPr>
      <w:spacing w:after="200"/>
      <w:ind w:left="720"/>
      <w:contextualSpacing/>
    </w:pPr>
    <w:rPr>
      <w:sz w:val="22"/>
    </w:rPr>
  </w:style>
  <w:style w:type="character" w:styleId="CommentReference">
    <w:name w:val="annotation reference"/>
    <w:basedOn w:val="DefaultParagraphFont"/>
    <w:uiPriority w:val="99"/>
    <w:semiHidden/>
    <w:unhideWhenUsed/>
    <w:rsid w:val="001B37D0"/>
    <w:rPr>
      <w:sz w:val="18"/>
      <w:szCs w:val="18"/>
    </w:rPr>
  </w:style>
  <w:style w:type="character" w:customStyle="1" w:styleId="Heading8Char">
    <w:name w:val="Heading 8 Char"/>
    <w:basedOn w:val="DefaultParagraphFont"/>
    <w:link w:val="Heading8"/>
    <w:uiPriority w:val="9"/>
    <w:semiHidden/>
    <w:rsid w:val="00C81A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1ADD"/>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uiPriority w:val="99"/>
    <w:unhideWhenUsed/>
    <w:rsid w:val="001B37D0"/>
    <w:pPr>
      <w:spacing w:line="240" w:lineRule="auto"/>
    </w:pPr>
    <w:rPr>
      <w:sz w:val="24"/>
      <w:szCs w:val="24"/>
    </w:rPr>
  </w:style>
  <w:style w:type="character" w:customStyle="1" w:styleId="CommentTextChar">
    <w:name w:val="Comment Text Char"/>
    <w:basedOn w:val="DefaultParagraphFont"/>
    <w:link w:val="CommentText"/>
    <w:uiPriority w:val="99"/>
    <w:rsid w:val="001B37D0"/>
    <w:rPr>
      <w:sz w:val="24"/>
      <w:szCs w:val="24"/>
    </w:rPr>
  </w:style>
  <w:style w:type="paragraph" w:styleId="CommentSubject">
    <w:name w:val="annotation subject"/>
    <w:basedOn w:val="CommentText"/>
    <w:next w:val="CommentText"/>
    <w:link w:val="CommentSubjectChar"/>
    <w:uiPriority w:val="99"/>
    <w:semiHidden/>
    <w:unhideWhenUsed/>
    <w:rsid w:val="001B37D0"/>
    <w:rPr>
      <w:b/>
      <w:bCs/>
      <w:sz w:val="20"/>
      <w:szCs w:val="20"/>
    </w:rPr>
  </w:style>
  <w:style w:type="character" w:customStyle="1" w:styleId="CommentSubjectChar">
    <w:name w:val="Comment Subject Char"/>
    <w:basedOn w:val="CommentTextChar"/>
    <w:link w:val="CommentSubject"/>
    <w:uiPriority w:val="99"/>
    <w:semiHidden/>
    <w:rsid w:val="001B37D0"/>
    <w:rPr>
      <w:b/>
      <w:bCs/>
      <w:sz w:val="20"/>
      <w:szCs w:val="20"/>
    </w:rPr>
  </w:style>
  <w:style w:type="character" w:customStyle="1" w:styleId="ListParagraphChar">
    <w:name w:val="List Paragraph Char"/>
    <w:aliases w:val="L Char,List Paragraph1 Char,List Paragraph11 Char,Recommendation Char,bullet point list Char"/>
    <w:link w:val="ListParagraph"/>
    <w:uiPriority w:val="34"/>
    <w:locked/>
    <w:rsid w:val="0061541F"/>
  </w:style>
  <w:style w:type="paragraph" w:customStyle="1" w:styleId="DecimalAligned">
    <w:name w:val="Decimal Aligned"/>
    <w:basedOn w:val="Normal"/>
    <w:uiPriority w:val="40"/>
    <w:qFormat/>
    <w:rsid w:val="004352D6"/>
    <w:pPr>
      <w:tabs>
        <w:tab w:val="decimal" w:pos="360"/>
      </w:tabs>
      <w:spacing w:after="200"/>
    </w:pPr>
    <w:rPr>
      <w:rFonts w:eastAsiaTheme="minorEastAsia" w:cs="Times New Roman"/>
      <w:sz w:val="22"/>
      <w:lang w:val="en-US"/>
    </w:rPr>
  </w:style>
  <w:style w:type="table" w:styleId="LightShading-Accent1">
    <w:name w:val="Light Shading Accent 1"/>
    <w:basedOn w:val="TableNormal"/>
    <w:uiPriority w:val="60"/>
    <w:rsid w:val="004352D6"/>
    <w:pPr>
      <w:spacing w:after="0" w:line="240" w:lineRule="auto"/>
    </w:pPr>
    <w:rPr>
      <w:rFonts w:eastAsiaTheme="minorEastAsia"/>
      <w:color w:val="276E8B" w:themeColor="accent1" w:themeShade="BF"/>
      <w:lang w:val="en-US"/>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paragraph" w:customStyle="1" w:styleId="Default">
    <w:name w:val="Default"/>
    <w:rsid w:val="00381F5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3534"/>
    <w:pPr>
      <w:spacing w:after="0" w:line="240" w:lineRule="auto"/>
    </w:pPr>
    <w:rPr>
      <w:sz w:val="20"/>
    </w:rPr>
  </w:style>
  <w:style w:type="character" w:styleId="FollowedHyperlink">
    <w:name w:val="FollowedHyperlink"/>
    <w:basedOn w:val="DefaultParagraphFont"/>
    <w:uiPriority w:val="99"/>
    <w:semiHidden/>
    <w:unhideWhenUsed/>
    <w:rsid w:val="005352AC"/>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113293">
      <w:bodyDiv w:val="1"/>
      <w:marLeft w:val="0"/>
      <w:marRight w:val="0"/>
      <w:marTop w:val="0"/>
      <w:marBottom w:val="0"/>
      <w:divBdr>
        <w:top w:val="none" w:sz="0" w:space="0" w:color="auto"/>
        <w:left w:val="none" w:sz="0" w:space="0" w:color="auto"/>
        <w:bottom w:val="none" w:sz="0" w:space="0" w:color="auto"/>
        <w:right w:val="none" w:sz="0" w:space="0" w:color="auto"/>
      </w:divBdr>
    </w:div>
    <w:div w:id="1752509262">
      <w:bodyDiv w:val="1"/>
      <w:marLeft w:val="0"/>
      <w:marRight w:val="0"/>
      <w:marTop w:val="0"/>
      <w:marBottom w:val="0"/>
      <w:divBdr>
        <w:top w:val="none" w:sz="0" w:space="0" w:color="auto"/>
        <w:left w:val="none" w:sz="0" w:space="0" w:color="auto"/>
        <w:bottom w:val="none" w:sz="0" w:space="0" w:color="auto"/>
        <w:right w:val="none" w:sz="0" w:space="0" w:color="auto"/>
      </w:divBdr>
    </w:div>
    <w:div w:id="188930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to.org/english/tratop_e/adp_e/adp_e.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c.gov.au/research/supporting/regulator-audit-framework" TargetMode="External"/><Relationship Id="rId2" Type="http://schemas.openxmlformats.org/officeDocument/2006/relationships/hyperlink" Target="http://www.finance.gov.au/resource-management/performance/" TargetMode="External"/><Relationship Id="rId1" Type="http://schemas.openxmlformats.org/officeDocument/2006/relationships/hyperlink" Target="http://dx.doi.org/10.1787/9789264214453-en"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74BF4B45A72344EAA177C9F0621EBF5" ma:contentTypeVersion="14" ma:contentTypeDescription="Create a new document." ma:contentTypeScope="" ma:versionID="83df4d713aa75a6b045756c53d2f4bc5">
  <xsd:schema xmlns:xsd="http://www.w3.org/2001/XMLSchema" xmlns:xs="http://www.w3.org/2001/XMLSchema" xmlns:p="http://schemas.microsoft.com/office/2006/metadata/properties" xmlns:ns1="http://schemas.microsoft.com/sharepoint/v3" xmlns:ns2="cdd73b99-b600-467d-8b05-41f33179978b" targetNamespace="http://schemas.microsoft.com/office/2006/metadata/properties" ma:root="true" ma:fieldsID="e570fe36363c79f40ad48a8516fd2fc5" ns1:_="" ns2:_="">
    <xsd:import namespace="http://schemas.microsoft.com/sharepoint/v3"/>
    <xsd:import namespace="cdd73b99-b600-467d-8b05-41f33179978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3b99-b600-467d-8b05-41f3317997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948bbdd-aea7-4500-bcec-9d90307b1195}" ma:internalName="TaxCatchAll" ma:showField="CatchAllData" ma:web="cdd73b99-b600-467d-8b05-41f33179978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26d3d30-c4fe-4058-8dc3-a710e5fd0727"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n99e4c9942c6404eb103464a00e6097b xmlns="cdd73b99-b600-467d-8b05-41f33179978b">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e5d193cb-0c78-4fe3-8f0c-2a9a33b5d3c7</TermId>
        </TermInfo>
      </Terms>
    </n99e4c9942c6404eb103464a00e6097b>
    <adb9bed2e36e4a93af574aeb444da63e xmlns="cdd73b99-b600-467d-8b05-41f33179978b">
      <Terms xmlns="http://schemas.microsoft.com/office/infopath/2007/PartnerControls">
        <TermInfo xmlns="http://schemas.microsoft.com/office/infopath/2007/PartnerControls">
          <TermName xmlns="http://schemas.microsoft.com/office/infopath/2007/PartnerControls">Regulator Performance Framework</TermName>
          <TermId xmlns="http://schemas.microsoft.com/office/infopath/2007/PartnerControls">f8a348a4-be5f-4f38-b18c-40197de3eb12</TermId>
        </TermInfo>
      </Terms>
    </adb9bed2e36e4a93af574aeb444da63e>
    <g7bcb40ba23249a78edca7d43a67c1c9 xmlns="cdd73b99-b600-467d-8b05-41f33179978b">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12af97d0-e555-43d0-b3d2-0f0b8e33cc04</TermId>
        </TermInfo>
      </Terms>
    </g7bcb40ba23249a78edca7d43a67c1c9>
    <pe2555c81638466f9eb614edb9ecde52 xmlns="cdd73b99-b600-467d-8b05-41f33179978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116a9244-cef6-47ce-a9a5-088c9cf21292</TermId>
        </TermInfo>
      </Terms>
    </pe2555c81638466f9eb614edb9ecde52>
    <TaxCatchAll xmlns="cdd73b99-b600-467d-8b05-41f33179978b">
      <Value>3603</Value>
      <Value>1348</Value>
      <Value>3</Value>
      <Value>58</Value>
      <Value>449</Value>
    </TaxCatchAll>
    <aa25a1a23adf4c92a153145de6afe324 xmlns="cdd73b99-b600-467d-8b05-41f33179978b">
      <Terms xmlns="http://schemas.microsoft.com/office/infopath/2007/PartnerControls">
        <TermInfo xmlns="http://schemas.microsoft.com/office/infopath/2007/PartnerControls">
          <TermName xmlns="http://schemas.microsoft.com/office/infopath/2007/PartnerControls">For Official Use Only</TermName>
          <TermId xmlns="http://schemas.microsoft.com/office/infopath/2007/PartnerControls">11f6fb0b-52ce-4109-8f7f-521b2a62f692</TermId>
        </TermInfo>
      </Terms>
    </aa25a1a23adf4c92a153145de6afe324>
    <_dlc_DocId xmlns="cdd73b99-b600-467d-8b05-41f33179978b">2P6QMCT253UY-902866662-123</_dlc_DocId>
    <_dlc_DocIdUrl xmlns="cdd73b99-b600-467d-8b05-41f33179978b">
      <Url>https://dochub/div/portfoliostrategicpolicy/programmesprojectstaskforces/deregpolicy/regperfframework201617/_layouts/15/DocIdRedir.aspx?ID=2P6QMCT253UY-902866662-123</Url>
      <Description>2P6QMCT253UY-902866662-123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BA181-3B86-488C-A733-65350E8DB450}">
  <ds:schemaRefs>
    <ds:schemaRef ds:uri="http://schemas.microsoft.com/sharepoint/events"/>
  </ds:schemaRefs>
</ds:datastoreItem>
</file>

<file path=customXml/itemProps2.xml><?xml version="1.0" encoding="utf-8"?>
<ds:datastoreItem xmlns:ds="http://schemas.openxmlformats.org/officeDocument/2006/customXml" ds:itemID="{E93EF376-0EC1-4D51-912F-2D97E5972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d73b99-b600-467d-8b05-41f33179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84293-0C3A-43CC-9F86-80B2EEEFB8EA}">
  <ds:schemaRefs>
    <ds:schemaRef ds:uri="http://schemas.microsoft.com/sharepoint/v3"/>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cdd73b99-b600-467d-8b05-41f33179978b"/>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A253A2E-7797-495E-820A-D66710E8A8DB}">
  <ds:schemaRefs>
    <ds:schemaRef ds:uri="http://schemas.microsoft.com/sharepoint/v3/contenttype/forms"/>
  </ds:schemaRefs>
</ds:datastoreItem>
</file>

<file path=customXml/itemProps5.xml><?xml version="1.0" encoding="utf-8"?>
<ds:datastoreItem xmlns:ds="http://schemas.openxmlformats.org/officeDocument/2006/customXml" ds:itemID="{1456C977-0AF7-439B-BB11-CCBBF7B7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9215</Words>
  <Characters>52527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Report</vt:lpstr>
    </vt:vector>
  </TitlesOfParts>
  <Company>Australian Government | Department of Industry, Innovation and Science</Company>
  <LinksUpToDate>false</LinksUpToDate>
  <CharactersWithSpaces>61619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Macphail, Tara</dc:creator>
  <cp:keywords>Report template</cp:keywords>
  <cp:lastModifiedBy>Ruth, Jodie</cp:lastModifiedBy>
  <cp:revision>2</cp:revision>
  <cp:lastPrinted>2020-12-01T00:06:00Z</cp:lastPrinted>
  <dcterms:created xsi:type="dcterms:W3CDTF">2020-12-14T05:06:00Z</dcterms:created>
  <dcterms:modified xsi:type="dcterms:W3CDTF">2020-12-14T05:06:00Z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0x010100B74BF4B45A72344EAA177C9F0621EBF5</vt:lpwstr>
  </property>
  <property fmtid="{D5CDD505-2E9C-101B-9397-08002B2CF9AE}" pid="7" name="DocHub_DocumentType">
    <vt:lpwstr>58;#Report|116a9244-cef6-47ce-a9a5-088c9cf21292</vt:lpwstr>
  </property>
  <property fmtid="{D5CDD505-2E9C-101B-9397-08002B2CF9AE}" pid="8" name="DocHub_SecurityClassification">
    <vt:lpwstr>3;#For Official Use Only|11f6fb0b-52ce-4109-8f7f-521b2a62f692</vt:lpwstr>
  </property>
  <property fmtid="{D5CDD505-2E9C-101B-9397-08002B2CF9AE}" pid="9" name="DocHub_CaseType">
    <vt:lpwstr/>
  </property>
  <property fmtid="{D5CDD505-2E9C-101B-9397-08002B2CF9AE}" pid="10" name="DocHub_Keywords">
    <vt:lpwstr>1348;#Regulator Performance Framework|f8a348a4-be5f-4f38-b18c-40197de3eb12</vt:lpwstr>
  </property>
  <property fmtid="{D5CDD505-2E9C-101B-9397-08002B2CF9AE}" pid="11" name="Report Type">
    <vt:lpwstr/>
  </property>
  <property fmtid="{D5CDD505-2E9C-101B-9397-08002B2CF9AE}" pid="12" name="DocHub_WorkActivity">
    <vt:lpwstr>449;#Reporting|12af97d0-e555-43d0-b3d2-0f0b8e33cc04</vt:lpwstr>
  </property>
  <property fmtid="{D5CDD505-2E9C-101B-9397-08002B2CF9AE}" pid="13" name="DocHub_Goods">
    <vt:lpwstr/>
  </property>
  <property fmtid="{D5CDD505-2E9C-101B-9397-08002B2CF9AE}" pid="14" name="DocHub_BriefingCorrespondenceType">
    <vt:lpwstr/>
  </property>
  <property fmtid="{D5CDD505-2E9C-101B-9397-08002B2CF9AE}" pid="15" name="DocHub_Entity">
    <vt:lpwstr/>
  </property>
  <property fmtid="{D5CDD505-2E9C-101B-9397-08002B2CF9AE}" pid="16" name="DocHub_Country">
    <vt:lpwstr/>
  </property>
  <property fmtid="{D5CDD505-2E9C-101B-9397-08002B2CF9AE}" pid="17" name="DocHub_ReportType">
    <vt:lpwstr/>
  </property>
  <property fmtid="{D5CDD505-2E9C-101B-9397-08002B2CF9AE}" pid="18" name="_dlc_DocIdItemGuid">
    <vt:lpwstr>9071e60b-20af-4a79-885f-044343b3fa9c</vt:lpwstr>
  </property>
  <property fmtid="{D5CDD505-2E9C-101B-9397-08002B2CF9AE}" pid="19" name="DocHub_Year">
    <vt:lpwstr>3603;#2019-20|e5d193cb-0c78-4fe3-8f0c-2a9a33b5d3c7</vt:lpwstr>
  </property>
</Properties>
</file>