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726" w:rsidRDefault="00260B01" w:rsidP="006875C2">
      <w:pPr>
        <w:pStyle w:val="Title"/>
        <w:spacing w:before="4480"/>
        <w:ind w:left="851" w:right="663"/>
      </w:pPr>
      <w:r>
        <w:rPr>
          <w:noProof/>
          <w:lang w:eastAsia="en-AU"/>
        </w:rPr>
        <w:drawing>
          <wp:anchor distT="0" distB="0" distL="114300" distR="114300" simplePos="0" relativeHeight="251658240" behindDoc="0" locked="0" layoutInCell="1" allowOverlap="1" wp14:anchorId="0F725835" wp14:editId="30AEAF63">
            <wp:simplePos x="0" y="0"/>
            <wp:positionH relativeFrom="column">
              <wp:posOffset>-340397</wp:posOffset>
            </wp:positionH>
            <wp:positionV relativeFrom="paragraph">
              <wp:posOffset>-380444</wp:posOffset>
            </wp:positionV>
            <wp:extent cx="4321936" cy="667445"/>
            <wp:effectExtent l="0" t="0" r="2540" b="0"/>
            <wp:wrapNone/>
            <wp:docPr id="1" name="Picture 1" descr="Department of Industry, Science, Energy and Resources | National Measurment Institute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ER-NMI-inline-RGB.png"/>
                    <pic:cNvPicPr/>
                  </pic:nvPicPr>
                  <pic:blipFill>
                    <a:blip r:embed="rId11">
                      <a:extLst>
                        <a:ext uri="{28A0092B-C50C-407E-A947-70E740481C1C}">
                          <a14:useLocalDpi xmlns:a14="http://schemas.microsoft.com/office/drawing/2010/main" val="0"/>
                        </a:ext>
                      </a:extLst>
                    </a:blip>
                    <a:stretch>
                      <a:fillRect/>
                    </a:stretch>
                  </pic:blipFill>
                  <pic:spPr>
                    <a:xfrm>
                      <a:off x="0" y="0"/>
                      <a:ext cx="4322778" cy="667575"/>
                    </a:xfrm>
                    <a:prstGeom prst="rect">
                      <a:avLst/>
                    </a:prstGeom>
                  </pic:spPr>
                </pic:pic>
              </a:graphicData>
            </a:graphic>
            <wp14:sizeRelH relativeFrom="page">
              <wp14:pctWidth>0</wp14:pctWidth>
            </wp14:sizeRelH>
            <wp14:sizeRelV relativeFrom="page">
              <wp14:pctHeight>0</wp14:pctHeight>
            </wp14:sizeRelV>
          </wp:anchor>
        </w:drawing>
      </w:r>
      <w:r w:rsidR="00B7796E">
        <w:t>Trade Measurement Compliance in 201</w:t>
      </w:r>
      <w:r w:rsidR="00D6567D">
        <w:t>9</w:t>
      </w:r>
      <w:r w:rsidR="008458C3" w:rsidRPr="008458C3">
        <w:t>–</w:t>
      </w:r>
      <w:r w:rsidR="00D6567D">
        <w:t>20</w:t>
      </w:r>
    </w:p>
    <w:p w:rsidR="002300AC" w:rsidRDefault="00B7796E" w:rsidP="001A25AE">
      <w:pPr>
        <w:pStyle w:val="Subtitle"/>
        <w:ind w:left="910" w:right="662"/>
      </w:pPr>
      <w:r>
        <w:t>Legal Metrology Branch</w:t>
      </w:r>
    </w:p>
    <w:p w:rsidR="00163B54" w:rsidRDefault="00741A90" w:rsidP="001A25AE">
      <w:pPr>
        <w:pStyle w:val="Subtitle"/>
        <w:ind w:left="910" w:right="662"/>
      </w:pPr>
      <w:r>
        <w:t xml:space="preserve">October </w:t>
      </w:r>
      <w:r w:rsidR="00B7796E">
        <w:t>20</w:t>
      </w:r>
      <w:r w:rsidR="006648C2">
        <w:t>20</w:t>
      </w:r>
    </w:p>
    <w:p w:rsidR="00602C92" w:rsidRDefault="006E7FA8" w:rsidP="001A25AE">
      <w:pPr>
        <w:ind w:left="910" w:right="662"/>
        <w:rPr>
          <w:rStyle w:val="Hyperlink"/>
        </w:rPr>
      </w:pPr>
      <w:hyperlink r:id="rId12" w:history="1">
        <w:r w:rsidR="00B7796E" w:rsidRPr="00994A66">
          <w:rPr>
            <w:rStyle w:val="Hyperlink"/>
          </w:rPr>
          <w:t>www.measurement.gov.au</w:t>
        </w:r>
      </w:hyperlink>
    </w:p>
    <w:p w:rsidR="001A2DC6" w:rsidRDefault="001A2DC6" w:rsidP="001A25AE">
      <w:pPr>
        <w:ind w:left="993" w:right="804"/>
        <w:rPr>
          <w:rStyle w:val="Hyperlink"/>
        </w:rPr>
      </w:pPr>
    </w:p>
    <w:p w:rsidR="001A2DC6" w:rsidRDefault="001A2DC6" w:rsidP="00163B54">
      <w:pPr>
        <w:rPr>
          <w:rStyle w:val="Hyperlink"/>
        </w:rPr>
        <w:sectPr w:rsidR="001A2DC6" w:rsidSect="0088639D">
          <w:headerReference w:type="default" r:id="rId13"/>
          <w:pgSz w:w="11906" w:h="16838"/>
          <w:pgMar w:top="1440" w:right="1440" w:bottom="1440" w:left="1440" w:header="708" w:footer="708" w:gutter="0"/>
          <w:cols w:space="708"/>
          <w:docGrid w:linePitch="360"/>
        </w:sectPr>
      </w:pPr>
    </w:p>
    <w:p w:rsidR="00CB2680" w:rsidRDefault="00CB2680" w:rsidP="00CB2680">
      <w:pPr>
        <w:pStyle w:val="TOCHeading"/>
      </w:pPr>
      <w:bookmarkStart w:id="0" w:name="_Toc419991345"/>
      <w:r>
        <w:lastRenderedPageBreak/>
        <w:t>Contents</w:t>
      </w:r>
    </w:p>
    <w:p w:rsidR="00741A90" w:rsidRDefault="00163B54">
      <w:pPr>
        <w:pStyle w:val="TOC1"/>
        <w:tabs>
          <w:tab w:val="right" w:leader="dot" w:pos="9016"/>
        </w:tabs>
        <w:rPr>
          <w:rFonts w:eastAsiaTheme="minorEastAsia"/>
          <w:noProof/>
          <w:sz w:val="22"/>
          <w:lang w:eastAsia="en-AU"/>
        </w:rPr>
      </w:pPr>
      <w:r>
        <w:fldChar w:fldCharType="begin"/>
      </w:r>
      <w:r>
        <w:instrText xml:space="preserve"> TOC \o "1-2" \h \z \u </w:instrText>
      </w:r>
      <w:r>
        <w:fldChar w:fldCharType="separate"/>
      </w:r>
      <w:hyperlink w:anchor="_Toc52367967" w:history="1">
        <w:r w:rsidR="00741A90" w:rsidRPr="006B40F1">
          <w:rPr>
            <w:rStyle w:val="Hyperlink"/>
            <w:noProof/>
          </w:rPr>
          <w:t>What is Trade Measurement?</w:t>
        </w:r>
        <w:r w:rsidR="00741A90">
          <w:rPr>
            <w:noProof/>
            <w:webHidden/>
          </w:rPr>
          <w:tab/>
        </w:r>
        <w:r w:rsidR="00741A90">
          <w:rPr>
            <w:noProof/>
            <w:webHidden/>
          </w:rPr>
          <w:fldChar w:fldCharType="begin"/>
        </w:r>
        <w:r w:rsidR="00741A90">
          <w:rPr>
            <w:noProof/>
            <w:webHidden/>
          </w:rPr>
          <w:instrText xml:space="preserve"> PAGEREF _Toc52367967 \h </w:instrText>
        </w:r>
        <w:r w:rsidR="00741A90">
          <w:rPr>
            <w:noProof/>
            <w:webHidden/>
          </w:rPr>
        </w:r>
        <w:r w:rsidR="00741A90">
          <w:rPr>
            <w:noProof/>
            <w:webHidden/>
          </w:rPr>
          <w:fldChar w:fldCharType="separate"/>
        </w:r>
        <w:r w:rsidR="00097064">
          <w:rPr>
            <w:noProof/>
            <w:webHidden/>
          </w:rPr>
          <w:t>3</w:t>
        </w:r>
        <w:r w:rsidR="00741A90">
          <w:rPr>
            <w:noProof/>
            <w:webHidden/>
          </w:rPr>
          <w:fldChar w:fldCharType="end"/>
        </w:r>
      </w:hyperlink>
    </w:p>
    <w:p w:rsidR="00741A90" w:rsidRDefault="006E7FA8">
      <w:pPr>
        <w:pStyle w:val="TOC1"/>
        <w:tabs>
          <w:tab w:val="right" w:leader="dot" w:pos="9016"/>
        </w:tabs>
        <w:rPr>
          <w:rFonts w:eastAsiaTheme="minorEastAsia"/>
          <w:noProof/>
          <w:sz w:val="22"/>
          <w:lang w:eastAsia="en-AU"/>
        </w:rPr>
      </w:pPr>
      <w:hyperlink w:anchor="_Toc52367968" w:history="1">
        <w:r w:rsidR="00741A90" w:rsidRPr="006B40F1">
          <w:rPr>
            <w:rStyle w:val="Hyperlink"/>
            <w:noProof/>
          </w:rPr>
          <w:t>Regulation of Trade Measurement</w:t>
        </w:r>
        <w:r w:rsidR="00741A90">
          <w:rPr>
            <w:noProof/>
            <w:webHidden/>
          </w:rPr>
          <w:tab/>
        </w:r>
        <w:r w:rsidR="00741A90">
          <w:rPr>
            <w:noProof/>
            <w:webHidden/>
          </w:rPr>
          <w:fldChar w:fldCharType="begin"/>
        </w:r>
        <w:r w:rsidR="00741A90">
          <w:rPr>
            <w:noProof/>
            <w:webHidden/>
          </w:rPr>
          <w:instrText xml:space="preserve"> PAGEREF _Toc52367968 \h </w:instrText>
        </w:r>
        <w:r w:rsidR="00741A90">
          <w:rPr>
            <w:noProof/>
            <w:webHidden/>
          </w:rPr>
        </w:r>
        <w:r w:rsidR="00741A90">
          <w:rPr>
            <w:noProof/>
            <w:webHidden/>
          </w:rPr>
          <w:fldChar w:fldCharType="separate"/>
        </w:r>
        <w:r w:rsidR="00097064">
          <w:rPr>
            <w:noProof/>
            <w:webHidden/>
          </w:rPr>
          <w:t>3</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69" w:history="1">
        <w:r w:rsidR="00741A90" w:rsidRPr="006B40F1">
          <w:rPr>
            <w:rStyle w:val="Hyperlink"/>
            <w:noProof/>
          </w:rPr>
          <w:t>A Note about Compliance</w:t>
        </w:r>
        <w:r w:rsidR="00741A90">
          <w:rPr>
            <w:noProof/>
            <w:webHidden/>
          </w:rPr>
          <w:tab/>
        </w:r>
        <w:r w:rsidR="00741A90">
          <w:rPr>
            <w:noProof/>
            <w:webHidden/>
          </w:rPr>
          <w:fldChar w:fldCharType="begin"/>
        </w:r>
        <w:r w:rsidR="00741A90">
          <w:rPr>
            <w:noProof/>
            <w:webHidden/>
          </w:rPr>
          <w:instrText xml:space="preserve"> PAGEREF _Toc52367969 \h </w:instrText>
        </w:r>
        <w:r w:rsidR="00741A90">
          <w:rPr>
            <w:noProof/>
            <w:webHidden/>
          </w:rPr>
        </w:r>
        <w:r w:rsidR="00741A90">
          <w:rPr>
            <w:noProof/>
            <w:webHidden/>
          </w:rPr>
          <w:fldChar w:fldCharType="separate"/>
        </w:r>
        <w:r w:rsidR="00097064">
          <w:rPr>
            <w:noProof/>
            <w:webHidden/>
          </w:rPr>
          <w:t>4</w:t>
        </w:r>
        <w:r w:rsidR="00741A90">
          <w:rPr>
            <w:noProof/>
            <w:webHidden/>
          </w:rPr>
          <w:fldChar w:fldCharType="end"/>
        </w:r>
      </w:hyperlink>
    </w:p>
    <w:p w:rsidR="00741A90" w:rsidRDefault="006E7FA8">
      <w:pPr>
        <w:pStyle w:val="TOC1"/>
        <w:tabs>
          <w:tab w:val="right" w:leader="dot" w:pos="9016"/>
        </w:tabs>
        <w:rPr>
          <w:rFonts w:eastAsiaTheme="minorEastAsia"/>
          <w:noProof/>
          <w:sz w:val="22"/>
          <w:lang w:eastAsia="en-AU"/>
        </w:rPr>
      </w:pPr>
      <w:hyperlink w:anchor="_Toc52367970" w:history="1">
        <w:r w:rsidR="00741A90" w:rsidRPr="006B40F1">
          <w:rPr>
            <w:rStyle w:val="Hyperlink"/>
            <w:noProof/>
          </w:rPr>
          <w:t>Summary of 2019–20 Compliance Activity and Outcomes</w:t>
        </w:r>
        <w:r w:rsidR="00741A90">
          <w:rPr>
            <w:noProof/>
            <w:webHidden/>
          </w:rPr>
          <w:tab/>
        </w:r>
        <w:r w:rsidR="00741A90">
          <w:rPr>
            <w:noProof/>
            <w:webHidden/>
          </w:rPr>
          <w:fldChar w:fldCharType="begin"/>
        </w:r>
        <w:r w:rsidR="00741A90">
          <w:rPr>
            <w:noProof/>
            <w:webHidden/>
          </w:rPr>
          <w:instrText xml:space="preserve"> PAGEREF _Toc52367970 \h </w:instrText>
        </w:r>
        <w:r w:rsidR="00741A90">
          <w:rPr>
            <w:noProof/>
            <w:webHidden/>
          </w:rPr>
        </w:r>
        <w:r w:rsidR="00741A90">
          <w:rPr>
            <w:noProof/>
            <w:webHidden/>
          </w:rPr>
          <w:fldChar w:fldCharType="separate"/>
        </w:r>
        <w:r w:rsidR="00097064">
          <w:rPr>
            <w:noProof/>
            <w:webHidden/>
          </w:rPr>
          <w:t>5</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71" w:history="1">
        <w:r w:rsidR="00741A90" w:rsidRPr="006B40F1">
          <w:rPr>
            <w:rStyle w:val="Hyperlink"/>
            <w:noProof/>
          </w:rPr>
          <w:t>COVID-19 Response</w:t>
        </w:r>
        <w:r w:rsidR="00741A90">
          <w:rPr>
            <w:noProof/>
            <w:webHidden/>
          </w:rPr>
          <w:tab/>
        </w:r>
        <w:r w:rsidR="00741A90">
          <w:rPr>
            <w:noProof/>
            <w:webHidden/>
          </w:rPr>
          <w:fldChar w:fldCharType="begin"/>
        </w:r>
        <w:r w:rsidR="00741A90">
          <w:rPr>
            <w:noProof/>
            <w:webHidden/>
          </w:rPr>
          <w:instrText xml:space="preserve"> PAGEREF _Toc52367971 \h </w:instrText>
        </w:r>
        <w:r w:rsidR="00741A90">
          <w:rPr>
            <w:noProof/>
            <w:webHidden/>
          </w:rPr>
        </w:r>
        <w:r w:rsidR="00741A90">
          <w:rPr>
            <w:noProof/>
            <w:webHidden/>
          </w:rPr>
          <w:fldChar w:fldCharType="separate"/>
        </w:r>
        <w:r w:rsidR="00097064">
          <w:rPr>
            <w:noProof/>
            <w:webHidden/>
          </w:rPr>
          <w:t>5</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72" w:history="1">
        <w:r w:rsidR="00741A90" w:rsidRPr="006B40F1">
          <w:rPr>
            <w:rStyle w:val="Hyperlink"/>
            <w:noProof/>
          </w:rPr>
          <w:t>Trader Audits</w:t>
        </w:r>
        <w:r w:rsidR="00741A90">
          <w:rPr>
            <w:noProof/>
            <w:webHidden/>
          </w:rPr>
          <w:tab/>
        </w:r>
        <w:r w:rsidR="00741A90">
          <w:rPr>
            <w:noProof/>
            <w:webHidden/>
          </w:rPr>
          <w:fldChar w:fldCharType="begin"/>
        </w:r>
        <w:r w:rsidR="00741A90">
          <w:rPr>
            <w:noProof/>
            <w:webHidden/>
          </w:rPr>
          <w:instrText xml:space="preserve"> PAGEREF _Toc52367972 \h </w:instrText>
        </w:r>
        <w:r w:rsidR="00741A90">
          <w:rPr>
            <w:noProof/>
            <w:webHidden/>
          </w:rPr>
        </w:r>
        <w:r w:rsidR="00741A90">
          <w:rPr>
            <w:noProof/>
            <w:webHidden/>
          </w:rPr>
          <w:fldChar w:fldCharType="separate"/>
        </w:r>
        <w:r w:rsidR="00097064">
          <w:rPr>
            <w:noProof/>
            <w:webHidden/>
          </w:rPr>
          <w:t>5</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73" w:history="1">
        <w:r w:rsidR="00741A90" w:rsidRPr="006B40F1">
          <w:rPr>
            <w:rStyle w:val="Hyperlink"/>
            <w:noProof/>
          </w:rPr>
          <w:t>Measuring Instruments</w:t>
        </w:r>
        <w:r w:rsidR="00741A90">
          <w:rPr>
            <w:noProof/>
            <w:webHidden/>
          </w:rPr>
          <w:tab/>
        </w:r>
        <w:r w:rsidR="00741A90">
          <w:rPr>
            <w:noProof/>
            <w:webHidden/>
          </w:rPr>
          <w:fldChar w:fldCharType="begin"/>
        </w:r>
        <w:r w:rsidR="00741A90">
          <w:rPr>
            <w:noProof/>
            <w:webHidden/>
          </w:rPr>
          <w:instrText xml:space="preserve"> PAGEREF _Toc52367973 \h </w:instrText>
        </w:r>
        <w:r w:rsidR="00741A90">
          <w:rPr>
            <w:noProof/>
            <w:webHidden/>
          </w:rPr>
        </w:r>
        <w:r w:rsidR="00741A90">
          <w:rPr>
            <w:noProof/>
            <w:webHidden/>
          </w:rPr>
          <w:fldChar w:fldCharType="separate"/>
        </w:r>
        <w:r w:rsidR="00097064">
          <w:rPr>
            <w:noProof/>
            <w:webHidden/>
          </w:rPr>
          <w:t>6</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74" w:history="1">
        <w:r w:rsidR="00741A90" w:rsidRPr="006B40F1">
          <w:rPr>
            <w:rStyle w:val="Hyperlink"/>
            <w:noProof/>
          </w:rPr>
          <w:t>Packaged Goods</w:t>
        </w:r>
        <w:r w:rsidR="00741A90">
          <w:rPr>
            <w:noProof/>
            <w:webHidden/>
          </w:rPr>
          <w:tab/>
        </w:r>
        <w:r w:rsidR="00741A90">
          <w:rPr>
            <w:noProof/>
            <w:webHidden/>
          </w:rPr>
          <w:fldChar w:fldCharType="begin"/>
        </w:r>
        <w:r w:rsidR="00741A90">
          <w:rPr>
            <w:noProof/>
            <w:webHidden/>
          </w:rPr>
          <w:instrText xml:space="preserve"> PAGEREF _Toc52367974 \h </w:instrText>
        </w:r>
        <w:r w:rsidR="00741A90">
          <w:rPr>
            <w:noProof/>
            <w:webHidden/>
          </w:rPr>
        </w:r>
        <w:r w:rsidR="00741A90">
          <w:rPr>
            <w:noProof/>
            <w:webHidden/>
          </w:rPr>
          <w:fldChar w:fldCharType="separate"/>
        </w:r>
        <w:r w:rsidR="00097064">
          <w:rPr>
            <w:noProof/>
            <w:webHidden/>
          </w:rPr>
          <w:t>7</w:t>
        </w:r>
        <w:r w:rsidR="00741A90">
          <w:rPr>
            <w:noProof/>
            <w:webHidden/>
          </w:rPr>
          <w:fldChar w:fldCharType="end"/>
        </w:r>
      </w:hyperlink>
    </w:p>
    <w:p w:rsidR="00741A90" w:rsidRDefault="006E7FA8">
      <w:pPr>
        <w:pStyle w:val="TOC1"/>
        <w:tabs>
          <w:tab w:val="right" w:leader="dot" w:pos="9016"/>
        </w:tabs>
        <w:rPr>
          <w:rFonts w:eastAsiaTheme="minorEastAsia"/>
          <w:noProof/>
          <w:sz w:val="22"/>
          <w:lang w:eastAsia="en-AU"/>
        </w:rPr>
      </w:pPr>
      <w:hyperlink w:anchor="_Toc52367975" w:history="1">
        <w:r w:rsidR="00741A90" w:rsidRPr="006B40F1">
          <w:rPr>
            <w:rStyle w:val="Hyperlink"/>
            <w:noProof/>
          </w:rPr>
          <w:t>Concentrated National Audits</w:t>
        </w:r>
        <w:r w:rsidR="00741A90">
          <w:rPr>
            <w:noProof/>
            <w:webHidden/>
          </w:rPr>
          <w:tab/>
        </w:r>
        <w:r w:rsidR="00741A90">
          <w:rPr>
            <w:noProof/>
            <w:webHidden/>
          </w:rPr>
          <w:fldChar w:fldCharType="begin"/>
        </w:r>
        <w:r w:rsidR="00741A90">
          <w:rPr>
            <w:noProof/>
            <w:webHidden/>
          </w:rPr>
          <w:instrText xml:space="preserve"> PAGEREF _Toc52367975 \h </w:instrText>
        </w:r>
        <w:r w:rsidR="00741A90">
          <w:rPr>
            <w:noProof/>
            <w:webHidden/>
          </w:rPr>
        </w:r>
        <w:r w:rsidR="00741A90">
          <w:rPr>
            <w:noProof/>
            <w:webHidden/>
          </w:rPr>
          <w:fldChar w:fldCharType="separate"/>
        </w:r>
        <w:r w:rsidR="00097064">
          <w:rPr>
            <w:noProof/>
            <w:webHidden/>
          </w:rPr>
          <w:t>8</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76" w:history="1">
        <w:r w:rsidR="00741A90" w:rsidRPr="006B40F1">
          <w:rPr>
            <w:rStyle w:val="Hyperlink"/>
            <w:noProof/>
          </w:rPr>
          <w:t>Major Supermarkets</w:t>
        </w:r>
        <w:r w:rsidR="00741A90">
          <w:rPr>
            <w:noProof/>
            <w:webHidden/>
          </w:rPr>
          <w:tab/>
        </w:r>
        <w:r w:rsidR="00741A90">
          <w:rPr>
            <w:noProof/>
            <w:webHidden/>
          </w:rPr>
          <w:fldChar w:fldCharType="begin"/>
        </w:r>
        <w:r w:rsidR="00741A90">
          <w:rPr>
            <w:noProof/>
            <w:webHidden/>
          </w:rPr>
          <w:instrText xml:space="preserve"> PAGEREF _Toc52367976 \h </w:instrText>
        </w:r>
        <w:r w:rsidR="00741A90">
          <w:rPr>
            <w:noProof/>
            <w:webHidden/>
          </w:rPr>
        </w:r>
        <w:r w:rsidR="00741A90">
          <w:rPr>
            <w:noProof/>
            <w:webHidden/>
          </w:rPr>
          <w:fldChar w:fldCharType="separate"/>
        </w:r>
        <w:r w:rsidR="00097064">
          <w:rPr>
            <w:noProof/>
            <w:webHidden/>
          </w:rPr>
          <w:t>8</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77" w:history="1">
        <w:r w:rsidR="00741A90" w:rsidRPr="006B40F1">
          <w:rPr>
            <w:rStyle w:val="Hyperlink"/>
            <w:noProof/>
          </w:rPr>
          <w:t>Retail Fuel</w:t>
        </w:r>
        <w:r w:rsidR="00741A90">
          <w:rPr>
            <w:noProof/>
            <w:webHidden/>
          </w:rPr>
          <w:tab/>
        </w:r>
        <w:r w:rsidR="00741A90">
          <w:rPr>
            <w:noProof/>
            <w:webHidden/>
          </w:rPr>
          <w:fldChar w:fldCharType="begin"/>
        </w:r>
        <w:r w:rsidR="00741A90">
          <w:rPr>
            <w:noProof/>
            <w:webHidden/>
          </w:rPr>
          <w:instrText xml:space="preserve"> PAGEREF _Toc52367977 \h </w:instrText>
        </w:r>
        <w:r w:rsidR="00741A90">
          <w:rPr>
            <w:noProof/>
            <w:webHidden/>
          </w:rPr>
        </w:r>
        <w:r w:rsidR="00741A90">
          <w:rPr>
            <w:noProof/>
            <w:webHidden/>
          </w:rPr>
          <w:fldChar w:fldCharType="separate"/>
        </w:r>
        <w:r w:rsidR="00097064">
          <w:rPr>
            <w:noProof/>
            <w:webHidden/>
          </w:rPr>
          <w:t>9</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78" w:history="1">
        <w:r w:rsidR="00741A90" w:rsidRPr="006B40F1">
          <w:rPr>
            <w:rStyle w:val="Hyperlink"/>
            <w:noProof/>
          </w:rPr>
          <w:t>Licensed Premises</w:t>
        </w:r>
        <w:r w:rsidR="00741A90">
          <w:rPr>
            <w:noProof/>
            <w:webHidden/>
          </w:rPr>
          <w:tab/>
        </w:r>
        <w:r w:rsidR="00741A90">
          <w:rPr>
            <w:noProof/>
            <w:webHidden/>
          </w:rPr>
          <w:fldChar w:fldCharType="begin"/>
        </w:r>
        <w:r w:rsidR="00741A90">
          <w:rPr>
            <w:noProof/>
            <w:webHidden/>
          </w:rPr>
          <w:instrText xml:space="preserve"> PAGEREF _Toc52367978 \h </w:instrText>
        </w:r>
        <w:r w:rsidR="00741A90">
          <w:rPr>
            <w:noProof/>
            <w:webHidden/>
          </w:rPr>
        </w:r>
        <w:r w:rsidR="00741A90">
          <w:rPr>
            <w:noProof/>
            <w:webHidden/>
          </w:rPr>
          <w:fldChar w:fldCharType="separate"/>
        </w:r>
        <w:r w:rsidR="00097064">
          <w:rPr>
            <w:noProof/>
            <w:webHidden/>
          </w:rPr>
          <w:t>9</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79" w:history="1">
        <w:r w:rsidR="00741A90" w:rsidRPr="006B40F1">
          <w:rPr>
            <w:rStyle w:val="Hyperlink"/>
            <w:noProof/>
          </w:rPr>
          <w:t>Meat, Fish and Poultry Retail</w:t>
        </w:r>
        <w:r w:rsidR="00741A90">
          <w:rPr>
            <w:noProof/>
            <w:webHidden/>
          </w:rPr>
          <w:tab/>
        </w:r>
        <w:r w:rsidR="00741A90">
          <w:rPr>
            <w:noProof/>
            <w:webHidden/>
          </w:rPr>
          <w:fldChar w:fldCharType="begin"/>
        </w:r>
        <w:r w:rsidR="00741A90">
          <w:rPr>
            <w:noProof/>
            <w:webHidden/>
          </w:rPr>
          <w:instrText xml:space="preserve"> PAGEREF _Toc52367979 \h </w:instrText>
        </w:r>
        <w:r w:rsidR="00741A90">
          <w:rPr>
            <w:noProof/>
            <w:webHidden/>
          </w:rPr>
        </w:r>
        <w:r w:rsidR="00741A90">
          <w:rPr>
            <w:noProof/>
            <w:webHidden/>
          </w:rPr>
          <w:fldChar w:fldCharType="separate"/>
        </w:r>
        <w:r w:rsidR="00097064">
          <w:rPr>
            <w:noProof/>
            <w:webHidden/>
          </w:rPr>
          <w:t>10</w:t>
        </w:r>
        <w:r w:rsidR="00741A90">
          <w:rPr>
            <w:noProof/>
            <w:webHidden/>
          </w:rPr>
          <w:fldChar w:fldCharType="end"/>
        </w:r>
      </w:hyperlink>
    </w:p>
    <w:p w:rsidR="00741A90" w:rsidRDefault="006E7FA8">
      <w:pPr>
        <w:pStyle w:val="TOC1"/>
        <w:tabs>
          <w:tab w:val="right" w:leader="dot" w:pos="9016"/>
        </w:tabs>
        <w:rPr>
          <w:rFonts w:eastAsiaTheme="minorEastAsia"/>
          <w:noProof/>
          <w:sz w:val="22"/>
          <w:lang w:eastAsia="en-AU"/>
        </w:rPr>
      </w:pPr>
      <w:hyperlink w:anchor="_Toc52367980" w:history="1">
        <w:r w:rsidR="00741A90" w:rsidRPr="006B40F1">
          <w:rPr>
            <w:rStyle w:val="Hyperlink"/>
            <w:noProof/>
          </w:rPr>
          <w:t>Enforcement Actions</w:t>
        </w:r>
        <w:r w:rsidR="00741A90">
          <w:rPr>
            <w:noProof/>
            <w:webHidden/>
          </w:rPr>
          <w:tab/>
        </w:r>
        <w:r w:rsidR="00741A90">
          <w:rPr>
            <w:noProof/>
            <w:webHidden/>
          </w:rPr>
          <w:fldChar w:fldCharType="begin"/>
        </w:r>
        <w:r w:rsidR="00741A90">
          <w:rPr>
            <w:noProof/>
            <w:webHidden/>
          </w:rPr>
          <w:instrText xml:space="preserve"> PAGEREF _Toc52367980 \h </w:instrText>
        </w:r>
        <w:r w:rsidR="00741A90">
          <w:rPr>
            <w:noProof/>
            <w:webHidden/>
          </w:rPr>
        </w:r>
        <w:r w:rsidR="00741A90">
          <w:rPr>
            <w:noProof/>
            <w:webHidden/>
          </w:rPr>
          <w:fldChar w:fldCharType="separate"/>
        </w:r>
        <w:r w:rsidR="00097064">
          <w:rPr>
            <w:noProof/>
            <w:webHidden/>
          </w:rPr>
          <w:t>11</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81" w:history="1">
        <w:r w:rsidR="00741A90" w:rsidRPr="006B40F1">
          <w:rPr>
            <w:rStyle w:val="Hyperlink"/>
            <w:noProof/>
          </w:rPr>
          <w:t>Prosecutions</w:t>
        </w:r>
        <w:r w:rsidR="00741A90">
          <w:rPr>
            <w:noProof/>
            <w:webHidden/>
          </w:rPr>
          <w:tab/>
        </w:r>
        <w:r w:rsidR="00741A90">
          <w:rPr>
            <w:noProof/>
            <w:webHidden/>
          </w:rPr>
          <w:fldChar w:fldCharType="begin"/>
        </w:r>
        <w:r w:rsidR="00741A90">
          <w:rPr>
            <w:noProof/>
            <w:webHidden/>
          </w:rPr>
          <w:instrText xml:space="preserve"> PAGEREF _Toc52367981 \h </w:instrText>
        </w:r>
        <w:r w:rsidR="00741A90">
          <w:rPr>
            <w:noProof/>
            <w:webHidden/>
          </w:rPr>
        </w:r>
        <w:r w:rsidR="00741A90">
          <w:rPr>
            <w:noProof/>
            <w:webHidden/>
          </w:rPr>
          <w:fldChar w:fldCharType="separate"/>
        </w:r>
        <w:r w:rsidR="00097064">
          <w:rPr>
            <w:noProof/>
            <w:webHidden/>
          </w:rPr>
          <w:t>12</w:t>
        </w:r>
        <w:r w:rsidR="00741A90">
          <w:rPr>
            <w:noProof/>
            <w:webHidden/>
          </w:rPr>
          <w:fldChar w:fldCharType="end"/>
        </w:r>
      </w:hyperlink>
    </w:p>
    <w:p w:rsidR="00741A90" w:rsidRDefault="006E7FA8">
      <w:pPr>
        <w:pStyle w:val="TOC1"/>
        <w:tabs>
          <w:tab w:val="right" w:leader="dot" w:pos="9016"/>
        </w:tabs>
        <w:rPr>
          <w:rFonts w:eastAsiaTheme="minorEastAsia"/>
          <w:noProof/>
          <w:sz w:val="22"/>
          <w:lang w:eastAsia="en-AU"/>
        </w:rPr>
      </w:pPr>
      <w:hyperlink w:anchor="_Toc52367982" w:history="1">
        <w:r w:rsidR="00741A90" w:rsidRPr="006B40F1">
          <w:rPr>
            <w:rStyle w:val="Hyperlink"/>
            <w:noProof/>
          </w:rPr>
          <w:t>Compliance and Enforcement by Trader Type</w:t>
        </w:r>
        <w:r w:rsidR="00741A90">
          <w:rPr>
            <w:noProof/>
            <w:webHidden/>
          </w:rPr>
          <w:tab/>
        </w:r>
        <w:r w:rsidR="00741A90">
          <w:rPr>
            <w:noProof/>
            <w:webHidden/>
          </w:rPr>
          <w:fldChar w:fldCharType="begin"/>
        </w:r>
        <w:r w:rsidR="00741A90">
          <w:rPr>
            <w:noProof/>
            <w:webHidden/>
          </w:rPr>
          <w:instrText xml:space="preserve"> PAGEREF _Toc52367982 \h </w:instrText>
        </w:r>
        <w:r w:rsidR="00741A90">
          <w:rPr>
            <w:noProof/>
            <w:webHidden/>
          </w:rPr>
        </w:r>
        <w:r w:rsidR="00741A90">
          <w:rPr>
            <w:noProof/>
            <w:webHidden/>
          </w:rPr>
          <w:fldChar w:fldCharType="separate"/>
        </w:r>
        <w:r w:rsidR="00097064">
          <w:rPr>
            <w:noProof/>
            <w:webHidden/>
          </w:rPr>
          <w:t>13</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83" w:history="1">
        <w:r w:rsidR="00741A90" w:rsidRPr="006B40F1">
          <w:rPr>
            <w:rStyle w:val="Hyperlink"/>
            <w:noProof/>
          </w:rPr>
          <w:t>Licensed Premises</w:t>
        </w:r>
        <w:r w:rsidR="00741A90">
          <w:rPr>
            <w:noProof/>
            <w:webHidden/>
          </w:rPr>
          <w:tab/>
        </w:r>
        <w:r w:rsidR="00741A90">
          <w:rPr>
            <w:noProof/>
            <w:webHidden/>
          </w:rPr>
          <w:fldChar w:fldCharType="begin"/>
        </w:r>
        <w:r w:rsidR="00741A90">
          <w:rPr>
            <w:noProof/>
            <w:webHidden/>
          </w:rPr>
          <w:instrText xml:space="preserve"> PAGEREF _Toc52367983 \h </w:instrText>
        </w:r>
        <w:r w:rsidR="00741A90">
          <w:rPr>
            <w:noProof/>
            <w:webHidden/>
          </w:rPr>
        </w:r>
        <w:r w:rsidR="00741A90">
          <w:rPr>
            <w:noProof/>
            <w:webHidden/>
          </w:rPr>
          <w:fldChar w:fldCharType="separate"/>
        </w:r>
        <w:r w:rsidR="00097064">
          <w:rPr>
            <w:noProof/>
            <w:webHidden/>
          </w:rPr>
          <w:t>13</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84" w:history="1">
        <w:r w:rsidR="00741A90" w:rsidRPr="006B40F1">
          <w:rPr>
            <w:rStyle w:val="Hyperlink"/>
            <w:noProof/>
          </w:rPr>
          <w:t>Fuel Retail</w:t>
        </w:r>
        <w:r w:rsidR="00741A90">
          <w:rPr>
            <w:noProof/>
            <w:webHidden/>
          </w:rPr>
          <w:tab/>
        </w:r>
        <w:r w:rsidR="00741A90">
          <w:rPr>
            <w:noProof/>
            <w:webHidden/>
          </w:rPr>
          <w:fldChar w:fldCharType="begin"/>
        </w:r>
        <w:r w:rsidR="00741A90">
          <w:rPr>
            <w:noProof/>
            <w:webHidden/>
          </w:rPr>
          <w:instrText xml:space="preserve"> PAGEREF _Toc52367984 \h </w:instrText>
        </w:r>
        <w:r w:rsidR="00741A90">
          <w:rPr>
            <w:noProof/>
            <w:webHidden/>
          </w:rPr>
        </w:r>
        <w:r w:rsidR="00741A90">
          <w:rPr>
            <w:noProof/>
            <w:webHidden/>
          </w:rPr>
          <w:fldChar w:fldCharType="separate"/>
        </w:r>
        <w:r w:rsidR="00097064">
          <w:rPr>
            <w:noProof/>
            <w:webHidden/>
          </w:rPr>
          <w:t>13</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85" w:history="1">
        <w:r w:rsidR="00741A90" w:rsidRPr="006B40F1">
          <w:rPr>
            <w:rStyle w:val="Hyperlink"/>
            <w:noProof/>
          </w:rPr>
          <w:t>Meat Retail</w:t>
        </w:r>
        <w:r w:rsidR="00741A90">
          <w:rPr>
            <w:noProof/>
            <w:webHidden/>
          </w:rPr>
          <w:tab/>
        </w:r>
        <w:r w:rsidR="00741A90">
          <w:rPr>
            <w:noProof/>
            <w:webHidden/>
          </w:rPr>
          <w:fldChar w:fldCharType="begin"/>
        </w:r>
        <w:r w:rsidR="00741A90">
          <w:rPr>
            <w:noProof/>
            <w:webHidden/>
          </w:rPr>
          <w:instrText xml:space="preserve"> PAGEREF _Toc52367985 \h </w:instrText>
        </w:r>
        <w:r w:rsidR="00741A90">
          <w:rPr>
            <w:noProof/>
            <w:webHidden/>
          </w:rPr>
        </w:r>
        <w:r w:rsidR="00741A90">
          <w:rPr>
            <w:noProof/>
            <w:webHidden/>
          </w:rPr>
          <w:fldChar w:fldCharType="separate"/>
        </w:r>
        <w:r w:rsidR="00097064">
          <w:rPr>
            <w:noProof/>
            <w:webHidden/>
          </w:rPr>
          <w:t>14</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86" w:history="1">
        <w:r w:rsidR="00741A90" w:rsidRPr="006B40F1">
          <w:rPr>
            <w:rStyle w:val="Hyperlink"/>
            <w:noProof/>
          </w:rPr>
          <w:t>Supermarkets</w:t>
        </w:r>
        <w:r w:rsidR="00741A90">
          <w:rPr>
            <w:noProof/>
            <w:webHidden/>
          </w:rPr>
          <w:tab/>
        </w:r>
        <w:r w:rsidR="00741A90">
          <w:rPr>
            <w:noProof/>
            <w:webHidden/>
          </w:rPr>
          <w:fldChar w:fldCharType="begin"/>
        </w:r>
        <w:r w:rsidR="00741A90">
          <w:rPr>
            <w:noProof/>
            <w:webHidden/>
          </w:rPr>
          <w:instrText xml:space="preserve"> PAGEREF _Toc52367986 \h </w:instrText>
        </w:r>
        <w:r w:rsidR="00741A90">
          <w:rPr>
            <w:noProof/>
            <w:webHidden/>
          </w:rPr>
        </w:r>
        <w:r w:rsidR="00741A90">
          <w:rPr>
            <w:noProof/>
            <w:webHidden/>
          </w:rPr>
          <w:fldChar w:fldCharType="separate"/>
        </w:r>
        <w:r w:rsidR="00097064">
          <w:rPr>
            <w:noProof/>
            <w:webHidden/>
          </w:rPr>
          <w:t>14</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87" w:history="1">
        <w:r w:rsidR="00741A90" w:rsidRPr="006B40F1">
          <w:rPr>
            <w:rStyle w:val="Hyperlink"/>
            <w:noProof/>
          </w:rPr>
          <w:t>Importer</w:t>
        </w:r>
        <w:r w:rsidR="00741A90">
          <w:rPr>
            <w:noProof/>
            <w:webHidden/>
          </w:rPr>
          <w:tab/>
        </w:r>
        <w:r w:rsidR="00741A90">
          <w:rPr>
            <w:noProof/>
            <w:webHidden/>
          </w:rPr>
          <w:fldChar w:fldCharType="begin"/>
        </w:r>
        <w:r w:rsidR="00741A90">
          <w:rPr>
            <w:noProof/>
            <w:webHidden/>
          </w:rPr>
          <w:instrText xml:space="preserve"> PAGEREF _Toc52367987 \h </w:instrText>
        </w:r>
        <w:r w:rsidR="00741A90">
          <w:rPr>
            <w:noProof/>
            <w:webHidden/>
          </w:rPr>
        </w:r>
        <w:r w:rsidR="00741A90">
          <w:rPr>
            <w:noProof/>
            <w:webHidden/>
          </w:rPr>
          <w:fldChar w:fldCharType="separate"/>
        </w:r>
        <w:r w:rsidR="00097064">
          <w:rPr>
            <w:noProof/>
            <w:webHidden/>
          </w:rPr>
          <w:t>15</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88" w:history="1">
        <w:r w:rsidR="00741A90" w:rsidRPr="006B40F1">
          <w:rPr>
            <w:rStyle w:val="Hyperlink"/>
            <w:noProof/>
          </w:rPr>
          <w:t>Fruit and Vegetables Retail</w:t>
        </w:r>
        <w:r w:rsidR="00741A90">
          <w:rPr>
            <w:noProof/>
            <w:webHidden/>
          </w:rPr>
          <w:tab/>
        </w:r>
        <w:r w:rsidR="00741A90">
          <w:rPr>
            <w:noProof/>
            <w:webHidden/>
          </w:rPr>
          <w:fldChar w:fldCharType="begin"/>
        </w:r>
        <w:r w:rsidR="00741A90">
          <w:rPr>
            <w:noProof/>
            <w:webHidden/>
          </w:rPr>
          <w:instrText xml:space="preserve"> PAGEREF _Toc52367988 \h </w:instrText>
        </w:r>
        <w:r w:rsidR="00741A90">
          <w:rPr>
            <w:noProof/>
            <w:webHidden/>
          </w:rPr>
        </w:r>
        <w:r w:rsidR="00741A90">
          <w:rPr>
            <w:noProof/>
            <w:webHidden/>
          </w:rPr>
          <w:fldChar w:fldCharType="separate"/>
        </w:r>
        <w:r w:rsidR="00097064">
          <w:rPr>
            <w:noProof/>
            <w:webHidden/>
          </w:rPr>
          <w:t>15</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89" w:history="1">
        <w:r w:rsidR="00741A90" w:rsidRPr="006B40F1">
          <w:rPr>
            <w:rStyle w:val="Hyperlink"/>
            <w:noProof/>
          </w:rPr>
          <w:t>Hardware</w:t>
        </w:r>
        <w:r w:rsidR="00741A90">
          <w:rPr>
            <w:noProof/>
            <w:webHidden/>
          </w:rPr>
          <w:tab/>
        </w:r>
        <w:r w:rsidR="00741A90">
          <w:rPr>
            <w:noProof/>
            <w:webHidden/>
          </w:rPr>
          <w:fldChar w:fldCharType="begin"/>
        </w:r>
        <w:r w:rsidR="00741A90">
          <w:rPr>
            <w:noProof/>
            <w:webHidden/>
          </w:rPr>
          <w:instrText xml:space="preserve"> PAGEREF _Toc52367989 \h </w:instrText>
        </w:r>
        <w:r w:rsidR="00741A90">
          <w:rPr>
            <w:noProof/>
            <w:webHidden/>
          </w:rPr>
        </w:r>
        <w:r w:rsidR="00741A90">
          <w:rPr>
            <w:noProof/>
            <w:webHidden/>
          </w:rPr>
          <w:fldChar w:fldCharType="separate"/>
        </w:r>
        <w:r w:rsidR="00097064">
          <w:rPr>
            <w:noProof/>
            <w:webHidden/>
          </w:rPr>
          <w:t>16</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90" w:history="1">
        <w:r w:rsidR="00741A90" w:rsidRPr="006B40F1">
          <w:rPr>
            <w:rStyle w:val="Hyperlink"/>
            <w:noProof/>
          </w:rPr>
          <w:t>Seafood Retail</w:t>
        </w:r>
        <w:r w:rsidR="00741A90">
          <w:rPr>
            <w:noProof/>
            <w:webHidden/>
          </w:rPr>
          <w:tab/>
        </w:r>
        <w:r w:rsidR="00741A90">
          <w:rPr>
            <w:noProof/>
            <w:webHidden/>
          </w:rPr>
          <w:fldChar w:fldCharType="begin"/>
        </w:r>
        <w:r w:rsidR="00741A90">
          <w:rPr>
            <w:noProof/>
            <w:webHidden/>
          </w:rPr>
          <w:instrText xml:space="preserve"> PAGEREF _Toc52367990 \h </w:instrText>
        </w:r>
        <w:r w:rsidR="00741A90">
          <w:rPr>
            <w:noProof/>
            <w:webHidden/>
          </w:rPr>
        </w:r>
        <w:r w:rsidR="00741A90">
          <w:rPr>
            <w:noProof/>
            <w:webHidden/>
          </w:rPr>
          <w:fldChar w:fldCharType="separate"/>
        </w:r>
        <w:r w:rsidR="00097064">
          <w:rPr>
            <w:noProof/>
            <w:webHidden/>
          </w:rPr>
          <w:t>16</w:t>
        </w:r>
        <w:r w:rsidR="00741A90">
          <w:rPr>
            <w:noProof/>
            <w:webHidden/>
          </w:rPr>
          <w:fldChar w:fldCharType="end"/>
        </w:r>
      </w:hyperlink>
    </w:p>
    <w:p w:rsidR="00741A90" w:rsidRDefault="006E7FA8">
      <w:pPr>
        <w:pStyle w:val="TOC1"/>
        <w:tabs>
          <w:tab w:val="right" w:leader="dot" w:pos="9016"/>
        </w:tabs>
        <w:rPr>
          <w:rFonts w:eastAsiaTheme="minorEastAsia"/>
          <w:noProof/>
          <w:sz w:val="22"/>
          <w:lang w:eastAsia="en-AU"/>
        </w:rPr>
      </w:pPr>
      <w:hyperlink w:anchor="_Toc52367991" w:history="1">
        <w:r w:rsidR="00741A90" w:rsidRPr="006B40F1">
          <w:rPr>
            <w:rStyle w:val="Hyperlink"/>
            <w:noProof/>
          </w:rPr>
          <w:t>Compliance by Instrument Type</w:t>
        </w:r>
        <w:r w:rsidR="00741A90">
          <w:rPr>
            <w:noProof/>
            <w:webHidden/>
          </w:rPr>
          <w:tab/>
        </w:r>
        <w:r w:rsidR="00741A90">
          <w:rPr>
            <w:noProof/>
            <w:webHidden/>
          </w:rPr>
          <w:fldChar w:fldCharType="begin"/>
        </w:r>
        <w:r w:rsidR="00741A90">
          <w:rPr>
            <w:noProof/>
            <w:webHidden/>
          </w:rPr>
          <w:instrText xml:space="preserve"> PAGEREF _Toc52367991 \h </w:instrText>
        </w:r>
        <w:r w:rsidR="00741A90">
          <w:rPr>
            <w:noProof/>
            <w:webHidden/>
          </w:rPr>
        </w:r>
        <w:r w:rsidR="00741A90">
          <w:rPr>
            <w:noProof/>
            <w:webHidden/>
          </w:rPr>
          <w:fldChar w:fldCharType="separate"/>
        </w:r>
        <w:r w:rsidR="00097064">
          <w:rPr>
            <w:noProof/>
            <w:webHidden/>
          </w:rPr>
          <w:t>17</w:t>
        </w:r>
        <w:r w:rsidR="00741A90">
          <w:rPr>
            <w:noProof/>
            <w:webHidden/>
          </w:rPr>
          <w:fldChar w:fldCharType="end"/>
        </w:r>
      </w:hyperlink>
    </w:p>
    <w:p w:rsidR="00741A90" w:rsidRDefault="006E7FA8">
      <w:pPr>
        <w:pStyle w:val="TOC2"/>
        <w:tabs>
          <w:tab w:val="right" w:leader="dot" w:pos="9016"/>
        </w:tabs>
        <w:rPr>
          <w:rFonts w:eastAsiaTheme="minorEastAsia"/>
          <w:noProof/>
          <w:color w:val="auto"/>
          <w:sz w:val="22"/>
          <w:lang w:eastAsia="en-AU"/>
        </w:rPr>
      </w:pPr>
      <w:hyperlink w:anchor="_Toc52367992" w:history="1">
        <w:r w:rsidR="00741A90" w:rsidRPr="006B40F1">
          <w:rPr>
            <w:rStyle w:val="Hyperlink"/>
            <w:noProof/>
          </w:rPr>
          <w:t>Compliance of Retail Fuel Dispensers</w:t>
        </w:r>
        <w:r w:rsidR="00741A90">
          <w:rPr>
            <w:noProof/>
            <w:webHidden/>
          </w:rPr>
          <w:tab/>
        </w:r>
        <w:r w:rsidR="00741A90">
          <w:rPr>
            <w:noProof/>
            <w:webHidden/>
          </w:rPr>
          <w:fldChar w:fldCharType="begin"/>
        </w:r>
        <w:r w:rsidR="00741A90">
          <w:rPr>
            <w:noProof/>
            <w:webHidden/>
          </w:rPr>
          <w:instrText xml:space="preserve"> PAGEREF _Toc52367992 \h </w:instrText>
        </w:r>
        <w:r w:rsidR="00741A90">
          <w:rPr>
            <w:noProof/>
            <w:webHidden/>
          </w:rPr>
        </w:r>
        <w:r w:rsidR="00741A90">
          <w:rPr>
            <w:noProof/>
            <w:webHidden/>
          </w:rPr>
          <w:fldChar w:fldCharType="separate"/>
        </w:r>
        <w:r w:rsidR="00097064">
          <w:rPr>
            <w:noProof/>
            <w:webHidden/>
          </w:rPr>
          <w:t>19</w:t>
        </w:r>
        <w:r w:rsidR="00741A90">
          <w:rPr>
            <w:noProof/>
            <w:webHidden/>
          </w:rPr>
          <w:fldChar w:fldCharType="end"/>
        </w:r>
      </w:hyperlink>
    </w:p>
    <w:p w:rsidR="00741A90" w:rsidRDefault="006E7FA8">
      <w:pPr>
        <w:pStyle w:val="TOC1"/>
        <w:tabs>
          <w:tab w:val="right" w:leader="dot" w:pos="9016"/>
        </w:tabs>
        <w:rPr>
          <w:rFonts w:eastAsiaTheme="minorEastAsia"/>
          <w:noProof/>
          <w:sz w:val="22"/>
          <w:lang w:eastAsia="en-AU"/>
        </w:rPr>
      </w:pPr>
      <w:hyperlink w:anchor="_Toc52367993" w:history="1">
        <w:r w:rsidR="00741A90" w:rsidRPr="006B40F1">
          <w:rPr>
            <w:rStyle w:val="Hyperlink"/>
            <w:noProof/>
          </w:rPr>
          <w:t>Compliance of Packaged Goods</w:t>
        </w:r>
        <w:r w:rsidR="00741A90">
          <w:rPr>
            <w:noProof/>
            <w:webHidden/>
          </w:rPr>
          <w:tab/>
        </w:r>
        <w:r w:rsidR="00741A90">
          <w:rPr>
            <w:noProof/>
            <w:webHidden/>
          </w:rPr>
          <w:fldChar w:fldCharType="begin"/>
        </w:r>
        <w:r w:rsidR="00741A90">
          <w:rPr>
            <w:noProof/>
            <w:webHidden/>
          </w:rPr>
          <w:instrText xml:space="preserve"> PAGEREF _Toc52367993 \h </w:instrText>
        </w:r>
        <w:r w:rsidR="00741A90">
          <w:rPr>
            <w:noProof/>
            <w:webHidden/>
          </w:rPr>
        </w:r>
        <w:r w:rsidR="00741A90">
          <w:rPr>
            <w:noProof/>
            <w:webHidden/>
          </w:rPr>
          <w:fldChar w:fldCharType="separate"/>
        </w:r>
        <w:r w:rsidR="00097064">
          <w:rPr>
            <w:noProof/>
            <w:webHidden/>
          </w:rPr>
          <w:t>20</w:t>
        </w:r>
        <w:r w:rsidR="00741A90">
          <w:rPr>
            <w:noProof/>
            <w:webHidden/>
          </w:rPr>
          <w:fldChar w:fldCharType="end"/>
        </w:r>
      </w:hyperlink>
    </w:p>
    <w:p w:rsidR="00FD5DE8" w:rsidRDefault="00163B54" w:rsidP="00163B54">
      <w:pPr>
        <w:pStyle w:val="Heading1"/>
      </w:pPr>
      <w:r>
        <w:fldChar w:fldCharType="end"/>
      </w:r>
      <w:r w:rsidR="00FD5DE8">
        <w:br w:type="page"/>
      </w:r>
    </w:p>
    <w:p w:rsidR="00163B54" w:rsidRDefault="00B7796E" w:rsidP="00163B54">
      <w:pPr>
        <w:pStyle w:val="Heading1"/>
      </w:pPr>
      <w:bookmarkStart w:id="1" w:name="_Toc52367967"/>
      <w:r>
        <w:lastRenderedPageBreak/>
        <w:t xml:space="preserve">What is </w:t>
      </w:r>
      <w:r w:rsidR="002F79D7">
        <w:t>T</w:t>
      </w:r>
      <w:r>
        <w:t xml:space="preserve">rade </w:t>
      </w:r>
      <w:r w:rsidR="002F79D7">
        <w:t>M</w:t>
      </w:r>
      <w:r>
        <w:t>easurement?</w:t>
      </w:r>
      <w:bookmarkEnd w:id="1"/>
    </w:p>
    <w:p w:rsidR="00B7796E" w:rsidRPr="00B7796E" w:rsidRDefault="00B7796E" w:rsidP="00B7796E">
      <w:r w:rsidRPr="00B7796E">
        <w:t>Trade measurement refers to buying and selling of goods and services where the value is determined by measurement.</w:t>
      </w:r>
    </w:p>
    <w:p w:rsidR="00B7796E" w:rsidRPr="00B7796E" w:rsidRDefault="00B7796E" w:rsidP="00B7796E">
      <w:r w:rsidRPr="00B7796E">
        <w:t>Studies in Australia, the USA and Canada have estimated that the total value of trade transactions involving measurement (including packaged goods and utility metering) accounts for at least 50% of Gross National Income</w:t>
      </w:r>
      <w:r w:rsidRPr="00B7796E">
        <w:rPr>
          <w:vertAlign w:val="superscript"/>
        </w:rPr>
        <w:footnoteReference w:id="1"/>
      </w:r>
      <w:r w:rsidRPr="00B7796E">
        <w:t>. Of this amount, around a quarter is accounted for by retail transactions with the remaining three quarters being business to business transactions. Based on these estimates, the total value of trade transactions involving measurement in Australia is currently more than $</w:t>
      </w:r>
      <w:r w:rsidR="00CB5911">
        <w:t>97</w:t>
      </w:r>
      <w:r w:rsidRPr="00B7796E">
        <w:t>0 billion a year.</w:t>
      </w:r>
    </w:p>
    <w:p w:rsidR="00B7796E" w:rsidRPr="00B7796E" w:rsidRDefault="00B7796E" w:rsidP="00B7796E">
      <w:r w:rsidRPr="00B7796E">
        <w:t>Consistency and certainty in measurement supports fair and open competition. It provides a level playing field for business by ensuring that all market participants, irrespective of their size or financial strength, follow the same rules and have equal opportunity to compete.</w:t>
      </w:r>
    </w:p>
    <w:p w:rsidR="00B7796E" w:rsidRPr="00B7796E" w:rsidRDefault="00B7796E" w:rsidP="00B7796E">
      <w:r w:rsidRPr="00B7796E">
        <w:t>Reliable representations of measurements help consumers and businesses make informed purchasing decisions. More broadly, they support the efficient operation of the market.</w:t>
      </w:r>
    </w:p>
    <w:p w:rsidR="00B7796E" w:rsidRDefault="00B7796E" w:rsidP="00157862">
      <w:pPr>
        <w:pStyle w:val="Heading1"/>
      </w:pPr>
      <w:bookmarkStart w:id="2" w:name="_Toc52367968"/>
      <w:r>
        <w:t xml:space="preserve">Regulation of </w:t>
      </w:r>
      <w:r w:rsidR="002F79D7">
        <w:t>T</w:t>
      </w:r>
      <w:r>
        <w:t xml:space="preserve">rade </w:t>
      </w:r>
      <w:r w:rsidR="002F79D7">
        <w:t>M</w:t>
      </w:r>
      <w:r>
        <w:t>easurement</w:t>
      </w:r>
      <w:bookmarkEnd w:id="2"/>
    </w:p>
    <w:p w:rsidR="00B7796E" w:rsidRDefault="00B7796E" w:rsidP="00B7796E">
      <w:r>
        <w:t>Th</w:t>
      </w:r>
      <w:r w:rsidR="00157862">
        <w:t>e National Measurement Institute (NMI)</w:t>
      </w:r>
      <w:r w:rsidR="00666E9A">
        <w:t>, a division of the Australian Gov</w:t>
      </w:r>
      <w:r w:rsidR="00DF6101">
        <w:t>ernment Department of Industry,</w:t>
      </w:r>
      <w:r w:rsidR="00666E9A">
        <w:t xml:space="preserve"> Science,</w:t>
      </w:r>
      <w:r w:rsidR="00DF6101">
        <w:t xml:space="preserve"> Energy and Resources</w:t>
      </w:r>
      <w:r w:rsidR="00824510">
        <w:t>,</w:t>
      </w:r>
      <w:r w:rsidR="00157862">
        <w:t xml:space="preserve"> administers </w:t>
      </w:r>
      <w:r>
        <w:t xml:space="preserve">the </w:t>
      </w:r>
      <w:hyperlink r:id="rId14" w:history="1">
        <w:r w:rsidRPr="00B7796E">
          <w:rPr>
            <w:rStyle w:val="Hyperlink"/>
            <w:i/>
          </w:rPr>
          <w:t>National Measurement Act 1960</w:t>
        </w:r>
      </w:hyperlink>
      <w:r>
        <w:t xml:space="preserve"> and associated regulations</w:t>
      </w:r>
      <w:r w:rsidR="00157862">
        <w:t xml:space="preserve"> t</w:t>
      </w:r>
      <w:r>
        <w:t>o ensure that</w:t>
      </w:r>
      <w:r w:rsidR="00446350">
        <w:t xml:space="preserve"> for trade purposes</w:t>
      </w:r>
      <w:r>
        <w:t>:</w:t>
      </w:r>
    </w:p>
    <w:p w:rsidR="00B7796E" w:rsidRDefault="00B7796E" w:rsidP="00B7796E">
      <w:pPr>
        <w:pStyle w:val="ListParagraph"/>
        <w:numPr>
          <w:ilvl w:val="0"/>
          <w:numId w:val="11"/>
        </w:numPr>
      </w:pPr>
      <w:r>
        <w:t xml:space="preserve">measuring instruments are fit for purpose </w:t>
      </w:r>
    </w:p>
    <w:p w:rsidR="00B7796E" w:rsidRDefault="00B7796E" w:rsidP="00B7796E">
      <w:pPr>
        <w:pStyle w:val="ListParagraph"/>
        <w:numPr>
          <w:ilvl w:val="0"/>
          <w:numId w:val="11"/>
        </w:numPr>
      </w:pPr>
      <w:r>
        <w:t xml:space="preserve">measurements are made correctly </w:t>
      </w:r>
    </w:p>
    <w:p w:rsidR="00B7796E" w:rsidRDefault="00B7796E" w:rsidP="004E3E57">
      <w:pPr>
        <w:pStyle w:val="ListParagraph"/>
        <w:numPr>
          <w:ilvl w:val="0"/>
          <w:numId w:val="11"/>
        </w:numPr>
        <w:ind w:left="714" w:hanging="357"/>
      </w:pPr>
      <w:proofErr w:type="gramStart"/>
      <w:r>
        <w:t>representations</w:t>
      </w:r>
      <w:proofErr w:type="gramEnd"/>
      <w:r>
        <w:t xml:space="preserve"> about measurements are accurate.</w:t>
      </w:r>
    </w:p>
    <w:p w:rsidR="00157862" w:rsidRPr="0007518F" w:rsidRDefault="00157862" w:rsidP="00157862">
      <w:r>
        <w:t xml:space="preserve">To help businesses comply with their legal obligations, </w:t>
      </w:r>
      <w:r w:rsidR="009D5579">
        <w:t xml:space="preserve">NMI’s trade measurement </w:t>
      </w:r>
      <w:r w:rsidR="00A62CFE">
        <w:t>inspectors</w:t>
      </w:r>
      <w:r w:rsidRPr="0007518F">
        <w:t xml:space="preserve">: </w:t>
      </w:r>
    </w:p>
    <w:p w:rsidR="00157862" w:rsidRPr="0007518F" w:rsidRDefault="00157862" w:rsidP="00157862">
      <w:pPr>
        <w:pStyle w:val="ListParagraph"/>
        <w:numPr>
          <w:ilvl w:val="0"/>
          <w:numId w:val="12"/>
        </w:numPr>
      </w:pPr>
      <w:r>
        <w:t>test measuring instruments, inspect packaged goods and review business practices</w:t>
      </w:r>
    </w:p>
    <w:p w:rsidR="00157862" w:rsidRPr="0007518F" w:rsidRDefault="00157862" w:rsidP="00157862">
      <w:pPr>
        <w:pStyle w:val="ListParagraph"/>
        <w:numPr>
          <w:ilvl w:val="0"/>
          <w:numId w:val="12"/>
        </w:numPr>
      </w:pPr>
      <w:r>
        <w:t>provide advice on meeting compliance</w:t>
      </w:r>
      <w:r w:rsidRPr="0007518F">
        <w:t xml:space="preserve"> obligations </w:t>
      </w:r>
    </w:p>
    <w:p w:rsidR="00157862" w:rsidRDefault="00157862" w:rsidP="00157862">
      <w:pPr>
        <w:pStyle w:val="ListParagraph"/>
        <w:numPr>
          <w:ilvl w:val="0"/>
          <w:numId w:val="12"/>
        </w:numPr>
      </w:pPr>
      <w:proofErr w:type="gramStart"/>
      <w:r w:rsidRPr="0007518F">
        <w:t>take</w:t>
      </w:r>
      <w:proofErr w:type="gramEnd"/>
      <w:r w:rsidRPr="0007518F">
        <w:t xml:space="preserve"> enforcement action when necessary.</w:t>
      </w:r>
    </w:p>
    <w:p w:rsidR="00225BE3" w:rsidRDefault="00225BE3" w:rsidP="00225BE3">
      <w:r>
        <w:t>Inspectors usually wear branded clothing and show an ID card to the business owner/operator at the commencement of an audit. However, inspectors can also make incognito ‘trial purchases’ to assess whether businesses are, for example, correctly operating scales and allowing for the weight of packaging during over-the-counter transactions.</w:t>
      </w:r>
    </w:p>
    <w:p w:rsidR="000D638B" w:rsidRDefault="000D638B" w:rsidP="000D638B">
      <w:r>
        <w:t>NMI takes a risk-based approach when targeting compliance activities and determining the appropriate and proportionate regulatory response where non-compliance is identified.</w:t>
      </w:r>
    </w:p>
    <w:p w:rsidR="000D638B" w:rsidRDefault="000D638B" w:rsidP="000D638B">
      <w:r>
        <w:t>We measure risk in terms of the harm and likelihood of regulatory non-compliance. Some of the factors used to determine harm include:</w:t>
      </w:r>
    </w:p>
    <w:p w:rsidR="000D638B" w:rsidRDefault="000D638B" w:rsidP="000D638B">
      <w:pPr>
        <w:pStyle w:val="ListParagraph"/>
        <w:numPr>
          <w:ilvl w:val="0"/>
          <w:numId w:val="30"/>
        </w:numPr>
      </w:pPr>
      <w:r>
        <w:t>impact on confidence in the measurement system</w:t>
      </w:r>
    </w:p>
    <w:p w:rsidR="000D638B" w:rsidRDefault="000D638B" w:rsidP="000D638B">
      <w:pPr>
        <w:pStyle w:val="ListParagraph"/>
        <w:numPr>
          <w:ilvl w:val="0"/>
          <w:numId w:val="30"/>
        </w:numPr>
      </w:pPr>
      <w:r>
        <w:t>extent of financial detriment to consumers or industry</w:t>
      </w:r>
    </w:p>
    <w:p w:rsidR="000D638B" w:rsidRDefault="000D638B" w:rsidP="000D638B">
      <w:pPr>
        <w:pStyle w:val="ListParagraph"/>
        <w:numPr>
          <w:ilvl w:val="0"/>
          <w:numId w:val="30"/>
        </w:numPr>
      </w:pPr>
      <w:r>
        <w:t>impact on maintaining a level playing field for business competition</w:t>
      </w:r>
    </w:p>
    <w:p w:rsidR="000D638B" w:rsidRDefault="000D638B" w:rsidP="000D638B">
      <w:pPr>
        <w:pStyle w:val="ListParagraph"/>
        <w:numPr>
          <w:ilvl w:val="0"/>
          <w:numId w:val="30"/>
        </w:numPr>
      </w:pPr>
      <w:proofErr w:type="gramStart"/>
      <w:r>
        <w:t>ability</w:t>
      </w:r>
      <w:proofErr w:type="gramEnd"/>
      <w:r>
        <w:t xml:space="preserve"> of consumers to make informed purchasing decisions.</w:t>
      </w:r>
    </w:p>
    <w:p w:rsidR="000A2588" w:rsidRDefault="000A2588">
      <w:pPr>
        <w:spacing w:after="200"/>
        <w:rPr>
          <w:rFonts w:asciiTheme="majorHAnsi" w:eastAsiaTheme="majorEastAsia" w:hAnsiTheme="majorHAnsi" w:cstheme="majorBidi"/>
          <w:b/>
          <w:bCs/>
          <w:color w:val="A6192E" w:themeColor="accent1"/>
          <w:sz w:val="26"/>
          <w:szCs w:val="26"/>
        </w:rPr>
      </w:pPr>
      <w:r>
        <w:br w:type="page"/>
      </w:r>
    </w:p>
    <w:p w:rsidR="00BB0B8D" w:rsidRPr="000A2588" w:rsidRDefault="00BB0B8D" w:rsidP="000A2588">
      <w:pPr>
        <w:pStyle w:val="Heading2"/>
      </w:pPr>
      <w:bookmarkStart w:id="3" w:name="_Toc52367969"/>
      <w:r w:rsidRPr="000A2588">
        <w:lastRenderedPageBreak/>
        <w:t xml:space="preserve">A </w:t>
      </w:r>
      <w:r w:rsidR="00741A90">
        <w:t>N</w:t>
      </w:r>
      <w:r w:rsidRPr="000A2588">
        <w:t xml:space="preserve">ote </w:t>
      </w:r>
      <w:r w:rsidR="00741A90">
        <w:t>a</w:t>
      </w:r>
      <w:r w:rsidR="00741A90" w:rsidRPr="000A2588">
        <w:t xml:space="preserve">bout </w:t>
      </w:r>
      <w:r w:rsidR="00741A90">
        <w:t>C</w:t>
      </w:r>
      <w:r w:rsidRPr="000A2588">
        <w:t>ompliance</w:t>
      </w:r>
      <w:bookmarkEnd w:id="3"/>
    </w:p>
    <w:p w:rsidR="00DD515D" w:rsidRDefault="00DD515D" w:rsidP="00DD515D">
      <w:r w:rsidRPr="00E028F7">
        <w:t>Non-compliance can take many forms, from inappropriate measurement practices (for example, not adjusting shop scales to account for the weight of packaging in over the counter transactions) and measurement labels that do not meet regulatory requirements, to short measure in packaged goods and using measuring instruments that are unapproved or inaccurate.</w:t>
      </w:r>
    </w:p>
    <w:p w:rsidR="00B16E80" w:rsidRDefault="00DD515D" w:rsidP="00E028F7">
      <w:r w:rsidRPr="00E028F7">
        <w:t xml:space="preserve">Not all instances of non-compliance necessarily affect the integrity of measurement-based transactions. Where measurement errors are found they are usually relatively minor and large errors are quite rare. </w:t>
      </w:r>
    </w:p>
    <w:p w:rsidR="00B16E80" w:rsidRDefault="00B16E80" w:rsidP="00E028F7">
      <w:r w:rsidRPr="00B16E80">
        <w:t xml:space="preserve">Where non-compliance </w:t>
      </w:r>
      <w:r>
        <w:t>is assessed as resulting</w:t>
      </w:r>
      <w:r w:rsidRPr="00B16E80">
        <w:t xml:space="preserve"> in a low level of harm and there is minimal likelihood of continued non-compliance an inspector will issue a non-compliance notice, and may provide advice if appropriate. A follow-up visit will check that any issues identified have been corrected. This is the most common enforcement action.</w:t>
      </w:r>
    </w:p>
    <w:p w:rsidR="00DD515D" w:rsidRDefault="00DD515D" w:rsidP="00E028F7">
      <w:r w:rsidRPr="00E028F7">
        <w:t>However, even minor measurement errors can have a significant impact on competition and consumer detriment when considered in aggregate.</w:t>
      </w:r>
    </w:p>
    <w:p w:rsidR="00A3151B" w:rsidRDefault="00A3151B">
      <w:pPr>
        <w:spacing w:after="200"/>
        <w:rPr>
          <w:rFonts w:asciiTheme="majorHAnsi" w:eastAsiaTheme="majorEastAsia" w:hAnsiTheme="majorHAnsi" w:cstheme="majorBidi"/>
          <w:b/>
          <w:bCs/>
          <w:color w:val="7C1222" w:themeColor="accent1" w:themeShade="BF"/>
          <w:sz w:val="28"/>
          <w:szCs w:val="28"/>
        </w:rPr>
      </w:pPr>
      <w:r>
        <w:br w:type="page"/>
      </w:r>
    </w:p>
    <w:p w:rsidR="00A76A5F" w:rsidRDefault="00A76A5F" w:rsidP="00A76A5F">
      <w:pPr>
        <w:pStyle w:val="Heading1"/>
      </w:pPr>
      <w:bookmarkStart w:id="4" w:name="_Toc52367970"/>
      <w:r>
        <w:lastRenderedPageBreak/>
        <w:t>Summary of 2019–20 Compliance Activity and Outcomes</w:t>
      </w:r>
      <w:bookmarkEnd w:id="4"/>
    </w:p>
    <w:p w:rsidR="00A76A5F" w:rsidRDefault="00A76A5F" w:rsidP="00A76A5F">
      <w:pPr>
        <w:pStyle w:val="Heading2"/>
      </w:pPr>
      <w:bookmarkStart w:id="5" w:name="_Toc52367971"/>
      <w:r>
        <w:t>COVID-19 Response</w:t>
      </w:r>
      <w:bookmarkEnd w:id="5"/>
      <w:r>
        <w:t xml:space="preserve"> </w:t>
      </w:r>
    </w:p>
    <w:p w:rsidR="00A76A5F" w:rsidRDefault="00A76A5F" w:rsidP="00A76A5F">
      <w:r>
        <w:t xml:space="preserve">In order to reduce the risk of COVID-19 transmission to our staff and within the community, NMI largely suspended trade measurement field audit activity in mid-March 2020. Beginning in June 2020, NMI commenced a three stage return to the field for our trade measurement inspectors. </w:t>
      </w:r>
    </w:p>
    <w:p w:rsidR="00A76A5F" w:rsidRDefault="00A76A5F" w:rsidP="00A76A5F">
      <w:r>
        <w:t>To support the return to fieldwork, NMI has supplemented existing safe work method statements and risk assessments for each industry sector, including a general risk assessment statement for COVID</w:t>
      </w:r>
      <w:r w:rsidR="00FF6F1E">
        <w:noBreakHyphen/>
      </w:r>
      <w:r>
        <w:t xml:space="preserve">19. We will continue to follow social distancing and hygiene practices throughout the staged return to COVID-Safe fieldwork. We remain committed to ensuring staff and clients </w:t>
      </w:r>
      <w:r w:rsidR="00824510">
        <w:t xml:space="preserve">stay </w:t>
      </w:r>
      <w:r>
        <w:t>safe.</w:t>
      </w:r>
    </w:p>
    <w:p w:rsidR="00A76A5F" w:rsidRDefault="00A76A5F" w:rsidP="00A76A5F">
      <w:r>
        <w:t>Our plans for a return to fieldwork are subject to any conditions imposed by the Commonwealth or State and Territory governments (such as the lockdown in Victoria) that restrict inspectors from carrying out their normal duties and affect the implementation of our compliance activities.</w:t>
      </w:r>
    </w:p>
    <w:p w:rsidR="00A76A5F" w:rsidRDefault="00A76A5F" w:rsidP="00A76A5F">
      <w:r w:rsidRPr="00DB14C0">
        <w:t>NMI has also been conscious of the need to show flexibility in its regulatory approach during this time, allowing businesses to continue to operate under difficult circumstances while still ensuring that consumers are protected. This has included</w:t>
      </w:r>
      <w:r>
        <w:t>, after appropriate risk assessments:</w:t>
      </w:r>
    </w:p>
    <w:p w:rsidR="00A76A5F" w:rsidRDefault="00A76A5F" w:rsidP="00A76A5F">
      <w:pPr>
        <w:pStyle w:val="ListParagraph"/>
        <w:numPr>
          <w:ilvl w:val="0"/>
          <w:numId w:val="49"/>
        </w:numPr>
      </w:pPr>
      <w:r w:rsidRPr="00DB14C0">
        <w:t xml:space="preserve">reviewing </w:t>
      </w:r>
      <w:r w:rsidR="00BF38EB">
        <w:t>enforcement actions</w:t>
      </w:r>
      <w:r w:rsidRPr="00DB14C0">
        <w:t xml:space="preserve"> for non-compliance where traders are suffering financial hardship as a result of </w:t>
      </w:r>
      <w:r>
        <w:t xml:space="preserve">the </w:t>
      </w:r>
      <w:r w:rsidRPr="00DB14C0">
        <w:t>contraction in business activity</w:t>
      </w:r>
    </w:p>
    <w:p w:rsidR="00A76A5F" w:rsidRDefault="00A76A5F" w:rsidP="00A76A5F">
      <w:pPr>
        <w:pStyle w:val="ListParagraph"/>
        <w:numPr>
          <w:ilvl w:val="0"/>
          <w:numId w:val="49"/>
        </w:numPr>
      </w:pPr>
      <w:r>
        <w:t>extending Regulation 13 Certificates where access to trade measurement laboratories or verifying authorities has been affected by travel restrictions</w:t>
      </w:r>
    </w:p>
    <w:p w:rsidR="00A76A5F" w:rsidRDefault="00A76A5F" w:rsidP="00A76A5F">
      <w:pPr>
        <w:pStyle w:val="ListParagraph"/>
        <w:numPr>
          <w:ilvl w:val="0"/>
          <w:numId w:val="49"/>
        </w:numPr>
      </w:pPr>
      <w:proofErr w:type="gramStart"/>
      <w:r>
        <w:t>considering</w:t>
      </w:r>
      <w:proofErr w:type="gramEnd"/>
      <w:r>
        <w:t xml:space="preserve"> payment terms for regulatory administration fees</w:t>
      </w:r>
      <w:r w:rsidRPr="00DB14C0">
        <w:t>.</w:t>
      </w:r>
    </w:p>
    <w:p w:rsidR="00A76A5F" w:rsidRDefault="00A76A5F" w:rsidP="00A76A5F">
      <w:pPr>
        <w:pStyle w:val="Heading2"/>
      </w:pPr>
      <w:bookmarkStart w:id="6" w:name="_Toc52367972"/>
      <w:r>
        <w:t>Trader Audits</w:t>
      </w:r>
      <w:bookmarkEnd w:id="6"/>
    </w:p>
    <w:p w:rsidR="00A76A5F" w:rsidRPr="0007518F" w:rsidRDefault="00A76A5F" w:rsidP="00A76A5F">
      <w:r>
        <w:t>In 2019</w:t>
      </w:r>
      <w:r w:rsidRPr="008458C3">
        <w:t>–</w:t>
      </w:r>
      <w:r>
        <w:t>20</w:t>
      </w:r>
      <w:r w:rsidRPr="0007518F">
        <w:t>, NMI’s trade measurement inspectors:</w:t>
      </w:r>
    </w:p>
    <w:p w:rsidR="00A76A5F" w:rsidRPr="0007518F" w:rsidRDefault="00A76A5F" w:rsidP="00A76A5F">
      <w:pPr>
        <w:pStyle w:val="ListParagraph"/>
        <w:numPr>
          <w:ilvl w:val="0"/>
          <w:numId w:val="13"/>
        </w:numPr>
      </w:pPr>
      <w:r>
        <w:t>audited 76</w:t>
      </w:r>
      <w:r w:rsidRPr="0007518F">
        <w:t xml:space="preserve">00 business premises </w:t>
      </w:r>
      <w:r>
        <w:t>(includes initial and follow-up audits)</w:t>
      </w:r>
      <w:r w:rsidDel="00DB1020">
        <w:t xml:space="preserve"> </w:t>
      </w:r>
    </w:p>
    <w:p w:rsidR="00A76A5F" w:rsidRPr="0007518F" w:rsidRDefault="00A76A5F" w:rsidP="00A76A5F">
      <w:pPr>
        <w:pStyle w:val="ListParagraph"/>
        <w:numPr>
          <w:ilvl w:val="0"/>
          <w:numId w:val="13"/>
        </w:numPr>
      </w:pPr>
      <w:r>
        <w:t xml:space="preserve">tested around </w:t>
      </w:r>
      <w:r w:rsidRPr="00A26612">
        <w:t>13 500</w:t>
      </w:r>
      <w:r w:rsidRPr="0007518F">
        <w:t xml:space="preserve"> measuring instruments</w:t>
      </w:r>
    </w:p>
    <w:p w:rsidR="00A76A5F" w:rsidRPr="0007518F" w:rsidRDefault="00A76A5F" w:rsidP="00A76A5F">
      <w:pPr>
        <w:pStyle w:val="ListParagraph"/>
        <w:numPr>
          <w:ilvl w:val="0"/>
          <w:numId w:val="13"/>
        </w:numPr>
      </w:pPr>
      <w:r>
        <w:t>inspected almost</w:t>
      </w:r>
      <w:r w:rsidRPr="0007518F">
        <w:t xml:space="preserve"> </w:t>
      </w:r>
      <w:r>
        <w:t>500</w:t>
      </w:r>
      <w:r w:rsidRPr="0007518F">
        <w:t xml:space="preserve"> weighbridges</w:t>
      </w:r>
    </w:p>
    <w:p w:rsidR="00A76A5F" w:rsidRDefault="00A76A5F" w:rsidP="00A76A5F">
      <w:pPr>
        <w:pStyle w:val="ListParagraph"/>
        <w:numPr>
          <w:ilvl w:val="0"/>
          <w:numId w:val="13"/>
        </w:numPr>
      </w:pPr>
      <w:proofErr w:type="gramStart"/>
      <w:r>
        <w:t>inspected</w:t>
      </w:r>
      <w:proofErr w:type="gramEnd"/>
      <w:r>
        <w:t xml:space="preserve"> almost 80 000</w:t>
      </w:r>
      <w:r w:rsidRPr="0007518F">
        <w:t xml:space="preserve"> lines of </w:t>
      </w:r>
      <w:r>
        <w:t xml:space="preserve">packaged goods (over 200 </w:t>
      </w:r>
      <w:r w:rsidRPr="0007518F">
        <w:t xml:space="preserve">000 individual packages) for correct measure and </w:t>
      </w:r>
      <w:r>
        <w:t xml:space="preserve">measurement </w:t>
      </w:r>
      <w:r w:rsidRPr="0007518F">
        <w:t>labelling</w:t>
      </w:r>
      <w:r>
        <w:t>.</w:t>
      </w:r>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tader audit details in previous years."/>
      </w:tblPr>
      <w:tblGrid>
        <w:gridCol w:w="1134"/>
        <w:gridCol w:w="1554"/>
        <w:gridCol w:w="1390"/>
        <w:gridCol w:w="1587"/>
        <w:gridCol w:w="1971"/>
        <w:gridCol w:w="1390"/>
      </w:tblGrid>
      <w:tr w:rsidR="00A76A5F" w:rsidTr="00BB0B8D">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134" w:type="dxa"/>
          </w:tcPr>
          <w:p w:rsidR="00A76A5F" w:rsidRDefault="00A76A5F" w:rsidP="00BB0B8D">
            <w:pPr>
              <w:spacing w:after="0"/>
            </w:pPr>
            <w:r>
              <w:t>Year</w:t>
            </w:r>
          </w:p>
        </w:tc>
        <w:tc>
          <w:tcPr>
            <w:tcW w:w="1554" w:type="dxa"/>
          </w:tcPr>
          <w:p w:rsidR="00A76A5F" w:rsidRDefault="00A76A5F" w:rsidP="00BB0B8D">
            <w:pPr>
              <w:spacing w:after="0"/>
              <w:jc w:val="center"/>
              <w:cnfStyle w:val="100000000000" w:firstRow="1" w:lastRow="0" w:firstColumn="0" w:lastColumn="0" w:oddVBand="0" w:evenVBand="0" w:oddHBand="0" w:evenHBand="0" w:firstRowFirstColumn="0" w:firstRowLastColumn="0" w:lastRowFirstColumn="0" w:lastRowLastColumn="0"/>
            </w:pPr>
            <w:r>
              <w:t>Trader audits</w:t>
            </w:r>
          </w:p>
        </w:tc>
        <w:tc>
          <w:tcPr>
            <w:tcW w:w="1390" w:type="dxa"/>
          </w:tcPr>
          <w:p w:rsidR="00A76A5F" w:rsidRDefault="00A76A5F" w:rsidP="00BB0B8D">
            <w:pPr>
              <w:spacing w:after="0"/>
              <w:jc w:val="center"/>
              <w:cnfStyle w:val="100000000000" w:firstRow="1" w:lastRow="0" w:firstColumn="0" w:lastColumn="0" w:oddVBand="0" w:evenVBand="0" w:oddHBand="0" w:evenHBand="0" w:firstRowFirstColumn="0" w:firstRowLastColumn="0" w:lastRowFirstColumn="0" w:lastRowLastColumn="0"/>
            </w:pPr>
            <w:r>
              <w:t>Measuring instruments</w:t>
            </w:r>
          </w:p>
        </w:tc>
        <w:tc>
          <w:tcPr>
            <w:tcW w:w="1587" w:type="dxa"/>
          </w:tcPr>
          <w:p w:rsidR="00A76A5F" w:rsidRDefault="00A76A5F" w:rsidP="00BB0B8D">
            <w:pPr>
              <w:spacing w:after="0"/>
              <w:jc w:val="center"/>
              <w:cnfStyle w:val="100000000000" w:firstRow="1" w:lastRow="0" w:firstColumn="0" w:lastColumn="0" w:oddVBand="0" w:evenVBand="0" w:oddHBand="0" w:evenHBand="0" w:firstRowFirstColumn="0" w:firstRowLastColumn="0" w:lastRowFirstColumn="0" w:lastRowLastColumn="0"/>
            </w:pPr>
            <w:r>
              <w:t>Weighbridges</w:t>
            </w:r>
          </w:p>
        </w:tc>
        <w:tc>
          <w:tcPr>
            <w:tcW w:w="1971" w:type="dxa"/>
          </w:tcPr>
          <w:p w:rsidR="00A76A5F" w:rsidRDefault="00A76A5F" w:rsidP="00BB0B8D">
            <w:pPr>
              <w:spacing w:after="0"/>
              <w:jc w:val="center"/>
              <w:cnfStyle w:val="100000000000" w:firstRow="1" w:lastRow="0" w:firstColumn="0" w:lastColumn="0" w:oddVBand="0" w:evenVBand="0" w:oddHBand="0" w:evenHBand="0" w:firstRowFirstColumn="0" w:firstRowLastColumn="0" w:lastRowFirstColumn="0" w:lastRowLastColumn="0"/>
            </w:pPr>
            <w:r>
              <w:t xml:space="preserve">Packaged lines </w:t>
            </w:r>
          </w:p>
        </w:tc>
        <w:tc>
          <w:tcPr>
            <w:tcW w:w="1390" w:type="dxa"/>
          </w:tcPr>
          <w:p w:rsidR="00A76A5F" w:rsidRDefault="00A76A5F" w:rsidP="00BB0B8D">
            <w:pPr>
              <w:spacing w:after="0"/>
              <w:jc w:val="center"/>
              <w:cnfStyle w:val="100000000000" w:firstRow="1" w:lastRow="0" w:firstColumn="0" w:lastColumn="0" w:oddVBand="0" w:evenVBand="0" w:oddHBand="0" w:evenHBand="0" w:firstRowFirstColumn="0" w:firstRowLastColumn="0" w:lastRowFirstColumn="0" w:lastRowLastColumn="0"/>
            </w:pPr>
            <w:r>
              <w:t>Individual packages</w:t>
            </w:r>
          </w:p>
        </w:tc>
      </w:tr>
      <w:tr w:rsidR="00A76A5F" w:rsidRPr="00F61B71" w:rsidTr="00BB0B8D">
        <w:tc>
          <w:tcPr>
            <w:cnfStyle w:val="001000000000" w:firstRow="0" w:lastRow="0" w:firstColumn="1" w:lastColumn="0" w:oddVBand="0" w:evenVBand="0" w:oddHBand="0" w:evenHBand="0" w:firstRowFirstColumn="0" w:firstRowLastColumn="0" w:lastRowFirstColumn="0" w:lastRowLastColumn="0"/>
            <w:tcW w:w="1134" w:type="dxa"/>
          </w:tcPr>
          <w:p w:rsidR="00A76A5F" w:rsidRPr="00F61B71" w:rsidRDefault="00A76A5F" w:rsidP="00BB0B8D">
            <w:pPr>
              <w:spacing w:after="0"/>
              <w:rPr>
                <w:b w:val="0"/>
              </w:rPr>
            </w:pPr>
            <w:r w:rsidRPr="00F61B71">
              <w:rPr>
                <w:b w:val="0"/>
              </w:rPr>
              <w:t>2015</w:t>
            </w:r>
            <w:r w:rsidRPr="008458C3">
              <w:rPr>
                <w:b w:val="0"/>
              </w:rPr>
              <w:t>–</w:t>
            </w:r>
            <w:r w:rsidRPr="00F61B71">
              <w:rPr>
                <w:b w:val="0"/>
              </w:rPr>
              <w:t>16</w:t>
            </w:r>
          </w:p>
        </w:tc>
        <w:tc>
          <w:tcPr>
            <w:tcW w:w="1554" w:type="dxa"/>
          </w:tcPr>
          <w:p w:rsidR="00A76A5F" w:rsidRPr="00F61B71"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10 123</w:t>
            </w:r>
          </w:p>
        </w:tc>
        <w:tc>
          <w:tcPr>
            <w:tcW w:w="1390" w:type="dxa"/>
          </w:tcPr>
          <w:p w:rsidR="00A76A5F" w:rsidRPr="00F61B71"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15 240</w:t>
            </w:r>
          </w:p>
        </w:tc>
        <w:tc>
          <w:tcPr>
            <w:tcW w:w="1587" w:type="dxa"/>
          </w:tcPr>
          <w:p w:rsidR="00A76A5F" w:rsidRPr="00F61B71"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960</w:t>
            </w:r>
          </w:p>
        </w:tc>
        <w:tc>
          <w:tcPr>
            <w:tcW w:w="1971" w:type="dxa"/>
          </w:tcPr>
          <w:p w:rsidR="00A76A5F" w:rsidRPr="00F61B71"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80 163</w:t>
            </w:r>
          </w:p>
        </w:tc>
        <w:tc>
          <w:tcPr>
            <w:tcW w:w="1390" w:type="dxa"/>
          </w:tcPr>
          <w:p w:rsidR="00A76A5F" w:rsidRPr="00F61B71"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319 616</w:t>
            </w:r>
          </w:p>
        </w:tc>
      </w:tr>
      <w:tr w:rsidR="00A76A5F" w:rsidTr="00BB0B8D">
        <w:tc>
          <w:tcPr>
            <w:cnfStyle w:val="001000000000" w:firstRow="0" w:lastRow="0" w:firstColumn="1" w:lastColumn="0" w:oddVBand="0" w:evenVBand="0" w:oddHBand="0" w:evenHBand="0" w:firstRowFirstColumn="0" w:firstRowLastColumn="0" w:lastRowFirstColumn="0" w:lastRowLastColumn="0"/>
            <w:tcW w:w="1134" w:type="dxa"/>
          </w:tcPr>
          <w:p w:rsidR="00A76A5F" w:rsidRPr="00F80EF7" w:rsidRDefault="00A76A5F" w:rsidP="00BB0B8D">
            <w:pPr>
              <w:spacing w:after="0"/>
              <w:rPr>
                <w:b w:val="0"/>
              </w:rPr>
            </w:pPr>
            <w:r w:rsidRPr="00F80EF7">
              <w:rPr>
                <w:b w:val="0"/>
              </w:rPr>
              <w:t>2016</w:t>
            </w:r>
            <w:r w:rsidRPr="008458C3">
              <w:rPr>
                <w:b w:val="0"/>
              </w:rPr>
              <w:t>–</w:t>
            </w:r>
            <w:r w:rsidRPr="00F80EF7">
              <w:rPr>
                <w:b w:val="0"/>
              </w:rPr>
              <w:t>17</w:t>
            </w:r>
          </w:p>
        </w:tc>
        <w:tc>
          <w:tcPr>
            <w:tcW w:w="1554"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10 218</w:t>
            </w:r>
          </w:p>
        </w:tc>
        <w:tc>
          <w:tcPr>
            <w:tcW w:w="1390"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17 037</w:t>
            </w:r>
          </w:p>
        </w:tc>
        <w:tc>
          <w:tcPr>
            <w:tcW w:w="1587"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1154</w:t>
            </w:r>
          </w:p>
        </w:tc>
        <w:tc>
          <w:tcPr>
            <w:tcW w:w="1971"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87 812</w:t>
            </w:r>
          </w:p>
        </w:tc>
        <w:tc>
          <w:tcPr>
            <w:tcW w:w="1390"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355 294</w:t>
            </w:r>
          </w:p>
        </w:tc>
      </w:tr>
      <w:tr w:rsidR="00A76A5F" w:rsidTr="00BB0B8D">
        <w:tc>
          <w:tcPr>
            <w:cnfStyle w:val="001000000000" w:firstRow="0" w:lastRow="0" w:firstColumn="1" w:lastColumn="0" w:oddVBand="0" w:evenVBand="0" w:oddHBand="0" w:evenHBand="0" w:firstRowFirstColumn="0" w:firstRowLastColumn="0" w:lastRowFirstColumn="0" w:lastRowLastColumn="0"/>
            <w:tcW w:w="1134" w:type="dxa"/>
          </w:tcPr>
          <w:p w:rsidR="00A76A5F" w:rsidRPr="00F80EF7" w:rsidRDefault="00A76A5F" w:rsidP="00BB0B8D">
            <w:pPr>
              <w:spacing w:after="0"/>
              <w:rPr>
                <w:b w:val="0"/>
              </w:rPr>
            </w:pPr>
            <w:r w:rsidRPr="00F80EF7">
              <w:rPr>
                <w:b w:val="0"/>
              </w:rPr>
              <w:t>2017</w:t>
            </w:r>
            <w:r w:rsidRPr="008458C3">
              <w:rPr>
                <w:b w:val="0"/>
              </w:rPr>
              <w:t>–</w:t>
            </w:r>
            <w:r w:rsidRPr="00F80EF7">
              <w:rPr>
                <w:b w:val="0"/>
              </w:rPr>
              <w:t>18</w:t>
            </w:r>
          </w:p>
        </w:tc>
        <w:tc>
          <w:tcPr>
            <w:tcW w:w="1554"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9633</w:t>
            </w:r>
          </w:p>
        </w:tc>
        <w:tc>
          <w:tcPr>
            <w:tcW w:w="1390"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14 918</w:t>
            </w:r>
          </w:p>
        </w:tc>
        <w:tc>
          <w:tcPr>
            <w:tcW w:w="1587"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965</w:t>
            </w:r>
          </w:p>
        </w:tc>
        <w:tc>
          <w:tcPr>
            <w:tcW w:w="1971"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71 799</w:t>
            </w:r>
          </w:p>
        </w:tc>
        <w:tc>
          <w:tcPr>
            <w:tcW w:w="1390"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271 375</w:t>
            </w:r>
          </w:p>
        </w:tc>
      </w:tr>
      <w:tr w:rsidR="00A76A5F" w:rsidTr="00BB0B8D">
        <w:tc>
          <w:tcPr>
            <w:cnfStyle w:val="001000000000" w:firstRow="0" w:lastRow="0" w:firstColumn="1" w:lastColumn="0" w:oddVBand="0" w:evenVBand="0" w:oddHBand="0" w:evenHBand="0" w:firstRowFirstColumn="0" w:firstRowLastColumn="0" w:lastRowFirstColumn="0" w:lastRowLastColumn="0"/>
            <w:tcW w:w="1134" w:type="dxa"/>
          </w:tcPr>
          <w:p w:rsidR="00A76A5F" w:rsidRPr="00021168" w:rsidRDefault="00A76A5F" w:rsidP="00BB0B8D">
            <w:pPr>
              <w:spacing w:after="0"/>
              <w:rPr>
                <w:b w:val="0"/>
              </w:rPr>
            </w:pPr>
            <w:r w:rsidRPr="00021168">
              <w:rPr>
                <w:b w:val="0"/>
              </w:rPr>
              <w:t>2018</w:t>
            </w:r>
            <w:r w:rsidRPr="008458C3">
              <w:rPr>
                <w:b w:val="0"/>
              </w:rPr>
              <w:t>–</w:t>
            </w:r>
            <w:r w:rsidRPr="00021168">
              <w:rPr>
                <w:b w:val="0"/>
              </w:rPr>
              <w:t>19</w:t>
            </w:r>
          </w:p>
        </w:tc>
        <w:tc>
          <w:tcPr>
            <w:tcW w:w="1554"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7586</w:t>
            </w:r>
          </w:p>
        </w:tc>
        <w:tc>
          <w:tcPr>
            <w:tcW w:w="1390"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15 887</w:t>
            </w:r>
          </w:p>
        </w:tc>
        <w:tc>
          <w:tcPr>
            <w:tcW w:w="1587"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614</w:t>
            </w:r>
          </w:p>
        </w:tc>
        <w:tc>
          <w:tcPr>
            <w:tcW w:w="1971"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rsidRPr="001F31B2">
              <w:t>70</w:t>
            </w:r>
            <w:r>
              <w:t xml:space="preserve"> </w:t>
            </w:r>
            <w:r w:rsidRPr="001F31B2">
              <w:t>183</w:t>
            </w:r>
          </w:p>
        </w:tc>
        <w:tc>
          <w:tcPr>
            <w:tcW w:w="1390"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256 507</w:t>
            </w:r>
          </w:p>
        </w:tc>
      </w:tr>
      <w:tr w:rsidR="00A76A5F" w:rsidTr="00BB0B8D">
        <w:tc>
          <w:tcPr>
            <w:cnfStyle w:val="001000000000" w:firstRow="0" w:lastRow="0" w:firstColumn="1" w:lastColumn="0" w:oddVBand="0" w:evenVBand="0" w:oddHBand="0" w:evenHBand="0" w:firstRowFirstColumn="0" w:firstRowLastColumn="0" w:lastRowFirstColumn="0" w:lastRowLastColumn="0"/>
            <w:tcW w:w="1134" w:type="dxa"/>
          </w:tcPr>
          <w:p w:rsidR="00A76A5F" w:rsidRPr="00B11668" w:rsidRDefault="00A76A5F" w:rsidP="00BB0B8D">
            <w:pPr>
              <w:spacing w:after="0"/>
              <w:rPr>
                <w:b w:val="0"/>
              </w:rPr>
            </w:pPr>
            <w:r w:rsidRPr="00B11668">
              <w:rPr>
                <w:rFonts w:cs="Arial"/>
                <w:b w:val="0"/>
                <w:color w:val="000000"/>
                <w:szCs w:val="20"/>
              </w:rPr>
              <w:t xml:space="preserve">2019–20 </w:t>
            </w:r>
          </w:p>
        </w:tc>
        <w:tc>
          <w:tcPr>
            <w:tcW w:w="1554"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7600</w:t>
            </w:r>
          </w:p>
        </w:tc>
        <w:tc>
          <w:tcPr>
            <w:tcW w:w="1390"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rsidRPr="00A26612">
              <w:rPr>
                <w:rFonts w:cs="Arial"/>
                <w:color w:val="000000"/>
                <w:szCs w:val="20"/>
              </w:rPr>
              <w:t>13 588</w:t>
            </w:r>
          </w:p>
        </w:tc>
        <w:tc>
          <w:tcPr>
            <w:tcW w:w="1587"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479</w:t>
            </w:r>
          </w:p>
        </w:tc>
        <w:tc>
          <w:tcPr>
            <w:tcW w:w="1971" w:type="dxa"/>
          </w:tcPr>
          <w:p w:rsidR="00A76A5F" w:rsidRPr="001F31B2"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78 290</w:t>
            </w:r>
          </w:p>
        </w:tc>
        <w:tc>
          <w:tcPr>
            <w:tcW w:w="1390"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203 320</w:t>
            </w:r>
          </w:p>
        </w:tc>
      </w:tr>
    </w:tbl>
    <w:p w:rsidR="00A76A5F" w:rsidRDefault="00A76A5F" w:rsidP="00A76A5F">
      <w:pPr>
        <w:spacing w:after="200"/>
      </w:pPr>
      <w:r>
        <w:br w:type="page"/>
      </w:r>
    </w:p>
    <w:p w:rsidR="00A26612" w:rsidRDefault="00A26612" w:rsidP="00A76A5F">
      <w:r w:rsidRPr="00A26612">
        <w:lastRenderedPageBreak/>
        <w:t xml:space="preserve">As noted above, the most common </w:t>
      </w:r>
      <w:r w:rsidR="008C5B95">
        <w:t>enforcement</w:t>
      </w:r>
      <w:r w:rsidRPr="00A26612">
        <w:t xml:space="preserve"> response is for inspectors to provide advice and conduct follow-up inspections to ensure non-compliance is rectified. </w:t>
      </w:r>
      <w:r w:rsidR="00FF6F1E">
        <w:t>M</w:t>
      </w:r>
      <w:r w:rsidR="00FF6F1E" w:rsidRPr="00A26612">
        <w:t>ost businesses are keen to do the right thing and promptly rectify trade measurement breaches once they are made aware of them</w:t>
      </w:r>
      <w:r w:rsidR="00FF6F1E">
        <w:t>.</w:t>
      </w:r>
      <w:r w:rsidR="00FF6F1E" w:rsidRPr="00A26612">
        <w:t xml:space="preserve"> </w:t>
      </w:r>
      <w:r w:rsidRPr="00A26612">
        <w:t xml:space="preserve">The success of this approach is demonstrated by </w:t>
      </w:r>
      <w:r w:rsidR="00A76A5F" w:rsidRPr="00A26612">
        <w:t>9</w:t>
      </w:r>
      <w:r>
        <w:t>1.5</w:t>
      </w:r>
      <w:r w:rsidR="00A76A5F" w:rsidRPr="00A26612">
        <w:t xml:space="preserve"> per cent of all businesses inspected found to be complying with the law after follow-up audits were undertaken</w:t>
      </w:r>
      <w:r w:rsidR="008C5B95">
        <w:t>, up from 66 per cent of 5736 traders found to be fully compliant after an initial audit, in 2019-20</w:t>
      </w:r>
      <w:r w:rsidR="00A76A5F" w:rsidRPr="00A26612">
        <w:t>.</w:t>
      </w:r>
      <w:r w:rsidRPr="00A26612">
        <w:t xml:space="preserve"> </w:t>
      </w:r>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internal audit details in previous years."/>
      </w:tblPr>
      <w:tblGrid>
        <w:gridCol w:w="1134"/>
        <w:gridCol w:w="993"/>
        <w:gridCol w:w="1842"/>
        <w:gridCol w:w="1276"/>
        <w:gridCol w:w="1843"/>
        <w:gridCol w:w="1938"/>
      </w:tblGrid>
      <w:tr w:rsidR="00A76A5F" w:rsidRPr="00406755" w:rsidTr="00BB0B8D">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134" w:type="dxa"/>
          </w:tcPr>
          <w:p w:rsidR="00A76A5F" w:rsidRDefault="00A76A5F" w:rsidP="00BB0B8D">
            <w:pPr>
              <w:spacing w:after="0"/>
            </w:pPr>
            <w:r>
              <w:t>Year</w:t>
            </w:r>
          </w:p>
        </w:tc>
        <w:tc>
          <w:tcPr>
            <w:tcW w:w="993" w:type="dxa"/>
          </w:tcPr>
          <w:p w:rsidR="00A76A5F" w:rsidRDefault="00A76A5F" w:rsidP="00BB0B8D">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842" w:type="dxa"/>
          </w:tcPr>
          <w:p w:rsidR="00A76A5F" w:rsidRDefault="00A76A5F" w:rsidP="00BB0B8D">
            <w:pPr>
              <w:spacing w:after="0"/>
              <w:jc w:val="center"/>
              <w:cnfStyle w:val="100000000000" w:firstRow="1" w:lastRow="0" w:firstColumn="0" w:lastColumn="0" w:oddVBand="0" w:evenVBand="0" w:oddHBand="0" w:evenHBand="0" w:firstRowFirstColumn="0" w:firstRowLastColumn="0" w:lastRowFirstColumn="0" w:lastRowLastColumn="0"/>
            </w:pPr>
            <w:r>
              <w:t xml:space="preserve">Initial </w:t>
            </w:r>
            <w:r>
              <w:br/>
              <w:t>non-compliance</w:t>
            </w:r>
          </w:p>
        </w:tc>
        <w:tc>
          <w:tcPr>
            <w:tcW w:w="1276" w:type="dxa"/>
          </w:tcPr>
          <w:p w:rsidR="00A76A5F" w:rsidRDefault="00A76A5F" w:rsidP="00BB0B8D">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843" w:type="dxa"/>
          </w:tcPr>
          <w:p w:rsidR="00A76A5F" w:rsidRDefault="00A76A5F" w:rsidP="00BB0B8D">
            <w:pPr>
              <w:spacing w:after="0"/>
              <w:jc w:val="center"/>
              <w:cnfStyle w:val="100000000000" w:firstRow="1" w:lastRow="0" w:firstColumn="0" w:lastColumn="0" w:oddVBand="0" w:evenVBand="0" w:oddHBand="0" w:evenHBand="0" w:firstRowFirstColumn="0" w:firstRowLastColumn="0" w:lastRowFirstColumn="0" w:lastRowLastColumn="0"/>
            </w:pPr>
            <w:r>
              <w:t xml:space="preserve">Follow-up </w:t>
            </w:r>
            <w:r>
              <w:br/>
              <w:t>non-compliance</w:t>
            </w:r>
          </w:p>
        </w:tc>
        <w:tc>
          <w:tcPr>
            <w:tcW w:w="1938" w:type="dxa"/>
          </w:tcPr>
          <w:p w:rsidR="00A76A5F" w:rsidRPr="00406755" w:rsidRDefault="00A76A5F" w:rsidP="00BB0B8D">
            <w:pPr>
              <w:spacing w:after="0"/>
              <w:jc w:val="center"/>
              <w:cnfStyle w:val="100000000000" w:firstRow="1" w:lastRow="0" w:firstColumn="0" w:lastColumn="0" w:oddVBand="0" w:evenVBand="0" w:oddHBand="0" w:evenHBand="0" w:firstRowFirstColumn="0" w:firstRowLastColumn="0" w:lastRowFirstColumn="0" w:lastRowLastColumn="0"/>
            </w:pPr>
            <w:r w:rsidRPr="00406755">
              <w:t xml:space="preserve">Estimated </w:t>
            </w:r>
            <w:r>
              <w:t>final</w:t>
            </w:r>
            <w:r w:rsidRPr="00406755">
              <w:t xml:space="preserve"> non-compliance</w:t>
            </w:r>
          </w:p>
        </w:tc>
      </w:tr>
      <w:tr w:rsidR="00A76A5F" w:rsidRPr="00F61B71" w:rsidTr="00BB0B8D">
        <w:tc>
          <w:tcPr>
            <w:cnfStyle w:val="001000000000" w:firstRow="0" w:lastRow="0" w:firstColumn="1" w:lastColumn="0" w:oddVBand="0" w:evenVBand="0" w:oddHBand="0" w:evenHBand="0" w:firstRowFirstColumn="0" w:firstRowLastColumn="0" w:lastRowFirstColumn="0" w:lastRowLastColumn="0"/>
            <w:tcW w:w="1134" w:type="dxa"/>
          </w:tcPr>
          <w:p w:rsidR="00A76A5F" w:rsidRPr="00F61B71" w:rsidRDefault="00A76A5F" w:rsidP="00BB0B8D">
            <w:pPr>
              <w:spacing w:after="0"/>
              <w:rPr>
                <w:b w:val="0"/>
              </w:rPr>
            </w:pPr>
            <w:r>
              <w:rPr>
                <w:b w:val="0"/>
              </w:rPr>
              <w:t>2015</w:t>
            </w:r>
            <w:r w:rsidRPr="008458C3">
              <w:rPr>
                <w:b w:val="0"/>
              </w:rPr>
              <w:t>–</w:t>
            </w:r>
            <w:r>
              <w:rPr>
                <w:b w:val="0"/>
              </w:rPr>
              <w:t>16</w:t>
            </w:r>
          </w:p>
        </w:tc>
        <w:tc>
          <w:tcPr>
            <w:tcW w:w="993" w:type="dxa"/>
          </w:tcPr>
          <w:p w:rsidR="00A76A5F" w:rsidRPr="00F61B71"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7634</w:t>
            </w:r>
          </w:p>
        </w:tc>
        <w:tc>
          <w:tcPr>
            <w:tcW w:w="1842" w:type="dxa"/>
          </w:tcPr>
          <w:p w:rsidR="00A76A5F" w:rsidRPr="00F61B71"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2558 (33.5%)</w:t>
            </w:r>
          </w:p>
        </w:tc>
        <w:tc>
          <w:tcPr>
            <w:tcW w:w="1276" w:type="dxa"/>
          </w:tcPr>
          <w:p w:rsidR="00A76A5F" w:rsidRPr="00F61B71"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2489</w:t>
            </w:r>
          </w:p>
        </w:tc>
        <w:tc>
          <w:tcPr>
            <w:tcW w:w="1843" w:type="dxa"/>
          </w:tcPr>
          <w:p w:rsidR="00A76A5F" w:rsidRPr="00F61B71"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380 (15.3%)</w:t>
            </w:r>
          </w:p>
        </w:tc>
        <w:tc>
          <w:tcPr>
            <w:tcW w:w="1938"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5.1%</w:t>
            </w:r>
          </w:p>
        </w:tc>
      </w:tr>
      <w:tr w:rsidR="00A76A5F" w:rsidRPr="0085285D" w:rsidTr="00BB0B8D">
        <w:tc>
          <w:tcPr>
            <w:cnfStyle w:val="001000000000" w:firstRow="0" w:lastRow="0" w:firstColumn="1" w:lastColumn="0" w:oddVBand="0" w:evenVBand="0" w:oddHBand="0" w:evenHBand="0" w:firstRowFirstColumn="0" w:firstRowLastColumn="0" w:lastRowFirstColumn="0" w:lastRowLastColumn="0"/>
            <w:tcW w:w="1134" w:type="dxa"/>
          </w:tcPr>
          <w:p w:rsidR="00A76A5F" w:rsidRPr="00847199" w:rsidRDefault="00A76A5F" w:rsidP="00BB0B8D">
            <w:pPr>
              <w:spacing w:after="0"/>
              <w:rPr>
                <w:b w:val="0"/>
              </w:rPr>
            </w:pPr>
            <w:r w:rsidRPr="00847199">
              <w:rPr>
                <w:b w:val="0"/>
              </w:rPr>
              <w:t>2016</w:t>
            </w:r>
            <w:r w:rsidRPr="008458C3">
              <w:rPr>
                <w:b w:val="0"/>
              </w:rPr>
              <w:t>–</w:t>
            </w:r>
            <w:r w:rsidRPr="00847199">
              <w:rPr>
                <w:b w:val="0"/>
              </w:rPr>
              <w:t>17</w:t>
            </w:r>
          </w:p>
        </w:tc>
        <w:tc>
          <w:tcPr>
            <w:tcW w:w="993"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7761</w:t>
            </w:r>
          </w:p>
        </w:tc>
        <w:tc>
          <w:tcPr>
            <w:tcW w:w="1842"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2732 (35.2%)</w:t>
            </w:r>
          </w:p>
        </w:tc>
        <w:tc>
          <w:tcPr>
            <w:tcW w:w="1276" w:type="dxa"/>
          </w:tcPr>
          <w:p w:rsidR="00A76A5F" w:rsidRPr="0085285D"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2257</w:t>
            </w:r>
          </w:p>
        </w:tc>
        <w:tc>
          <w:tcPr>
            <w:tcW w:w="1843" w:type="dxa"/>
          </w:tcPr>
          <w:p w:rsidR="00A76A5F" w:rsidRPr="0085285D"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382</w:t>
            </w:r>
            <w:r w:rsidRPr="0085285D">
              <w:t xml:space="preserve"> (</w:t>
            </w:r>
            <w:r>
              <w:t>1</w:t>
            </w:r>
            <w:r w:rsidRPr="0085285D">
              <w:t>6</w:t>
            </w:r>
            <w:r>
              <w:t>.9</w:t>
            </w:r>
            <w:r w:rsidRPr="0085285D">
              <w:t>%)</w:t>
            </w:r>
          </w:p>
        </w:tc>
        <w:tc>
          <w:tcPr>
            <w:tcW w:w="1938"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5.9%</w:t>
            </w:r>
          </w:p>
        </w:tc>
      </w:tr>
      <w:tr w:rsidR="00A76A5F" w:rsidTr="00BB0B8D">
        <w:tc>
          <w:tcPr>
            <w:cnfStyle w:val="001000000000" w:firstRow="0" w:lastRow="0" w:firstColumn="1" w:lastColumn="0" w:oddVBand="0" w:evenVBand="0" w:oddHBand="0" w:evenHBand="0" w:firstRowFirstColumn="0" w:firstRowLastColumn="0" w:lastRowFirstColumn="0" w:lastRowLastColumn="0"/>
            <w:tcW w:w="1134" w:type="dxa"/>
          </w:tcPr>
          <w:p w:rsidR="00A76A5F" w:rsidRPr="00847199" w:rsidRDefault="00A76A5F" w:rsidP="00BB0B8D">
            <w:pPr>
              <w:spacing w:after="0"/>
              <w:rPr>
                <w:b w:val="0"/>
              </w:rPr>
            </w:pPr>
            <w:r w:rsidRPr="00847199">
              <w:rPr>
                <w:b w:val="0"/>
              </w:rPr>
              <w:t>2017</w:t>
            </w:r>
            <w:r w:rsidRPr="008458C3">
              <w:rPr>
                <w:b w:val="0"/>
              </w:rPr>
              <w:t>–</w:t>
            </w:r>
            <w:r w:rsidRPr="00847199">
              <w:rPr>
                <w:b w:val="0"/>
              </w:rPr>
              <w:t>18</w:t>
            </w:r>
          </w:p>
        </w:tc>
        <w:tc>
          <w:tcPr>
            <w:tcW w:w="993"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7282</w:t>
            </w:r>
          </w:p>
        </w:tc>
        <w:tc>
          <w:tcPr>
            <w:tcW w:w="1842"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2545 (34.9%)</w:t>
            </w:r>
          </w:p>
        </w:tc>
        <w:tc>
          <w:tcPr>
            <w:tcW w:w="1276"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2351</w:t>
            </w:r>
          </w:p>
        </w:tc>
        <w:tc>
          <w:tcPr>
            <w:tcW w:w="1843"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422 (17.9%)</w:t>
            </w:r>
          </w:p>
        </w:tc>
        <w:tc>
          <w:tcPr>
            <w:tcW w:w="1938"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6.3%</w:t>
            </w:r>
          </w:p>
        </w:tc>
      </w:tr>
      <w:tr w:rsidR="00A76A5F" w:rsidTr="00BB0B8D">
        <w:tc>
          <w:tcPr>
            <w:cnfStyle w:val="001000000000" w:firstRow="0" w:lastRow="0" w:firstColumn="1" w:lastColumn="0" w:oddVBand="0" w:evenVBand="0" w:oddHBand="0" w:evenHBand="0" w:firstRowFirstColumn="0" w:firstRowLastColumn="0" w:lastRowFirstColumn="0" w:lastRowLastColumn="0"/>
            <w:tcW w:w="1134" w:type="dxa"/>
          </w:tcPr>
          <w:p w:rsidR="00A76A5F" w:rsidRPr="00847199" w:rsidRDefault="00A76A5F" w:rsidP="00BB0B8D">
            <w:pPr>
              <w:spacing w:after="0"/>
              <w:rPr>
                <w:b w:val="0"/>
              </w:rPr>
            </w:pPr>
            <w:r>
              <w:rPr>
                <w:b w:val="0"/>
              </w:rPr>
              <w:t>2018</w:t>
            </w:r>
            <w:r w:rsidRPr="008458C3">
              <w:rPr>
                <w:b w:val="0"/>
              </w:rPr>
              <w:t>–</w:t>
            </w:r>
            <w:r>
              <w:rPr>
                <w:b w:val="0"/>
              </w:rPr>
              <w:t>19</w:t>
            </w:r>
          </w:p>
        </w:tc>
        <w:tc>
          <w:tcPr>
            <w:tcW w:w="993"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6357</w:t>
            </w:r>
          </w:p>
        </w:tc>
        <w:tc>
          <w:tcPr>
            <w:tcW w:w="1842"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2127 (33.5%)</w:t>
            </w:r>
          </w:p>
        </w:tc>
        <w:tc>
          <w:tcPr>
            <w:tcW w:w="1276"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1229</w:t>
            </w:r>
          </w:p>
        </w:tc>
        <w:tc>
          <w:tcPr>
            <w:tcW w:w="1843"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237 (19.3%)</w:t>
            </w:r>
          </w:p>
        </w:tc>
        <w:tc>
          <w:tcPr>
            <w:tcW w:w="1938"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t>6.5%</w:t>
            </w:r>
          </w:p>
        </w:tc>
      </w:tr>
      <w:tr w:rsidR="00A76A5F" w:rsidTr="00BB0B8D">
        <w:tc>
          <w:tcPr>
            <w:cnfStyle w:val="001000000000" w:firstRow="0" w:lastRow="0" w:firstColumn="1" w:lastColumn="0" w:oddVBand="0" w:evenVBand="0" w:oddHBand="0" w:evenHBand="0" w:firstRowFirstColumn="0" w:firstRowLastColumn="0" w:lastRowFirstColumn="0" w:lastRowLastColumn="0"/>
            <w:tcW w:w="1134" w:type="dxa"/>
          </w:tcPr>
          <w:p w:rsidR="00A76A5F" w:rsidRPr="00B11668" w:rsidRDefault="00A76A5F" w:rsidP="00BB0B8D">
            <w:pPr>
              <w:spacing w:after="0"/>
              <w:rPr>
                <w:b w:val="0"/>
              </w:rPr>
            </w:pPr>
            <w:r w:rsidRPr="00B11668">
              <w:rPr>
                <w:rFonts w:cs="Arial"/>
                <w:b w:val="0"/>
                <w:color w:val="000000"/>
                <w:szCs w:val="20"/>
              </w:rPr>
              <w:t>2019–20</w:t>
            </w:r>
          </w:p>
        </w:tc>
        <w:tc>
          <w:tcPr>
            <w:tcW w:w="993"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5736</w:t>
            </w:r>
          </w:p>
        </w:tc>
        <w:tc>
          <w:tcPr>
            <w:tcW w:w="1842"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1932 (33.7%)</w:t>
            </w:r>
          </w:p>
        </w:tc>
        <w:tc>
          <w:tcPr>
            <w:tcW w:w="1276"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1864</w:t>
            </w:r>
          </w:p>
        </w:tc>
        <w:tc>
          <w:tcPr>
            <w:tcW w:w="1843"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470 (25.2%)</w:t>
            </w:r>
          </w:p>
        </w:tc>
        <w:tc>
          <w:tcPr>
            <w:tcW w:w="1938" w:type="dxa"/>
          </w:tcPr>
          <w:p w:rsidR="00A76A5F" w:rsidRDefault="00A76A5F" w:rsidP="00BB0B8D">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8.5%</w:t>
            </w:r>
          </w:p>
        </w:tc>
      </w:tr>
    </w:tbl>
    <w:p w:rsidR="00A76A5F" w:rsidRDefault="00A76A5F" w:rsidP="00A76A5F">
      <w:r>
        <w:t xml:space="preserve">While much non-compliance is relatively minor and usually quickly addressed when identified by trade measurement inspectors, trader types with </w:t>
      </w:r>
      <w:r w:rsidR="00AC3D55">
        <w:t>a</w:t>
      </w:r>
      <w:r>
        <w:t xml:space="preserve"> greate</w:t>
      </w:r>
      <w:r w:rsidR="00AC3D55">
        <w:t xml:space="preserve">r incidence </w:t>
      </w:r>
      <w:r>
        <w:t xml:space="preserve">of non-compliance </w:t>
      </w:r>
      <w:r w:rsidR="008C5B95">
        <w:t>requiring more serious enforcement action</w:t>
      </w:r>
      <w:r>
        <w:t xml:space="preserve"> in 2019</w:t>
      </w:r>
      <w:r w:rsidRPr="008458C3">
        <w:t>–</w:t>
      </w:r>
      <w:r>
        <w:t>20 included:</w:t>
      </w:r>
    </w:p>
    <w:p w:rsidR="00A76A5F" w:rsidRPr="006C1227" w:rsidRDefault="00A76A5F" w:rsidP="00A76A5F">
      <w:pPr>
        <w:pStyle w:val="ListParagraph"/>
        <w:numPr>
          <w:ilvl w:val="0"/>
          <w:numId w:val="14"/>
        </w:numPr>
      </w:pPr>
      <w:r w:rsidRPr="006C1227">
        <w:t>Licensed Premise</w:t>
      </w:r>
      <w:r>
        <w:t>s</w:t>
      </w:r>
    </w:p>
    <w:p w:rsidR="00A76A5F" w:rsidRPr="006C1227" w:rsidRDefault="00A76A5F" w:rsidP="00A76A5F">
      <w:pPr>
        <w:pStyle w:val="ListParagraph"/>
        <w:numPr>
          <w:ilvl w:val="0"/>
          <w:numId w:val="14"/>
        </w:numPr>
      </w:pPr>
      <w:r w:rsidRPr="006C1227">
        <w:t>Fuel Retail</w:t>
      </w:r>
    </w:p>
    <w:p w:rsidR="00A76A5F" w:rsidRPr="006C1227" w:rsidRDefault="00A76A5F" w:rsidP="00A76A5F">
      <w:pPr>
        <w:pStyle w:val="ListParagraph"/>
        <w:numPr>
          <w:ilvl w:val="0"/>
          <w:numId w:val="14"/>
        </w:numPr>
      </w:pPr>
      <w:r w:rsidRPr="006C1227">
        <w:t>Meat Retail</w:t>
      </w:r>
    </w:p>
    <w:p w:rsidR="00A76A5F" w:rsidRPr="006C1227" w:rsidRDefault="00A76A5F" w:rsidP="00A76A5F">
      <w:pPr>
        <w:pStyle w:val="ListParagraph"/>
        <w:numPr>
          <w:ilvl w:val="0"/>
          <w:numId w:val="14"/>
        </w:numPr>
      </w:pPr>
      <w:r w:rsidRPr="006C1227">
        <w:t>Supermarket</w:t>
      </w:r>
      <w:r>
        <w:t>s</w:t>
      </w:r>
    </w:p>
    <w:p w:rsidR="00A76A5F" w:rsidRPr="006C1227" w:rsidRDefault="00A76A5F" w:rsidP="00A76A5F">
      <w:pPr>
        <w:pStyle w:val="ListParagraph"/>
        <w:numPr>
          <w:ilvl w:val="0"/>
          <w:numId w:val="14"/>
        </w:numPr>
      </w:pPr>
      <w:r w:rsidRPr="006C1227">
        <w:t>Importer</w:t>
      </w:r>
      <w:r>
        <w:t>s</w:t>
      </w:r>
    </w:p>
    <w:p w:rsidR="00A76A5F" w:rsidRPr="006C1227" w:rsidRDefault="00A76A5F" w:rsidP="00A76A5F">
      <w:pPr>
        <w:pStyle w:val="ListParagraph"/>
        <w:numPr>
          <w:ilvl w:val="0"/>
          <w:numId w:val="14"/>
        </w:numPr>
      </w:pPr>
      <w:r w:rsidRPr="006C1227">
        <w:t>Fruit &amp; Vegetables Retail</w:t>
      </w:r>
    </w:p>
    <w:p w:rsidR="00A76A5F" w:rsidRPr="006C1227" w:rsidRDefault="00A76A5F" w:rsidP="00A76A5F">
      <w:pPr>
        <w:pStyle w:val="ListParagraph"/>
        <w:numPr>
          <w:ilvl w:val="0"/>
          <w:numId w:val="14"/>
        </w:numPr>
      </w:pPr>
      <w:r w:rsidRPr="006C1227">
        <w:t>Hardware</w:t>
      </w:r>
    </w:p>
    <w:p w:rsidR="00A76A5F" w:rsidRPr="006C1227" w:rsidRDefault="00A76A5F" w:rsidP="00A76A5F">
      <w:pPr>
        <w:pStyle w:val="ListParagraph"/>
        <w:numPr>
          <w:ilvl w:val="0"/>
          <w:numId w:val="14"/>
        </w:numPr>
      </w:pPr>
      <w:r w:rsidRPr="006C1227">
        <w:t>Seafood Retail</w:t>
      </w:r>
      <w:r w:rsidR="005F2675">
        <w:t>.</w:t>
      </w:r>
    </w:p>
    <w:p w:rsidR="00A76A5F" w:rsidRDefault="00A76A5F" w:rsidP="00A76A5F">
      <w:pPr>
        <w:pStyle w:val="Heading2"/>
      </w:pPr>
      <w:bookmarkStart w:id="7" w:name="_Toc52367973"/>
      <w:r>
        <w:t>Measuring Instruments</w:t>
      </w:r>
      <w:bookmarkEnd w:id="7"/>
    </w:p>
    <w:p w:rsidR="00A76A5F" w:rsidRDefault="00A76A5F" w:rsidP="00A76A5F">
      <w:r>
        <w:t>Australia’s trade measurement laws require that measuring instruments used for trade are of an approved type, have been verified by a licensed technician before use, and are accurate at all times while in use. NMI authorises servicing licensees to undertake verifications.</w:t>
      </w:r>
    </w:p>
    <w:p w:rsidR="00A76A5F" w:rsidRDefault="00A76A5F" w:rsidP="00A76A5F">
      <w:r w:rsidRPr="00AC3D55">
        <w:t xml:space="preserve">13 588 measuring instruments </w:t>
      </w:r>
      <w:r w:rsidR="00AC3D55" w:rsidRPr="00AC3D55">
        <w:t xml:space="preserve">were </w:t>
      </w:r>
      <w:r w:rsidRPr="00AC3D55">
        <w:t xml:space="preserve">tested </w:t>
      </w:r>
      <w:r w:rsidR="00AC3D55" w:rsidRPr="00AC3D55">
        <w:t>in 2019-20</w:t>
      </w:r>
      <w:r w:rsidR="00AC3D55">
        <w:t>,</w:t>
      </w:r>
      <w:r w:rsidR="00AC3D55" w:rsidRPr="00AC3D55">
        <w:t xml:space="preserve"> with only 2.5 per cent found to be inaccurate to consumer disadvantage. </w:t>
      </w:r>
      <w:r w:rsidR="00AC3D55">
        <w:t>During the year</w:t>
      </w:r>
      <w:r w:rsidR="00AC3D55" w:rsidRPr="00AC3D55">
        <w:t xml:space="preserve">, </w:t>
      </w:r>
      <w:r w:rsidRPr="00AC3D55">
        <w:t xml:space="preserve">3.7 per cent of instruments </w:t>
      </w:r>
      <w:r w:rsidR="00AC3D55" w:rsidRPr="00AC3D55">
        <w:t xml:space="preserve">tested </w:t>
      </w:r>
      <w:r w:rsidRPr="00AC3D55">
        <w:t xml:space="preserve">were </w:t>
      </w:r>
      <w:r w:rsidR="00AC3D55" w:rsidRPr="00AC3D55">
        <w:t xml:space="preserve">found to be </w:t>
      </w:r>
      <w:r w:rsidRPr="00AC3D55">
        <w:t>inaccurate in consumers’ favour</w:t>
      </w:r>
      <w:r w:rsidR="00AC3D55" w:rsidRPr="00AC3D55">
        <w:t>.</w:t>
      </w:r>
    </w:p>
    <w:p w:rsidR="00A76A5F" w:rsidRDefault="00A76A5F" w:rsidP="00A76A5F">
      <w:r>
        <w:t>In 2019</w:t>
      </w:r>
      <w:r w:rsidRPr="008458C3">
        <w:t>–</w:t>
      </w:r>
      <w:r>
        <w:t>20, instrument categories with the greatest proportion of instruments tested found to be inaccurate to consumer disadvantage included:</w:t>
      </w:r>
    </w:p>
    <w:p w:rsidR="00A76A5F" w:rsidRDefault="00A76A5F" w:rsidP="00A76A5F">
      <w:pPr>
        <w:pStyle w:val="ListParagraph"/>
        <w:numPr>
          <w:ilvl w:val="0"/>
          <w:numId w:val="29"/>
        </w:numPr>
      </w:pPr>
      <w:r>
        <w:t>retail fuel dispensers (petrol and diesel) –</w:t>
      </w:r>
      <w:r w:rsidR="00FF6F1E">
        <w:t xml:space="preserve"> </w:t>
      </w:r>
      <w:r>
        <w:t xml:space="preserve">with </w:t>
      </w:r>
      <w:r w:rsidRPr="008C5B95">
        <w:t>5.2</w:t>
      </w:r>
      <w:r>
        <w:t xml:space="preserve"> per cent of 3699 tested measuring to consumer disadvantage</w:t>
      </w:r>
    </w:p>
    <w:p w:rsidR="00A76A5F" w:rsidRDefault="00A76A5F" w:rsidP="00A76A5F">
      <w:pPr>
        <w:pStyle w:val="ListParagraph"/>
        <w:numPr>
          <w:ilvl w:val="0"/>
          <w:numId w:val="29"/>
        </w:numPr>
      </w:pPr>
      <w:r>
        <w:t>beverage dispensers –</w:t>
      </w:r>
      <w:r w:rsidR="00FF6F1E">
        <w:t xml:space="preserve"> </w:t>
      </w:r>
      <w:r>
        <w:t>with 4.1 per cent of 1486 tested measuring to consumer disadvantage</w:t>
      </w:r>
      <w:r w:rsidR="00B53AA9">
        <w:t xml:space="preserve"> </w:t>
      </w:r>
    </w:p>
    <w:p w:rsidR="00A76A5F" w:rsidRDefault="00A76A5F" w:rsidP="00A76A5F">
      <w:pPr>
        <w:pStyle w:val="ListParagraph"/>
        <w:numPr>
          <w:ilvl w:val="0"/>
          <w:numId w:val="29"/>
        </w:numPr>
      </w:pPr>
      <w:proofErr w:type="gramStart"/>
      <w:r>
        <w:t>weighing</w:t>
      </w:r>
      <w:proofErr w:type="gramEnd"/>
      <w:r>
        <w:t xml:space="preserve"> instruments (30 kg to 3 tonnes) –</w:t>
      </w:r>
      <w:r w:rsidR="00FF6F1E">
        <w:t xml:space="preserve"> </w:t>
      </w:r>
      <w:r>
        <w:t>with 2.8 per cent of 179 tested inaccurate to consumer disadvantage</w:t>
      </w:r>
      <w:r w:rsidR="008C5B95">
        <w:t>.</w:t>
      </w:r>
    </w:p>
    <w:p w:rsidR="00741A90" w:rsidRDefault="00741A90">
      <w:pPr>
        <w:spacing w:after="200"/>
        <w:rPr>
          <w:rFonts w:asciiTheme="majorHAnsi" w:eastAsiaTheme="majorEastAsia" w:hAnsiTheme="majorHAnsi" w:cstheme="majorBidi"/>
          <w:b/>
          <w:bCs/>
          <w:noProof/>
          <w:color w:val="A6192E" w:themeColor="accent1"/>
          <w:sz w:val="26"/>
          <w:szCs w:val="26"/>
        </w:rPr>
      </w:pPr>
      <w:r>
        <w:rPr>
          <w:noProof/>
        </w:rPr>
        <w:br w:type="page"/>
      </w:r>
    </w:p>
    <w:p w:rsidR="00A76A5F" w:rsidRDefault="00A76A5F" w:rsidP="00A76A5F">
      <w:pPr>
        <w:pStyle w:val="Heading2"/>
        <w:rPr>
          <w:noProof/>
        </w:rPr>
      </w:pPr>
      <w:bookmarkStart w:id="8" w:name="_Toc52367974"/>
      <w:r>
        <w:rPr>
          <w:noProof/>
        </w:rPr>
        <w:lastRenderedPageBreak/>
        <w:t>Packaged Goods</w:t>
      </w:r>
      <w:bookmarkEnd w:id="8"/>
    </w:p>
    <w:p w:rsidR="00A76A5F" w:rsidRDefault="00A76A5F" w:rsidP="00A76A5F">
      <w:r>
        <w:t xml:space="preserve">Of the </w:t>
      </w:r>
      <w:r w:rsidRPr="001F31B2">
        <w:t>7</w:t>
      </w:r>
      <w:r>
        <w:t>8</w:t>
      </w:r>
      <w:r w:rsidR="00DA43F7">
        <w:t xml:space="preserve"> </w:t>
      </w:r>
      <w:r>
        <w:t>290</w:t>
      </w:r>
      <w:r w:rsidRPr="00603AF2">
        <w:t xml:space="preserve"> lines of packaged goods</w:t>
      </w:r>
      <w:r>
        <w:t xml:space="preserve"> tested in 2019</w:t>
      </w:r>
      <w:r w:rsidRPr="008458C3">
        <w:t>–</w:t>
      </w:r>
      <w:r>
        <w:t>20, 1.6 per cent were found to contain less product than stated on the label, with most discrepancies relatively small. Packaged goods product types with the greatest proportion of incorrect measure in 2019</w:t>
      </w:r>
      <w:r w:rsidRPr="008458C3">
        <w:t>–</w:t>
      </w:r>
      <w:r>
        <w:t>20 included:</w:t>
      </w:r>
    </w:p>
    <w:p w:rsidR="00A76A5F" w:rsidRDefault="00A76A5F" w:rsidP="00A76A5F">
      <w:pPr>
        <w:pStyle w:val="ListParagraph"/>
        <w:numPr>
          <w:ilvl w:val="0"/>
          <w:numId w:val="28"/>
        </w:numPr>
      </w:pPr>
      <w:r>
        <w:t>fuel (solid) – 5.4 per cent of 537 packaged lines</w:t>
      </w:r>
    </w:p>
    <w:p w:rsidR="00A76A5F" w:rsidRDefault="00A76A5F" w:rsidP="00A76A5F">
      <w:pPr>
        <w:pStyle w:val="ListParagraph"/>
        <w:numPr>
          <w:ilvl w:val="0"/>
          <w:numId w:val="28"/>
        </w:numPr>
      </w:pPr>
      <w:r>
        <w:t>seafood (frozen) – 4.3 per cent of 676 packaged lines</w:t>
      </w:r>
    </w:p>
    <w:p w:rsidR="00A76A5F" w:rsidRDefault="00A76A5F" w:rsidP="00A76A5F">
      <w:pPr>
        <w:pStyle w:val="ListParagraph"/>
        <w:numPr>
          <w:ilvl w:val="0"/>
          <w:numId w:val="28"/>
        </w:numPr>
      </w:pPr>
      <w:r>
        <w:t>meat (processed) – 4.2 per cent of 1811 packaged lines</w:t>
      </w:r>
    </w:p>
    <w:p w:rsidR="00A76A5F" w:rsidRDefault="00A76A5F" w:rsidP="00A76A5F">
      <w:pPr>
        <w:pStyle w:val="ListParagraph"/>
        <w:numPr>
          <w:ilvl w:val="0"/>
          <w:numId w:val="28"/>
        </w:numPr>
      </w:pPr>
      <w:r>
        <w:t>meat (fresh) – 3.5 per cent of 15</w:t>
      </w:r>
      <w:r w:rsidR="006E027A">
        <w:t xml:space="preserve"> </w:t>
      </w:r>
      <w:r>
        <w:t>311 packaged lines</w:t>
      </w:r>
    </w:p>
    <w:p w:rsidR="00A76A5F" w:rsidRDefault="00A76A5F" w:rsidP="00A76A5F">
      <w:pPr>
        <w:pStyle w:val="ListParagraph"/>
        <w:numPr>
          <w:ilvl w:val="0"/>
          <w:numId w:val="28"/>
        </w:numPr>
      </w:pPr>
      <w:r>
        <w:t>beverages (inc</w:t>
      </w:r>
      <w:r w:rsidR="00FF6F1E">
        <w:t>luding</w:t>
      </w:r>
      <w:r>
        <w:t xml:space="preserve"> alcohol) – 3.4 per cent of 1058 packaged lines</w:t>
      </w:r>
    </w:p>
    <w:p w:rsidR="00A76A5F" w:rsidRDefault="00A76A5F" w:rsidP="00A76A5F">
      <w:pPr>
        <w:pStyle w:val="ListParagraph"/>
        <w:numPr>
          <w:ilvl w:val="0"/>
          <w:numId w:val="28"/>
        </w:numPr>
      </w:pPr>
      <w:r>
        <w:t>confection</w:t>
      </w:r>
      <w:r w:rsidR="00FF6F1E">
        <w:t>e</w:t>
      </w:r>
      <w:r>
        <w:t>ry/snack foods – 2.4 per cent of 3398 packaged lines</w:t>
      </w:r>
    </w:p>
    <w:p w:rsidR="00A76A5F" w:rsidRDefault="00A76A5F" w:rsidP="00A76A5F">
      <w:pPr>
        <w:pStyle w:val="ListParagraph"/>
        <w:numPr>
          <w:ilvl w:val="0"/>
          <w:numId w:val="28"/>
        </w:numPr>
      </w:pPr>
      <w:r>
        <w:t>fruit and vegetables (fresh) – 2.4 per cent of 7563 packaged lines</w:t>
      </w:r>
    </w:p>
    <w:p w:rsidR="00A76A5F" w:rsidRDefault="00A76A5F" w:rsidP="00A76A5F">
      <w:r>
        <w:t>Further details on compliance and enforcement activity and outcomes in 2019</w:t>
      </w:r>
      <w:r w:rsidRPr="008458C3">
        <w:t>–</w:t>
      </w:r>
      <w:r>
        <w:t>20 are provided below.</w:t>
      </w:r>
    </w:p>
    <w:p w:rsidR="00A76A5F" w:rsidRDefault="00A76A5F" w:rsidP="00A76A5F">
      <w:r>
        <w:t>The results outlined in this report were used in developing NMI’s inspection priorities for trade measurement compliance activity in 2020</w:t>
      </w:r>
      <w:r w:rsidRPr="008458C3">
        <w:t>–</w:t>
      </w:r>
      <w:r>
        <w:t xml:space="preserve">21. A copy of the </w:t>
      </w:r>
      <w:hyperlink r:id="rId15" w:history="1">
        <w:r>
          <w:t>2020</w:t>
        </w:r>
        <w:r w:rsidRPr="008458C3">
          <w:t>–</w:t>
        </w:r>
        <w:r>
          <w:t xml:space="preserve">21 </w:t>
        </w:r>
        <w:r w:rsidRPr="00786B60">
          <w:rPr>
            <w:rStyle w:val="Hyperlink"/>
          </w:rPr>
          <w:t>National Compliance Plan</w:t>
        </w:r>
      </w:hyperlink>
      <w:r>
        <w:rPr>
          <w:rStyle w:val="FootnoteReference"/>
        </w:rPr>
        <w:footnoteReference w:id="2"/>
      </w:r>
      <w:r>
        <w:t xml:space="preserve"> is available on the NMI website.</w:t>
      </w:r>
      <w:r w:rsidR="00B53AA9">
        <w:t xml:space="preserve"> </w:t>
      </w:r>
      <w:r>
        <w:br w:type="page"/>
      </w:r>
    </w:p>
    <w:p w:rsidR="002F79D7" w:rsidRDefault="002F79D7" w:rsidP="002F0E5F">
      <w:pPr>
        <w:pStyle w:val="Heading1"/>
      </w:pPr>
      <w:bookmarkStart w:id="9" w:name="_Toc52367975"/>
      <w:r>
        <w:lastRenderedPageBreak/>
        <w:t>Concentrated National Audits</w:t>
      </w:r>
      <w:bookmarkEnd w:id="9"/>
    </w:p>
    <w:p w:rsidR="00FA2015" w:rsidRDefault="000261CA" w:rsidP="00FA2015">
      <w:r>
        <w:t xml:space="preserve">After an initial trial in </w:t>
      </w:r>
      <w:r w:rsidR="00FA2015">
        <w:t>2018</w:t>
      </w:r>
      <w:r w:rsidR="008458C3" w:rsidRPr="008458C3">
        <w:t>–</w:t>
      </w:r>
      <w:r w:rsidR="00FA2015">
        <w:t>19</w:t>
      </w:r>
      <w:r>
        <w:t>, NMI has adopted</w:t>
      </w:r>
      <w:r w:rsidR="002F0E5F">
        <w:t xml:space="preserve"> concentrated national audits as </w:t>
      </w:r>
      <w:r>
        <w:t xml:space="preserve">an integral </w:t>
      </w:r>
      <w:r w:rsidR="002F0E5F">
        <w:t xml:space="preserve">part of </w:t>
      </w:r>
      <w:r>
        <w:t xml:space="preserve">our </w:t>
      </w:r>
      <w:r w:rsidR="002F0E5F">
        <w:t xml:space="preserve">compliance and enforcement strategy. Under this program </w:t>
      </w:r>
      <w:r w:rsidR="00DC7F85">
        <w:t>type</w:t>
      </w:r>
      <w:r w:rsidR="00FA2015">
        <w:t>, all trade measurement inspect</w:t>
      </w:r>
      <w:r w:rsidR="002F0E5F">
        <w:t xml:space="preserve">ion activity </w:t>
      </w:r>
      <w:r>
        <w:t xml:space="preserve">nationally </w:t>
      </w:r>
      <w:r w:rsidR="002F0E5F">
        <w:t xml:space="preserve">is </w:t>
      </w:r>
      <w:r w:rsidR="00FA2015">
        <w:t xml:space="preserve">focused on a single industry sector over a </w:t>
      </w:r>
      <w:r w:rsidR="002F0E5F">
        <w:t>specific time period</w:t>
      </w:r>
      <w:r w:rsidR="00FA2015">
        <w:t>.</w:t>
      </w:r>
    </w:p>
    <w:p w:rsidR="00FA2015" w:rsidRDefault="00FA2015" w:rsidP="00FA2015">
      <w:r>
        <w:t xml:space="preserve">Two major factors determining which traders are targeted in these national audits </w:t>
      </w:r>
      <w:r w:rsidR="002F0E5F">
        <w:t>are</w:t>
      </w:r>
      <w:r>
        <w:t>:</w:t>
      </w:r>
    </w:p>
    <w:p w:rsidR="00FA2015" w:rsidRDefault="00FA2015" w:rsidP="002F0E5F">
      <w:pPr>
        <w:pStyle w:val="ListParagraph"/>
        <w:numPr>
          <w:ilvl w:val="0"/>
          <w:numId w:val="31"/>
        </w:numPr>
      </w:pPr>
      <w:r>
        <w:t>previously identified non-compliance</w:t>
      </w:r>
    </w:p>
    <w:p w:rsidR="00FA2015" w:rsidRDefault="00FA2015" w:rsidP="002F0E5F">
      <w:pPr>
        <w:pStyle w:val="ListParagraph"/>
        <w:numPr>
          <w:ilvl w:val="0"/>
          <w:numId w:val="31"/>
        </w:numPr>
      </w:pPr>
      <w:proofErr w:type="gramStart"/>
      <w:r>
        <w:t>relative</w:t>
      </w:r>
      <w:proofErr w:type="gramEnd"/>
      <w:r>
        <w:t xml:space="preserve"> market shares of industry participants</w:t>
      </w:r>
      <w:r w:rsidR="002F0E5F">
        <w:t>.</w:t>
      </w:r>
    </w:p>
    <w:p w:rsidR="002F0E5F" w:rsidRDefault="00787C0F" w:rsidP="00FA2015">
      <w:r>
        <w:t>Four</w:t>
      </w:r>
      <w:r w:rsidR="00FA2015">
        <w:t xml:space="preserve"> concentrated national audit programs w</w:t>
      </w:r>
      <w:r w:rsidR="002F0E5F">
        <w:t>ere undertaken</w:t>
      </w:r>
      <w:r w:rsidR="00FA2015">
        <w:t xml:space="preserve"> in 201</w:t>
      </w:r>
      <w:r>
        <w:t>9</w:t>
      </w:r>
      <w:r w:rsidR="008458C3" w:rsidRPr="008458C3">
        <w:t>–</w:t>
      </w:r>
      <w:r>
        <w:t>20</w:t>
      </w:r>
      <w:r w:rsidR="002F0E5F">
        <w:t>:</w:t>
      </w:r>
    </w:p>
    <w:p w:rsidR="002F0E5F" w:rsidRDefault="002F0E5F" w:rsidP="002F0E5F">
      <w:pPr>
        <w:pStyle w:val="ListParagraph"/>
        <w:numPr>
          <w:ilvl w:val="0"/>
          <w:numId w:val="32"/>
        </w:numPr>
      </w:pPr>
      <w:r>
        <w:t>major supermarkets</w:t>
      </w:r>
    </w:p>
    <w:p w:rsidR="00787C0F" w:rsidRDefault="002F0E5F" w:rsidP="002F0E5F">
      <w:pPr>
        <w:pStyle w:val="ListParagraph"/>
        <w:numPr>
          <w:ilvl w:val="0"/>
          <w:numId w:val="32"/>
        </w:numPr>
      </w:pPr>
      <w:r>
        <w:t>retail fuel</w:t>
      </w:r>
    </w:p>
    <w:p w:rsidR="00787C0F" w:rsidRDefault="00787C0F" w:rsidP="002F0E5F">
      <w:pPr>
        <w:pStyle w:val="ListParagraph"/>
        <w:numPr>
          <w:ilvl w:val="0"/>
          <w:numId w:val="32"/>
        </w:numPr>
      </w:pPr>
      <w:r>
        <w:t>licensed premises</w:t>
      </w:r>
    </w:p>
    <w:p w:rsidR="002F79D7" w:rsidRDefault="00787C0F" w:rsidP="002F0E5F">
      <w:pPr>
        <w:pStyle w:val="ListParagraph"/>
        <w:numPr>
          <w:ilvl w:val="0"/>
          <w:numId w:val="32"/>
        </w:numPr>
      </w:pPr>
      <w:proofErr w:type="gramStart"/>
      <w:r>
        <w:t>meat</w:t>
      </w:r>
      <w:proofErr w:type="gramEnd"/>
      <w:r>
        <w:t>, fish and poultry</w:t>
      </w:r>
      <w:r w:rsidR="00347C12">
        <w:t xml:space="preserve"> retail</w:t>
      </w:r>
      <w:r w:rsidR="00FA2015">
        <w:t>.</w:t>
      </w:r>
    </w:p>
    <w:p w:rsidR="00553A55" w:rsidRDefault="00553A55" w:rsidP="00553A55">
      <w:r>
        <w:t>The data in this section of the report specifically refers to inspection outcomes from concentrated audits. In the remainder of the report this data is aggregated with data from inspection conducted over all of 2019</w:t>
      </w:r>
      <w:r w:rsidR="00942D30">
        <w:t>–</w:t>
      </w:r>
      <w:r>
        <w:t>20.</w:t>
      </w:r>
    </w:p>
    <w:p w:rsidR="002F0E5F" w:rsidRDefault="002F0E5F" w:rsidP="002F0E5F">
      <w:pPr>
        <w:pStyle w:val="Heading2"/>
      </w:pPr>
      <w:bookmarkStart w:id="10" w:name="_Toc52367976"/>
      <w:r>
        <w:t>Major Supermarkets</w:t>
      </w:r>
      <w:bookmarkEnd w:id="10"/>
    </w:p>
    <w:p w:rsidR="002C10BB" w:rsidRDefault="002C10BB" w:rsidP="002C10BB">
      <w:r>
        <w:t xml:space="preserve">In response to non-compliance detected during a concentrated national audit in November 2018, NMI entered into agreements with </w:t>
      </w:r>
      <w:r w:rsidRPr="005411D9">
        <w:t xml:space="preserve">the </w:t>
      </w:r>
      <w:r>
        <w:t xml:space="preserve">major </w:t>
      </w:r>
      <w:r w:rsidRPr="005411D9">
        <w:t>supermarket chains that include improvements to staff training programs on measurement accuracy, improvements to weighing instrument checking, and regular reporting to NMI on progress</w:t>
      </w:r>
      <w:r>
        <w:t>.</w:t>
      </w:r>
    </w:p>
    <w:p w:rsidR="002C10BB" w:rsidRDefault="002C10BB" w:rsidP="002C10BB">
      <w:r>
        <w:t>A</w:t>
      </w:r>
      <w:r w:rsidRPr="002B52A5">
        <w:t xml:space="preserve"> follow-up </w:t>
      </w:r>
      <w:r w:rsidR="00731BD8">
        <w:t xml:space="preserve">concentrated audit </w:t>
      </w:r>
      <w:r w:rsidRPr="002B52A5">
        <w:t xml:space="preserve">campaign </w:t>
      </w:r>
      <w:r>
        <w:t>was carried out in February</w:t>
      </w:r>
      <w:r w:rsidRPr="002B52A5">
        <w:t xml:space="preserve"> 2020 to check that actions undertaken as a result of these agreements have been effective in reducing the level of non-compliance.</w:t>
      </w:r>
    </w:p>
    <w:p w:rsidR="0022663F" w:rsidRDefault="005962DE" w:rsidP="00093ED9">
      <w:r>
        <w:t xml:space="preserve">672 </w:t>
      </w:r>
      <w:r w:rsidR="00093ED9" w:rsidRPr="00093ED9">
        <w:t xml:space="preserve">major supermarkets and grocery stores located in metropolitan and regional areas of Australia were </w:t>
      </w:r>
      <w:r w:rsidR="00093ED9">
        <w:t xml:space="preserve">audited </w:t>
      </w:r>
      <w:r w:rsidR="002C10BB">
        <w:t>over 17</w:t>
      </w:r>
      <w:r w:rsidR="002C10BB" w:rsidRPr="008458C3">
        <w:t>–</w:t>
      </w:r>
      <w:r w:rsidR="002C10BB">
        <w:t xml:space="preserve">21 February </w:t>
      </w:r>
      <w:r w:rsidR="00093ED9">
        <w:t>for compliance with trade measurement laws</w:t>
      </w:r>
      <w:r w:rsidR="0022663F">
        <w:t>. The 2020 audits revealed a significant improvement in most areas of trade measurement compliance:</w:t>
      </w:r>
    </w:p>
    <w:p w:rsidR="0022663F" w:rsidRPr="00093ED9" w:rsidRDefault="0022663F" w:rsidP="00C86B41">
      <w:pPr>
        <w:pStyle w:val="ListParagraph"/>
        <w:numPr>
          <w:ilvl w:val="0"/>
          <w:numId w:val="44"/>
        </w:numPr>
        <w:spacing w:after="0"/>
        <w:ind w:left="714" w:hanging="357"/>
      </w:pPr>
      <w:r w:rsidRPr="00F52BF6">
        <w:t>167</w:t>
      </w:r>
      <w:r w:rsidRPr="00093ED9">
        <w:t xml:space="preserve"> (</w:t>
      </w:r>
      <w:r>
        <w:t>24.9</w:t>
      </w:r>
      <w:r w:rsidRPr="0022663F">
        <w:t xml:space="preserve"> </w:t>
      </w:r>
      <w:r>
        <w:t>per cent</w:t>
      </w:r>
      <w:r w:rsidRPr="00093ED9">
        <w:t xml:space="preserve">) </w:t>
      </w:r>
      <w:r>
        <w:t>o</w:t>
      </w:r>
      <w:r w:rsidRPr="00093ED9">
        <w:t xml:space="preserve">f the </w:t>
      </w:r>
      <w:r>
        <w:t>672</w:t>
      </w:r>
      <w:r w:rsidRPr="00093ED9">
        <w:t xml:space="preserve"> business premises visited</w:t>
      </w:r>
      <w:r>
        <w:t xml:space="preserve"> </w:t>
      </w:r>
      <w:r w:rsidRPr="00093ED9">
        <w:t>were found to be non-compliant with one or more aspects of trade measurement legislation</w:t>
      </w:r>
      <w:r>
        <w:t xml:space="preserve"> – compared with 55.8 per cent in 2018</w:t>
      </w:r>
    </w:p>
    <w:p w:rsidR="00093ED9" w:rsidRPr="00093ED9" w:rsidRDefault="0022663F" w:rsidP="00C86B41">
      <w:pPr>
        <w:numPr>
          <w:ilvl w:val="0"/>
          <w:numId w:val="33"/>
        </w:numPr>
        <w:ind w:left="714" w:hanging="357"/>
        <w:contextualSpacing/>
      </w:pPr>
      <w:r>
        <w:t>133</w:t>
      </w:r>
      <w:r w:rsidRPr="00093ED9">
        <w:t xml:space="preserve"> (</w:t>
      </w:r>
      <w:r>
        <w:t>4.4 per cent</w:t>
      </w:r>
      <w:r w:rsidRPr="00093ED9">
        <w:t xml:space="preserve">) </w:t>
      </w:r>
      <w:r>
        <w:t xml:space="preserve">of the </w:t>
      </w:r>
      <w:r w:rsidR="005962DE">
        <w:t>3008</w:t>
      </w:r>
      <w:r w:rsidR="005962DE" w:rsidRPr="00093ED9">
        <w:t xml:space="preserve"> </w:t>
      </w:r>
      <w:r w:rsidR="00093ED9" w:rsidRPr="00093ED9">
        <w:t>measuring instruments tested</w:t>
      </w:r>
      <w:r>
        <w:t xml:space="preserve"> </w:t>
      </w:r>
      <w:r w:rsidR="00093ED9" w:rsidRPr="00093ED9">
        <w:t>were non-compliant</w:t>
      </w:r>
      <w:r w:rsidR="00731BD8">
        <w:t xml:space="preserve"> </w:t>
      </w:r>
      <w:r>
        <w:t xml:space="preserve">– </w:t>
      </w:r>
      <w:r w:rsidR="00731BD8">
        <w:t>compared with 20</w:t>
      </w:r>
      <w:r w:rsidRPr="0022663F">
        <w:t xml:space="preserve"> </w:t>
      </w:r>
      <w:r>
        <w:t>per cent</w:t>
      </w:r>
      <w:r w:rsidR="00731BD8">
        <w:t xml:space="preserve"> in 2018</w:t>
      </w:r>
    </w:p>
    <w:p w:rsidR="00093ED9" w:rsidRPr="00093ED9" w:rsidRDefault="0022663F" w:rsidP="00C86B41">
      <w:pPr>
        <w:numPr>
          <w:ilvl w:val="0"/>
          <w:numId w:val="33"/>
        </w:numPr>
        <w:ind w:left="714" w:hanging="357"/>
        <w:contextualSpacing/>
      </w:pPr>
      <w:r>
        <w:t>122</w:t>
      </w:r>
      <w:r w:rsidRPr="00093ED9">
        <w:t xml:space="preserve"> (</w:t>
      </w:r>
      <w:r>
        <w:t>0.6</w:t>
      </w:r>
      <w:r w:rsidRPr="0022663F">
        <w:t xml:space="preserve"> </w:t>
      </w:r>
      <w:r>
        <w:t>per cent</w:t>
      </w:r>
      <w:r w:rsidRPr="00093ED9">
        <w:t xml:space="preserve">) </w:t>
      </w:r>
      <w:r>
        <w:t xml:space="preserve">of the </w:t>
      </w:r>
      <w:r w:rsidR="005962DE">
        <w:t>19</w:t>
      </w:r>
      <w:r w:rsidR="00425E47">
        <w:t xml:space="preserve"> </w:t>
      </w:r>
      <w:r w:rsidR="005962DE">
        <w:t>630</w:t>
      </w:r>
      <w:r w:rsidR="00093ED9" w:rsidRPr="00093ED9">
        <w:t xml:space="preserve"> lines of pre-packed articles inspected</w:t>
      </w:r>
      <w:r>
        <w:t xml:space="preserve"> </w:t>
      </w:r>
      <w:r w:rsidRPr="00093ED9">
        <w:t>were non-compliant</w:t>
      </w:r>
      <w:r>
        <w:t xml:space="preserve"> due to measurement shortfall – compared with 1.4</w:t>
      </w:r>
      <w:r w:rsidRPr="0022663F">
        <w:t xml:space="preserve"> </w:t>
      </w:r>
      <w:r>
        <w:t>per cent in 2018</w:t>
      </w:r>
    </w:p>
    <w:p w:rsidR="00093ED9" w:rsidRPr="00093ED9" w:rsidRDefault="0022663F" w:rsidP="00C86B41">
      <w:pPr>
        <w:numPr>
          <w:ilvl w:val="0"/>
          <w:numId w:val="33"/>
        </w:numPr>
        <w:ind w:left="714" w:hanging="357"/>
      </w:pPr>
      <w:r>
        <w:t>20</w:t>
      </w:r>
      <w:r w:rsidRPr="00093ED9">
        <w:t xml:space="preserve"> (</w:t>
      </w:r>
      <w:r>
        <w:t>9.6</w:t>
      </w:r>
      <w:r w:rsidRPr="0022663F">
        <w:t xml:space="preserve"> </w:t>
      </w:r>
      <w:r>
        <w:t>per cent</w:t>
      </w:r>
      <w:r w:rsidRPr="00093ED9">
        <w:t>)</w:t>
      </w:r>
      <w:r>
        <w:t xml:space="preserve"> of the </w:t>
      </w:r>
      <w:r w:rsidR="005962DE">
        <w:t>208</w:t>
      </w:r>
      <w:r w:rsidR="005962DE" w:rsidRPr="00093ED9">
        <w:t xml:space="preserve"> </w:t>
      </w:r>
      <w:r w:rsidR="00093ED9" w:rsidRPr="00093ED9">
        <w:t>trial purchases undertaken</w:t>
      </w:r>
      <w:r>
        <w:t xml:space="preserve"> </w:t>
      </w:r>
      <w:r w:rsidR="00093ED9" w:rsidRPr="00093ED9">
        <w:t>failed</w:t>
      </w:r>
      <w:r w:rsidR="00731BD8">
        <w:t xml:space="preserve"> – compared with 11.2</w:t>
      </w:r>
      <w:r w:rsidRPr="0022663F">
        <w:t xml:space="preserve"> </w:t>
      </w:r>
      <w:r>
        <w:t>per cent</w:t>
      </w:r>
      <w:r w:rsidR="00731BD8">
        <w:t xml:space="preserve"> in 2018</w:t>
      </w:r>
      <w:r w:rsidR="00093ED9" w:rsidRPr="00093ED9">
        <w:t>.</w:t>
      </w:r>
    </w:p>
    <w:p w:rsidR="007E5C19" w:rsidRPr="005962DE" w:rsidRDefault="007E5C19" w:rsidP="007E5C19">
      <w:pPr>
        <w:rPr>
          <w:rFonts w:ascii="Arial" w:hAnsi="Arial" w:cs="Arial"/>
          <w:szCs w:val="20"/>
          <w:lang w:val="en-GB"/>
        </w:rPr>
      </w:pPr>
      <w:r w:rsidRPr="005962DE">
        <w:rPr>
          <w:rFonts w:ascii="Arial" w:hAnsi="Arial" w:cs="Arial"/>
          <w:szCs w:val="20"/>
          <w:lang w:val="en-GB"/>
        </w:rPr>
        <w:t xml:space="preserve">A total of </w:t>
      </w:r>
      <w:r w:rsidRPr="00553A55">
        <w:rPr>
          <w:rFonts w:ascii="Arial" w:hAnsi="Arial" w:cs="Arial"/>
          <w:szCs w:val="20"/>
          <w:lang w:val="en-GB"/>
        </w:rPr>
        <w:t>195</w:t>
      </w:r>
      <w:r w:rsidRPr="005962DE">
        <w:rPr>
          <w:rFonts w:ascii="Arial" w:hAnsi="Arial" w:cs="Arial"/>
          <w:szCs w:val="20"/>
          <w:lang w:val="en-GB"/>
        </w:rPr>
        <w:t xml:space="preserve"> </w:t>
      </w:r>
      <w:r w:rsidR="00C86B41">
        <w:rPr>
          <w:rFonts w:ascii="Arial" w:hAnsi="Arial" w:cs="Arial"/>
          <w:szCs w:val="20"/>
          <w:lang w:val="en-GB"/>
        </w:rPr>
        <w:t>n</w:t>
      </w:r>
      <w:r w:rsidRPr="005962DE">
        <w:rPr>
          <w:rFonts w:ascii="Arial" w:hAnsi="Arial" w:cs="Arial"/>
          <w:szCs w:val="20"/>
          <w:lang w:val="en-GB"/>
        </w:rPr>
        <w:t>on</w:t>
      </w:r>
      <w:r w:rsidR="00C86B41">
        <w:rPr>
          <w:rFonts w:ascii="Arial" w:hAnsi="Arial" w:cs="Arial"/>
          <w:szCs w:val="20"/>
          <w:lang w:val="en-GB"/>
        </w:rPr>
        <w:t>-c</w:t>
      </w:r>
      <w:r w:rsidRPr="005962DE">
        <w:rPr>
          <w:rFonts w:ascii="Arial" w:hAnsi="Arial" w:cs="Arial"/>
          <w:szCs w:val="20"/>
          <w:lang w:val="en-GB"/>
        </w:rPr>
        <w:t xml:space="preserve">ompliance </w:t>
      </w:r>
      <w:r w:rsidR="00C86B41">
        <w:rPr>
          <w:rFonts w:ascii="Arial" w:hAnsi="Arial" w:cs="Arial"/>
          <w:szCs w:val="20"/>
          <w:lang w:val="en-GB"/>
        </w:rPr>
        <w:t>n</w:t>
      </w:r>
      <w:r w:rsidRPr="005962DE">
        <w:rPr>
          <w:rFonts w:ascii="Arial" w:hAnsi="Arial" w:cs="Arial"/>
          <w:szCs w:val="20"/>
          <w:lang w:val="en-GB"/>
        </w:rPr>
        <w:t>otices were issued</w:t>
      </w:r>
      <w:r w:rsidR="00C86B41">
        <w:rPr>
          <w:rFonts w:ascii="Arial" w:hAnsi="Arial" w:cs="Arial"/>
          <w:szCs w:val="20"/>
          <w:lang w:val="en-GB"/>
        </w:rPr>
        <w:t xml:space="preserve">, including: </w:t>
      </w:r>
      <w:r w:rsidRPr="005962DE">
        <w:rPr>
          <w:rFonts w:ascii="Arial" w:hAnsi="Arial" w:cs="Arial"/>
          <w:szCs w:val="20"/>
          <w:lang w:val="en-GB"/>
        </w:rPr>
        <w:t xml:space="preserve">89 related to </w:t>
      </w:r>
      <w:r w:rsidR="00C86B41">
        <w:rPr>
          <w:rFonts w:ascii="Arial" w:hAnsi="Arial" w:cs="Arial"/>
          <w:szCs w:val="20"/>
          <w:lang w:val="en-GB"/>
        </w:rPr>
        <w:t xml:space="preserve">measuring </w:t>
      </w:r>
      <w:r w:rsidRPr="005962DE">
        <w:rPr>
          <w:rFonts w:ascii="Arial" w:hAnsi="Arial" w:cs="Arial"/>
          <w:szCs w:val="20"/>
          <w:lang w:val="en-GB"/>
        </w:rPr>
        <w:t>instrument</w:t>
      </w:r>
      <w:r w:rsidR="00C86B41">
        <w:rPr>
          <w:rFonts w:ascii="Arial" w:hAnsi="Arial" w:cs="Arial"/>
          <w:szCs w:val="20"/>
          <w:lang w:val="en-GB"/>
        </w:rPr>
        <w:t>s;</w:t>
      </w:r>
      <w:r w:rsidRPr="005962DE">
        <w:rPr>
          <w:rFonts w:ascii="Arial" w:hAnsi="Arial" w:cs="Arial"/>
          <w:szCs w:val="20"/>
          <w:lang w:val="en-GB"/>
        </w:rPr>
        <w:t xml:space="preserve"> 78 related to </w:t>
      </w:r>
      <w:r w:rsidR="00DB4447">
        <w:rPr>
          <w:rFonts w:ascii="Arial" w:hAnsi="Arial" w:cs="Arial"/>
          <w:szCs w:val="20"/>
          <w:lang w:val="en-GB"/>
        </w:rPr>
        <w:t>packaged</w:t>
      </w:r>
      <w:r w:rsidRPr="005962DE">
        <w:rPr>
          <w:rFonts w:ascii="Arial" w:hAnsi="Arial" w:cs="Arial"/>
          <w:szCs w:val="20"/>
          <w:lang w:val="en-GB"/>
        </w:rPr>
        <w:t xml:space="preserve"> goods</w:t>
      </w:r>
      <w:r w:rsidR="00C86B41">
        <w:rPr>
          <w:rFonts w:ascii="Arial" w:hAnsi="Arial" w:cs="Arial"/>
          <w:szCs w:val="20"/>
          <w:lang w:val="en-GB"/>
        </w:rPr>
        <w:t>; and</w:t>
      </w:r>
      <w:r w:rsidRPr="005962DE">
        <w:rPr>
          <w:rFonts w:ascii="Arial" w:hAnsi="Arial" w:cs="Arial"/>
          <w:szCs w:val="20"/>
          <w:lang w:val="en-GB"/>
        </w:rPr>
        <w:t xml:space="preserve"> 28 for failure of trading practice (shortfall offences from trial purchases).</w:t>
      </w:r>
      <w:r w:rsidR="00C86B41">
        <w:rPr>
          <w:rFonts w:ascii="Arial" w:hAnsi="Arial" w:cs="Arial"/>
          <w:szCs w:val="20"/>
          <w:lang w:val="en-GB"/>
        </w:rPr>
        <w:t xml:space="preserve"> </w:t>
      </w:r>
      <w:r w:rsidR="00C86B41">
        <w:t>S</w:t>
      </w:r>
      <w:r w:rsidR="00C86B41" w:rsidRPr="009B6442">
        <w:t>ome stores were issued with more than one notice or a notice covering more than one breach.</w:t>
      </w:r>
    </w:p>
    <w:p w:rsidR="007E5C19" w:rsidRDefault="00840349" w:rsidP="00840349">
      <w:r>
        <w:rPr>
          <w:rFonts w:ascii="Arial" w:hAnsi="Arial" w:cs="Arial"/>
          <w:szCs w:val="20"/>
          <w:lang w:val="en-GB"/>
        </w:rPr>
        <w:t xml:space="preserve">Trade measurement compliance of major supermarkets will continue to be monitored as part of </w:t>
      </w:r>
      <w:r w:rsidR="0024216E">
        <w:rPr>
          <w:rFonts w:ascii="Arial" w:hAnsi="Arial" w:cs="Arial"/>
          <w:szCs w:val="20"/>
          <w:lang w:val="en-GB"/>
        </w:rPr>
        <w:t xml:space="preserve">NMI’s </w:t>
      </w:r>
      <w:r>
        <w:rPr>
          <w:rFonts w:ascii="Arial" w:hAnsi="Arial" w:cs="Arial"/>
          <w:szCs w:val="20"/>
          <w:lang w:val="en-GB"/>
        </w:rPr>
        <w:t xml:space="preserve">2020–21 </w:t>
      </w:r>
      <w:hyperlink r:id="rId16" w:history="1">
        <w:r w:rsidR="0024216E" w:rsidRPr="0024216E">
          <w:rPr>
            <w:rStyle w:val="Hyperlink"/>
            <w:rFonts w:ascii="Arial" w:hAnsi="Arial" w:cs="Arial"/>
            <w:szCs w:val="20"/>
            <w:lang w:val="en-GB"/>
          </w:rPr>
          <w:t>National Compliance Plan</w:t>
        </w:r>
      </w:hyperlink>
      <w:r w:rsidR="0024216E">
        <w:rPr>
          <w:rStyle w:val="FootnoteReference"/>
          <w:rFonts w:ascii="Arial" w:hAnsi="Arial" w:cs="Arial"/>
          <w:szCs w:val="20"/>
          <w:lang w:val="en-GB"/>
        </w:rPr>
        <w:footnoteReference w:id="3"/>
      </w:r>
      <w:r>
        <w:rPr>
          <w:rFonts w:ascii="Arial" w:hAnsi="Arial" w:cs="Arial"/>
          <w:szCs w:val="20"/>
          <w:lang w:val="en-GB"/>
        </w:rPr>
        <w:t xml:space="preserve">. </w:t>
      </w:r>
    </w:p>
    <w:p w:rsidR="002F0E5F" w:rsidRDefault="002F0E5F" w:rsidP="002F0E5F">
      <w:pPr>
        <w:pStyle w:val="Heading2"/>
      </w:pPr>
      <w:bookmarkStart w:id="11" w:name="_Toc52367977"/>
      <w:r>
        <w:lastRenderedPageBreak/>
        <w:t>Retail Fuel</w:t>
      </w:r>
      <w:bookmarkEnd w:id="11"/>
    </w:p>
    <w:p w:rsidR="005F28BA" w:rsidRDefault="005F28BA" w:rsidP="005F28BA">
      <w:r>
        <w:t xml:space="preserve">Analysis of trade measurement compliance data over recent years has identified that the </w:t>
      </w:r>
      <w:r w:rsidRPr="009B6442">
        <w:t xml:space="preserve">proportion of </w:t>
      </w:r>
      <w:r>
        <w:t xml:space="preserve">retail fuel </w:t>
      </w:r>
      <w:r w:rsidRPr="009B6442">
        <w:t>dispensers found to be to inaccurate to consumer disadvantage</w:t>
      </w:r>
      <w:r>
        <w:t xml:space="preserve"> by more than the </w:t>
      </w:r>
      <w:r w:rsidRPr="009B6442">
        <w:t xml:space="preserve">maximum permissible error (MPE) </w:t>
      </w:r>
      <w:r>
        <w:t>of</w:t>
      </w:r>
      <w:r w:rsidRPr="009B6442">
        <w:t xml:space="preserve"> 0.3%</w:t>
      </w:r>
      <w:r>
        <w:t xml:space="preserve"> is consistently in excess of that for all measuring instruments. </w:t>
      </w:r>
    </w:p>
    <w:p w:rsidR="00A7541F" w:rsidRDefault="005F28BA" w:rsidP="005F28BA">
      <w:r>
        <w:t>In response to relatively high levels of fuel dispenser inaccuracy, NMI undertook</w:t>
      </w:r>
      <w:r w:rsidRPr="009B6442">
        <w:t xml:space="preserve"> concentrated national audit</w:t>
      </w:r>
      <w:r>
        <w:t>s</w:t>
      </w:r>
      <w:r w:rsidRPr="009B6442">
        <w:t xml:space="preserve"> o</w:t>
      </w:r>
      <w:r>
        <w:t>f retail</w:t>
      </w:r>
      <w:r w:rsidRPr="009B6442">
        <w:t xml:space="preserve"> fuel </w:t>
      </w:r>
      <w:r>
        <w:t>premises in April 2019 and March 2020.</w:t>
      </w:r>
      <w:r w:rsidRPr="009B6442">
        <w:t xml:space="preserve"> </w:t>
      </w:r>
      <w:r>
        <w:t>As part of</w:t>
      </w:r>
      <w:r w:rsidRPr="009B6442">
        <w:t xml:space="preserve"> </w:t>
      </w:r>
      <w:r>
        <w:t xml:space="preserve">the March 2020 concentrated </w:t>
      </w:r>
      <w:r w:rsidRPr="009B6442">
        <w:t>audit</w:t>
      </w:r>
      <w:r>
        <w:t>, NMI’s trade measurement inspectors visited 446</w:t>
      </w:r>
      <w:r w:rsidRPr="009B6442">
        <w:t xml:space="preserve"> retail fuel sites </w:t>
      </w:r>
      <w:r>
        <w:t>and tested 1846 dispensers. Of these</w:t>
      </w:r>
      <w:r w:rsidR="00A7541F">
        <w:t>:</w:t>
      </w:r>
    </w:p>
    <w:p w:rsidR="00A7541F" w:rsidRDefault="00A7541F" w:rsidP="00200E9E">
      <w:pPr>
        <w:pStyle w:val="ListParagraph"/>
        <w:numPr>
          <w:ilvl w:val="0"/>
          <w:numId w:val="50"/>
        </w:numPr>
      </w:pPr>
      <w:r>
        <w:t>92</w:t>
      </w:r>
      <w:r w:rsidR="00111E0F">
        <w:t xml:space="preserve"> dispensers</w:t>
      </w:r>
      <w:r>
        <w:t xml:space="preserve"> (5.0 per cent) were </w:t>
      </w:r>
      <w:r w:rsidR="00111E0F">
        <w:t>outside MPE to consumer advantage</w:t>
      </w:r>
      <w:r w:rsidR="00200E9E">
        <w:t>, giving away fuel, compared with 2.5 per cent in the 2019 concentrated audit</w:t>
      </w:r>
      <w:r w:rsidR="005F28BA">
        <w:t xml:space="preserve"> </w:t>
      </w:r>
    </w:p>
    <w:p w:rsidR="005F28BA" w:rsidRDefault="005F28BA" w:rsidP="00200E9E">
      <w:pPr>
        <w:pStyle w:val="ListParagraph"/>
        <w:numPr>
          <w:ilvl w:val="0"/>
          <w:numId w:val="50"/>
        </w:numPr>
      </w:pPr>
      <w:r>
        <w:t>68</w:t>
      </w:r>
      <w:r w:rsidRPr="009B6442">
        <w:t xml:space="preserve"> </w:t>
      </w:r>
      <w:r w:rsidR="00200E9E">
        <w:t xml:space="preserve">dispensers </w:t>
      </w:r>
      <w:r w:rsidRPr="009B6442">
        <w:t>(</w:t>
      </w:r>
      <w:r w:rsidRPr="005F28BA">
        <w:t>3.7</w:t>
      </w:r>
      <w:r w:rsidR="00111E0F">
        <w:t xml:space="preserve"> per cent</w:t>
      </w:r>
      <w:r w:rsidRPr="009B6442">
        <w:t xml:space="preserve">) </w:t>
      </w:r>
      <w:r>
        <w:t>were</w:t>
      </w:r>
      <w:r w:rsidRPr="009B6442">
        <w:t xml:space="preserve"> outside MPE to consumer disadvantage</w:t>
      </w:r>
      <w:r>
        <w:t xml:space="preserve">, compared with 4.8 per cent in 2019. </w:t>
      </w:r>
    </w:p>
    <w:p w:rsidR="0024216E" w:rsidRDefault="0024216E" w:rsidP="0024216E">
      <w:r>
        <w:t xml:space="preserve">NMI will continue to closely assess trade measurement compliance at retail fuel sites as part of its </w:t>
      </w:r>
      <w:hyperlink r:id="rId17" w:history="1">
        <w:r w:rsidRPr="006B39A3">
          <w:rPr>
            <w:rStyle w:val="Hyperlink"/>
          </w:rPr>
          <w:t>National Compliance Plan for 20</w:t>
        </w:r>
        <w:r>
          <w:rPr>
            <w:rStyle w:val="Hyperlink"/>
          </w:rPr>
          <w:t>20–21</w:t>
        </w:r>
      </w:hyperlink>
      <w:r>
        <w:rPr>
          <w:rStyle w:val="FootnoteReference"/>
        </w:rPr>
        <w:footnoteReference w:id="4"/>
      </w:r>
      <w:r>
        <w:t>.</w:t>
      </w:r>
    </w:p>
    <w:p w:rsidR="00817FC6" w:rsidRDefault="0050506D" w:rsidP="005962DE">
      <w:pPr>
        <w:pStyle w:val="Heading2"/>
      </w:pPr>
      <w:bookmarkStart w:id="12" w:name="_Toc52367978"/>
      <w:r>
        <w:t>Licensed Premises</w:t>
      </w:r>
      <w:bookmarkEnd w:id="12"/>
    </w:p>
    <w:p w:rsidR="00D72BB6" w:rsidRDefault="00D72BB6" w:rsidP="00D72BB6">
      <w:r>
        <w:t>Trade measurement inspectors</w:t>
      </w:r>
      <w:r w:rsidR="00E058F9">
        <w:t xml:space="preserve"> have found that </w:t>
      </w:r>
      <w:r>
        <w:t xml:space="preserve">spirit dispensers used in licensed premises </w:t>
      </w:r>
      <w:r w:rsidR="00E058F9">
        <w:t>are</w:t>
      </w:r>
      <w:r>
        <w:t xml:space="preserve"> consistently among the measuring instruments most likely to be found inaccurate to consumer disadvantage. Th</w:t>
      </w:r>
      <w:r w:rsidR="00E058F9">
        <w:t xml:space="preserve">is has </w:t>
      </w:r>
      <w:r>
        <w:t xml:space="preserve">ranged </w:t>
      </w:r>
      <w:r w:rsidR="00E058F9">
        <w:t>between</w:t>
      </w:r>
      <w:r>
        <w:t xml:space="preserve"> 4</w:t>
      </w:r>
      <w:r w:rsidR="00E058F9">
        <w:t xml:space="preserve"> per cent and 6.6 per cent over the period </w:t>
      </w:r>
      <w:r w:rsidR="00362C1D">
        <w:t>2015</w:t>
      </w:r>
      <w:r w:rsidR="00E058F9">
        <w:t>–16 to 2018–19.</w:t>
      </w:r>
    </w:p>
    <w:p w:rsidR="0050506D" w:rsidRPr="0050506D" w:rsidRDefault="00E058F9" w:rsidP="0050506D">
      <w:r>
        <w:t>From 19–24</w:t>
      </w:r>
      <w:r w:rsidRPr="0050506D">
        <w:t xml:space="preserve"> August 2019</w:t>
      </w:r>
      <w:r>
        <w:t xml:space="preserve">, </w:t>
      </w:r>
      <w:r w:rsidR="0050506D" w:rsidRPr="0050506D">
        <w:t xml:space="preserve">NMI trade measurement inspectors </w:t>
      </w:r>
      <w:r w:rsidR="00BC5DB1" w:rsidRPr="008E50D4">
        <w:t>audit</w:t>
      </w:r>
      <w:r w:rsidR="00BC5DB1">
        <w:t>ed</w:t>
      </w:r>
      <w:r w:rsidR="00BC5DB1" w:rsidRPr="008E50D4">
        <w:t xml:space="preserve"> </w:t>
      </w:r>
      <w:r w:rsidR="00BC5DB1">
        <w:t xml:space="preserve">807 </w:t>
      </w:r>
      <w:r w:rsidR="00BC5DB1" w:rsidRPr="008E50D4">
        <w:t>licensed premises</w:t>
      </w:r>
      <w:r w:rsidR="00BC5DB1">
        <w:t>,</w:t>
      </w:r>
      <w:r w:rsidR="00BC5DB1" w:rsidRPr="008E50D4">
        <w:t xml:space="preserve"> including hotels, bars, major sporting venues, micro</w:t>
      </w:r>
      <w:r w:rsidR="00BC5DB1">
        <w:t>-</w:t>
      </w:r>
      <w:r w:rsidR="00BC5DB1" w:rsidRPr="008E50D4">
        <w:t>breweries and wineries</w:t>
      </w:r>
      <w:r w:rsidR="00BC5DB1">
        <w:t>, for compliance with trade measurement legislation.</w:t>
      </w:r>
      <w:r w:rsidR="0050506D" w:rsidRPr="0050506D">
        <w:t xml:space="preserve"> </w:t>
      </w:r>
    </w:p>
    <w:p w:rsidR="00E058F9" w:rsidRDefault="00E058F9" w:rsidP="00E058F9">
      <w:r w:rsidRPr="0050506D">
        <w:t>The audit program included</w:t>
      </w:r>
      <w:r>
        <w:t>:</w:t>
      </w:r>
    </w:p>
    <w:p w:rsidR="00E058F9" w:rsidRDefault="00E058F9" w:rsidP="00E058F9">
      <w:pPr>
        <w:pStyle w:val="ListParagraph"/>
        <w:numPr>
          <w:ilvl w:val="0"/>
          <w:numId w:val="46"/>
        </w:numPr>
      </w:pPr>
      <w:r w:rsidRPr="0050506D">
        <w:t>making 213 anonymous trial purchases to check the compliance of trading practices when selling products across the bar</w:t>
      </w:r>
      <w:r w:rsidR="009371CE">
        <w:t>,</w:t>
      </w:r>
      <w:r w:rsidR="009371CE" w:rsidRPr="009371CE">
        <w:t xml:space="preserve"> </w:t>
      </w:r>
      <w:r w:rsidR="009371CE">
        <w:t>of which 60 (28 per cent) failed</w:t>
      </w:r>
    </w:p>
    <w:p w:rsidR="00E058F9" w:rsidRPr="0050506D" w:rsidRDefault="00E058F9" w:rsidP="00E058F9">
      <w:pPr>
        <w:pStyle w:val="ListParagraph"/>
        <w:numPr>
          <w:ilvl w:val="0"/>
          <w:numId w:val="46"/>
        </w:numPr>
      </w:pPr>
      <w:proofErr w:type="gramStart"/>
      <w:r>
        <w:t>t</w:t>
      </w:r>
      <w:r w:rsidRPr="0050506D">
        <w:t>esting</w:t>
      </w:r>
      <w:proofErr w:type="gramEnd"/>
      <w:r w:rsidRPr="0050506D">
        <w:t xml:space="preserve"> 1057 measuring instruments, usually spirit dispensers</w:t>
      </w:r>
      <w:r>
        <w:t>, of which 138 (13 per cent) failed</w:t>
      </w:r>
      <w:r w:rsidRPr="0050506D">
        <w:t>.</w:t>
      </w:r>
    </w:p>
    <w:p w:rsidR="00BC5DB1" w:rsidRPr="0050506D" w:rsidRDefault="00BC5DB1" w:rsidP="00BC5DB1">
      <w:r w:rsidRPr="0050506D">
        <w:t xml:space="preserve">Non-compliance with trade measurement laws was found at </w:t>
      </w:r>
      <w:r w:rsidR="00200E9E">
        <w:t>238 (</w:t>
      </w:r>
      <w:r w:rsidR="00DD515D">
        <w:t>29 per cent</w:t>
      </w:r>
      <w:r w:rsidR="00200E9E">
        <w:t>)</w:t>
      </w:r>
      <w:r w:rsidR="00DD515D">
        <w:t xml:space="preserve"> </w:t>
      </w:r>
      <w:r w:rsidR="00031535">
        <w:t xml:space="preserve">of the </w:t>
      </w:r>
      <w:r w:rsidR="00200E9E">
        <w:t xml:space="preserve">807 </w:t>
      </w:r>
      <w:r w:rsidRPr="0050506D">
        <w:t xml:space="preserve">premises audited, including 52 premises with measurement discrepancies identified during trial purchases and 24 premises with measuring instruments inaccurate to consumer </w:t>
      </w:r>
      <w:r w:rsidR="00E058F9">
        <w:t>disadvantage</w:t>
      </w:r>
      <w:r w:rsidRPr="0050506D">
        <w:t>.</w:t>
      </w:r>
    </w:p>
    <w:p w:rsidR="00CC0943" w:rsidRDefault="00E77BB6" w:rsidP="00CC0943">
      <w:r>
        <w:t xml:space="preserve">While most non-compliance was quickly resolved by traders after being pointed out by inspectors, </w:t>
      </w:r>
      <w:r w:rsidR="00CC0943">
        <w:t>the following enforcement action</w:t>
      </w:r>
      <w:r w:rsidR="00BC5DB1">
        <w:t xml:space="preserve"> was undertaken</w:t>
      </w:r>
      <w:r>
        <w:t xml:space="preserve"> for </w:t>
      </w:r>
      <w:r w:rsidR="00F52BF6">
        <w:t>more serious breaches</w:t>
      </w:r>
      <w:r w:rsidR="00CC0943">
        <w:t>:</w:t>
      </w:r>
    </w:p>
    <w:p w:rsidR="00CC0943" w:rsidRDefault="00BC5DB1" w:rsidP="00CC0943">
      <w:pPr>
        <w:pStyle w:val="ListParagraph"/>
        <w:numPr>
          <w:ilvl w:val="0"/>
          <w:numId w:val="41"/>
        </w:numPr>
      </w:pPr>
      <w:r>
        <w:t>25</w:t>
      </w:r>
      <w:r w:rsidR="00CC0943">
        <w:t xml:space="preserve"> warning letters</w:t>
      </w:r>
    </w:p>
    <w:p w:rsidR="00CC0943" w:rsidRDefault="00CC0943" w:rsidP="00CC0943">
      <w:pPr>
        <w:pStyle w:val="ListParagraph"/>
        <w:numPr>
          <w:ilvl w:val="0"/>
          <w:numId w:val="41"/>
        </w:numPr>
      </w:pPr>
      <w:r>
        <w:t>2</w:t>
      </w:r>
      <w:r w:rsidR="00BC5DB1">
        <w:t>2</w:t>
      </w:r>
      <w:r>
        <w:t xml:space="preserve"> infringement notices of $1050 each</w:t>
      </w:r>
    </w:p>
    <w:p w:rsidR="00CC0943" w:rsidRDefault="00CC0943" w:rsidP="00CC0943">
      <w:pPr>
        <w:pStyle w:val="ListParagraph"/>
        <w:numPr>
          <w:ilvl w:val="0"/>
          <w:numId w:val="41"/>
        </w:numPr>
      </w:pPr>
      <w:r>
        <w:t>2 infringement notices of $2100 each</w:t>
      </w:r>
    </w:p>
    <w:p w:rsidR="00CC0943" w:rsidRDefault="00CC0943" w:rsidP="00CC0943">
      <w:pPr>
        <w:pStyle w:val="ListParagraph"/>
        <w:numPr>
          <w:ilvl w:val="0"/>
          <w:numId w:val="41"/>
        </w:numPr>
      </w:pPr>
      <w:r>
        <w:t>1 infringement notice of $4200</w:t>
      </w:r>
    </w:p>
    <w:p w:rsidR="005F2675" w:rsidRDefault="005F2675">
      <w:pPr>
        <w:spacing w:after="200"/>
        <w:rPr>
          <w:rFonts w:asciiTheme="majorHAnsi" w:eastAsiaTheme="majorEastAsia" w:hAnsiTheme="majorHAnsi" w:cstheme="majorBidi"/>
          <w:b/>
          <w:bCs/>
          <w:color w:val="A6192E" w:themeColor="accent1"/>
          <w:sz w:val="26"/>
          <w:szCs w:val="26"/>
        </w:rPr>
      </w:pPr>
      <w:r>
        <w:br w:type="page"/>
      </w:r>
    </w:p>
    <w:p w:rsidR="00CC0943" w:rsidRDefault="000B184C" w:rsidP="005962DE">
      <w:pPr>
        <w:pStyle w:val="Heading2"/>
      </w:pPr>
      <w:bookmarkStart w:id="13" w:name="_Toc52367979"/>
      <w:r>
        <w:lastRenderedPageBreak/>
        <w:t>Meat, Fish and Poultry</w:t>
      </w:r>
      <w:r w:rsidR="0024216E">
        <w:t xml:space="preserve"> Retail</w:t>
      </w:r>
      <w:bookmarkEnd w:id="13"/>
    </w:p>
    <w:p w:rsidR="00563BEE" w:rsidRDefault="00563BEE" w:rsidP="00563BEE">
      <w:pPr>
        <w:rPr>
          <w:iCs/>
        </w:rPr>
      </w:pPr>
      <w:r>
        <w:rPr>
          <w:rFonts w:ascii="Arial" w:eastAsia="Times New Roman" w:hAnsi="Arial" w:cs="Arial"/>
          <w:color w:val="000000"/>
          <w:szCs w:val="20"/>
          <w:lang w:eastAsia="en-AU"/>
        </w:rPr>
        <w:t xml:space="preserve">In response to </w:t>
      </w:r>
      <w:r w:rsidR="00E77BB6">
        <w:rPr>
          <w:rFonts w:ascii="Arial" w:eastAsia="Times New Roman" w:hAnsi="Arial" w:cs="Arial"/>
          <w:color w:val="000000"/>
          <w:szCs w:val="20"/>
          <w:lang w:eastAsia="en-AU"/>
        </w:rPr>
        <w:t>above average levels of non-compliance</w:t>
      </w:r>
      <w:r>
        <w:rPr>
          <w:rFonts w:ascii="Arial" w:eastAsia="Times New Roman" w:hAnsi="Arial" w:cs="Arial"/>
          <w:color w:val="000000"/>
          <w:szCs w:val="20"/>
          <w:lang w:eastAsia="en-AU"/>
        </w:rPr>
        <w:t xml:space="preserve"> detected in this industry sector across </w:t>
      </w:r>
      <w:r w:rsidR="00DB4447">
        <w:rPr>
          <w:rFonts w:ascii="Arial" w:eastAsia="Times New Roman" w:hAnsi="Arial" w:cs="Arial"/>
          <w:color w:val="000000"/>
          <w:szCs w:val="20"/>
          <w:lang w:eastAsia="en-AU"/>
        </w:rPr>
        <w:t>packaged</w:t>
      </w:r>
      <w:r w:rsidRPr="00563BEE">
        <w:rPr>
          <w:rFonts w:ascii="Arial" w:eastAsia="Times New Roman" w:hAnsi="Arial" w:cs="Arial"/>
          <w:color w:val="000000"/>
          <w:szCs w:val="20"/>
          <w:lang w:eastAsia="en-AU"/>
        </w:rPr>
        <w:t xml:space="preserve"> articles, instruments and trading practices</w:t>
      </w:r>
      <w:r>
        <w:rPr>
          <w:rFonts w:ascii="Arial" w:eastAsia="Times New Roman" w:hAnsi="Arial" w:cs="Arial"/>
          <w:color w:val="000000"/>
          <w:szCs w:val="20"/>
          <w:lang w:eastAsia="en-AU"/>
        </w:rPr>
        <w:t>, a concentrated national audit was undertaken from</w:t>
      </w:r>
      <w:r w:rsidR="000B184C">
        <w:rPr>
          <w:rFonts w:ascii="Arial" w:eastAsia="Times New Roman" w:hAnsi="Arial" w:cs="Arial"/>
          <w:color w:val="000000"/>
          <w:szCs w:val="20"/>
          <w:lang w:eastAsia="en-AU"/>
        </w:rPr>
        <w:t xml:space="preserve"> </w:t>
      </w:r>
      <w:r w:rsidR="000B184C">
        <w:rPr>
          <w:iCs/>
        </w:rPr>
        <w:t>25</w:t>
      </w:r>
      <w:r>
        <w:rPr>
          <w:iCs/>
        </w:rPr>
        <w:t>–</w:t>
      </w:r>
      <w:r w:rsidR="000B184C">
        <w:rPr>
          <w:iCs/>
        </w:rPr>
        <w:t>29 November 2019</w:t>
      </w:r>
      <w:r>
        <w:rPr>
          <w:iCs/>
        </w:rPr>
        <w:t>.</w:t>
      </w:r>
      <w:r w:rsidR="00DD515D">
        <w:rPr>
          <w:iCs/>
        </w:rPr>
        <w:t xml:space="preserve"> </w:t>
      </w:r>
    </w:p>
    <w:p w:rsidR="00563BEE" w:rsidRDefault="00563BEE" w:rsidP="00563BEE">
      <w:pPr>
        <w:rPr>
          <w:iCs/>
        </w:rPr>
      </w:pPr>
      <w:r>
        <w:rPr>
          <w:iCs/>
        </w:rPr>
        <w:t>As part of the audit NMI’s trade measurement inspectors:</w:t>
      </w:r>
    </w:p>
    <w:p w:rsidR="00563BEE" w:rsidRPr="00563BEE" w:rsidRDefault="00563BEE" w:rsidP="00563BEE">
      <w:pPr>
        <w:pStyle w:val="ListParagraph"/>
        <w:numPr>
          <w:ilvl w:val="0"/>
          <w:numId w:val="38"/>
        </w:numPr>
        <w:spacing w:after="0"/>
        <w:ind w:hanging="288"/>
        <w:rPr>
          <w:rFonts w:ascii="Arial" w:hAnsi="Arial" w:cs="Arial"/>
          <w:color w:val="000000"/>
          <w:szCs w:val="20"/>
        </w:rPr>
      </w:pPr>
      <w:r w:rsidRPr="00563BEE">
        <w:rPr>
          <w:rFonts w:ascii="Arial" w:hAnsi="Arial" w:cs="Arial"/>
          <w:color w:val="000000"/>
          <w:szCs w:val="20"/>
        </w:rPr>
        <w:t>visited 605 business premises</w:t>
      </w:r>
    </w:p>
    <w:p w:rsidR="000B184C" w:rsidRPr="00D61511" w:rsidRDefault="00563BEE" w:rsidP="00563BEE">
      <w:pPr>
        <w:pStyle w:val="ListParagraph"/>
        <w:numPr>
          <w:ilvl w:val="0"/>
          <w:numId w:val="38"/>
        </w:numPr>
        <w:spacing w:after="0"/>
        <w:ind w:hanging="288"/>
        <w:rPr>
          <w:rFonts w:ascii="Arial" w:hAnsi="Arial" w:cs="Arial"/>
          <w:color w:val="000000"/>
          <w:szCs w:val="20"/>
        </w:rPr>
      </w:pPr>
      <w:r>
        <w:rPr>
          <w:rFonts w:ascii="Arial" w:hAnsi="Arial" w:cs="Arial"/>
          <w:color w:val="000000"/>
          <w:szCs w:val="20"/>
        </w:rPr>
        <w:t>tested</w:t>
      </w:r>
      <w:r w:rsidR="000B184C" w:rsidRPr="00D61511">
        <w:rPr>
          <w:rFonts w:ascii="Arial" w:hAnsi="Arial" w:cs="Arial"/>
          <w:color w:val="000000"/>
          <w:szCs w:val="20"/>
        </w:rPr>
        <w:t xml:space="preserve"> </w:t>
      </w:r>
      <w:r w:rsidR="00DB4447" w:rsidRPr="00D61511">
        <w:rPr>
          <w:rFonts w:ascii="Arial" w:hAnsi="Arial" w:cs="Arial"/>
          <w:color w:val="000000"/>
          <w:szCs w:val="20"/>
        </w:rPr>
        <w:t>11</w:t>
      </w:r>
      <w:r w:rsidR="00DB4447">
        <w:rPr>
          <w:rFonts w:ascii="Arial" w:hAnsi="Arial" w:cs="Arial"/>
          <w:color w:val="000000"/>
          <w:szCs w:val="20"/>
        </w:rPr>
        <w:t>21</w:t>
      </w:r>
      <w:r w:rsidR="00DB4447" w:rsidRPr="00D61511">
        <w:rPr>
          <w:rFonts w:ascii="Arial" w:hAnsi="Arial" w:cs="Arial"/>
          <w:color w:val="000000"/>
          <w:szCs w:val="20"/>
        </w:rPr>
        <w:t xml:space="preserve"> </w:t>
      </w:r>
      <w:r w:rsidR="000B184C" w:rsidRPr="00D61511">
        <w:rPr>
          <w:rFonts w:ascii="Arial" w:hAnsi="Arial" w:cs="Arial"/>
          <w:color w:val="000000"/>
          <w:szCs w:val="20"/>
        </w:rPr>
        <w:t xml:space="preserve">measuring instruments </w:t>
      </w:r>
    </w:p>
    <w:p w:rsidR="00563BEE" w:rsidRPr="00116C5C" w:rsidRDefault="00563BEE" w:rsidP="00563BEE">
      <w:pPr>
        <w:pStyle w:val="ListParagraph"/>
        <w:numPr>
          <w:ilvl w:val="0"/>
          <w:numId w:val="38"/>
        </w:numPr>
        <w:spacing w:after="0"/>
        <w:ind w:hanging="288"/>
        <w:rPr>
          <w:rFonts w:ascii="Arial" w:hAnsi="Arial" w:cs="Arial"/>
          <w:szCs w:val="20"/>
        </w:rPr>
      </w:pPr>
      <w:r>
        <w:rPr>
          <w:rFonts w:ascii="Arial" w:hAnsi="Arial" w:cs="Arial"/>
          <w:szCs w:val="20"/>
        </w:rPr>
        <w:t>checked 4</w:t>
      </w:r>
      <w:r w:rsidR="00DB4447">
        <w:rPr>
          <w:rFonts w:ascii="Arial" w:hAnsi="Arial" w:cs="Arial"/>
          <w:szCs w:val="20"/>
        </w:rPr>
        <w:t>852 packaged</w:t>
      </w:r>
      <w:r>
        <w:rPr>
          <w:rFonts w:ascii="Arial" w:hAnsi="Arial" w:cs="Arial"/>
          <w:szCs w:val="20"/>
        </w:rPr>
        <w:t xml:space="preserve"> article lines </w:t>
      </w:r>
    </w:p>
    <w:p w:rsidR="000B184C" w:rsidRPr="00DD0257" w:rsidRDefault="000B184C" w:rsidP="00741A90">
      <w:pPr>
        <w:pStyle w:val="ListParagraph"/>
        <w:numPr>
          <w:ilvl w:val="0"/>
          <w:numId w:val="47"/>
        </w:numPr>
        <w:tabs>
          <w:tab w:val="left" w:pos="7410"/>
        </w:tabs>
        <w:rPr>
          <w:rFonts w:ascii="Arial" w:hAnsi="Arial" w:cs="Arial"/>
          <w:szCs w:val="20"/>
        </w:rPr>
      </w:pPr>
      <w:r w:rsidRPr="00741A90">
        <w:rPr>
          <w:rFonts w:ascii="Arial" w:hAnsi="Arial" w:cs="Arial"/>
          <w:szCs w:val="20"/>
        </w:rPr>
        <w:t>c</w:t>
      </w:r>
      <w:r w:rsidR="00563BEE" w:rsidRPr="00741A90">
        <w:rPr>
          <w:rFonts w:ascii="Arial" w:hAnsi="Arial" w:cs="Arial"/>
          <w:szCs w:val="20"/>
        </w:rPr>
        <w:t>onducted</w:t>
      </w:r>
      <w:r w:rsidRPr="00741A90">
        <w:rPr>
          <w:rFonts w:ascii="Arial" w:hAnsi="Arial" w:cs="Arial"/>
          <w:szCs w:val="20"/>
        </w:rPr>
        <w:t xml:space="preserve"> </w:t>
      </w:r>
      <w:r w:rsidR="00DB4447" w:rsidRPr="00741A90">
        <w:rPr>
          <w:rFonts w:ascii="Arial" w:hAnsi="Arial" w:cs="Arial"/>
          <w:szCs w:val="20"/>
        </w:rPr>
        <w:t xml:space="preserve">574 </w:t>
      </w:r>
      <w:r w:rsidRPr="00741A90">
        <w:rPr>
          <w:rFonts w:ascii="Arial" w:hAnsi="Arial" w:cs="Arial"/>
          <w:szCs w:val="20"/>
        </w:rPr>
        <w:t xml:space="preserve">trial purchases </w:t>
      </w:r>
    </w:p>
    <w:p w:rsidR="00DB4447" w:rsidRDefault="00DB4447" w:rsidP="000B184C">
      <w:pPr>
        <w:tabs>
          <w:tab w:val="left" w:pos="7410"/>
        </w:tabs>
        <w:rPr>
          <w:rFonts w:ascii="Arial" w:hAnsi="Arial" w:cs="Arial"/>
          <w:szCs w:val="20"/>
        </w:rPr>
      </w:pPr>
      <w:r>
        <w:rPr>
          <w:rFonts w:ascii="Arial" w:hAnsi="Arial" w:cs="Arial"/>
          <w:szCs w:val="20"/>
        </w:rPr>
        <w:t>Non-compliance was found at 345 (57 per cent) of the 605 business premises audited, including:</w:t>
      </w:r>
    </w:p>
    <w:p w:rsidR="00DB4447" w:rsidRPr="00DB4447" w:rsidRDefault="00DB4447" w:rsidP="00DB4447">
      <w:pPr>
        <w:pStyle w:val="ListParagraph"/>
        <w:numPr>
          <w:ilvl w:val="0"/>
          <w:numId w:val="47"/>
        </w:numPr>
        <w:tabs>
          <w:tab w:val="left" w:pos="7410"/>
        </w:tabs>
        <w:rPr>
          <w:rFonts w:ascii="Arial" w:hAnsi="Arial" w:cs="Arial"/>
          <w:szCs w:val="20"/>
        </w:rPr>
      </w:pPr>
      <w:r w:rsidRPr="00DB4447">
        <w:rPr>
          <w:rFonts w:ascii="Arial" w:hAnsi="Arial" w:cs="Arial"/>
          <w:szCs w:val="20"/>
        </w:rPr>
        <w:t>62 measuring instruments not verified</w:t>
      </w:r>
    </w:p>
    <w:p w:rsidR="00DB4447" w:rsidRPr="00DB4447" w:rsidRDefault="00DB4447" w:rsidP="00DB4447">
      <w:pPr>
        <w:pStyle w:val="ListParagraph"/>
        <w:numPr>
          <w:ilvl w:val="0"/>
          <w:numId w:val="47"/>
        </w:numPr>
        <w:tabs>
          <w:tab w:val="left" w:pos="7410"/>
        </w:tabs>
        <w:rPr>
          <w:rFonts w:ascii="Arial" w:hAnsi="Arial" w:cs="Arial"/>
          <w:szCs w:val="20"/>
        </w:rPr>
      </w:pPr>
      <w:r w:rsidRPr="00DB4447">
        <w:rPr>
          <w:rFonts w:ascii="Arial" w:hAnsi="Arial" w:cs="Arial"/>
          <w:szCs w:val="20"/>
        </w:rPr>
        <w:t>70 measuring instruments inaccurate outside MPE to consumer advantage</w:t>
      </w:r>
    </w:p>
    <w:p w:rsidR="00DB4447" w:rsidRPr="00DB4447" w:rsidRDefault="00DB4447" w:rsidP="00DB4447">
      <w:pPr>
        <w:pStyle w:val="ListParagraph"/>
        <w:numPr>
          <w:ilvl w:val="0"/>
          <w:numId w:val="47"/>
        </w:numPr>
        <w:tabs>
          <w:tab w:val="left" w:pos="7410"/>
        </w:tabs>
        <w:rPr>
          <w:rFonts w:ascii="Arial" w:hAnsi="Arial" w:cs="Arial"/>
          <w:szCs w:val="20"/>
        </w:rPr>
      </w:pPr>
      <w:r w:rsidRPr="00DB4447">
        <w:rPr>
          <w:rFonts w:ascii="Arial" w:hAnsi="Arial" w:cs="Arial"/>
          <w:szCs w:val="20"/>
        </w:rPr>
        <w:t>7 measuring instruments inaccurate outside MPE to consumer disadvantage</w:t>
      </w:r>
    </w:p>
    <w:p w:rsidR="00DB4447" w:rsidRPr="00DB4447" w:rsidRDefault="00DB4447" w:rsidP="00DB4447">
      <w:pPr>
        <w:pStyle w:val="ListParagraph"/>
        <w:numPr>
          <w:ilvl w:val="0"/>
          <w:numId w:val="47"/>
        </w:numPr>
        <w:tabs>
          <w:tab w:val="left" w:pos="7410"/>
        </w:tabs>
        <w:rPr>
          <w:rFonts w:ascii="Arial" w:hAnsi="Arial" w:cs="Arial"/>
          <w:szCs w:val="20"/>
        </w:rPr>
      </w:pPr>
      <w:r w:rsidRPr="00DB4447">
        <w:rPr>
          <w:rFonts w:ascii="Arial" w:hAnsi="Arial" w:cs="Arial"/>
          <w:szCs w:val="20"/>
        </w:rPr>
        <w:t>383 packaged article lines with short measure</w:t>
      </w:r>
    </w:p>
    <w:p w:rsidR="00DB4447" w:rsidRPr="00DB4447" w:rsidRDefault="00DB4447" w:rsidP="00DB4447">
      <w:pPr>
        <w:pStyle w:val="ListParagraph"/>
        <w:numPr>
          <w:ilvl w:val="0"/>
          <w:numId w:val="47"/>
        </w:numPr>
        <w:tabs>
          <w:tab w:val="left" w:pos="7410"/>
        </w:tabs>
        <w:rPr>
          <w:rFonts w:ascii="Arial" w:hAnsi="Arial" w:cs="Arial"/>
          <w:szCs w:val="20"/>
        </w:rPr>
      </w:pPr>
      <w:r w:rsidRPr="00DB4447">
        <w:rPr>
          <w:rFonts w:ascii="Arial" w:hAnsi="Arial" w:cs="Arial"/>
          <w:szCs w:val="20"/>
        </w:rPr>
        <w:t>245 packaged article lines with non-compliant labelling</w:t>
      </w:r>
    </w:p>
    <w:p w:rsidR="00DB4447" w:rsidRPr="00DB4447" w:rsidRDefault="00DB4447" w:rsidP="00DB4447">
      <w:pPr>
        <w:pStyle w:val="ListParagraph"/>
        <w:numPr>
          <w:ilvl w:val="0"/>
          <w:numId w:val="47"/>
        </w:numPr>
        <w:tabs>
          <w:tab w:val="left" w:pos="7410"/>
        </w:tabs>
        <w:rPr>
          <w:rFonts w:ascii="Arial" w:hAnsi="Arial" w:cs="Arial"/>
          <w:szCs w:val="20"/>
        </w:rPr>
      </w:pPr>
      <w:r w:rsidRPr="00DB4447">
        <w:rPr>
          <w:rFonts w:ascii="Arial" w:hAnsi="Arial" w:cs="Arial"/>
          <w:szCs w:val="20"/>
        </w:rPr>
        <w:t>224 failed trial purchases.</w:t>
      </w:r>
    </w:p>
    <w:p w:rsidR="00B26D4E" w:rsidRDefault="00E77BB6" w:rsidP="00FC3380">
      <w:pPr>
        <w:rPr>
          <w:rFonts w:ascii="Arial" w:eastAsia="Arial" w:hAnsi="Arial" w:cs="Times New Roman"/>
        </w:rPr>
      </w:pPr>
      <w:r>
        <w:rPr>
          <w:rFonts w:ascii="Arial" w:eastAsia="Arial" w:hAnsi="Arial" w:cs="Times New Roman"/>
        </w:rPr>
        <w:t xml:space="preserve">While most non-compliance detected was relatively minor and corrected by traders on advice from inspectors, </w:t>
      </w:r>
      <w:r w:rsidR="00B26D4E" w:rsidRPr="00DD515D">
        <w:rPr>
          <w:rFonts w:ascii="Arial" w:eastAsia="Arial" w:hAnsi="Arial" w:cs="Times New Roman"/>
        </w:rPr>
        <w:t>NMI issued the following enforcement actions:</w:t>
      </w:r>
    </w:p>
    <w:p w:rsidR="00B26D4E" w:rsidRPr="00B26D4E" w:rsidRDefault="00B26D4E" w:rsidP="00B26D4E">
      <w:pPr>
        <w:pStyle w:val="ListParagraph"/>
        <w:numPr>
          <w:ilvl w:val="0"/>
          <w:numId w:val="48"/>
        </w:numPr>
        <w:rPr>
          <w:rFonts w:ascii="Arial" w:eastAsia="Arial" w:hAnsi="Arial" w:cs="Times New Roman"/>
        </w:rPr>
      </w:pPr>
      <w:r w:rsidRPr="00B26D4E">
        <w:rPr>
          <w:rFonts w:ascii="Arial" w:eastAsia="Arial" w:hAnsi="Arial" w:cs="Times New Roman"/>
        </w:rPr>
        <w:t>103 warning letters</w:t>
      </w:r>
    </w:p>
    <w:p w:rsidR="00B26D4E" w:rsidRPr="00B26D4E" w:rsidRDefault="00B26D4E" w:rsidP="00B26D4E">
      <w:pPr>
        <w:pStyle w:val="ListParagraph"/>
        <w:numPr>
          <w:ilvl w:val="0"/>
          <w:numId w:val="48"/>
        </w:numPr>
        <w:rPr>
          <w:rFonts w:ascii="Arial" w:eastAsia="Arial" w:hAnsi="Arial" w:cs="Times New Roman"/>
        </w:rPr>
      </w:pPr>
      <w:r w:rsidRPr="00B26D4E">
        <w:rPr>
          <w:rFonts w:ascii="Arial" w:eastAsia="Arial" w:hAnsi="Arial" w:cs="Times New Roman"/>
        </w:rPr>
        <w:t>14 infringement notices of $1050 each</w:t>
      </w:r>
    </w:p>
    <w:p w:rsidR="00B26D4E" w:rsidRPr="00B26D4E" w:rsidRDefault="00B26D4E" w:rsidP="00B26D4E">
      <w:pPr>
        <w:pStyle w:val="ListParagraph"/>
        <w:numPr>
          <w:ilvl w:val="0"/>
          <w:numId w:val="48"/>
        </w:numPr>
        <w:rPr>
          <w:rFonts w:ascii="Arial" w:eastAsia="Arial" w:hAnsi="Arial" w:cs="Times New Roman"/>
        </w:rPr>
      </w:pPr>
      <w:r w:rsidRPr="00B26D4E">
        <w:rPr>
          <w:rFonts w:ascii="Arial" w:eastAsia="Arial" w:hAnsi="Arial" w:cs="Times New Roman"/>
        </w:rPr>
        <w:t>1 infringement notice of $2100</w:t>
      </w:r>
      <w:r w:rsidR="00031535">
        <w:rPr>
          <w:rFonts w:ascii="Arial" w:eastAsia="Arial" w:hAnsi="Arial" w:cs="Times New Roman"/>
        </w:rPr>
        <w:t>.</w:t>
      </w:r>
    </w:p>
    <w:p w:rsidR="0018379C" w:rsidRDefault="0018379C">
      <w:pPr>
        <w:spacing w:after="200"/>
      </w:pPr>
      <w:r>
        <w:br w:type="page"/>
      </w:r>
    </w:p>
    <w:p w:rsidR="001D383E" w:rsidRDefault="001D383E" w:rsidP="001D383E">
      <w:pPr>
        <w:pStyle w:val="Heading1"/>
      </w:pPr>
      <w:bookmarkStart w:id="14" w:name="_Toc52367980"/>
      <w:r>
        <w:lastRenderedPageBreak/>
        <w:t xml:space="preserve">Enforcement </w:t>
      </w:r>
      <w:r w:rsidR="001239C1">
        <w:t>A</w:t>
      </w:r>
      <w:r>
        <w:t>ctions</w:t>
      </w:r>
      <w:bookmarkEnd w:id="14"/>
    </w:p>
    <w:p w:rsidR="001D383E" w:rsidRDefault="001D383E" w:rsidP="003221EB">
      <w:r>
        <w:t>NMI inspectors issue non-compliance notices whenever any breaches of trade measurement law are identified during trader audits.</w:t>
      </w:r>
    </w:p>
    <w:p w:rsidR="001D383E" w:rsidRDefault="001D383E" w:rsidP="001D383E">
      <w:r>
        <w:t>E</w:t>
      </w:r>
      <w:r w:rsidRPr="00BA54FF">
        <w:t xml:space="preserve">nforcement action of a more serious nature is taken </w:t>
      </w:r>
      <w:r>
        <w:t>w</w:t>
      </w:r>
      <w:r w:rsidRPr="00BA54FF">
        <w:t>hen</w:t>
      </w:r>
      <w:r>
        <w:t>:</w:t>
      </w:r>
    </w:p>
    <w:p w:rsidR="001D383E" w:rsidRPr="007558B0" w:rsidRDefault="001D383E" w:rsidP="001D383E">
      <w:pPr>
        <w:pStyle w:val="ListParagraph"/>
        <w:numPr>
          <w:ilvl w:val="0"/>
          <w:numId w:val="16"/>
        </w:numPr>
      </w:pPr>
      <w:r w:rsidRPr="007558B0">
        <w:t>continued non-compliance is detected after a notice has been previously issued</w:t>
      </w:r>
    </w:p>
    <w:p w:rsidR="001D383E" w:rsidRDefault="001D383E" w:rsidP="001D383E">
      <w:pPr>
        <w:pStyle w:val="ListParagraph"/>
        <w:numPr>
          <w:ilvl w:val="0"/>
          <w:numId w:val="16"/>
        </w:numPr>
      </w:pPr>
      <w:r w:rsidRPr="00BA54FF">
        <w:t>a breach detected in an initial audit is particularly severe</w:t>
      </w:r>
    </w:p>
    <w:p w:rsidR="001D383E" w:rsidRDefault="001D383E" w:rsidP="001D383E">
      <w:pPr>
        <w:pStyle w:val="ListParagraph"/>
        <w:numPr>
          <w:ilvl w:val="0"/>
          <w:numId w:val="16"/>
        </w:numPr>
      </w:pPr>
      <w:proofErr w:type="gramStart"/>
      <w:r>
        <w:t>contraventions</w:t>
      </w:r>
      <w:proofErr w:type="gramEnd"/>
      <w:r>
        <w:t xml:space="preserve"> are of high public interest</w:t>
      </w:r>
      <w:r w:rsidR="00D57D83">
        <w:t>/impact</w:t>
      </w:r>
      <w:r>
        <w:t>.</w:t>
      </w:r>
    </w:p>
    <w:p w:rsidR="001D383E" w:rsidRDefault="001D383E" w:rsidP="001D383E">
      <w:r>
        <w:t>Potential e</w:t>
      </w:r>
      <w:r w:rsidRPr="00BA54FF">
        <w:t>nforcement action</w:t>
      </w:r>
      <w:r>
        <w:t>s include:</w:t>
      </w:r>
      <w:r w:rsidRPr="00BA54FF">
        <w:t xml:space="preserve"> </w:t>
      </w:r>
    </w:p>
    <w:p w:rsidR="001D383E" w:rsidRDefault="001D383E" w:rsidP="001D383E">
      <w:pPr>
        <w:pStyle w:val="ListParagraph"/>
        <w:numPr>
          <w:ilvl w:val="0"/>
          <w:numId w:val="15"/>
        </w:numPr>
      </w:pPr>
      <w:r w:rsidRPr="00BA54FF">
        <w:t>warning letters</w:t>
      </w:r>
      <w:r w:rsidR="00666E9A">
        <w:t xml:space="preserve"> </w:t>
      </w:r>
    </w:p>
    <w:p w:rsidR="001D383E" w:rsidRDefault="001D383E" w:rsidP="001D383E">
      <w:pPr>
        <w:pStyle w:val="ListParagraph"/>
        <w:numPr>
          <w:ilvl w:val="0"/>
          <w:numId w:val="15"/>
        </w:numPr>
      </w:pPr>
      <w:r w:rsidRPr="00BA54FF">
        <w:t>infringement notices with associated fines</w:t>
      </w:r>
    </w:p>
    <w:p w:rsidR="001D383E" w:rsidRDefault="001D383E" w:rsidP="001D383E">
      <w:pPr>
        <w:pStyle w:val="ListParagraph"/>
        <w:numPr>
          <w:ilvl w:val="0"/>
          <w:numId w:val="15"/>
        </w:numPr>
      </w:pPr>
      <w:r>
        <w:t>enforceable undertakings</w:t>
      </w:r>
      <w:r w:rsidRPr="00BA54FF">
        <w:t xml:space="preserve"> </w:t>
      </w:r>
    </w:p>
    <w:p w:rsidR="001D383E" w:rsidRDefault="001D383E" w:rsidP="001D383E">
      <w:pPr>
        <w:pStyle w:val="ListParagraph"/>
        <w:numPr>
          <w:ilvl w:val="0"/>
          <w:numId w:val="15"/>
        </w:numPr>
      </w:pPr>
      <w:proofErr w:type="gramStart"/>
      <w:r>
        <w:t>referral</w:t>
      </w:r>
      <w:proofErr w:type="gramEnd"/>
      <w:r>
        <w:t xml:space="preserve"> to the </w:t>
      </w:r>
      <w:r w:rsidRPr="00BA54FF">
        <w:t>Commonwealth Director of Public Prosecutions</w:t>
      </w:r>
      <w:r>
        <w:t xml:space="preserve"> </w:t>
      </w:r>
      <w:r w:rsidR="00645ADE">
        <w:t xml:space="preserve">(CDPP) </w:t>
      </w:r>
      <w:r>
        <w:t xml:space="preserve">for injunction or </w:t>
      </w:r>
      <w:r w:rsidRPr="00BA54FF">
        <w:t xml:space="preserve">prosecution. </w:t>
      </w:r>
    </w:p>
    <w:p w:rsidR="00064ABF" w:rsidRDefault="00064ABF" w:rsidP="003221EB">
      <w:r>
        <w:t xml:space="preserve">Any enforcement action, such as </w:t>
      </w:r>
      <w:r w:rsidR="00A97596">
        <w:t xml:space="preserve">a </w:t>
      </w:r>
      <w:r>
        <w:t>warning letter or infringement notice, may cover more than one breach of trade measurement law.</w:t>
      </w:r>
      <w:r w:rsidR="00B53AA9">
        <w:t xml:space="preserve"> </w:t>
      </w:r>
    </w:p>
    <w:p w:rsidR="00373138" w:rsidRDefault="001D383E" w:rsidP="003221EB">
      <w:r>
        <w:t xml:space="preserve">The </w:t>
      </w:r>
      <w:r w:rsidR="009D42B4">
        <w:t>value</w:t>
      </w:r>
      <w:r>
        <w:t xml:space="preserve"> of fines associat</w:t>
      </w:r>
      <w:r w:rsidR="00F80EF7">
        <w:t>ed</w:t>
      </w:r>
      <w:r>
        <w:t xml:space="preserve"> with infringement notices </w:t>
      </w:r>
      <w:r w:rsidR="00A81A69">
        <w:t>in 2019</w:t>
      </w:r>
      <w:r w:rsidR="00741A90">
        <w:t>–</w:t>
      </w:r>
      <w:r w:rsidR="00A81A69">
        <w:t>20 was</w:t>
      </w:r>
      <w:r>
        <w:t xml:space="preserve"> $1050 per offence.</w:t>
      </w:r>
      <w:r w:rsidR="00B53AA9">
        <w:t xml:space="preserve"> </w:t>
      </w:r>
      <w:r w:rsidR="00373138">
        <w:t>NMI issued 100 infringement notices with $123 900 in associated fines.</w:t>
      </w:r>
    </w:p>
    <w:p w:rsidR="00645ADE" w:rsidRDefault="007B5B6A" w:rsidP="003221EB">
      <w:r>
        <w:t>2019</w:t>
      </w:r>
      <w:r w:rsidRPr="008458C3">
        <w:t>–</w:t>
      </w:r>
      <w:r>
        <w:t xml:space="preserve">20 was also the first year that NMI entered into enforceable undertakings. Two major supermarket chains agreed to undertakings which </w:t>
      </w:r>
      <w:r w:rsidRPr="007B5B6A">
        <w:t>include improvements to staff training programs on measurement accuracy, improvements to weighing instrument checking, and regular reporting to NMI on progress.</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ecement action details in previous years."/>
      </w:tblPr>
      <w:tblGrid>
        <w:gridCol w:w="1134"/>
        <w:gridCol w:w="1317"/>
        <w:gridCol w:w="1093"/>
        <w:gridCol w:w="1701"/>
        <w:gridCol w:w="1418"/>
        <w:gridCol w:w="992"/>
        <w:gridCol w:w="1417"/>
      </w:tblGrid>
      <w:tr w:rsidR="00D11AEF" w:rsidTr="001E1066">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134" w:type="dxa"/>
          </w:tcPr>
          <w:p w:rsidR="00D11AEF" w:rsidRDefault="00D11AEF" w:rsidP="005C07E7">
            <w:pPr>
              <w:spacing w:after="0"/>
            </w:pPr>
            <w:r>
              <w:t>Year</w:t>
            </w:r>
          </w:p>
        </w:tc>
        <w:tc>
          <w:tcPr>
            <w:tcW w:w="1317" w:type="dxa"/>
          </w:tcPr>
          <w:p w:rsidR="00D11AEF" w:rsidRDefault="00D11AEF" w:rsidP="00F4574E">
            <w:pPr>
              <w:spacing w:after="0"/>
              <w:jc w:val="center"/>
              <w:cnfStyle w:val="100000000000" w:firstRow="1" w:lastRow="0" w:firstColumn="0" w:lastColumn="0" w:oddVBand="0" w:evenVBand="0" w:oddHBand="0" w:evenHBand="0" w:firstRowFirstColumn="0" w:firstRowLastColumn="0" w:lastRowFirstColumn="0" w:lastRowLastColumn="0"/>
            </w:pPr>
            <w:r>
              <w:t>Non-compliance notice</w:t>
            </w:r>
          </w:p>
        </w:tc>
        <w:tc>
          <w:tcPr>
            <w:tcW w:w="1093" w:type="dxa"/>
          </w:tcPr>
          <w:p w:rsidR="00D11AEF" w:rsidRDefault="00D11AEF" w:rsidP="00F4574E">
            <w:pPr>
              <w:spacing w:after="0"/>
              <w:jc w:val="center"/>
              <w:cnfStyle w:val="100000000000" w:firstRow="1" w:lastRow="0" w:firstColumn="0" w:lastColumn="0" w:oddVBand="0" w:evenVBand="0" w:oddHBand="0" w:evenHBand="0" w:firstRowFirstColumn="0" w:firstRowLastColumn="0" w:lastRowFirstColumn="0" w:lastRowLastColumn="0"/>
            </w:pPr>
            <w:r>
              <w:t>Warning letter</w:t>
            </w:r>
          </w:p>
        </w:tc>
        <w:tc>
          <w:tcPr>
            <w:tcW w:w="1701" w:type="dxa"/>
          </w:tcPr>
          <w:p w:rsidR="00D11AEF" w:rsidRDefault="00D11AEF" w:rsidP="00F4574E">
            <w:pPr>
              <w:spacing w:after="0"/>
              <w:jc w:val="center"/>
              <w:cnfStyle w:val="100000000000" w:firstRow="1" w:lastRow="0" w:firstColumn="0" w:lastColumn="0" w:oddVBand="0" w:evenVBand="0" w:oddHBand="0" w:evenHBand="0" w:firstRowFirstColumn="0" w:firstRowLastColumn="0" w:lastRowFirstColumn="0" w:lastRowLastColumn="0"/>
            </w:pPr>
            <w:r>
              <w:t>Infringement notice</w:t>
            </w:r>
          </w:p>
        </w:tc>
        <w:tc>
          <w:tcPr>
            <w:tcW w:w="1418" w:type="dxa"/>
          </w:tcPr>
          <w:p w:rsidR="00D11AEF" w:rsidRDefault="00D11AEF" w:rsidP="00F4574E">
            <w:pPr>
              <w:spacing w:after="0"/>
              <w:jc w:val="center"/>
              <w:cnfStyle w:val="100000000000" w:firstRow="1" w:lastRow="0" w:firstColumn="0" w:lastColumn="0" w:oddVBand="0" w:evenVBand="0" w:oddHBand="0" w:evenHBand="0" w:firstRowFirstColumn="0" w:firstRowLastColumn="0" w:lastRowFirstColumn="0" w:lastRowLastColumn="0"/>
            </w:pPr>
            <w:r>
              <w:t>Enforceable Undertaking</w:t>
            </w:r>
          </w:p>
        </w:tc>
        <w:tc>
          <w:tcPr>
            <w:tcW w:w="992" w:type="dxa"/>
          </w:tcPr>
          <w:p w:rsidR="00D11AEF" w:rsidRDefault="00D11AEF" w:rsidP="00F4574E">
            <w:pPr>
              <w:spacing w:after="0"/>
              <w:jc w:val="center"/>
              <w:cnfStyle w:val="100000000000" w:firstRow="1" w:lastRow="0" w:firstColumn="0" w:lastColumn="0" w:oddVBand="0" w:evenVBand="0" w:oddHBand="0" w:evenHBand="0" w:firstRowFirstColumn="0" w:firstRowLastColumn="0" w:lastRowFirstColumn="0" w:lastRowLastColumn="0"/>
            </w:pPr>
            <w:r>
              <w:t>Referral to CDPP</w:t>
            </w:r>
          </w:p>
        </w:tc>
        <w:tc>
          <w:tcPr>
            <w:tcW w:w="1417" w:type="dxa"/>
          </w:tcPr>
          <w:p w:rsidR="00D11AEF" w:rsidRDefault="00D11AEF" w:rsidP="005C07E7">
            <w:pPr>
              <w:spacing w:after="0"/>
              <w:jc w:val="center"/>
              <w:cnfStyle w:val="100000000000" w:firstRow="1" w:lastRow="0" w:firstColumn="0" w:lastColumn="0" w:oddVBand="0" w:evenVBand="0" w:oddHBand="0" w:evenHBand="0" w:firstRowFirstColumn="0" w:firstRowLastColumn="0" w:lastRowFirstColumn="0" w:lastRowLastColumn="0"/>
            </w:pPr>
            <w:r>
              <w:t>Conviction</w:t>
            </w:r>
          </w:p>
        </w:tc>
      </w:tr>
      <w:tr w:rsidR="00D11AEF" w:rsidTr="001E1066">
        <w:tc>
          <w:tcPr>
            <w:cnfStyle w:val="001000000000" w:firstRow="0" w:lastRow="0" w:firstColumn="1" w:lastColumn="0" w:oddVBand="0" w:evenVBand="0" w:oddHBand="0" w:evenHBand="0" w:firstRowFirstColumn="0" w:firstRowLastColumn="0" w:lastRowFirstColumn="0" w:lastRowLastColumn="0"/>
            <w:tcW w:w="1134" w:type="dxa"/>
          </w:tcPr>
          <w:p w:rsidR="00D11AEF" w:rsidRPr="000D638B" w:rsidRDefault="00D11AEF" w:rsidP="005C07E7">
            <w:pPr>
              <w:spacing w:after="0"/>
              <w:rPr>
                <w:b w:val="0"/>
              </w:rPr>
            </w:pPr>
            <w:r w:rsidRPr="000D638B">
              <w:rPr>
                <w:b w:val="0"/>
              </w:rPr>
              <w:t>2015</w:t>
            </w:r>
            <w:r w:rsidRPr="008458C3">
              <w:rPr>
                <w:b w:val="0"/>
              </w:rPr>
              <w:t>–</w:t>
            </w:r>
            <w:r w:rsidRPr="000D638B">
              <w:rPr>
                <w:b w:val="0"/>
              </w:rPr>
              <w:t>16</w:t>
            </w:r>
          </w:p>
        </w:tc>
        <w:tc>
          <w:tcPr>
            <w:tcW w:w="1317"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2938</w:t>
            </w:r>
          </w:p>
        </w:tc>
        <w:tc>
          <w:tcPr>
            <w:tcW w:w="1093"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207</w:t>
            </w:r>
          </w:p>
        </w:tc>
        <w:tc>
          <w:tcPr>
            <w:tcW w:w="1701" w:type="dxa"/>
          </w:tcPr>
          <w:p w:rsidR="00D11AEF" w:rsidRDefault="00D11AEF" w:rsidP="00EA294B">
            <w:pPr>
              <w:spacing w:after="0"/>
              <w:jc w:val="center"/>
              <w:cnfStyle w:val="000000000000" w:firstRow="0" w:lastRow="0" w:firstColumn="0" w:lastColumn="0" w:oddVBand="0" w:evenVBand="0" w:oddHBand="0" w:evenHBand="0" w:firstRowFirstColumn="0" w:firstRowLastColumn="0" w:lastRowFirstColumn="0" w:lastRowLastColumn="0"/>
            </w:pPr>
            <w:r>
              <w:t>87 ($85</w:t>
            </w:r>
            <w:r w:rsidR="00EA294B">
              <w:t xml:space="preserve"> </w:t>
            </w:r>
            <w:r>
              <w:t>100)</w:t>
            </w:r>
          </w:p>
        </w:tc>
        <w:tc>
          <w:tcPr>
            <w:tcW w:w="1418"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0</w:t>
            </w:r>
          </w:p>
        </w:tc>
        <w:tc>
          <w:tcPr>
            <w:tcW w:w="992"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7</w:t>
            </w:r>
          </w:p>
        </w:tc>
        <w:tc>
          <w:tcPr>
            <w:tcW w:w="1417"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1</w:t>
            </w:r>
          </w:p>
        </w:tc>
      </w:tr>
      <w:tr w:rsidR="00D11AEF" w:rsidTr="001E1066">
        <w:tc>
          <w:tcPr>
            <w:cnfStyle w:val="001000000000" w:firstRow="0" w:lastRow="0" w:firstColumn="1" w:lastColumn="0" w:oddVBand="0" w:evenVBand="0" w:oddHBand="0" w:evenHBand="0" w:firstRowFirstColumn="0" w:firstRowLastColumn="0" w:lastRowFirstColumn="0" w:lastRowLastColumn="0"/>
            <w:tcW w:w="1134" w:type="dxa"/>
          </w:tcPr>
          <w:p w:rsidR="00D11AEF" w:rsidRPr="00847199" w:rsidRDefault="00D11AEF" w:rsidP="005C07E7">
            <w:pPr>
              <w:spacing w:after="0"/>
              <w:rPr>
                <w:b w:val="0"/>
              </w:rPr>
            </w:pPr>
            <w:r w:rsidRPr="00847199">
              <w:rPr>
                <w:b w:val="0"/>
              </w:rPr>
              <w:t>2016</w:t>
            </w:r>
            <w:r w:rsidRPr="008458C3">
              <w:rPr>
                <w:b w:val="0"/>
              </w:rPr>
              <w:t>–</w:t>
            </w:r>
            <w:r w:rsidRPr="00847199">
              <w:rPr>
                <w:b w:val="0"/>
              </w:rPr>
              <w:t>17</w:t>
            </w:r>
          </w:p>
        </w:tc>
        <w:tc>
          <w:tcPr>
            <w:tcW w:w="1317" w:type="dxa"/>
          </w:tcPr>
          <w:p w:rsidR="00D11AEF" w:rsidRDefault="00D11AEF" w:rsidP="00E5348D">
            <w:pPr>
              <w:spacing w:after="0"/>
              <w:jc w:val="center"/>
              <w:cnfStyle w:val="000000000000" w:firstRow="0" w:lastRow="0" w:firstColumn="0" w:lastColumn="0" w:oddVBand="0" w:evenVBand="0" w:oddHBand="0" w:evenHBand="0" w:firstRowFirstColumn="0" w:firstRowLastColumn="0" w:lastRowFirstColumn="0" w:lastRowLastColumn="0"/>
            </w:pPr>
            <w:r>
              <w:t>3687</w:t>
            </w:r>
          </w:p>
        </w:tc>
        <w:tc>
          <w:tcPr>
            <w:tcW w:w="1093" w:type="dxa"/>
          </w:tcPr>
          <w:p w:rsidR="00D11AEF" w:rsidRDefault="00D11AEF" w:rsidP="00E5348D">
            <w:pPr>
              <w:spacing w:after="0"/>
              <w:jc w:val="center"/>
              <w:cnfStyle w:val="000000000000" w:firstRow="0" w:lastRow="0" w:firstColumn="0" w:lastColumn="0" w:oddVBand="0" w:evenVBand="0" w:oddHBand="0" w:evenHBand="0" w:firstRowFirstColumn="0" w:firstRowLastColumn="0" w:lastRowFirstColumn="0" w:lastRowLastColumn="0"/>
            </w:pPr>
            <w:r>
              <w:t>306</w:t>
            </w:r>
          </w:p>
        </w:tc>
        <w:tc>
          <w:tcPr>
            <w:tcW w:w="1701" w:type="dxa"/>
          </w:tcPr>
          <w:p w:rsidR="00D11AEF" w:rsidRDefault="00D11AEF" w:rsidP="00EA294B">
            <w:pPr>
              <w:spacing w:after="0"/>
              <w:jc w:val="center"/>
              <w:cnfStyle w:val="000000000000" w:firstRow="0" w:lastRow="0" w:firstColumn="0" w:lastColumn="0" w:oddVBand="0" w:evenVBand="0" w:oddHBand="0" w:evenHBand="0" w:firstRowFirstColumn="0" w:firstRowLastColumn="0" w:lastRowFirstColumn="0" w:lastRowLastColumn="0"/>
            </w:pPr>
            <w:r>
              <w:t>74 ($69</w:t>
            </w:r>
            <w:r w:rsidR="00EA294B">
              <w:t xml:space="preserve"> </w:t>
            </w:r>
            <w:r>
              <w:t>300)</w:t>
            </w:r>
          </w:p>
        </w:tc>
        <w:tc>
          <w:tcPr>
            <w:tcW w:w="1418"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0</w:t>
            </w:r>
          </w:p>
        </w:tc>
        <w:tc>
          <w:tcPr>
            <w:tcW w:w="992"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3</w:t>
            </w:r>
          </w:p>
        </w:tc>
        <w:tc>
          <w:tcPr>
            <w:tcW w:w="1417"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3</w:t>
            </w:r>
          </w:p>
        </w:tc>
      </w:tr>
      <w:tr w:rsidR="00D11AEF" w:rsidTr="001E1066">
        <w:tc>
          <w:tcPr>
            <w:cnfStyle w:val="001000000000" w:firstRow="0" w:lastRow="0" w:firstColumn="1" w:lastColumn="0" w:oddVBand="0" w:evenVBand="0" w:oddHBand="0" w:evenHBand="0" w:firstRowFirstColumn="0" w:firstRowLastColumn="0" w:lastRowFirstColumn="0" w:lastRowLastColumn="0"/>
            <w:tcW w:w="1134" w:type="dxa"/>
          </w:tcPr>
          <w:p w:rsidR="00D11AEF" w:rsidRPr="00847199" w:rsidRDefault="00D11AEF" w:rsidP="00D03149">
            <w:pPr>
              <w:spacing w:after="0"/>
              <w:rPr>
                <w:b w:val="0"/>
              </w:rPr>
            </w:pPr>
            <w:r w:rsidRPr="00847199">
              <w:rPr>
                <w:b w:val="0"/>
              </w:rPr>
              <w:t>2017</w:t>
            </w:r>
            <w:r w:rsidR="00D03149">
              <w:rPr>
                <w:b w:val="0"/>
              </w:rPr>
              <w:t>–</w:t>
            </w:r>
            <w:r w:rsidRPr="00847199">
              <w:rPr>
                <w:b w:val="0"/>
              </w:rPr>
              <w:t>18</w:t>
            </w:r>
          </w:p>
        </w:tc>
        <w:tc>
          <w:tcPr>
            <w:tcW w:w="1317" w:type="dxa"/>
          </w:tcPr>
          <w:p w:rsidR="00D11AEF" w:rsidRDefault="00D11AEF" w:rsidP="00E5348D">
            <w:pPr>
              <w:spacing w:after="0"/>
              <w:jc w:val="center"/>
              <w:cnfStyle w:val="000000000000" w:firstRow="0" w:lastRow="0" w:firstColumn="0" w:lastColumn="0" w:oddVBand="0" w:evenVBand="0" w:oddHBand="0" w:evenHBand="0" w:firstRowFirstColumn="0" w:firstRowLastColumn="0" w:lastRowFirstColumn="0" w:lastRowLastColumn="0"/>
            </w:pPr>
            <w:r>
              <w:t>3614</w:t>
            </w:r>
          </w:p>
        </w:tc>
        <w:tc>
          <w:tcPr>
            <w:tcW w:w="1093" w:type="dxa"/>
          </w:tcPr>
          <w:p w:rsidR="00D11AEF" w:rsidRDefault="00D11AEF" w:rsidP="00E5348D">
            <w:pPr>
              <w:spacing w:after="0"/>
              <w:jc w:val="center"/>
              <w:cnfStyle w:val="000000000000" w:firstRow="0" w:lastRow="0" w:firstColumn="0" w:lastColumn="0" w:oddVBand="0" w:evenVBand="0" w:oddHBand="0" w:evenHBand="0" w:firstRowFirstColumn="0" w:firstRowLastColumn="0" w:lastRowFirstColumn="0" w:lastRowLastColumn="0"/>
            </w:pPr>
            <w:r>
              <w:t>239</w:t>
            </w:r>
          </w:p>
        </w:tc>
        <w:tc>
          <w:tcPr>
            <w:tcW w:w="1701" w:type="dxa"/>
          </w:tcPr>
          <w:p w:rsidR="00D11AEF" w:rsidRDefault="00D11AEF" w:rsidP="00EA294B">
            <w:pPr>
              <w:spacing w:after="0"/>
              <w:jc w:val="center"/>
              <w:cnfStyle w:val="000000000000" w:firstRow="0" w:lastRow="0" w:firstColumn="0" w:lastColumn="0" w:oddVBand="0" w:evenVBand="0" w:oddHBand="0" w:evenHBand="0" w:firstRowFirstColumn="0" w:firstRowLastColumn="0" w:lastRowFirstColumn="0" w:lastRowLastColumn="0"/>
            </w:pPr>
            <w:r>
              <w:t>58 ($65</w:t>
            </w:r>
            <w:r w:rsidR="00EA294B">
              <w:t xml:space="preserve"> </w:t>
            </w:r>
            <w:r>
              <w:t>250)</w:t>
            </w:r>
          </w:p>
        </w:tc>
        <w:tc>
          <w:tcPr>
            <w:tcW w:w="1418"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0</w:t>
            </w:r>
          </w:p>
        </w:tc>
        <w:tc>
          <w:tcPr>
            <w:tcW w:w="992"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1</w:t>
            </w:r>
          </w:p>
        </w:tc>
        <w:tc>
          <w:tcPr>
            <w:tcW w:w="1417"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0</w:t>
            </w:r>
          </w:p>
        </w:tc>
      </w:tr>
      <w:tr w:rsidR="00D11AEF" w:rsidTr="001E1066">
        <w:tc>
          <w:tcPr>
            <w:cnfStyle w:val="001000000000" w:firstRow="0" w:lastRow="0" w:firstColumn="1" w:lastColumn="0" w:oddVBand="0" w:evenVBand="0" w:oddHBand="0" w:evenHBand="0" w:firstRowFirstColumn="0" w:firstRowLastColumn="0" w:lastRowFirstColumn="0" w:lastRowLastColumn="0"/>
            <w:tcW w:w="1134" w:type="dxa"/>
          </w:tcPr>
          <w:p w:rsidR="00D11AEF" w:rsidRPr="00847199" w:rsidRDefault="00D11AEF" w:rsidP="005C07E7">
            <w:pPr>
              <w:spacing w:after="0"/>
              <w:rPr>
                <w:b w:val="0"/>
              </w:rPr>
            </w:pPr>
            <w:r>
              <w:rPr>
                <w:b w:val="0"/>
              </w:rPr>
              <w:t>2018</w:t>
            </w:r>
            <w:r w:rsidRPr="008458C3">
              <w:rPr>
                <w:b w:val="0"/>
              </w:rPr>
              <w:t>–</w:t>
            </w:r>
            <w:r>
              <w:rPr>
                <w:b w:val="0"/>
              </w:rPr>
              <w:t>19</w:t>
            </w:r>
          </w:p>
        </w:tc>
        <w:tc>
          <w:tcPr>
            <w:tcW w:w="1317" w:type="dxa"/>
          </w:tcPr>
          <w:p w:rsidR="00D11AEF" w:rsidRDefault="00D11AEF" w:rsidP="00E5348D">
            <w:pPr>
              <w:spacing w:after="0"/>
              <w:jc w:val="center"/>
              <w:cnfStyle w:val="000000000000" w:firstRow="0" w:lastRow="0" w:firstColumn="0" w:lastColumn="0" w:oddVBand="0" w:evenVBand="0" w:oddHBand="0" w:evenHBand="0" w:firstRowFirstColumn="0" w:firstRowLastColumn="0" w:lastRowFirstColumn="0" w:lastRowLastColumn="0"/>
            </w:pPr>
            <w:r>
              <w:t>2753</w:t>
            </w:r>
          </w:p>
        </w:tc>
        <w:tc>
          <w:tcPr>
            <w:tcW w:w="1093" w:type="dxa"/>
          </w:tcPr>
          <w:p w:rsidR="00D11AEF" w:rsidRDefault="00D11AEF" w:rsidP="00E5348D">
            <w:pPr>
              <w:spacing w:after="0"/>
              <w:jc w:val="center"/>
              <w:cnfStyle w:val="000000000000" w:firstRow="0" w:lastRow="0" w:firstColumn="0" w:lastColumn="0" w:oddVBand="0" w:evenVBand="0" w:oddHBand="0" w:evenHBand="0" w:firstRowFirstColumn="0" w:firstRowLastColumn="0" w:lastRowFirstColumn="0" w:lastRowLastColumn="0"/>
            </w:pPr>
            <w:r>
              <w:t>74</w:t>
            </w:r>
          </w:p>
        </w:tc>
        <w:tc>
          <w:tcPr>
            <w:tcW w:w="1701" w:type="dxa"/>
          </w:tcPr>
          <w:p w:rsidR="00D11AEF" w:rsidRDefault="00D11AEF" w:rsidP="00EA294B">
            <w:pPr>
              <w:spacing w:after="0"/>
              <w:jc w:val="center"/>
              <w:cnfStyle w:val="000000000000" w:firstRow="0" w:lastRow="0" w:firstColumn="0" w:lastColumn="0" w:oddVBand="0" w:evenVBand="0" w:oddHBand="0" w:evenHBand="0" w:firstRowFirstColumn="0" w:firstRowLastColumn="0" w:lastRowFirstColumn="0" w:lastRowLastColumn="0"/>
            </w:pPr>
            <w:r>
              <w:t>37 ($43</w:t>
            </w:r>
            <w:r w:rsidR="00EA294B">
              <w:t xml:space="preserve"> </w:t>
            </w:r>
            <w:r>
              <w:t>050)</w:t>
            </w:r>
          </w:p>
        </w:tc>
        <w:tc>
          <w:tcPr>
            <w:tcW w:w="1418"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0</w:t>
            </w:r>
          </w:p>
        </w:tc>
        <w:tc>
          <w:tcPr>
            <w:tcW w:w="992"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3</w:t>
            </w:r>
          </w:p>
        </w:tc>
        <w:tc>
          <w:tcPr>
            <w:tcW w:w="1417" w:type="dxa"/>
          </w:tcPr>
          <w:p w:rsidR="00D11AEF" w:rsidRDefault="00D11AEF" w:rsidP="005C07E7">
            <w:pPr>
              <w:spacing w:after="0"/>
              <w:jc w:val="center"/>
              <w:cnfStyle w:val="000000000000" w:firstRow="0" w:lastRow="0" w:firstColumn="0" w:lastColumn="0" w:oddVBand="0" w:evenVBand="0" w:oddHBand="0" w:evenHBand="0" w:firstRowFirstColumn="0" w:firstRowLastColumn="0" w:lastRowFirstColumn="0" w:lastRowLastColumn="0"/>
            </w:pPr>
            <w:r>
              <w:t>1</w:t>
            </w:r>
          </w:p>
        </w:tc>
      </w:tr>
      <w:tr w:rsidR="00D11AEF" w:rsidTr="001E1066">
        <w:tc>
          <w:tcPr>
            <w:cnfStyle w:val="001000000000" w:firstRow="0" w:lastRow="0" w:firstColumn="1" w:lastColumn="0" w:oddVBand="0" w:evenVBand="0" w:oddHBand="0" w:evenHBand="0" w:firstRowFirstColumn="0" w:firstRowLastColumn="0" w:lastRowFirstColumn="0" w:lastRowLastColumn="0"/>
            <w:tcW w:w="1134" w:type="dxa"/>
          </w:tcPr>
          <w:p w:rsidR="00D11AEF" w:rsidRPr="001E1066" w:rsidRDefault="00D11AEF" w:rsidP="00D11AEF">
            <w:pPr>
              <w:spacing w:after="0"/>
              <w:rPr>
                <w:b w:val="0"/>
              </w:rPr>
            </w:pPr>
            <w:r w:rsidRPr="001E1066">
              <w:rPr>
                <w:rFonts w:cs="Arial"/>
                <w:b w:val="0"/>
                <w:color w:val="000000"/>
                <w:szCs w:val="20"/>
              </w:rPr>
              <w:t>2019–20</w:t>
            </w:r>
          </w:p>
        </w:tc>
        <w:tc>
          <w:tcPr>
            <w:tcW w:w="1317" w:type="dxa"/>
          </w:tcPr>
          <w:p w:rsidR="00D11AEF" w:rsidRPr="001E1066" w:rsidRDefault="00D11AEF" w:rsidP="00D11AEF">
            <w:pPr>
              <w:spacing w:after="0"/>
              <w:jc w:val="center"/>
              <w:cnfStyle w:val="000000000000" w:firstRow="0" w:lastRow="0" w:firstColumn="0" w:lastColumn="0" w:oddVBand="0" w:evenVBand="0" w:oddHBand="0" w:evenHBand="0" w:firstRowFirstColumn="0" w:firstRowLastColumn="0" w:lastRowFirstColumn="0" w:lastRowLastColumn="0"/>
            </w:pPr>
            <w:r w:rsidRPr="001E1066">
              <w:rPr>
                <w:rFonts w:cs="Arial"/>
                <w:color w:val="000000"/>
                <w:szCs w:val="20"/>
              </w:rPr>
              <w:t>2234</w:t>
            </w:r>
          </w:p>
        </w:tc>
        <w:tc>
          <w:tcPr>
            <w:tcW w:w="1093" w:type="dxa"/>
          </w:tcPr>
          <w:p w:rsidR="00D11AEF" w:rsidRDefault="00D11AEF" w:rsidP="00D11AEF">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188</w:t>
            </w:r>
          </w:p>
        </w:tc>
        <w:tc>
          <w:tcPr>
            <w:tcW w:w="1701" w:type="dxa"/>
          </w:tcPr>
          <w:p w:rsidR="00D11AEF" w:rsidRDefault="00D11AEF" w:rsidP="00EA294B">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100 ($123</w:t>
            </w:r>
            <w:r w:rsidR="00EA294B">
              <w:rPr>
                <w:rFonts w:cs="Arial"/>
                <w:color w:val="000000"/>
                <w:szCs w:val="20"/>
              </w:rPr>
              <w:t xml:space="preserve"> </w:t>
            </w:r>
            <w:r>
              <w:rPr>
                <w:rFonts w:cs="Arial"/>
                <w:color w:val="000000"/>
                <w:szCs w:val="20"/>
              </w:rPr>
              <w:t>900)</w:t>
            </w:r>
          </w:p>
        </w:tc>
        <w:tc>
          <w:tcPr>
            <w:tcW w:w="1418" w:type="dxa"/>
          </w:tcPr>
          <w:p w:rsidR="00D11AEF" w:rsidRDefault="00D11AEF" w:rsidP="00D11AEF">
            <w:pPr>
              <w:spacing w:after="0"/>
              <w:jc w:val="center"/>
              <w:cnfStyle w:val="000000000000" w:firstRow="0" w:lastRow="0" w:firstColumn="0" w:lastColumn="0" w:oddVBand="0" w:evenVBand="0" w:oddHBand="0" w:evenHBand="0" w:firstRowFirstColumn="0" w:firstRowLastColumn="0" w:lastRowFirstColumn="0" w:lastRowLastColumn="0"/>
            </w:pPr>
            <w:r>
              <w:t>2</w:t>
            </w:r>
          </w:p>
        </w:tc>
        <w:tc>
          <w:tcPr>
            <w:tcW w:w="992" w:type="dxa"/>
          </w:tcPr>
          <w:p w:rsidR="00D11AEF" w:rsidRDefault="00D11AEF" w:rsidP="00D11AEF">
            <w:pPr>
              <w:spacing w:after="0"/>
              <w:jc w:val="center"/>
              <w:cnfStyle w:val="000000000000" w:firstRow="0" w:lastRow="0" w:firstColumn="0" w:lastColumn="0" w:oddVBand="0" w:evenVBand="0" w:oddHBand="0" w:evenHBand="0" w:firstRowFirstColumn="0" w:firstRowLastColumn="0" w:lastRowFirstColumn="0" w:lastRowLastColumn="0"/>
            </w:pPr>
            <w:r>
              <w:t>0</w:t>
            </w:r>
          </w:p>
        </w:tc>
        <w:tc>
          <w:tcPr>
            <w:tcW w:w="1417" w:type="dxa"/>
          </w:tcPr>
          <w:p w:rsidR="00D11AEF" w:rsidRDefault="00D11AEF" w:rsidP="00D11AEF">
            <w:pPr>
              <w:spacing w:after="0"/>
              <w:jc w:val="center"/>
              <w:cnfStyle w:val="000000000000" w:firstRow="0" w:lastRow="0" w:firstColumn="0" w:lastColumn="0" w:oddVBand="0" w:evenVBand="0" w:oddHBand="0" w:evenHBand="0" w:firstRowFirstColumn="0" w:firstRowLastColumn="0" w:lastRowFirstColumn="0" w:lastRowLastColumn="0"/>
            </w:pPr>
            <w:r>
              <w:t>1</w:t>
            </w:r>
          </w:p>
        </w:tc>
      </w:tr>
    </w:tbl>
    <w:p w:rsidR="009B0EC8" w:rsidRPr="00C476C0" w:rsidRDefault="00C82E31" w:rsidP="00140516">
      <w:r>
        <w:t xml:space="preserve">As shown in the table below, </w:t>
      </w:r>
      <w:r w:rsidR="007B5B6A">
        <w:t>in 2019</w:t>
      </w:r>
      <w:r w:rsidR="007B5B6A" w:rsidRPr="008458C3">
        <w:t>–</w:t>
      </w:r>
      <w:r w:rsidR="007B5B6A">
        <w:t xml:space="preserve">20 </w:t>
      </w:r>
      <w:r>
        <w:t>t</w:t>
      </w:r>
      <w:r w:rsidR="00C1365E" w:rsidRPr="00C1365E">
        <w:t xml:space="preserve">he </w:t>
      </w:r>
      <w:r>
        <w:t>most common breach</w:t>
      </w:r>
      <w:r w:rsidR="007B5B6A">
        <w:t>es</w:t>
      </w:r>
      <w:r>
        <w:t xml:space="preserve"> subject to a</w:t>
      </w:r>
      <w:r w:rsidR="007B5B6A">
        <w:t xml:space="preserve"> warning letter were </w:t>
      </w:r>
      <w:r>
        <w:t>short measure in packaged goods</w:t>
      </w:r>
      <w:r w:rsidR="007B5B6A">
        <w:t xml:space="preserve"> and trading practices</w:t>
      </w:r>
      <w:r w:rsidR="00213BD7">
        <w:t>,</w:t>
      </w:r>
      <w:r w:rsidR="007B5B6A">
        <w:t xml:space="preserve"> while the most common breaches subject to an infringement notice were short measure in packaged goods and inaccurate measurement instrument</w:t>
      </w:r>
      <w:r>
        <w:t xml:space="preserve">. </w:t>
      </w:r>
      <w:r w:rsidR="00033463">
        <w:t xml:space="preserve">Trading practices breaches include not </w:t>
      </w:r>
      <w:r w:rsidR="00033463" w:rsidRPr="00033463">
        <w:t xml:space="preserve">correctly operating scales and </w:t>
      </w:r>
      <w:r w:rsidR="00033463">
        <w:t xml:space="preserve">not </w:t>
      </w:r>
      <w:r w:rsidR="00033463" w:rsidRPr="00033463">
        <w:t>allowing for the weight of packaging during over-the-counter transactions.</w:t>
      </w:r>
      <w:r w:rsidR="00033463">
        <w:t xml:space="preserve"> </w:t>
      </w:r>
      <w:r>
        <w:t xml:space="preserve">As noted above, an enforcement action may cover </w:t>
      </w:r>
      <w:r w:rsidR="009B0EC8" w:rsidRPr="00C476C0">
        <w:t>more than one breach.</w:t>
      </w:r>
    </w:p>
    <w:p w:rsidR="007D3D7A" w:rsidRDefault="007D3D7A">
      <w:pPr>
        <w:spacing w:after="200"/>
        <w:rPr>
          <w:rStyle w:val="Tabletitle"/>
        </w:rPr>
      </w:pPr>
      <w:r>
        <w:rPr>
          <w:rStyle w:val="Tabletitle"/>
        </w:rPr>
        <w:br w:type="page"/>
      </w:r>
    </w:p>
    <w:p w:rsidR="00140516" w:rsidRPr="00A61312" w:rsidRDefault="00140516" w:rsidP="00140516">
      <w:r>
        <w:rPr>
          <w:rStyle w:val="Tabletitle"/>
        </w:rPr>
        <w:lastRenderedPageBreak/>
        <w:t>Breaches by enforcement action 201</w:t>
      </w:r>
      <w:r w:rsidR="00B0345F">
        <w:rPr>
          <w:rStyle w:val="Tabletitle"/>
        </w:rPr>
        <w:t>9</w:t>
      </w:r>
      <w:r w:rsidR="008458C3" w:rsidRPr="008458C3">
        <w:rPr>
          <w:rStyle w:val="Tabletitle"/>
        </w:rPr>
        <w:t>–</w:t>
      </w:r>
      <w:r w:rsidR="00B0345F">
        <w:rPr>
          <w:rStyle w:val="Tabletitle"/>
        </w:rPr>
        <w:t>20</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140516" w:rsidTr="005C07E7">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rsidR="00140516" w:rsidRDefault="00140516" w:rsidP="005C07E7">
            <w:pPr>
              <w:spacing w:after="0"/>
            </w:pPr>
            <w:r>
              <w:t>Enforcement action</w:t>
            </w:r>
          </w:p>
        </w:tc>
        <w:tc>
          <w:tcPr>
            <w:tcW w:w="1701" w:type="dxa"/>
          </w:tcPr>
          <w:p w:rsidR="00140516" w:rsidRDefault="00140516" w:rsidP="005C07E7">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rsidR="00140516" w:rsidRDefault="00140516" w:rsidP="005C07E7">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rsidR="00140516" w:rsidRDefault="00140516" w:rsidP="005C07E7">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rsidR="00140516" w:rsidRDefault="00140516" w:rsidP="005C07E7">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D11AEF" w:rsidTr="005C07E7">
        <w:tc>
          <w:tcPr>
            <w:cnfStyle w:val="001000000000" w:firstRow="0" w:lastRow="0" w:firstColumn="1" w:lastColumn="0" w:oddVBand="0" w:evenVBand="0" w:oddHBand="0" w:evenHBand="0" w:firstRowFirstColumn="0" w:firstRowLastColumn="0" w:lastRowFirstColumn="0" w:lastRowLastColumn="0"/>
            <w:tcW w:w="2268" w:type="dxa"/>
          </w:tcPr>
          <w:p w:rsidR="00D11AEF" w:rsidRPr="0085285D" w:rsidRDefault="00D11AEF" w:rsidP="00D11AEF">
            <w:pPr>
              <w:spacing w:after="0"/>
              <w:rPr>
                <w:b w:val="0"/>
              </w:rPr>
            </w:pPr>
            <w:r w:rsidRPr="0085285D">
              <w:rPr>
                <w:b w:val="0"/>
              </w:rPr>
              <w:t>Warning letter</w:t>
            </w:r>
          </w:p>
        </w:tc>
        <w:tc>
          <w:tcPr>
            <w:tcW w:w="1701" w:type="dxa"/>
          </w:tcPr>
          <w:p w:rsidR="00D11AEF" w:rsidRPr="0085285D" w:rsidRDefault="00D11AEF" w:rsidP="00D11AEF">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87</w:t>
            </w:r>
          </w:p>
        </w:tc>
        <w:tc>
          <w:tcPr>
            <w:tcW w:w="1843" w:type="dxa"/>
          </w:tcPr>
          <w:p w:rsidR="00D11AEF" w:rsidRPr="0085285D" w:rsidRDefault="00D11AEF" w:rsidP="00D11AEF">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191</w:t>
            </w:r>
          </w:p>
        </w:tc>
        <w:tc>
          <w:tcPr>
            <w:tcW w:w="1843" w:type="dxa"/>
          </w:tcPr>
          <w:p w:rsidR="00D11AEF" w:rsidRPr="0085285D" w:rsidRDefault="00D11AEF" w:rsidP="00D11AEF">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21</w:t>
            </w:r>
          </w:p>
        </w:tc>
        <w:tc>
          <w:tcPr>
            <w:tcW w:w="1417" w:type="dxa"/>
          </w:tcPr>
          <w:p w:rsidR="00D11AEF" w:rsidRPr="0085285D" w:rsidRDefault="00D11AEF" w:rsidP="00D11AEF">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167</w:t>
            </w:r>
          </w:p>
        </w:tc>
      </w:tr>
      <w:tr w:rsidR="00203649" w:rsidTr="00203649">
        <w:tc>
          <w:tcPr>
            <w:cnfStyle w:val="001000000000" w:firstRow="0" w:lastRow="0" w:firstColumn="1" w:lastColumn="0" w:oddVBand="0" w:evenVBand="0" w:oddHBand="0" w:evenHBand="0" w:firstRowFirstColumn="0" w:firstRowLastColumn="0" w:lastRowFirstColumn="0" w:lastRowLastColumn="0"/>
            <w:tcW w:w="2268" w:type="dxa"/>
          </w:tcPr>
          <w:p w:rsidR="00203649" w:rsidRPr="00847199" w:rsidRDefault="00203649" w:rsidP="00203649">
            <w:pPr>
              <w:spacing w:after="0"/>
              <w:rPr>
                <w:b w:val="0"/>
              </w:rPr>
            </w:pPr>
            <w:r>
              <w:rPr>
                <w:b w:val="0"/>
              </w:rPr>
              <w:t>Infringement notice</w:t>
            </w:r>
          </w:p>
        </w:tc>
        <w:tc>
          <w:tcPr>
            <w:tcW w:w="1701" w:type="dxa"/>
            <w:vAlign w:val="top"/>
          </w:tcPr>
          <w:p w:rsidR="00203649" w:rsidRDefault="00203649" w:rsidP="00203649">
            <w:pPr>
              <w:spacing w:after="0"/>
              <w:jc w:val="center"/>
              <w:cnfStyle w:val="000000000000" w:firstRow="0" w:lastRow="0" w:firstColumn="0" w:lastColumn="0" w:oddVBand="0" w:evenVBand="0" w:oddHBand="0" w:evenHBand="0" w:firstRowFirstColumn="0" w:firstRowLastColumn="0" w:lastRowFirstColumn="0" w:lastRowLastColumn="0"/>
            </w:pPr>
            <w:r w:rsidRPr="002407B7">
              <w:t>40</w:t>
            </w:r>
          </w:p>
        </w:tc>
        <w:tc>
          <w:tcPr>
            <w:tcW w:w="1843" w:type="dxa"/>
            <w:vAlign w:val="top"/>
          </w:tcPr>
          <w:p w:rsidR="00203649" w:rsidRDefault="00203649" w:rsidP="00203649">
            <w:pPr>
              <w:spacing w:after="0"/>
              <w:jc w:val="center"/>
              <w:cnfStyle w:val="000000000000" w:firstRow="0" w:lastRow="0" w:firstColumn="0" w:lastColumn="0" w:oddVBand="0" w:evenVBand="0" w:oddHBand="0" w:evenHBand="0" w:firstRowFirstColumn="0" w:firstRowLastColumn="0" w:lastRowFirstColumn="0" w:lastRowLastColumn="0"/>
            </w:pPr>
            <w:r w:rsidRPr="002407B7">
              <w:t>45</w:t>
            </w:r>
          </w:p>
        </w:tc>
        <w:tc>
          <w:tcPr>
            <w:tcW w:w="1843" w:type="dxa"/>
            <w:vAlign w:val="top"/>
          </w:tcPr>
          <w:p w:rsidR="00203649" w:rsidRDefault="00203649" w:rsidP="00203649">
            <w:pPr>
              <w:spacing w:after="0"/>
              <w:jc w:val="center"/>
              <w:cnfStyle w:val="000000000000" w:firstRow="0" w:lastRow="0" w:firstColumn="0" w:lastColumn="0" w:oddVBand="0" w:evenVBand="0" w:oddHBand="0" w:evenHBand="0" w:firstRowFirstColumn="0" w:firstRowLastColumn="0" w:lastRowFirstColumn="0" w:lastRowLastColumn="0"/>
            </w:pPr>
            <w:r w:rsidRPr="002407B7">
              <w:t>0</w:t>
            </w:r>
          </w:p>
        </w:tc>
        <w:tc>
          <w:tcPr>
            <w:tcW w:w="1417" w:type="dxa"/>
            <w:vAlign w:val="top"/>
          </w:tcPr>
          <w:p w:rsidR="00203649" w:rsidRDefault="00203649" w:rsidP="00203649">
            <w:pPr>
              <w:spacing w:after="0"/>
              <w:jc w:val="center"/>
              <w:cnfStyle w:val="000000000000" w:firstRow="0" w:lastRow="0" w:firstColumn="0" w:lastColumn="0" w:oddVBand="0" w:evenVBand="0" w:oddHBand="0" w:evenHBand="0" w:firstRowFirstColumn="0" w:firstRowLastColumn="0" w:lastRowFirstColumn="0" w:lastRowLastColumn="0"/>
            </w:pPr>
            <w:r w:rsidRPr="002407B7">
              <w:t>29</w:t>
            </w:r>
          </w:p>
        </w:tc>
      </w:tr>
    </w:tbl>
    <w:p w:rsidR="00CE1390" w:rsidRDefault="00AA79A5" w:rsidP="002F0E5F">
      <w:pPr>
        <w:pStyle w:val="Heading2"/>
      </w:pPr>
      <w:bookmarkStart w:id="15" w:name="_Toc52367981"/>
      <w:r>
        <w:t>Prosecution</w:t>
      </w:r>
      <w:r w:rsidR="007A3071">
        <w:t>s</w:t>
      </w:r>
      <w:bookmarkEnd w:id="15"/>
    </w:p>
    <w:p w:rsidR="00AA79A5" w:rsidRDefault="00E5186C" w:rsidP="00BD079F">
      <w:r w:rsidRPr="00E5186C">
        <w:t xml:space="preserve">JFC Australia Co Pty Ltd </w:t>
      </w:r>
      <w:r w:rsidR="00AA79A5">
        <w:t xml:space="preserve">was fined </w:t>
      </w:r>
      <w:r w:rsidR="00AA79A5" w:rsidRPr="00AA79A5">
        <w:t>$</w:t>
      </w:r>
      <w:r>
        <w:t>3</w:t>
      </w:r>
      <w:r w:rsidRPr="00AA79A5">
        <w:t xml:space="preserve">000 </w:t>
      </w:r>
      <w:r w:rsidR="00AA79A5">
        <w:t xml:space="preserve">in </w:t>
      </w:r>
      <w:r w:rsidRPr="00E5186C">
        <w:t xml:space="preserve">Downing Centre Local Court </w:t>
      </w:r>
      <w:r w:rsidR="00AA79A5">
        <w:t xml:space="preserve">on </w:t>
      </w:r>
      <w:r w:rsidR="007D3D7A">
        <w:t>26 November</w:t>
      </w:r>
      <w:r w:rsidR="00AA79A5" w:rsidRPr="00AA79A5">
        <w:t xml:space="preserve"> 2019</w:t>
      </w:r>
      <w:r w:rsidR="00AA79A5">
        <w:t xml:space="preserve"> </w:t>
      </w:r>
      <w:r w:rsidR="00AA79A5" w:rsidRPr="00AA79A5">
        <w:t>after pleading guilty</w:t>
      </w:r>
      <w:r w:rsidR="00AA79A5">
        <w:t xml:space="preserve"> to </w:t>
      </w:r>
      <w:r>
        <w:t>two</w:t>
      </w:r>
      <w:r w:rsidRPr="00AA79A5">
        <w:t xml:space="preserve"> </w:t>
      </w:r>
      <w:r w:rsidR="00AA79A5" w:rsidRPr="00AA79A5">
        <w:t xml:space="preserve">breaches of section </w:t>
      </w:r>
      <w:r w:rsidRPr="00AA79A5">
        <w:t>18J</w:t>
      </w:r>
      <w:r>
        <w:t>T</w:t>
      </w:r>
      <w:r w:rsidR="00AA79A5" w:rsidRPr="00AA79A5">
        <w:t>(2)</w:t>
      </w:r>
      <w:r w:rsidR="00AA79A5">
        <w:t xml:space="preserve"> </w:t>
      </w:r>
      <w:r w:rsidR="00AA79A5" w:rsidRPr="00AA79A5">
        <w:t xml:space="preserve">of the </w:t>
      </w:r>
      <w:r w:rsidR="00AA79A5" w:rsidRPr="002F0E5F">
        <w:rPr>
          <w:i/>
        </w:rPr>
        <w:t>National Measurement Act 1960</w:t>
      </w:r>
      <w:r w:rsidR="00AA79A5" w:rsidRPr="00AA79A5">
        <w:t>.</w:t>
      </w:r>
      <w:r w:rsidR="00AA79A5">
        <w:t xml:space="preserve"> The prosecution was initiated after persistent non-compliance</w:t>
      </w:r>
      <w:r w:rsidR="009E61EB">
        <w:t>.</w:t>
      </w:r>
      <w:r w:rsidR="007A3071">
        <w:t xml:space="preserve"> </w:t>
      </w:r>
      <w:r w:rsidRPr="00E5186C">
        <w:t>JFC had previously been issued infringement notices, with associated fines, for importing underweight products in both 2014 and 2016.</w:t>
      </w:r>
    </w:p>
    <w:p w:rsidR="00373138" w:rsidRDefault="00373138" w:rsidP="00373138">
      <w:r>
        <w:t>For matters dealt with in a Court, the maximum penalty in 2019</w:t>
      </w:r>
      <w:r>
        <w:rPr>
          <w:rFonts w:cstheme="minorHAnsi"/>
        </w:rPr>
        <w:t>–</w:t>
      </w:r>
      <w:r>
        <w:t>20 was $210 000 per offence for a company and $42 000 per offence for an individual.</w:t>
      </w:r>
    </w:p>
    <w:p w:rsidR="00373138" w:rsidRDefault="00373138" w:rsidP="00BD079F"/>
    <w:p w:rsidR="00CE1390" w:rsidRDefault="00CE1390" w:rsidP="00BD079F">
      <w:r>
        <w:br w:type="page"/>
      </w:r>
    </w:p>
    <w:p w:rsidR="003221EB" w:rsidRDefault="00345A88" w:rsidP="004A1CC0">
      <w:pPr>
        <w:pStyle w:val="Heading1"/>
      </w:pPr>
      <w:bookmarkStart w:id="16" w:name="_Toc52367982"/>
      <w:r>
        <w:lastRenderedPageBreak/>
        <w:t xml:space="preserve">Compliance </w:t>
      </w:r>
      <w:r w:rsidR="000B32F4">
        <w:t xml:space="preserve">and </w:t>
      </w:r>
      <w:r w:rsidR="00247470">
        <w:t>E</w:t>
      </w:r>
      <w:r w:rsidR="000B32F4">
        <w:t xml:space="preserve">nforcement </w:t>
      </w:r>
      <w:r>
        <w:t xml:space="preserve">by </w:t>
      </w:r>
      <w:r w:rsidR="00247470">
        <w:t>T</w:t>
      </w:r>
      <w:r>
        <w:t xml:space="preserve">rader </w:t>
      </w:r>
      <w:r w:rsidR="00247470">
        <w:t>T</w:t>
      </w:r>
      <w:r>
        <w:t>ype</w:t>
      </w:r>
      <w:bookmarkEnd w:id="16"/>
    </w:p>
    <w:p w:rsidR="00E77BB6" w:rsidRDefault="000D14B8" w:rsidP="00345A88">
      <w:r>
        <w:t xml:space="preserve">As </w:t>
      </w:r>
      <w:r w:rsidR="00A81A69">
        <w:t>noted above, more serious enforcement actions are imposed where severe and continued non-compliance is detected. C</w:t>
      </w:r>
      <w:r>
        <w:t>ertain trader types continued to have relatively higher rates of</w:t>
      </w:r>
      <w:r w:rsidR="00A81A69">
        <w:t xml:space="preserve"> more serious </w:t>
      </w:r>
      <w:r>
        <w:t xml:space="preserve">non-compliance </w:t>
      </w:r>
      <w:r w:rsidR="0097221E">
        <w:t xml:space="preserve">during </w:t>
      </w:r>
      <w:r w:rsidR="00AA79A5">
        <w:t>201</w:t>
      </w:r>
      <w:r w:rsidR="00A81A69">
        <w:t>9</w:t>
      </w:r>
      <w:r w:rsidR="00CE66EF" w:rsidRPr="00CE66EF">
        <w:t>–</w:t>
      </w:r>
      <w:r w:rsidR="00A81A69">
        <w:t>20</w:t>
      </w:r>
      <w:r w:rsidR="006C1227">
        <w:t>,</w:t>
      </w:r>
      <w:r w:rsidR="008972E4">
        <w:t xml:space="preserve"> reflecting ongoing issues in those sectors</w:t>
      </w:r>
      <w:r>
        <w:t xml:space="preserve">. </w:t>
      </w:r>
    </w:p>
    <w:p w:rsidR="000D14B8" w:rsidRDefault="00067E1A" w:rsidP="00345A88">
      <w:r>
        <w:t xml:space="preserve">Higher rates of serious non-compliance detected among some trader types </w:t>
      </w:r>
      <w:r w:rsidR="006E27FD">
        <w:t>in 2019</w:t>
      </w:r>
      <w:r w:rsidR="00374C6D">
        <w:t>–</w:t>
      </w:r>
      <w:r w:rsidR="006E27FD">
        <w:t xml:space="preserve">20 </w:t>
      </w:r>
      <w:r>
        <w:t xml:space="preserve">also reflected </w:t>
      </w:r>
      <w:r w:rsidR="00B729C2">
        <w:t xml:space="preserve">our risk-based </w:t>
      </w:r>
      <w:r>
        <w:t>focus on investigation through concentrated national audit programs.</w:t>
      </w:r>
    </w:p>
    <w:p w:rsidR="00C82E31" w:rsidRDefault="00E77BB6" w:rsidP="00345A88">
      <w:r>
        <w:t xml:space="preserve">The data in this section </w:t>
      </w:r>
      <w:r w:rsidR="009371CE">
        <w:t>aggregates</w:t>
      </w:r>
      <w:r>
        <w:t xml:space="preserve"> results from </w:t>
      </w:r>
      <w:r w:rsidR="009371CE">
        <w:t xml:space="preserve">all </w:t>
      </w:r>
      <w:r>
        <w:t>inspections conducted throughout 2019</w:t>
      </w:r>
      <w:r w:rsidR="000A2588">
        <w:t>–</w:t>
      </w:r>
      <w:r>
        <w:t>20, including from concentrated audit programs.</w:t>
      </w:r>
    </w:p>
    <w:p w:rsidR="008F75BF" w:rsidRPr="00A61312" w:rsidRDefault="008F75BF" w:rsidP="008F75BF">
      <w:pPr>
        <w:pStyle w:val="Heading2"/>
      </w:pPr>
      <w:bookmarkStart w:id="17" w:name="_Toc52367983"/>
      <w:r>
        <w:t>Licensed Premises</w:t>
      </w:r>
      <w:bookmarkEnd w:id="17"/>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fruit and vegetable compliance and enforcement in previous years."/>
      </w:tblPr>
      <w:tblGrid>
        <w:gridCol w:w="1229"/>
        <w:gridCol w:w="999"/>
        <w:gridCol w:w="1369"/>
        <w:gridCol w:w="1273"/>
        <w:gridCol w:w="1367"/>
        <w:gridCol w:w="1314"/>
        <w:gridCol w:w="1475"/>
      </w:tblGrid>
      <w:tr w:rsidR="008F75BF" w:rsidTr="00563BE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rsidR="008F75BF" w:rsidRDefault="008F75BF" w:rsidP="00563BEE">
            <w:pPr>
              <w:spacing w:after="0"/>
            </w:pPr>
            <w:r>
              <w:t>Year</w:t>
            </w:r>
          </w:p>
        </w:tc>
        <w:tc>
          <w:tcPr>
            <w:tcW w:w="99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7"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4"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Pr="00847199" w:rsidRDefault="008F75BF" w:rsidP="00563BEE">
            <w:pPr>
              <w:spacing w:after="0"/>
              <w:rPr>
                <w:b w:val="0"/>
              </w:rPr>
            </w:pPr>
            <w:r w:rsidRPr="00847199">
              <w:rPr>
                <w:b w:val="0"/>
              </w:rPr>
              <w:t>2017</w:t>
            </w:r>
            <w:r w:rsidRPr="00CE66EF">
              <w:rPr>
                <w:b w:val="0"/>
              </w:rPr>
              <w:t>–</w:t>
            </w:r>
            <w:r w:rsidRPr="00847199">
              <w:rPr>
                <w:b w:val="0"/>
              </w:rPr>
              <w:t>18</w:t>
            </w:r>
          </w:p>
        </w:tc>
        <w:tc>
          <w:tcPr>
            <w:tcW w:w="99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452</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C46280">
              <w:t>1</w:t>
            </w:r>
            <w:r>
              <w:t>0</w:t>
            </w:r>
            <w:r w:rsidRPr="00C46280">
              <w:t>7 (</w:t>
            </w:r>
            <w:r>
              <w:t>24</w:t>
            </w:r>
            <w:r w:rsidRPr="00C46280">
              <w:t>%)</w:t>
            </w:r>
          </w:p>
        </w:tc>
        <w:tc>
          <w:tcPr>
            <w:tcW w:w="1273"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83</w:t>
            </w:r>
          </w:p>
        </w:tc>
        <w:tc>
          <w:tcPr>
            <w:tcW w:w="1367"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11</w:t>
            </w:r>
            <w:r w:rsidRPr="00C46280">
              <w:t xml:space="preserve"> (</w:t>
            </w:r>
            <w:r>
              <w:t>13</w:t>
            </w:r>
            <w:r w:rsidRPr="00C46280">
              <w:t>%)</w:t>
            </w:r>
          </w:p>
        </w:tc>
        <w:tc>
          <w:tcPr>
            <w:tcW w:w="1314"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4</w:t>
            </w:r>
          </w:p>
        </w:tc>
        <w:tc>
          <w:tcPr>
            <w:tcW w:w="1475" w:type="dxa"/>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 ($900)</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Pr="00847199" w:rsidRDefault="008F75BF" w:rsidP="00563BEE">
            <w:pPr>
              <w:spacing w:after="0"/>
              <w:rPr>
                <w:b w:val="0"/>
              </w:rPr>
            </w:pPr>
            <w:r>
              <w:rPr>
                <w:b w:val="0"/>
              </w:rPr>
              <w:t>2018</w:t>
            </w:r>
            <w:r w:rsidRPr="00CE66EF">
              <w:rPr>
                <w:b w:val="0"/>
              </w:rPr>
              <w:t>–</w:t>
            </w:r>
            <w:r>
              <w:rPr>
                <w:b w:val="0"/>
              </w:rPr>
              <w:t>19</w:t>
            </w:r>
          </w:p>
        </w:tc>
        <w:tc>
          <w:tcPr>
            <w:tcW w:w="99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140</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28</w:t>
            </w:r>
            <w:r w:rsidRPr="00C46280">
              <w:t xml:space="preserve"> (</w:t>
            </w:r>
            <w:r>
              <w:t>20</w:t>
            </w:r>
            <w:r w:rsidRPr="00C46280">
              <w:t>%)</w:t>
            </w:r>
          </w:p>
        </w:tc>
        <w:tc>
          <w:tcPr>
            <w:tcW w:w="1273"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21</w:t>
            </w:r>
          </w:p>
        </w:tc>
        <w:tc>
          <w:tcPr>
            <w:tcW w:w="1367"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0</w:t>
            </w:r>
            <w:r w:rsidRPr="00C46280">
              <w:t xml:space="preserve"> (</w:t>
            </w:r>
            <w:r>
              <w:t>0</w:t>
            </w:r>
            <w:r w:rsidRPr="00C46280">
              <w:t>%)</w:t>
            </w:r>
          </w:p>
        </w:tc>
        <w:tc>
          <w:tcPr>
            <w:tcW w:w="1314"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0</w:t>
            </w:r>
          </w:p>
        </w:tc>
        <w:tc>
          <w:tcPr>
            <w:tcW w:w="1475" w:type="dxa"/>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0</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Default="008F75BF" w:rsidP="00563BEE">
            <w:pPr>
              <w:spacing w:after="0"/>
              <w:rPr>
                <w:b w:val="0"/>
              </w:rPr>
            </w:pPr>
            <w:r>
              <w:rPr>
                <w:b w:val="0"/>
              </w:rPr>
              <w:t>2019</w:t>
            </w:r>
            <w:r w:rsidR="00AB64E8">
              <w:rPr>
                <w:b w:val="0"/>
              </w:rPr>
              <w:t>–</w:t>
            </w:r>
            <w:r>
              <w:rPr>
                <w:b w:val="0"/>
              </w:rPr>
              <w:t>20</w:t>
            </w:r>
          </w:p>
        </w:tc>
        <w:tc>
          <w:tcPr>
            <w:tcW w:w="999" w:type="dxa"/>
            <w:vAlign w:val="top"/>
          </w:tcPr>
          <w:p w:rsidR="008F75BF" w:rsidRPr="00C46280"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1051</w:t>
            </w:r>
          </w:p>
        </w:tc>
        <w:tc>
          <w:tcPr>
            <w:tcW w:w="1369" w:type="dxa"/>
            <w:vAlign w:val="top"/>
          </w:tcPr>
          <w:p w:rsidR="008F75BF" w:rsidRPr="00C46280"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310 (30%)</w:t>
            </w:r>
          </w:p>
        </w:tc>
        <w:tc>
          <w:tcPr>
            <w:tcW w:w="1273" w:type="dxa"/>
            <w:vAlign w:val="top"/>
          </w:tcPr>
          <w:p w:rsidR="008F75BF" w:rsidRPr="00C46280"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188</w:t>
            </w:r>
          </w:p>
        </w:tc>
        <w:tc>
          <w:tcPr>
            <w:tcW w:w="1367" w:type="dxa"/>
            <w:vAlign w:val="top"/>
          </w:tcPr>
          <w:p w:rsidR="008F75BF" w:rsidRPr="00C46280"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13 (7%)</w:t>
            </w:r>
          </w:p>
        </w:tc>
        <w:tc>
          <w:tcPr>
            <w:tcW w:w="1314" w:type="dxa"/>
            <w:vAlign w:val="top"/>
          </w:tcPr>
          <w:p w:rsidR="008F75BF" w:rsidRPr="00C46280"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25</w:t>
            </w:r>
          </w:p>
        </w:tc>
        <w:tc>
          <w:tcPr>
            <w:tcW w:w="1475" w:type="dxa"/>
          </w:tcPr>
          <w:p w:rsidR="008F75BF" w:rsidRDefault="008F75BF" w:rsidP="00EA294B">
            <w:pPr>
              <w:spacing w:after="0"/>
              <w:jc w:val="center"/>
              <w:cnfStyle w:val="000000000000" w:firstRow="0" w:lastRow="0" w:firstColumn="0" w:lastColumn="0" w:oddVBand="0" w:evenVBand="0" w:oddHBand="0" w:evenHBand="0" w:firstRowFirstColumn="0" w:firstRowLastColumn="0" w:lastRowFirstColumn="0" w:lastRowLastColumn="0"/>
            </w:pPr>
            <w:r>
              <w:t>25 ($31</w:t>
            </w:r>
            <w:r w:rsidR="00EA294B">
              <w:t xml:space="preserve"> </w:t>
            </w:r>
            <w:r>
              <w:t>500)</w:t>
            </w:r>
          </w:p>
        </w:tc>
      </w:tr>
    </w:tbl>
    <w:p w:rsidR="008F75BF" w:rsidRPr="00A61312" w:rsidRDefault="008F75BF" w:rsidP="008F75BF">
      <w:r>
        <w:rPr>
          <w:rStyle w:val="Tabletitle"/>
        </w:rPr>
        <w:t>Breaches by enforcement action 2019–20</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8F75BF" w:rsidTr="00563BE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rsidR="008F75BF" w:rsidRDefault="008F75BF" w:rsidP="00563BEE">
            <w:pPr>
              <w:spacing w:after="0"/>
            </w:pPr>
            <w:r>
              <w:t>Enforcement action</w:t>
            </w:r>
          </w:p>
        </w:tc>
        <w:tc>
          <w:tcPr>
            <w:tcW w:w="1701"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8F75BF" w:rsidTr="00563BEE">
        <w:tc>
          <w:tcPr>
            <w:cnfStyle w:val="001000000000" w:firstRow="0" w:lastRow="0" w:firstColumn="1" w:lastColumn="0" w:oddVBand="0" w:evenVBand="0" w:oddHBand="0" w:evenHBand="0" w:firstRowFirstColumn="0" w:firstRowLastColumn="0" w:lastRowFirstColumn="0" w:lastRowLastColumn="0"/>
            <w:tcW w:w="2268" w:type="dxa"/>
          </w:tcPr>
          <w:p w:rsidR="008F75BF" w:rsidRPr="00847199" w:rsidRDefault="008F75BF" w:rsidP="008F75BF">
            <w:pPr>
              <w:spacing w:after="0"/>
              <w:rPr>
                <w:b w:val="0"/>
              </w:rPr>
            </w:pPr>
            <w:r>
              <w:rPr>
                <w:b w:val="0"/>
              </w:rPr>
              <w:t>Warning letter</w:t>
            </w:r>
          </w:p>
        </w:tc>
        <w:tc>
          <w:tcPr>
            <w:tcW w:w="1701"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824EB1">
              <w:t>42</w:t>
            </w:r>
          </w:p>
        </w:tc>
        <w:tc>
          <w:tcPr>
            <w:tcW w:w="1843"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824EB1">
              <w:t>0</w:t>
            </w:r>
          </w:p>
        </w:tc>
        <w:tc>
          <w:tcPr>
            <w:tcW w:w="1843"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824EB1">
              <w:t>0</w:t>
            </w:r>
          </w:p>
        </w:tc>
        <w:tc>
          <w:tcPr>
            <w:tcW w:w="1417"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824EB1">
              <w:t>14</w:t>
            </w:r>
          </w:p>
        </w:tc>
      </w:tr>
      <w:tr w:rsidR="008F75BF" w:rsidTr="00563BEE">
        <w:tc>
          <w:tcPr>
            <w:cnfStyle w:val="001000000000" w:firstRow="0" w:lastRow="0" w:firstColumn="1" w:lastColumn="0" w:oddVBand="0" w:evenVBand="0" w:oddHBand="0" w:evenHBand="0" w:firstRowFirstColumn="0" w:firstRowLastColumn="0" w:lastRowFirstColumn="0" w:lastRowLastColumn="0"/>
            <w:tcW w:w="2268" w:type="dxa"/>
          </w:tcPr>
          <w:p w:rsidR="008F75BF" w:rsidRPr="00847199" w:rsidRDefault="008F75BF" w:rsidP="008F75BF">
            <w:pPr>
              <w:spacing w:after="0"/>
              <w:rPr>
                <w:b w:val="0"/>
              </w:rPr>
            </w:pPr>
            <w:r>
              <w:rPr>
                <w:b w:val="0"/>
              </w:rPr>
              <w:t>Infringement notice</w:t>
            </w:r>
          </w:p>
        </w:tc>
        <w:tc>
          <w:tcPr>
            <w:tcW w:w="1701"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FE24B6">
              <w:t>18</w:t>
            </w:r>
          </w:p>
        </w:tc>
        <w:tc>
          <w:tcPr>
            <w:tcW w:w="1843"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FE24B6">
              <w:t>0</w:t>
            </w:r>
          </w:p>
        </w:tc>
        <w:tc>
          <w:tcPr>
            <w:tcW w:w="1843"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FE24B6">
              <w:t>0</w:t>
            </w:r>
          </w:p>
        </w:tc>
        <w:tc>
          <w:tcPr>
            <w:tcW w:w="1417"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FE24B6">
              <w:t>12</w:t>
            </w:r>
          </w:p>
        </w:tc>
      </w:tr>
    </w:tbl>
    <w:p w:rsidR="008F75BF" w:rsidRPr="00A61312" w:rsidRDefault="008F75BF" w:rsidP="008F75BF">
      <w:pPr>
        <w:pStyle w:val="Heading2"/>
      </w:pPr>
      <w:bookmarkStart w:id="18" w:name="_Toc52367984"/>
      <w:r>
        <w:t>Fuel</w:t>
      </w:r>
      <w:r w:rsidRPr="006C1227">
        <w:t xml:space="preserve"> </w:t>
      </w:r>
      <w:r>
        <w:t>Retail</w:t>
      </w:r>
      <w:bookmarkEnd w:id="18"/>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fruit and vegetable compliance and enforcement in previous years."/>
      </w:tblPr>
      <w:tblGrid>
        <w:gridCol w:w="1229"/>
        <w:gridCol w:w="999"/>
        <w:gridCol w:w="1369"/>
        <w:gridCol w:w="1273"/>
        <w:gridCol w:w="1367"/>
        <w:gridCol w:w="1314"/>
        <w:gridCol w:w="1475"/>
      </w:tblGrid>
      <w:tr w:rsidR="008F75BF" w:rsidTr="00563BE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rsidR="008F75BF" w:rsidRDefault="008F75BF" w:rsidP="00563BEE">
            <w:pPr>
              <w:spacing w:after="0"/>
            </w:pPr>
            <w:r>
              <w:t>Year</w:t>
            </w:r>
          </w:p>
        </w:tc>
        <w:tc>
          <w:tcPr>
            <w:tcW w:w="99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7"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4"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Pr="00847199" w:rsidRDefault="008F75BF" w:rsidP="00563BEE">
            <w:pPr>
              <w:spacing w:after="0"/>
              <w:rPr>
                <w:b w:val="0"/>
              </w:rPr>
            </w:pPr>
            <w:r w:rsidRPr="00847199">
              <w:rPr>
                <w:b w:val="0"/>
              </w:rPr>
              <w:t>2017</w:t>
            </w:r>
            <w:r w:rsidRPr="00CE66EF">
              <w:rPr>
                <w:b w:val="0"/>
              </w:rPr>
              <w:t>–</w:t>
            </w:r>
            <w:r w:rsidRPr="00847199">
              <w:rPr>
                <w:b w:val="0"/>
              </w:rPr>
              <w:t>18</w:t>
            </w:r>
          </w:p>
        </w:tc>
        <w:tc>
          <w:tcPr>
            <w:tcW w:w="99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663</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C46280">
              <w:t>1</w:t>
            </w:r>
            <w:r>
              <w:t>34</w:t>
            </w:r>
            <w:r w:rsidRPr="00C46280">
              <w:t xml:space="preserve"> (</w:t>
            </w:r>
            <w:r>
              <w:t>20</w:t>
            </w:r>
            <w:r w:rsidRPr="00C46280">
              <w:t>%)</w:t>
            </w:r>
          </w:p>
        </w:tc>
        <w:tc>
          <w:tcPr>
            <w:tcW w:w="1273"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111</w:t>
            </w:r>
          </w:p>
        </w:tc>
        <w:tc>
          <w:tcPr>
            <w:tcW w:w="1367"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11</w:t>
            </w:r>
            <w:r w:rsidRPr="00C46280">
              <w:t xml:space="preserve"> (</w:t>
            </w:r>
            <w:r>
              <w:t>10</w:t>
            </w:r>
            <w:r w:rsidRPr="00C46280">
              <w:t>%)</w:t>
            </w:r>
          </w:p>
        </w:tc>
        <w:tc>
          <w:tcPr>
            <w:tcW w:w="1314"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3</w:t>
            </w:r>
          </w:p>
        </w:tc>
        <w:tc>
          <w:tcPr>
            <w:tcW w:w="1475" w:type="dxa"/>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0</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Pr="00847199" w:rsidRDefault="008F75BF" w:rsidP="00563BEE">
            <w:pPr>
              <w:spacing w:after="0"/>
              <w:rPr>
                <w:b w:val="0"/>
              </w:rPr>
            </w:pPr>
            <w:r>
              <w:rPr>
                <w:b w:val="0"/>
              </w:rPr>
              <w:t>2018</w:t>
            </w:r>
            <w:r w:rsidRPr="00CE66EF">
              <w:rPr>
                <w:b w:val="0"/>
              </w:rPr>
              <w:t>–</w:t>
            </w:r>
            <w:r>
              <w:rPr>
                <w:b w:val="0"/>
              </w:rPr>
              <w:t>19</w:t>
            </w:r>
          </w:p>
        </w:tc>
        <w:tc>
          <w:tcPr>
            <w:tcW w:w="99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1154</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303</w:t>
            </w:r>
            <w:r w:rsidRPr="00C46280">
              <w:t xml:space="preserve"> (</w:t>
            </w:r>
            <w:r>
              <w:t>26</w:t>
            </w:r>
            <w:r w:rsidRPr="00C46280">
              <w:t>%)</w:t>
            </w:r>
          </w:p>
        </w:tc>
        <w:tc>
          <w:tcPr>
            <w:tcW w:w="1273"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151</w:t>
            </w:r>
          </w:p>
        </w:tc>
        <w:tc>
          <w:tcPr>
            <w:tcW w:w="1367"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36</w:t>
            </w:r>
            <w:r w:rsidRPr="00C46280">
              <w:t xml:space="preserve"> (</w:t>
            </w:r>
            <w:r>
              <w:t>24</w:t>
            </w:r>
            <w:r w:rsidRPr="00C46280">
              <w:t>%)</w:t>
            </w:r>
          </w:p>
        </w:tc>
        <w:tc>
          <w:tcPr>
            <w:tcW w:w="1314"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2</w:t>
            </w:r>
          </w:p>
        </w:tc>
        <w:tc>
          <w:tcPr>
            <w:tcW w:w="1475" w:type="dxa"/>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0</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Default="008F75BF" w:rsidP="00563BEE">
            <w:pPr>
              <w:spacing w:after="0"/>
              <w:rPr>
                <w:b w:val="0"/>
              </w:rPr>
            </w:pPr>
            <w:r>
              <w:rPr>
                <w:b w:val="0"/>
              </w:rPr>
              <w:t>2019</w:t>
            </w:r>
            <w:r w:rsidR="00AB64E8">
              <w:rPr>
                <w:b w:val="0"/>
              </w:rPr>
              <w:t>–</w:t>
            </w:r>
            <w:r>
              <w:rPr>
                <w:b w:val="0"/>
              </w:rPr>
              <w:t>20</w:t>
            </w:r>
          </w:p>
        </w:tc>
        <w:tc>
          <w:tcPr>
            <w:tcW w:w="999" w:type="dxa"/>
            <w:vAlign w:val="top"/>
          </w:tcPr>
          <w:p w:rsidR="008F75BF" w:rsidRPr="00C46280"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1063</w:t>
            </w:r>
          </w:p>
        </w:tc>
        <w:tc>
          <w:tcPr>
            <w:tcW w:w="1369" w:type="dxa"/>
            <w:vAlign w:val="top"/>
          </w:tcPr>
          <w:p w:rsidR="008F75BF" w:rsidRPr="00C46280"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266 (25%)</w:t>
            </w:r>
          </w:p>
        </w:tc>
        <w:tc>
          <w:tcPr>
            <w:tcW w:w="1273" w:type="dxa"/>
            <w:vAlign w:val="top"/>
          </w:tcPr>
          <w:p w:rsidR="008F75BF" w:rsidRPr="00C46280"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173</w:t>
            </w:r>
          </w:p>
        </w:tc>
        <w:tc>
          <w:tcPr>
            <w:tcW w:w="1367" w:type="dxa"/>
            <w:vAlign w:val="top"/>
          </w:tcPr>
          <w:p w:rsidR="008F75BF" w:rsidRPr="00C46280"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41 (24%)</w:t>
            </w:r>
          </w:p>
        </w:tc>
        <w:tc>
          <w:tcPr>
            <w:tcW w:w="1314" w:type="dxa"/>
            <w:vAlign w:val="top"/>
          </w:tcPr>
          <w:p w:rsidR="008F75BF" w:rsidRPr="00C46280"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8</w:t>
            </w:r>
          </w:p>
        </w:tc>
        <w:tc>
          <w:tcPr>
            <w:tcW w:w="1475" w:type="dxa"/>
          </w:tcPr>
          <w:p w:rsidR="008F75BF" w:rsidRDefault="008F75BF" w:rsidP="00EA294B">
            <w:pPr>
              <w:spacing w:after="0"/>
              <w:jc w:val="center"/>
              <w:cnfStyle w:val="000000000000" w:firstRow="0" w:lastRow="0" w:firstColumn="0" w:lastColumn="0" w:oddVBand="0" w:evenVBand="0" w:oddHBand="0" w:evenHBand="0" w:firstRowFirstColumn="0" w:firstRowLastColumn="0" w:lastRowFirstColumn="0" w:lastRowLastColumn="0"/>
            </w:pPr>
            <w:r>
              <w:t>15 ($25</w:t>
            </w:r>
            <w:r w:rsidR="00EA294B">
              <w:t xml:space="preserve"> </w:t>
            </w:r>
            <w:r>
              <w:t>200)</w:t>
            </w:r>
          </w:p>
        </w:tc>
      </w:tr>
    </w:tbl>
    <w:p w:rsidR="008F75BF" w:rsidRPr="00A61312" w:rsidRDefault="008F75BF" w:rsidP="008F75BF">
      <w:r>
        <w:rPr>
          <w:rStyle w:val="Tabletitle"/>
        </w:rPr>
        <w:t>Breaches by enforcement action 2019–20</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8F75BF" w:rsidTr="00563BE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rsidR="008F75BF" w:rsidRDefault="008F75BF" w:rsidP="00563BEE">
            <w:pPr>
              <w:spacing w:after="0"/>
            </w:pPr>
            <w:r>
              <w:t>Enforcement action</w:t>
            </w:r>
          </w:p>
        </w:tc>
        <w:tc>
          <w:tcPr>
            <w:tcW w:w="1701"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D657DC" w:rsidTr="00563BEE">
        <w:tc>
          <w:tcPr>
            <w:cnfStyle w:val="001000000000" w:firstRow="0" w:lastRow="0" w:firstColumn="1" w:lastColumn="0" w:oddVBand="0" w:evenVBand="0" w:oddHBand="0" w:evenHBand="0" w:firstRowFirstColumn="0" w:firstRowLastColumn="0" w:lastRowFirstColumn="0" w:lastRowLastColumn="0"/>
            <w:tcW w:w="2268" w:type="dxa"/>
          </w:tcPr>
          <w:p w:rsidR="00D657DC" w:rsidRPr="00847199" w:rsidRDefault="00D657DC" w:rsidP="00D657DC">
            <w:pPr>
              <w:spacing w:after="0"/>
              <w:rPr>
                <w:b w:val="0"/>
              </w:rPr>
            </w:pPr>
            <w:r>
              <w:rPr>
                <w:b w:val="0"/>
              </w:rPr>
              <w:t>Warning letter</w:t>
            </w:r>
          </w:p>
        </w:tc>
        <w:tc>
          <w:tcPr>
            <w:tcW w:w="1701"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BF243E">
              <w:t>12</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BF243E">
              <w:t>0</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BF243E">
              <w:t>0</w:t>
            </w:r>
          </w:p>
        </w:tc>
        <w:tc>
          <w:tcPr>
            <w:tcW w:w="1417"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BF243E">
              <w:t>0</w:t>
            </w:r>
          </w:p>
        </w:tc>
      </w:tr>
      <w:tr w:rsidR="008F75BF" w:rsidTr="00563BEE">
        <w:tc>
          <w:tcPr>
            <w:cnfStyle w:val="001000000000" w:firstRow="0" w:lastRow="0" w:firstColumn="1" w:lastColumn="0" w:oddVBand="0" w:evenVBand="0" w:oddHBand="0" w:evenHBand="0" w:firstRowFirstColumn="0" w:firstRowLastColumn="0" w:lastRowFirstColumn="0" w:lastRowLastColumn="0"/>
            <w:tcW w:w="2268" w:type="dxa"/>
          </w:tcPr>
          <w:p w:rsidR="008F75BF" w:rsidRPr="00847199" w:rsidRDefault="008F75BF" w:rsidP="008F75BF">
            <w:pPr>
              <w:spacing w:after="0"/>
              <w:rPr>
                <w:b w:val="0"/>
              </w:rPr>
            </w:pPr>
            <w:r>
              <w:rPr>
                <w:b w:val="0"/>
              </w:rPr>
              <w:t>Infringement notice</w:t>
            </w:r>
          </w:p>
        </w:tc>
        <w:tc>
          <w:tcPr>
            <w:tcW w:w="1701"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3313C0">
              <w:t>1</w:t>
            </w:r>
            <w:r w:rsidR="008C20F4">
              <w:t>9</w:t>
            </w:r>
          </w:p>
        </w:tc>
        <w:tc>
          <w:tcPr>
            <w:tcW w:w="1843"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3313C0">
              <w:t>1</w:t>
            </w:r>
          </w:p>
        </w:tc>
        <w:tc>
          <w:tcPr>
            <w:tcW w:w="1843"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3313C0">
              <w:t>0</w:t>
            </w:r>
          </w:p>
        </w:tc>
        <w:tc>
          <w:tcPr>
            <w:tcW w:w="1417"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3313C0">
              <w:t>0</w:t>
            </w:r>
          </w:p>
        </w:tc>
      </w:tr>
    </w:tbl>
    <w:p w:rsidR="008F75BF" w:rsidRPr="00847199" w:rsidRDefault="008F75BF" w:rsidP="008F75BF">
      <w:pPr>
        <w:pStyle w:val="Heading2"/>
      </w:pPr>
      <w:bookmarkStart w:id="19" w:name="_Toc52367985"/>
      <w:r>
        <w:lastRenderedPageBreak/>
        <w:t>M</w:t>
      </w:r>
      <w:r w:rsidRPr="00215A3C">
        <w:t xml:space="preserve">eat </w:t>
      </w:r>
      <w:r>
        <w:t>R</w:t>
      </w:r>
      <w:r w:rsidRPr="00215A3C">
        <w:t>et</w:t>
      </w:r>
      <w:r>
        <w:t>ail</w:t>
      </w:r>
      <w:bookmarkEnd w:id="19"/>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meat retail compliance and enforcement in previous years."/>
      </w:tblPr>
      <w:tblGrid>
        <w:gridCol w:w="1229"/>
        <w:gridCol w:w="999"/>
        <w:gridCol w:w="1369"/>
        <w:gridCol w:w="1273"/>
        <w:gridCol w:w="1369"/>
        <w:gridCol w:w="1312"/>
        <w:gridCol w:w="1475"/>
      </w:tblGrid>
      <w:tr w:rsidR="008F75BF" w:rsidTr="00563BE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rsidR="008F75BF" w:rsidRDefault="008F75BF" w:rsidP="00563BEE">
            <w:pPr>
              <w:spacing w:after="0"/>
            </w:pPr>
            <w:r>
              <w:t>Year</w:t>
            </w:r>
          </w:p>
        </w:tc>
        <w:tc>
          <w:tcPr>
            <w:tcW w:w="99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2"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Pr="00847199" w:rsidRDefault="008F75BF" w:rsidP="00563BEE">
            <w:pPr>
              <w:spacing w:after="0"/>
              <w:rPr>
                <w:b w:val="0"/>
              </w:rPr>
            </w:pPr>
            <w:r w:rsidRPr="00847199">
              <w:rPr>
                <w:b w:val="0"/>
              </w:rPr>
              <w:t>2017</w:t>
            </w:r>
            <w:r>
              <w:rPr>
                <w:b w:val="0"/>
              </w:rPr>
              <w:t>–</w:t>
            </w:r>
            <w:r w:rsidRPr="00847199">
              <w:rPr>
                <w:b w:val="0"/>
              </w:rPr>
              <w:t>18</w:t>
            </w:r>
          </w:p>
        </w:tc>
        <w:tc>
          <w:tcPr>
            <w:tcW w:w="99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0226FB">
              <w:t>856</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0226FB">
              <w:t>418 (49%)</w:t>
            </w:r>
          </w:p>
        </w:tc>
        <w:tc>
          <w:tcPr>
            <w:tcW w:w="1273"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0226FB">
              <w:t>414</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0226FB">
              <w:t>61 (15%)</w:t>
            </w:r>
          </w:p>
        </w:tc>
        <w:tc>
          <w:tcPr>
            <w:tcW w:w="1312"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0226FB">
              <w:t>41</w:t>
            </w:r>
          </w:p>
        </w:tc>
        <w:tc>
          <w:tcPr>
            <w:tcW w:w="1475" w:type="dxa"/>
          </w:tcPr>
          <w:p w:rsidR="008F75BF" w:rsidRDefault="008F75BF" w:rsidP="00EA294B">
            <w:pPr>
              <w:spacing w:after="0"/>
              <w:jc w:val="center"/>
              <w:cnfStyle w:val="000000000000" w:firstRow="0" w:lastRow="0" w:firstColumn="0" w:lastColumn="0" w:oddVBand="0" w:evenVBand="0" w:oddHBand="0" w:evenHBand="0" w:firstRowFirstColumn="0" w:firstRowLastColumn="0" w:lastRowFirstColumn="0" w:lastRowLastColumn="0"/>
            </w:pPr>
            <w:r>
              <w:t>4 ($3900)</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Pr="00847199" w:rsidRDefault="008F75BF" w:rsidP="00563BEE">
            <w:pPr>
              <w:spacing w:after="0"/>
              <w:rPr>
                <w:b w:val="0"/>
              </w:rPr>
            </w:pPr>
            <w:r>
              <w:rPr>
                <w:b w:val="0"/>
              </w:rPr>
              <w:t>2018–19</w:t>
            </w:r>
          </w:p>
        </w:tc>
        <w:tc>
          <w:tcPr>
            <w:tcW w:w="99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0226FB">
              <w:t>467</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0226FB">
              <w:t>176 (38%)</w:t>
            </w:r>
          </w:p>
        </w:tc>
        <w:tc>
          <w:tcPr>
            <w:tcW w:w="1273"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0226FB">
              <w:t>161</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0226FB">
              <w:t>28 (17%)</w:t>
            </w:r>
          </w:p>
        </w:tc>
        <w:tc>
          <w:tcPr>
            <w:tcW w:w="1312"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0226FB">
              <w:t>8</w:t>
            </w:r>
          </w:p>
        </w:tc>
        <w:tc>
          <w:tcPr>
            <w:tcW w:w="1475" w:type="dxa"/>
          </w:tcPr>
          <w:p w:rsidR="008F75BF" w:rsidRDefault="008F75BF" w:rsidP="00EA294B">
            <w:pPr>
              <w:spacing w:after="0"/>
              <w:jc w:val="center"/>
              <w:cnfStyle w:val="000000000000" w:firstRow="0" w:lastRow="0" w:firstColumn="0" w:lastColumn="0" w:oddVBand="0" w:evenVBand="0" w:oddHBand="0" w:evenHBand="0" w:firstRowFirstColumn="0" w:firstRowLastColumn="0" w:lastRowFirstColumn="0" w:lastRowLastColumn="0"/>
            </w:pPr>
            <w:r>
              <w:t>6 ($7350)</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Default="008F75BF" w:rsidP="00563BEE">
            <w:pPr>
              <w:spacing w:after="0"/>
              <w:rPr>
                <w:b w:val="0"/>
              </w:rPr>
            </w:pPr>
            <w:r>
              <w:rPr>
                <w:b w:val="0"/>
              </w:rPr>
              <w:t>2019</w:t>
            </w:r>
            <w:r w:rsidR="00AB64E8">
              <w:rPr>
                <w:b w:val="0"/>
              </w:rPr>
              <w:t>–</w:t>
            </w:r>
            <w:r>
              <w:rPr>
                <w:b w:val="0"/>
              </w:rPr>
              <w:t>20</w:t>
            </w:r>
          </w:p>
        </w:tc>
        <w:tc>
          <w:tcPr>
            <w:tcW w:w="999" w:type="dxa"/>
            <w:vAlign w:val="top"/>
          </w:tcPr>
          <w:p w:rsidR="008F75BF" w:rsidRPr="000226FB"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610</w:t>
            </w:r>
          </w:p>
        </w:tc>
        <w:tc>
          <w:tcPr>
            <w:tcW w:w="1369" w:type="dxa"/>
            <w:vAlign w:val="top"/>
          </w:tcPr>
          <w:p w:rsidR="008F75BF" w:rsidRPr="000226FB"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309 (51%)</w:t>
            </w:r>
          </w:p>
        </w:tc>
        <w:tc>
          <w:tcPr>
            <w:tcW w:w="1273" w:type="dxa"/>
            <w:vAlign w:val="top"/>
          </w:tcPr>
          <w:p w:rsidR="008F75BF" w:rsidRPr="000226FB"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193</w:t>
            </w:r>
          </w:p>
        </w:tc>
        <w:tc>
          <w:tcPr>
            <w:tcW w:w="1369" w:type="dxa"/>
            <w:vAlign w:val="top"/>
          </w:tcPr>
          <w:p w:rsidR="008F75BF" w:rsidRPr="000226FB"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47 (24%)</w:t>
            </w:r>
          </w:p>
        </w:tc>
        <w:tc>
          <w:tcPr>
            <w:tcW w:w="1312" w:type="dxa"/>
            <w:vAlign w:val="top"/>
          </w:tcPr>
          <w:p w:rsidR="008F75BF" w:rsidRPr="000226FB"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74</w:t>
            </w:r>
          </w:p>
        </w:tc>
        <w:tc>
          <w:tcPr>
            <w:tcW w:w="1475" w:type="dxa"/>
          </w:tcPr>
          <w:p w:rsidR="008F75BF" w:rsidRDefault="008F75BF" w:rsidP="00EA294B">
            <w:pPr>
              <w:spacing w:after="0"/>
              <w:jc w:val="center"/>
              <w:cnfStyle w:val="000000000000" w:firstRow="0" w:lastRow="0" w:firstColumn="0" w:lastColumn="0" w:oddVBand="0" w:evenVBand="0" w:oddHBand="0" w:evenHBand="0" w:firstRowFirstColumn="0" w:firstRowLastColumn="0" w:lastRowFirstColumn="0" w:lastRowLastColumn="0"/>
            </w:pPr>
            <w:r>
              <w:t>14 ($15</w:t>
            </w:r>
            <w:r w:rsidR="00EA294B">
              <w:t xml:space="preserve"> </w:t>
            </w:r>
            <w:r>
              <w:t>750)</w:t>
            </w:r>
          </w:p>
        </w:tc>
      </w:tr>
    </w:tbl>
    <w:p w:rsidR="008F75BF" w:rsidRPr="00A61312" w:rsidRDefault="008F75BF" w:rsidP="008F75BF">
      <w:r>
        <w:rPr>
          <w:rStyle w:val="Tabletitle"/>
        </w:rPr>
        <w:t>Breaches by enforcement action 2019–20</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8F75BF" w:rsidTr="00563BE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rsidR="008F75BF" w:rsidRDefault="008F75BF" w:rsidP="00563BEE">
            <w:pPr>
              <w:spacing w:after="0"/>
            </w:pPr>
            <w:r>
              <w:t>Enforcement action</w:t>
            </w:r>
          </w:p>
        </w:tc>
        <w:tc>
          <w:tcPr>
            <w:tcW w:w="1701"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D657DC" w:rsidTr="00563BEE">
        <w:tc>
          <w:tcPr>
            <w:cnfStyle w:val="001000000000" w:firstRow="0" w:lastRow="0" w:firstColumn="1" w:lastColumn="0" w:oddVBand="0" w:evenVBand="0" w:oddHBand="0" w:evenHBand="0" w:firstRowFirstColumn="0" w:firstRowLastColumn="0" w:lastRowFirstColumn="0" w:lastRowLastColumn="0"/>
            <w:tcW w:w="2268" w:type="dxa"/>
          </w:tcPr>
          <w:p w:rsidR="00D657DC" w:rsidRPr="00847199" w:rsidRDefault="00D657DC" w:rsidP="00D657DC">
            <w:pPr>
              <w:spacing w:after="0"/>
              <w:rPr>
                <w:b w:val="0"/>
              </w:rPr>
            </w:pPr>
            <w:r>
              <w:rPr>
                <w:b w:val="0"/>
              </w:rPr>
              <w:t>Warning letter</w:t>
            </w:r>
          </w:p>
        </w:tc>
        <w:tc>
          <w:tcPr>
            <w:tcW w:w="1701"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05134F">
              <w:t>15</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05134F">
              <w:t>79</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05134F">
              <w:t>9</w:t>
            </w:r>
          </w:p>
        </w:tc>
        <w:tc>
          <w:tcPr>
            <w:tcW w:w="1417"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05134F">
              <w:t>100</w:t>
            </w:r>
          </w:p>
        </w:tc>
      </w:tr>
      <w:tr w:rsidR="008F75BF" w:rsidTr="00563BEE">
        <w:tc>
          <w:tcPr>
            <w:cnfStyle w:val="001000000000" w:firstRow="0" w:lastRow="0" w:firstColumn="1" w:lastColumn="0" w:oddVBand="0" w:evenVBand="0" w:oddHBand="0" w:evenHBand="0" w:firstRowFirstColumn="0" w:firstRowLastColumn="0" w:lastRowFirstColumn="0" w:lastRowLastColumn="0"/>
            <w:tcW w:w="2268" w:type="dxa"/>
          </w:tcPr>
          <w:p w:rsidR="008F75BF" w:rsidRPr="00847199" w:rsidRDefault="008F75BF" w:rsidP="008F75BF">
            <w:pPr>
              <w:spacing w:after="0"/>
              <w:rPr>
                <w:b w:val="0"/>
              </w:rPr>
            </w:pPr>
            <w:r>
              <w:rPr>
                <w:b w:val="0"/>
              </w:rPr>
              <w:t>Infringement notice</w:t>
            </w:r>
          </w:p>
        </w:tc>
        <w:tc>
          <w:tcPr>
            <w:tcW w:w="1701"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155B08">
              <w:t>1</w:t>
            </w:r>
          </w:p>
        </w:tc>
        <w:tc>
          <w:tcPr>
            <w:tcW w:w="1843"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155B08">
              <w:t>13</w:t>
            </w:r>
          </w:p>
        </w:tc>
        <w:tc>
          <w:tcPr>
            <w:tcW w:w="1843"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155B08">
              <w:t>0</w:t>
            </w:r>
          </w:p>
        </w:tc>
        <w:tc>
          <w:tcPr>
            <w:tcW w:w="1417"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155B08">
              <w:t>3</w:t>
            </w:r>
          </w:p>
        </w:tc>
      </w:tr>
    </w:tbl>
    <w:p w:rsidR="008F75BF" w:rsidRPr="00847199" w:rsidRDefault="008F75BF" w:rsidP="008F75BF">
      <w:pPr>
        <w:pStyle w:val="Heading2"/>
      </w:pPr>
      <w:bookmarkStart w:id="20" w:name="_Toc52367986"/>
      <w:r>
        <w:t>Supermarkets</w:t>
      </w:r>
      <w:bookmarkEnd w:id="20"/>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supermarket compliance and enforcement in previous years."/>
      </w:tblPr>
      <w:tblGrid>
        <w:gridCol w:w="1229"/>
        <w:gridCol w:w="999"/>
        <w:gridCol w:w="1369"/>
        <w:gridCol w:w="1273"/>
        <w:gridCol w:w="1369"/>
        <w:gridCol w:w="1312"/>
        <w:gridCol w:w="1475"/>
      </w:tblGrid>
      <w:tr w:rsidR="008F75BF" w:rsidTr="00563BE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rsidR="008F75BF" w:rsidRDefault="008F75BF" w:rsidP="00563BEE">
            <w:pPr>
              <w:spacing w:after="0"/>
            </w:pPr>
            <w:r>
              <w:t>Year</w:t>
            </w:r>
          </w:p>
        </w:tc>
        <w:tc>
          <w:tcPr>
            <w:tcW w:w="99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2"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Pr="00847199" w:rsidRDefault="008F75BF" w:rsidP="00563BEE">
            <w:pPr>
              <w:spacing w:after="0"/>
              <w:rPr>
                <w:b w:val="0"/>
              </w:rPr>
            </w:pPr>
            <w:r w:rsidRPr="00847199">
              <w:rPr>
                <w:b w:val="0"/>
              </w:rPr>
              <w:t>2017</w:t>
            </w:r>
            <w:r>
              <w:rPr>
                <w:b w:val="0"/>
              </w:rPr>
              <w:t>–</w:t>
            </w:r>
            <w:r w:rsidRPr="00847199">
              <w:rPr>
                <w:b w:val="0"/>
              </w:rPr>
              <w:t>18</w:t>
            </w:r>
          </w:p>
        </w:tc>
        <w:tc>
          <w:tcPr>
            <w:tcW w:w="99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3522C5">
              <w:t>1547</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3522C5">
              <w:t>593 (38%)</w:t>
            </w:r>
          </w:p>
        </w:tc>
        <w:tc>
          <w:tcPr>
            <w:tcW w:w="1273"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3522C5">
              <w:t>545</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3522C5">
              <w:t>101 (19%)</w:t>
            </w:r>
          </w:p>
        </w:tc>
        <w:tc>
          <w:tcPr>
            <w:tcW w:w="1312"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3522C5">
              <w:t>54</w:t>
            </w:r>
          </w:p>
        </w:tc>
        <w:tc>
          <w:tcPr>
            <w:tcW w:w="1475" w:type="dxa"/>
          </w:tcPr>
          <w:p w:rsidR="008F75BF" w:rsidRDefault="008F75BF" w:rsidP="00EA294B">
            <w:pPr>
              <w:spacing w:after="0"/>
              <w:jc w:val="center"/>
              <w:cnfStyle w:val="000000000000" w:firstRow="0" w:lastRow="0" w:firstColumn="0" w:lastColumn="0" w:oddVBand="0" w:evenVBand="0" w:oddHBand="0" w:evenHBand="0" w:firstRowFirstColumn="0" w:firstRowLastColumn="0" w:lastRowFirstColumn="0" w:lastRowLastColumn="0"/>
            </w:pPr>
            <w:r>
              <w:t>13 ($17</w:t>
            </w:r>
            <w:r w:rsidR="00EA294B">
              <w:t xml:space="preserve"> </w:t>
            </w:r>
            <w:r>
              <w:t>550)</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Pr="00847199" w:rsidRDefault="008F75BF" w:rsidP="00563BEE">
            <w:pPr>
              <w:spacing w:after="0"/>
              <w:rPr>
                <w:b w:val="0"/>
              </w:rPr>
            </w:pPr>
            <w:r>
              <w:rPr>
                <w:b w:val="0"/>
              </w:rPr>
              <w:t>2018–19</w:t>
            </w:r>
          </w:p>
        </w:tc>
        <w:tc>
          <w:tcPr>
            <w:tcW w:w="99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3522C5">
              <w:t>2062</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3522C5">
              <w:t>881 (43%)</w:t>
            </w:r>
          </w:p>
        </w:tc>
        <w:tc>
          <w:tcPr>
            <w:tcW w:w="1273"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3522C5">
              <w:t>298</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3522C5">
              <w:t>59 (20%)</w:t>
            </w:r>
          </w:p>
        </w:tc>
        <w:tc>
          <w:tcPr>
            <w:tcW w:w="1312"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3522C5">
              <w:t>16</w:t>
            </w:r>
          </w:p>
        </w:tc>
        <w:tc>
          <w:tcPr>
            <w:tcW w:w="1475" w:type="dxa"/>
          </w:tcPr>
          <w:p w:rsidR="008F75BF" w:rsidRDefault="008F75BF" w:rsidP="00EA294B">
            <w:pPr>
              <w:spacing w:after="0"/>
              <w:jc w:val="center"/>
              <w:cnfStyle w:val="000000000000" w:firstRow="0" w:lastRow="0" w:firstColumn="0" w:lastColumn="0" w:oddVBand="0" w:evenVBand="0" w:oddHBand="0" w:evenHBand="0" w:firstRowFirstColumn="0" w:firstRowLastColumn="0" w:lastRowFirstColumn="0" w:lastRowLastColumn="0"/>
            </w:pPr>
            <w:r>
              <w:t>11 ($12</w:t>
            </w:r>
            <w:r w:rsidR="00EA294B">
              <w:t xml:space="preserve"> </w:t>
            </w:r>
            <w:r>
              <w:t>600)</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Default="008F75BF" w:rsidP="00563BEE">
            <w:pPr>
              <w:spacing w:after="0"/>
              <w:rPr>
                <w:b w:val="0"/>
              </w:rPr>
            </w:pPr>
            <w:r>
              <w:rPr>
                <w:b w:val="0"/>
              </w:rPr>
              <w:t>2019</w:t>
            </w:r>
            <w:r w:rsidR="00AB64E8">
              <w:rPr>
                <w:b w:val="0"/>
              </w:rPr>
              <w:t>–</w:t>
            </w:r>
            <w:r>
              <w:rPr>
                <w:b w:val="0"/>
              </w:rPr>
              <w:t>20</w:t>
            </w:r>
          </w:p>
        </w:tc>
        <w:tc>
          <w:tcPr>
            <w:tcW w:w="999" w:type="dxa"/>
            <w:vAlign w:val="top"/>
          </w:tcPr>
          <w:p w:rsidR="008F75BF" w:rsidRPr="003522C5"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1186</w:t>
            </w:r>
          </w:p>
        </w:tc>
        <w:tc>
          <w:tcPr>
            <w:tcW w:w="1369" w:type="dxa"/>
            <w:vAlign w:val="top"/>
          </w:tcPr>
          <w:p w:rsidR="008F75BF" w:rsidRPr="003522C5"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304 (26%)</w:t>
            </w:r>
          </w:p>
        </w:tc>
        <w:tc>
          <w:tcPr>
            <w:tcW w:w="1273" w:type="dxa"/>
            <w:vAlign w:val="top"/>
          </w:tcPr>
          <w:p w:rsidR="008F75BF" w:rsidRPr="003522C5"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317</w:t>
            </w:r>
          </w:p>
        </w:tc>
        <w:tc>
          <w:tcPr>
            <w:tcW w:w="1369" w:type="dxa"/>
            <w:vAlign w:val="top"/>
          </w:tcPr>
          <w:p w:rsidR="008F75BF" w:rsidRPr="003522C5"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74 (23%)</w:t>
            </w:r>
          </w:p>
        </w:tc>
        <w:tc>
          <w:tcPr>
            <w:tcW w:w="1312" w:type="dxa"/>
            <w:vAlign w:val="top"/>
          </w:tcPr>
          <w:p w:rsidR="008F75BF" w:rsidRPr="003522C5"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10</w:t>
            </w:r>
          </w:p>
        </w:tc>
        <w:tc>
          <w:tcPr>
            <w:tcW w:w="1475" w:type="dxa"/>
          </w:tcPr>
          <w:p w:rsidR="008F75BF" w:rsidRDefault="008F75BF" w:rsidP="00EA294B">
            <w:pPr>
              <w:spacing w:after="0"/>
              <w:jc w:val="center"/>
              <w:cnfStyle w:val="000000000000" w:firstRow="0" w:lastRow="0" w:firstColumn="0" w:lastColumn="0" w:oddVBand="0" w:evenVBand="0" w:oddHBand="0" w:evenHBand="0" w:firstRowFirstColumn="0" w:firstRowLastColumn="0" w:lastRowFirstColumn="0" w:lastRowLastColumn="0"/>
            </w:pPr>
            <w:r>
              <w:t>9 ($9450)</w:t>
            </w:r>
          </w:p>
        </w:tc>
      </w:tr>
    </w:tbl>
    <w:p w:rsidR="008F75BF" w:rsidRPr="00A61312" w:rsidRDefault="008F75BF" w:rsidP="008F75BF">
      <w:r>
        <w:rPr>
          <w:rStyle w:val="Tabletitle"/>
        </w:rPr>
        <w:t>Breaches by enforcement action 2019–20</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nforcement actions."/>
      </w:tblPr>
      <w:tblGrid>
        <w:gridCol w:w="2268"/>
        <w:gridCol w:w="1701"/>
        <w:gridCol w:w="1843"/>
        <w:gridCol w:w="1843"/>
        <w:gridCol w:w="1417"/>
      </w:tblGrid>
      <w:tr w:rsidR="008F75BF" w:rsidTr="00563BE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rsidR="008F75BF" w:rsidRDefault="008F75BF" w:rsidP="00563BEE">
            <w:pPr>
              <w:spacing w:after="0"/>
            </w:pPr>
            <w:r>
              <w:t>Enforcement action</w:t>
            </w:r>
          </w:p>
        </w:tc>
        <w:tc>
          <w:tcPr>
            <w:tcW w:w="1701"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D657DC" w:rsidTr="00563BEE">
        <w:tc>
          <w:tcPr>
            <w:cnfStyle w:val="001000000000" w:firstRow="0" w:lastRow="0" w:firstColumn="1" w:lastColumn="0" w:oddVBand="0" w:evenVBand="0" w:oddHBand="0" w:evenHBand="0" w:firstRowFirstColumn="0" w:firstRowLastColumn="0" w:lastRowFirstColumn="0" w:lastRowLastColumn="0"/>
            <w:tcW w:w="2268" w:type="dxa"/>
          </w:tcPr>
          <w:p w:rsidR="00D657DC" w:rsidRPr="00847199" w:rsidRDefault="00D657DC" w:rsidP="00D657DC">
            <w:pPr>
              <w:spacing w:after="0"/>
              <w:rPr>
                <w:b w:val="0"/>
              </w:rPr>
            </w:pPr>
            <w:r>
              <w:rPr>
                <w:b w:val="0"/>
              </w:rPr>
              <w:t>Warning letter</w:t>
            </w:r>
          </w:p>
        </w:tc>
        <w:tc>
          <w:tcPr>
            <w:tcW w:w="1701"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E64C02">
              <w:t>2</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E64C02">
              <w:t>43</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E64C02">
              <w:t>0</w:t>
            </w:r>
          </w:p>
        </w:tc>
        <w:tc>
          <w:tcPr>
            <w:tcW w:w="1417"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E64C02">
              <w:t>2</w:t>
            </w:r>
          </w:p>
        </w:tc>
      </w:tr>
      <w:tr w:rsidR="008F75BF" w:rsidTr="00563BEE">
        <w:tc>
          <w:tcPr>
            <w:cnfStyle w:val="001000000000" w:firstRow="0" w:lastRow="0" w:firstColumn="1" w:lastColumn="0" w:oddVBand="0" w:evenVBand="0" w:oddHBand="0" w:evenHBand="0" w:firstRowFirstColumn="0" w:firstRowLastColumn="0" w:lastRowFirstColumn="0" w:lastRowLastColumn="0"/>
            <w:tcW w:w="2268" w:type="dxa"/>
          </w:tcPr>
          <w:p w:rsidR="008F75BF" w:rsidRPr="00847199" w:rsidRDefault="008F75BF" w:rsidP="008F75BF">
            <w:pPr>
              <w:spacing w:after="0"/>
              <w:rPr>
                <w:b w:val="0"/>
              </w:rPr>
            </w:pPr>
            <w:r>
              <w:rPr>
                <w:b w:val="0"/>
              </w:rPr>
              <w:t>Infringement notice</w:t>
            </w:r>
          </w:p>
        </w:tc>
        <w:tc>
          <w:tcPr>
            <w:tcW w:w="1701"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356A15">
              <w:t>1</w:t>
            </w:r>
          </w:p>
        </w:tc>
        <w:tc>
          <w:tcPr>
            <w:tcW w:w="1843"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356A15">
              <w:t>6</w:t>
            </w:r>
          </w:p>
        </w:tc>
        <w:tc>
          <w:tcPr>
            <w:tcW w:w="1843"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356A15">
              <w:t>0</w:t>
            </w:r>
          </w:p>
        </w:tc>
        <w:tc>
          <w:tcPr>
            <w:tcW w:w="1417" w:type="dxa"/>
            <w:vAlign w:val="top"/>
          </w:tcPr>
          <w:p w:rsidR="008F75BF" w:rsidRDefault="008F75BF" w:rsidP="008F75BF">
            <w:pPr>
              <w:spacing w:after="0"/>
              <w:jc w:val="center"/>
              <w:cnfStyle w:val="000000000000" w:firstRow="0" w:lastRow="0" w:firstColumn="0" w:lastColumn="0" w:oddVBand="0" w:evenVBand="0" w:oddHBand="0" w:evenHBand="0" w:firstRowFirstColumn="0" w:firstRowLastColumn="0" w:lastRowFirstColumn="0" w:lastRowLastColumn="0"/>
            </w:pPr>
            <w:r w:rsidRPr="00356A15">
              <w:t>3</w:t>
            </w:r>
          </w:p>
        </w:tc>
      </w:tr>
    </w:tbl>
    <w:p w:rsidR="008F75BF" w:rsidRDefault="008F75BF" w:rsidP="008F75BF">
      <w:pPr>
        <w:pStyle w:val="Heading2"/>
        <w:spacing w:before="0"/>
      </w:pPr>
    </w:p>
    <w:p w:rsidR="008F75BF" w:rsidRDefault="008F75BF">
      <w:pPr>
        <w:spacing w:after="200"/>
        <w:rPr>
          <w:rFonts w:asciiTheme="majorHAnsi" w:eastAsiaTheme="majorEastAsia" w:hAnsiTheme="majorHAnsi" w:cstheme="majorBidi"/>
          <w:b/>
          <w:bCs/>
          <w:color w:val="A6192E" w:themeColor="accent1"/>
          <w:sz w:val="26"/>
          <w:szCs w:val="26"/>
        </w:rPr>
      </w:pPr>
      <w:r>
        <w:br w:type="page"/>
      </w:r>
    </w:p>
    <w:p w:rsidR="008F75BF" w:rsidRPr="00847199" w:rsidRDefault="008F75BF" w:rsidP="008F75BF">
      <w:pPr>
        <w:pStyle w:val="Heading2"/>
        <w:spacing w:before="0"/>
      </w:pPr>
      <w:bookmarkStart w:id="21" w:name="_Toc52367987"/>
      <w:r>
        <w:lastRenderedPageBreak/>
        <w:t>I</w:t>
      </w:r>
      <w:r w:rsidRPr="00215A3C">
        <w:t>mporter</w:t>
      </w:r>
      <w:bookmarkEnd w:id="21"/>
      <w:r w:rsidR="00373138">
        <w:t>s</w:t>
      </w:r>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importer compliance and enforcement in previous years."/>
      </w:tblPr>
      <w:tblGrid>
        <w:gridCol w:w="1229"/>
        <w:gridCol w:w="999"/>
        <w:gridCol w:w="1369"/>
        <w:gridCol w:w="1273"/>
        <w:gridCol w:w="1369"/>
        <w:gridCol w:w="1312"/>
        <w:gridCol w:w="1475"/>
      </w:tblGrid>
      <w:tr w:rsidR="008F75BF" w:rsidTr="00563BE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rsidR="008F75BF" w:rsidRDefault="008F75BF" w:rsidP="00563BEE">
            <w:pPr>
              <w:spacing w:after="0"/>
            </w:pPr>
            <w:r>
              <w:t>Year</w:t>
            </w:r>
          </w:p>
        </w:tc>
        <w:tc>
          <w:tcPr>
            <w:tcW w:w="99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9"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2"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Pr="00847199" w:rsidRDefault="008F75BF" w:rsidP="00563BEE">
            <w:pPr>
              <w:spacing w:after="0"/>
              <w:rPr>
                <w:b w:val="0"/>
              </w:rPr>
            </w:pPr>
            <w:r w:rsidRPr="00847199">
              <w:rPr>
                <w:b w:val="0"/>
              </w:rPr>
              <w:t>2017</w:t>
            </w:r>
            <w:r>
              <w:rPr>
                <w:b w:val="0"/>
              </w:rPr>
              <w:t>–</w:t>
            </w:r>
            <w:r w:rsidRPr="00847199">
              <w:rPr>
                <w:b w:val="0"/>
              </w:rPr>
              <w:t>18</w:t>
            </w:r>
          </w:p>
        </w:tc>
        <w:tc>
          <w:tcPr>
            <w:tcW w:w="99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8313D9">
              <w:t>70</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8313D9">
              <w:t>33 (47%)</w:t>
            </w:r>
          </w:p>
        </w:tc>
        <w:tc>
          <w:tcPr>
            <w:tcW w:w="1273"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8313D9">
              <w:t>20</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8313D9">
              <w:t>5 (25%)</w:t>
            </w:r>
          </w:p>
        </w:tc>
        <w:tc>
          <w:tcPr>
            <w:tcW w:w="1312"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8313D9">
              <w:t>3</w:t>
            </w:r>
          </w:p>
        </w:tc>
        <w:tc>
          <w:tcPr>
            <w:tcW w:w="1475" w:type="dxa"/>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3 ($2850)</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Pr="00847199" w:rsidRDefault="008F75BF" w:rsidP="00563BEE">
            <w:pPr>
              <w:spacing w:after="0"/>
              <w:rPr>
                <w:b w:val="0"/>
              </w:rPr>
            </w:pPr>
            <w:r>
              <w:rPr>
                <w:b w:val="0"/>
              </w:rPr>
              <w:t>2018–19</w:t>
            </w:r>
          </w:p>
        </w:tc>
        <w:tc>
          <w:tcPr>
            <w:tcW w:w="99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8313D9">
              <w:t>164</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8313D9">
              <w:t>55 (34%)</w:t>
            </w:r>
          </w:p>
        </w:tc>
        <w:tc>
          <w:tcPr>
            <w:tcW w:w="1273"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8313D9">
              <w:t>32</w:t>
            </w:r>
          </w:p>
        </w:tc>
        <w:tc>
          <w:tcPr>
            <w:tcW w:w="1369"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8313D9">
              <w:t>7 (22%)</w:t>
            </w:r>
          </w:p>
        </w:tc>
        <w:tc>
          <w:tcPr>
            <w:tcW w:w="1312"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8313D9">
              <w:t>12</w:t>
            </w:r>
          </w:p>
        </w:tc>
        <w:tc>
          <w:tcPr>
            <w:tcW w:w="1475" w:type="dxa"/>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4 ($4200)</w:t>
            </w:r>
          </w:p>
        </w:tc>
      </w:tr>
      <w:tr w:rsidR="008F75BF" w:rsidTr="00563BEE">
        <w:tc>
          <w:tcPr>
            <w:cnfStyle w:val="001000000000" w:firstRow="0" w:lastRow="0" w:firstColumn="1" w:lastColumn="0" w:oddVBand="0" w:evenVBand="0" w:oddHBand="0" w:evenHBand="0" w:firstRowFirstColumn="0" w:firstRowLastColumn="0" w:lastRowFirstColumn="0" w:lastRowLastColumn="0"/>
            <w:tcW w:w="1229" w:type="dxa"/>
          </w:tcPr>
          <w:p w:rsidR="008F75BF" w:rsidRDefault="008F75BF" w:rsidP="00563BEE">
            <w:pPr>
              <w:spacing w:after="0"/>
              <w:rPr>
                <w:b w:val="0"/>
              </w:rPr>
            </w:pPr>
            <w:r>
              <w:rPr>
                <w:b w:val="0"/>
              </w:rPr>
              <w:t>2019</w:t>
            </w:r>
            <w:r w:rsidR="00AB64E8">
              <w:rPr>
                <w:b w:val="0"/>
              </w:rPr>
              <w:t>–</w:t>
            </w:r>
            <w:r>
              <w:rPr>
                <w:b w:val="0"/>
              </w:rPr>
              <w:t>20</w:t>
            </w:r>
          </w:p>
        </w:tc>
        <w:tc>
          <w:tcPr>
            <w:tcW w:w="999" w:type="dxa"/>
            <w:vAlign w:val="top"/>
          </w:tcPr>
          <w:p w:rsidR="008F75BF" w:rsidRPr="008313D9"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33</w:t>
            </w:r>
          </w:p>
        </w:tc>
        <w:tc>
          <w:tcPr>
            <w:tcW w:w="1369" w:type="dxa"/>
            <w:vAlign w:val="top"/>
          </w:tcPr>
          <w:p w:rsidR="008F75BF" w:rsidRPr="008313D9"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12 (36%)</w:t>
            </w:r>
          </w:p>
        </w:tc>
        <w:tc>
          <w:tcPr>
            <w:tcW w:w="1273" w:type="dxa"/>
            <w:vAlign w:val="top"/>
          </w:tcPr>
          <w:p w:rsidR="008F75BF" w:rsidRPr="008313D9"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26</w:t>
            </w:r>
          </w:p>
        </w:tc>
        <w:tc>
          <w:tcPr>
            <w:tcW w:w="1369" w:type="dxa"/>
            <w:vAlign w:val="top"/>
          </w:tcPr>
          <w:p w:rsidR="008F75BF" w:rsidRPr="008313D9"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5 (19%)</w:t>
            </w:r>
          </w:p>
        </w:tc>
        <w:tc>
          <w:tcPr>
            <w:tcW w:w="1312" w:type="dxa"/>
            <w:vAlign w:val="top"/>
          </w:tcPr>
          <w:p w:rsidR="008F75BF" w:rsidRPr="008313D9"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t>4</w:t>
            </w:r>
          </w:p>
        </w:tc>
        <w:tc>
          <w:tcPr>
            <w:tcW w:w="1475" w:type="dxa"/>
          </w:tcPr>
          <w:p w:rsidR="008F75BF" w:rsidRDefault="008F75BF" w:rsidP="00951F7C">
            <w:pPr>
              <w:spacing w:after="0"/>
              <w:jc w:val="center"/>
              <w:cnfStyle w:val="000000000000" w:firstRow="0" w:lastRow="0" w:firstColumn="0" w:lastColumn="0" w:oddVBand="0" w:evenVBand="0" w:oddHBand="0" w:evenHBand="0" w:firstRowFirstColumn="0" w:firstRowLastColumn="0" w:lastRowFirstColumn="0" w:lastRowLastColumn="0"/>
            </w:pPr>
            <w:r>
              <w:t>7 ($7350)</w:t>
            </w:r>
          </w:p>
        </w:tc>
      </w:tr>
    </w:tbl>
    <w:p w:rsidR="008F75BF" w:rsidRPr="00A61312" w:rsidRDefault="008F75BF" w:rsidP="008F75BF">
      <w:r>
        <w:rPr>
          <w:rStyle w:val="Tabletitle"/>
        </w:rPr>
        <w:t>Breaches by enforcement action 2019–20</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8F75BF" w:rsidTr="00563BE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rsidR="008F75BF" w:rsidRDefault="008F75BF" w:rsidP="00563BEE">
            <w:pPr>
              <w:spacing w:after="0"/>
            </w:pPr>
            <w:r>
              <w:t>Enforcement action</w:t>
            </w:r>
          </w:p>
        </w:tc>
        <w:tc>
          <w:tcPr>
            <w:tcW w:w="1701"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rsidR="008F75BF" w:rsidRDefault="008F75BF" w:rsidP="00563BEE">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D657DC" w:rsidTr="00563BEE">
        <w:tc>
          <w:tcPr>
            <w:cnfStyle w:val="001000000000" w:firstRow="0" w:lastRow="0" w:firstColumn="1" w:lastColumn="0" w:oddVBand="0" w:evenVBand="0" w:oddHBand="0" w:evenHBand="0" w:firstRowFirstColumn="0" w:firstRowLastColumn="0" w:lastRowFirstColumn="0" w:lastRowLastColumn="0"/>
            <w:tcW w:w="2268" w:type="dxa"/>
          </w:tcPr>
          <w:p w:rsidR="00D657DC" w:rsidRPr="00847199" w:rsidRDefault="00D657DC" w:rsidP="00D657DC">
            <w:pPr>
              <w:spacing w:after="0"/>
              <w:rPr>
                <w:b w:val="0"/>
              </w:rPr>
            </w:pPr>
            <w:r>
              <w:rPr>
                <w:b w:val="0"/>
              </w:rPr>
              <w:t>Warning letter</w:t>
            </w:r>
          </w:p>
        </w:tc>
        <w:tc>
          <w:tcPr>
            <w:tcW w:w="1701"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6A65BD">
              <w:t>0</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6A65BD">
              <w:t>20</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6A65BD">
              <w:t>0</w:t>
            </w:r>
          </w:p>
        </w:tc>
        <w:tc>
          <w:tcPr>
            <w:tcW w:w="1417"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6A65BD">
              <w:t>0</w:t>
            </w:r>
          </w:p>
        </w:tc>
      </w:tr>
      <w:tr w:rsidR="008F75BF" w:rsidTr="00563BEE">
        <w:tc>
          <w:tcPr>
            <w:cnfStyle w:val="001000000000" w:firstRow="0" w:lastRow="0" w:firstColumn="1" w:lastColumn="0" w:oddVBand="0" w:evenVBand="0" w:oddHBand="0" w:evenHBand="0" w:firstRowFirstColumn="0" w:firstRowLastColumn="0" w:lastRowFirstColumn="0" w:lastRowLastColumn="0"/>
            <w:tcW w:w="2268" w:type="dxa"/>
          </w:tcPr>
          <w:p w:rsidR="008F75BF" w:rsidRPr="00847199" w:rsidRDefault="008F75BF" w:rsidP="00563BEE">
            <w:pPr>
              <w:spacing w:after="0"/>
              <w:rPr>
                <w:b w:val="0"/>
              </w:rPr>
            </w:pPr>
            <w:r>
              <w:rPr>
                <w:b w:val="0"/>
              </w:rPr>
              <w:t>Infringement notice</w:t>
            </w:r>
          </w:p>
        </w:tc>
        <w:tc>
          <w:tcPr>
            <w:tcW w:w="1701"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AA56AD">
              <w:t>0</w:t>
            </w:r>
          </w:p>
        </w:tc>
        <w:tc>
          <w:tcPr>
            <w:tcW w:w="1843" w:type="dxa"/>
            <w:vAlign w:val="top"/>
          </w:tcPr>
          <w:p w:rsidR="008F75BF" w:rsidRDefault="00D657DC" w:rsidP="00563BEE">
            <w:pPr>
              <w:spacing w:after="0"/>
              <w:jc w:val="center"/>
              <w:cnfStyle w:val="000000000000" w:firstRow="0" w:lastRow="0" w:firstColumn="0" w:lastColumn="0" w:oddVBand="0" w:evenVBand="0" w:oddHBand="0" w:evenHBand="0" w:firstRowFirstColumn="0" w:firstRowLastColumn="0" w:lastRowFirstColumn="0" w:lastRowLastColumn="0"/>
            </w:pPr>
            <w:r>
              <w:t>6</w:t>
            </w:r>
          </w:p>
        </w:tc>
        <w:tc>
          <w:tcPr>
            <w:tcW w:w="1843" w:type="dxa"/>
            <w:vAlign w:val="top"/>
          </w:tcPr>
          <w:p w:rsidR="008F75BF" w:rsidRDefault="008F75BF" w:rsidP="00563BEE">
            <w:pPr>
              <w:spacing w:after="0"/>
              <w:jc w:val="center"/>
              <w:cnfStyle w:val="000000000000" w:firstRow="0" w:lastRow="0" w:firstColumn="0" w:lastColumn="0" w:oddVBand="0" w:evenVBand="0" w:oddHBand="0" w:evenHBand="0" w:firstRowFirstColumn="0" w:firstRowLastColumn="0" w:lastRowFirstColumn="0" w:lastRowLastColumn="0"/>
            </w:pPr>
            <w:r w:rsidRPr="00AA56AD">
              <w:t>0</w:t>
            </w:r>
          </w:p>
        </w:tc>
        <w:tc>
          <w:tcPr>
            <w:tcW w:w="1417" w:type="dxa"/>
            <w:vAlign w:val="top"/>
          </w:tcPr>
          <w:p w:rsidR="008F75BF" w:rsidRDefault="00D657DC" w:rsidP="00563BEE">
            <w:pPr>
              <w:spacing w:after="0"/>
              <w:jc w:val="center"/>
              <w:cnfStyle w:val="000000000000" w:firstRow="0" w:lastRow="0" w:firstColumn="0" w:lastColumn="0" w:oddVBand="0" w:evenVBand="0" w:oddHBand="0" w:evenHBand="0" w:firstRowFirstColumn="0" w:firstRowLastColumn="0" w:lastRowFirstColumn="0" w:lastRowLastColumn="0"/>
            </w:pPr>
            <w:r>
              <w:t>1</w:t>
            </w:r>
          </w:p>
        </w:tc>
      </w:tr>
    </w:tbl>
    <w:p w:rsidR="00A61312" w:rsidRPr="00A61312" w:rsidRDefault="000D14B8" w:rsidP="00122E4D">
      <w:pPr>
        <w:pStyle w:val="Heading2"/>
      </w:pPr>
      <w:bookmarkStart w:id="22" w:name="_Toc52367988"/>
      <w:r>
        <w:t>F</w:t>
      </w:r>
      <w:r w:rsidR="00E13099" w:rsidRPr="00215A3C">
        <w:t xml:space="preserve">ruit and </w:t>
      </w:r>
      <w:r w:rsidR="00247470">
        <w:t>V</w:t>
      </w:r>
      <w:r w:rsidR="00E13099" w:rsidRPr="00215A3C">
        <w:t>egetable</w:t>
      </w:r>
      <w:r>
        <w:t>s</w:t>
      </w:r>
      <w:r w:rsidR="00E13099" w:rsidRPr="00215A3C">
        <w:t xml:space="preserve"> </w:t>
      </w:r>
      <w:r w:rsidR="00247470">
        <w:t>R</w:t>
      </w:r>
      <w:r w:rsidR="00E13099" w:rsidRPr="00215A3C">
        <w:t>et</w:t>
      </w:r>
      <w:r w:rsidR="00E13099">
        <w:t>ail</w:t>
      </w:r>
      <w:bookmarkEnd w:id="22"/>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fruit and vegetable compliance and enforcement in previous years."/>
      </w:tblPr>
      <w:tblGrid>
        <w:gridCol w:w="1229"/>
        <w:gridCol w:w="999"/>
        <w:gridCol w:w="1369"/>
        <w:gridCol w:w="1273"/>
        <w:gridCol w:w="1367"/>
        <w:gridCol w:w="1314"/>
        <w:gridCol w:w="1475"/>
      </w:tblGrid>
      <w:tr w:rsidR="00EE0A6F" w:rsidTr="00EE0A6F">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rsidR="00EE0A6F" w:rsidRDefault="00EE0A6F" w:rsidP="00EE0A6F">
            <w:pPr>
              <w:spacing w:after="0"/>
            </w:pPr>
            <w:r>
              <w:t>Year</w:t>
            </w:r>
          </w:p>
        </w:tc>
        <w:tc>
          <w:tcPr>
            <w:tcW w:w="999" w:type="dxa"/>
          </w:tcPr>
          <w:p w:rsidR="00EE0A6F" w:rsidRDefault="00EE0A6F" w:rsidP="00EE0A6F">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rsidR="00EE0A6F" w:rsidRDefault="00EE0A6F" w:rsidP="00EE0A6F">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rsidR="00EE0A6F" w:rsidRDefault="00EE0A6F" w:rsidP="00EE0A6F">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7" w:type="dxa"/>
          </w:tcPr>
          <w:p w:rsidR="00EE0A6F" w:rsidRDefault="00EE0A6F" w:rsidP="00EE0A6F">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4" w:type="dxa"/>
          </w:tcPr>
          <w:p w:rsidR="00EE0A6F" w:rsidRDefault="00EE0A6F" w:rsidP="00EE0A6F">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rsidR="00EE0A6F" w:rsidRDefault="00EE0A6F" w:rsidP="00EE0A6F">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DF6A23" w:rsidTr="00DF6A23">
        <w:tc>
          <w:tcPr>
            <w:cnfStyle w:val="001000000000" w:firstRow="0" w:lastRow="0" w:firstColumn="1" w:lastColumn="0" w:oddVBand="0" w:evenVBand="0" w:oddHBand="0" w:evenHBand="0" w:firstRowFirstColumn="0" w:firstRowLastColumn="0" w:lastRowFirstColumn="0" w:lastRowLastColumn="0"/>
            <w:tcW w:w="1229" w:type="dxa"/>
          </w:tcPr>
          <w:p w:rsidR="00DF6A23" w:rsidRPr="00847199" w:rsidRDefault="00DF6A23" w:rsidP="00DF6A23">
            <w:pPr>
              <w:spacing w:after="0"/>
              <w:rPr>
                <w:b w:val="0"/>
              </w:rPr>
            </w:pPr>
            <w:r w:rsidRPr="00847199">
              <w:rPr>
                <w:b w:val="0"/>
              </w:rPr>
              <w:t>2017</w:t>
            </w:r>
            <w:r w:rsidR="00CE66EF" w:rsidRPr="00CE66EF">
              <w:rPr>
                <w:b w:val="0"/>
              </w:rPr>
              <w:t>–</w:t>
            </w:r>
            <w:r w:rsidRPr="00847199">
              <w:rPr>
                <w:b w:val="0"/>
              </w:rPr>
              <w:t>18</w:t>
            </w:r>
          </w:p>
        </w:tc>
        <w:tc>
          <w:tcPr>
            <w:tcW w:w="999" w:type="dxa"/>
            <w:vAlign w:val="top"/>
          </w:tcPr>
          <w:p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337</w:t>
            </w:r>
          </w:p>
        </w:tc>
        <w:tc>
          <w:tcPr>
            <w:tcW w:w="1369" w:type="dxa"/>
            <w:vAlign w:val="top"/>
          </w:tcPr>
          <w:p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176 (52%)</w:t>
            </w:r>
          </w:p>
        </w:tc>
        <w:tc>
          <w:tcPr>
            <w:tcW w:w="1273" w:type="dxa"/>
            <w:vAlign w:val="top"/>
          </w:tcPr>
          <w:p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245</w:t>
            </w:r>
          </w:p>
        </w:tc>
        <w:tc>
          <w:tcPr>
            <w:tcW w:w="1367" w:type="dxa"/>
            <w:vAlign w:val="top"/>
          </w:tcPr>
          <w:p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63 (26%)</w:t>
            </w:r>
          </w:p>
        </w:tc>
        <w:tc>
          <w:tcPr>
            <w:tcW w:w="1314" w:type="dxa"/>
            <w:vAlign w:val="top"/>
          </w:tcPr>
          <w:p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33</w:t>
            </w:r>
          </w:p>
        </w:tc>
        <w:tc>
          <w:tcPr>
            <w:tcW w:w="1475" w:type="dxa"/>
          </w:tcPr>
          <w:p w:rsidR="00DF6A23" w:rsidRDefault="00DF6A23" w:rsidP="00951F7C">
            <w:pPr>
              <w:spacing w:after="0"/>
              <w:jc w:val="center"/>
              <w:cnfStyle w:val="000000000000" w:firstRow="0" w:lastRow="0" w:firstColumn="0" w:lastColumn="0" w:oddVBand="0" w:evenVBand="0" w:oddHBand="0" w:evenHBand="0" w:firstRowFirstColumn="0" w:firstRowLastColumn="0" w:lastRowFirstColumn="0" w:lastRowLastColumn="0"/>
            </w:pPr>
            <w:r>
              <w:t>14 ($13</w:t>
            </w:r>
            <w:r w:rsidR="00951F7C">
              <w:t xml:space="preserve"> </w:t>
            </w:r>
            <w:r>
              <w:t>350)</w:t>
            </w:r>
          </w:p>
        </w:tc>
      </w:tr>
      <w:tr w:rsidR="00DF6A23" w:rsidTr="00DF6A23">
        <w:tc>
          <w:tcPr>
            <w:cnfStyle w:val="001000000000" w:firstRow="0" w:lastRow="0" w:firstColumn="1" w:lastColumn="0" w:oddVBand="0" w:evenVBand="0" w:oddHBand="0" w:evenHBand="0" w:firstRowFirstColumn="0" w:firstRowLastColumn="0" w:lastRowFirstColumn="0" w:lastRowLastColumn="0"/>
            <w:tcW w:w="1229" w:type="dxa"/>
          </w:tcPr>
          <w:p w:rsidR="00DF6A23" w:rsidRPr="00847199" w:rsidRDefault="00DF6A23" w:rsidP="00DF6A23">
            <w:pPr>
              <w:spacing w:after="0"/>
              <w:rPr>
                <w:b w:val="0"/>
              </w:rPr>
            </w:pPr>
            <w:r>
              <w:rPr>
                <w:b w:val="0"/>
              </w:rPr>
              <w:t>2018</w:t>
            </w:r>
            <w:r w:rsidR="00CE66EF" w:rsidRPr="00CE66EF">
              <w:rPr>
                <w:b w:val="0"/>
              </w:rPr>
              <w:t>–</w:t>
            </w:r>
            <w:r>
              <w:rPr>
                <w:b w:val="0"/>
              </w:rPr>
              <w:t>19</w:t>
            </w:r>
          </w:p>
        </w:tc>
        <w:tc>
          <w:tcPr>
            <w:tcW w:w="999" w:type="dxa"/>
            <w:vAlign w:val="top"/>
          </w:tcPr>
          <w:p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151</w:t>
            </w:r>
          </w:p>
        </w:tc>
        <w:tc>
          <w:tcPr>
            <w:tcW w:w="1369" w:type="dxa"/>
            <w:vAlign w:val="top"/>
          </w:tcPr>
          <w:p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87 (58%)</w:t>
            </w:r>
          </w:p>
        </w:tc>
        <w:tc>
          <w:tcPr>
            <w:tcW w:w="1273" w:type="dxa"/>
            <w:vAlign w:val="top"/>
          </w:tcPr>
          <w:p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88</w:t>
            </w:r>
          </w:p>
        </w:tc>
        <w:tc>
          <w:tcPr>
            <w:tcW w:w="1367" w:type="dxa"/>
            <w:vAlign w:val="top"/>
          </w:tcPr>
          <w:p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29 (33%)</w:t>
            </w:r>
          </w:p>
        </w:tc>
        <w:tc>
          <w:tcPr>
            <w:tcW w:w="1314" w:type="dxa"/>
            <w:vAlign w:val="top"/>
          </w:tcPr>
          <w:p w:rsidR="00DF6A23" w:rsidRDefault="00DF6A23" w:rsidP="00DF6A23">
            <w:pPr>
              <w:spacing w:after="0"/>
              <w:jc w:val="center"/>
              <w:cnfStyle w:val="000000000000" w:firstRow="0" w:lastRow="0" w:firstColumn="0" w:lastColumn="0" w:oddVBand="0" w:evenVBand="0" w:oddHBand="0" w:evenHBand="0" w:firstRowFirstColumn="0" w:firstRowLastColumn="0" w:lastRowFirstColumn="0" w:lastRowLastColumn="0"/>
            </w:pPr>
            <w:r w:rsidRPr="00C46280">
              <w:t>5</w:t>
            </w:r>
          </w:p>
        </w:tc>
        <w:tc>
          <w:tcPr>
            <w:tcW w:w="1475" w:type="dxa"/>
          </w:tcPr>
          <w:p w:rsidR="00DF6A23" w:rsidRDefault="00076D10" w:rsidP="00951F7C">
            <w:pPr>
              <w:spacing w:after="0"/>
              <w:jc w:val="center"/>
              <w:cnfStyle w:val="000000000000" w:firstRow="0" w:lastRow="0" w:firstColumn="0" w:lastColumn="0" w:oddVBand="0" w:evenVBand="0" w:oddHBand="0" w:evenHBand="0" w:firstRowFirstColumn="0" w:firstRowLastColumn="0" w:lastRowFirstColumn="0" w:lastRowLastColumn="0"/>
            </w:pPr>
            <w:r>
              <w:t xml:space="preserve">4 </w:t>
            </w:r>
            <w:r w:rsidR="00247470">
              <w:t>($5250)</w:t>
            </w:r>
          </w:p>
        </w:tc>
      </w:tr>
      <w:tr w:rsidR="00364A88" w:rsidTr="00DF6A23">
        <w:tc>
          <w:tcPr>
            <w:cnfStyle w:val="001000000000" w:firstRow="0" w:lastRow="0" w:firstColumn="1" w:lastColumn="0" w:oddVBand="0" w:evenVBand="0" w:oddHBand="0" w:evenHBand="0" w:firstRowFirstColumn="0" w:firstRowLastColumn="0" w:lastRowFirstColumn="0" w:lastRowLastColumn="0"/>
            <w:tcW w:w="1229" w:type="dxa"/>
          </w:tcPr>
          <w:p w:rsidR="00364A88" w:rsidRDefault="00364A88" w:rsidP="00DF6A23">
            <w:pPr>
              <w:spacing w:after="0"/>
              <w:rPr>
                <w:b w:val="0"/>
              </w:rPr>
            </w:pPr>
            <w:r>
              <w:rPr>
                <w:b w:val="0"/>
              </w:rPr>
              <w:t>2019</w:t>
            </w:r>
            <w:r w:rsidR="00AB64E8">
              <w:rPr>
                <w:b w:val="0"/>
              </w:rPr>
              <w:t>–</w:t>
            </w:r>
            <w:r>
              <w:rPr>
                <w:b w:val="0"/>
              </w:rPr>
              <w:t>20</w:t>
            </w:r>
          </w:p>
        </w:tc>
        <w:tc>
          <w:tcPr>
            <w:tcW w:w="999" w:type="dxa"/>
            <w:vAlign w:val="top"/>
          </w:tcPr>
          <w:p w:rsidR="00364A88" w:rsidRPr="00C46280" w:rsidRDefault="00364A88" w:rsidP="00DF6A23">
            <w:pPr>
              <w:spacing w:after="0"/>
              <w:jc w:val="center"/>
              <w:cnfStyle w:val="000000000000" w:firstRow="0" w:lastRow="0" w:firstColumn="0" w:lastColumn="0" w:oddVBand="0" w:evenVBand="0" w:oddHBand="0" w:evenHBand="0" w:firstRowFirstColumn="0" w:firstRowLastColumn="0" w:lastRowFirstColumn="0" w:lastRowLastColumn="0"/>
            </w:pPr>
            <w:r>
              <w:t>138</w:t>
            </w:r>
          </w:p>
        </w:tc>
        <w:tc>
          <w:tcPr>
            <w:tcW w:w="1369" w:type="dxa"/>
            <w:vAlign w:val="top"/>
          </w:tcPr>
          <w:p w:rsidR="00364A88" w:rsidRPr="00C46280" w:rsidRDefault="00364A88" w:rsidP="00DF6A23">
            <w:pPr>
              <w:spacing w:after="0"/>
              <w:jc w:val="center"/>
              <w:cnfStyle w:val="000000000000" w:firstRow="0" w:lastRow="0" w:firstColumn="0" w:lastColumn="0" w:oddVBand="0" w:evenVBand="0" w:oddHBand="0" w:evenHBand="0" w:firstRowFirstColumn="0" w:firstRowLastColumn="0" w:lastRowFirstColumn="0" w:lastRowLastColumn="0"/>
            </w:pPr>
            <w:r>
              <w:t>72 (52%)</w:t>
            </w:r>
          </w:p>
        </w:tc>
        <w:tc>
          <w:tcPr>
            <w:tcW w:w="1273" w:type="dxa"/>
            <w:vAlign w:val="top"/>
          </w:tcPr>
          <w:p w:rsidR="00364A88" w:rsidRPr="00C46280" w:rsidRDefault="00364A88" w:rsidP="00DF6A23">
            <w:pPr>
              <w:spacing w:after="0"/>
              <w:jc w:val="center"/>
              <w:cnfStyle w:val="000000000000" w:firstRow="0" w:lastRow="0" w:firstColumn="0" w:lastColumn="0" w:oddVBand="0" w:evenVBand="0" w:oddHBand="0" w:evenHBand="0" w:firstRowFirstColumn="0" w:firstRowLastColumn="0" w:lastRowFirstColumn="0" w:lastRowLastColumn="0"/>
            </w:pPr>
            <w:r>
              <w:t>103</w:t>
            </w:r>
          </w:p>
        </w:tc>
        <w:tc>
          <w:tcPr>
            <w:tcW w:w="1367" w:type="dxa"/>
            <w:vAlign w:val="top"/>
          </w:tcPr>
          <w:p w:rsidR="00364A88" w:rsidRPr="00C46280" w:rsidRDefault="00364A88" w:rsidP="00DF6A23">
            <w:pPr>
              <w:spacing w:after="0"/>
              <w:jc w:val="center"/>
              <w:cnfStyle w:val="000000000000" w:firstRow="0" w:lastRow="0" w:firstColumn="0" w:lastColumn="0" w:oddVBand="0" w:evenVBand="0" w:oddHBand="0" w:evenHBand="0" w:firstRowFirstColumn="0" w:firstRowLastColumn="0" w:lastRowFirstColumn="0" w:lastRowLastColumn="0"/>
            </w:pPr>
            <w:r>
              <w:t>35 (34%)</w:t>
            </w:r>
          </w:p>
        </w:tc>
        <w:tc>
          <w:tcPr>
            <w:tcW w:w="1314" w:type="dxa"/>
            <w:vAlign w:val="top"/>
          </w:tcPr>
          <w:p w:rsidR="00364A88" w:rsidRPr="00C46280" w:rsidRDefault="00364A88" w:rsidP="00DF6A23">
            <w:pPr>
              <w:spacing w:after="0"/>
              <w:jc w:val="center"/>
              <w:cnfStyle w:val="000000000000" w:firstRow="0" w:lastRow="0" w:firstColumn="0" w:lastColumn="0" w:oddVBand="0" w:evenVBand="0" w:oddHBand="0" w:evenHBand="0" w:firstRowFirstColumn="0" w:firstRowLastColumn="0" w:lastRowFirstColumn="0" w:lastRowLastColumn="0"/>
            </w:pPr>
            <w:r>
              <w:t>7</w:t>
            </w:r>
          </w:p>
        </w:tc>
        <w:tc>
          <w:tcPr>
            <w:tcW w:w="1475" w:type="dxa"/>
          </w:tcPr>
          <w:p w:rsidR="00364A88" w:rsidRDefault="00364A88" w:rsidP="00951F7C">
            <w:pPr>
              <w:spacing w:after="0"/>
              <w:jc w:val="center"/>
              <w:cnfStyle w:val="000000000000" w:firstRow="0" w:lastRow="0" w:firstColumn="0" w:lastColumn="0" w:oddVBand="0" w:evenVBand="0" w:oddHBand="0" w:evenHBand="0" w:firstRowFirstColumn="0" w:firstRowLastColumn="0" w:lastRowFirstColumn="0" w:lastRowLastColumn="0"/>
            </w:pPr>
            <w:r>
              <w:t>4 ($4200)</w:t>
            </w:r>
          </w:p>
        </w:tc>
      </w:tr>
    </w:tbl>
    <w:p w:rsidR="00F54B90" w:rsidRPr="00A61312" w:rsidRDefault="00F54B90" w:rsidP="00F54B90">
      <w:r>
        <w:rPr>
          <w:rStyle w:val="Tabletitle"/>
        </w:rPr>
        <w:t>Breaches by enforcement action 2019–20</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A61312" w:rsidTr="00A6131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rsidR="00A61312" w:rsidRDefault="00A61312" w:rsidP="005C07E7">
            <w:pPr>
              <w:spacing w:after="0"/>
            </w:pPr>
            <w:r>
              <w:t>Enforcement action</w:t>
            </w:r>
          </w:p>
        </w:tc>
        <w:tc>
          <w:tcPr>
            <w:tcW w:w="1701" w:type="dxa"/>
          </w:tcPr>
          <w:p w:rsidR="00A61312" w:rsidRDefault="00A61312" w:rsidP="00A61312">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rsidR="00A61312" w:rsidRDefault="00A61312" w:rsidP="00A61312">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rsidR="00A61312" w:rsidRDefault="00A61312" w:rsidP="00A61312">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rsidR="00A61312" w:rsidRDefault="00A61312" w:rsidP="005C07E7">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D657DC" w:rsidTr="00076D10">
        <w:tc>
          <w:tcPr>
            <w:cnfStyle w:val="001000000000" w:firstRow="0" w:lastRow="0" w:firstColumn="1" w:lastColumn="0" w:oddVBand="0" w:evenVBand="0" w:oddHBand="0" w:evenHBand="0" w:firstRowFirstColumn="0" w:firstRowLastColumn="0" w:lastRowFirstColumn="0" w:lastRowLastColumn="0"/>
            <w:tcW w:w="2268" w:type="dxa"/>
          </w:tcPr>
          <w:p w:rsidR="00D657DC" w:rsidRPr="00847199" w:rsidRDefault="00D657DC" w:rsidP="00D657DC">
            <w:pPr>
              <w:spacing w:after="0"/>
              <w:rPr>
                <w:b w:val="0"/>
              </w:rPr>
            </w:pPr>
            <w:r>
              <w:rPr>
                <w:b w:val="0"/>
              </w:rPr>
              <w:t>Warning letter</w:t>
            </w:r>
          </w:p>
        </w:tc>
        <w:tc>
          <w:tcPr>
            <w:tcW w:w="1701"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D720C0">
              <w:t>6</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D720C0">
              <w:t>6</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D720C0">
              <w:t>2</w:t>
            </w:r>
          </w:p>
        </w:tc>
        <w:tc>
          <w:tcPr>
            <w:tcW w:w="1417"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D720C0">
              <w:t>6</w:t>
            </w:r>
          </w:p>
        </w:tc>
      </w:tr>
      <w:tr w:rsidR="00D657DC" w:rsidTr="00076D10">
        <w:tc>
          <w:tcPr>
            <w:cnfStyle w:val="001000000000" w:firstRow="0" w:lastRow="0" w:firstColumn="1" w:lastColumn="0" w:oddVBand="0" w:evenVBand="0" w:oddHBand="0" w:evenHBand="0" w:firstRowFirstColumn="0" w:firstRowLastColumn="0" w:lastRowFirstColumn="0" w:lastRowLastColumn="0"/>
            <w:tcW w:w="2268" w:type="dxa"/>
          </w:tcPr>
          <w:p w:rsidR="00D657DC" w:rsidRPr="00847199" w:rsidRDefault="00D657DC" w:rsidP="00D657DC">
            <w:pPr>
              <w:spacing w:after="0"/>
              <w:rPr>
                <w:b w:val="0"/>
              </w:rPr>
            </w:pPr>
            <w:r>
              <w:rPr>
                <w:b w:val="0"/>
              </w:rPr>
              <w:t>Infringement notice</w:t>
            </w:r>
          </w:p>
        </w:tc>
        <w:tc>
          <w:tcPr>
            <w:tcW w:w="1701"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007EF1">
              <w:t>0</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007EF1">
              <w:t>3</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007EF1">
              <w:t>0</w:t>
            </w:r>
          </w:p>
        </w:tc>
        <w:tc>
          <w:tcPr>
            <w:tcW w:w="1417"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007EF1">
              <w:t>1</w:t>
            </w:r>
          </w:p>
        </w:tc>
      </w:tr>
    </w:tbl>
    <w:p w:rsidR="00122E4D" w:rsidRPr="00FF5F77" w:rsidRDefault="00122E4D" w:rsidP="00FF5F77">
      <w:pPr>
        <w:rPr>
          <w:rFonts w:asciiTheme="majorHAnsi" w:eastAsiaTheme="majorEastAsia" w:hAnsiTheme="majorHAnsi" w:cstheme="majorBidi"/>
          <w:b/>
          <w:bCs/>
          <w:color w:val="A6192E" w:themeColor="accent1"/>
          <w:sz w:val="26"/>
          <w:szCs w:val="26"/>
        </w:rPr>
      </w:pPr>
      <w:r>
        <w:br w:type="page"/>
      </w:r>
    </w:p>
    <w:p w:rsidR="006C1227" w:rsidRPr="00A61312" w:rsidRDefault="006C1227" w:rsidP="006C1227">
      <w:pPr>
        <w:pStyle w:val="Heading2"/>
      </w:pPr>
      <w:bookmarkStart w:id="23" w:name="_Toc52367989"/>
      <w:r>
        <w:lastRenderedPageBreak/>
        <w:t>Hardware</w:t>
      </w:r>
      <w:bookmarkEnd w:id="23"/>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fruit and vegetable compliance and enforcement in previous years."/>
      </w:tblPr>
      <w:tblGrid>
        <w:gridCol w:w="1229"/>
        <w:gridCol w:w="999"/>
        <w:gridCol w:w="1369"/>
        <w:gridCol w:w="1273"/>
        <w:gridCol w:w="1367"/>
        <w:gridCol w:w="1314"/>
        <w:gridCol w:w="1475"/>
      </w:tblGrid>
      <w:tr w:rsidR="006C1227" w:rsidTr="00563BE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rsidR="006C1227" w:rsidRDefault="006C1227" w:rsidP="00563BEE">
            <w:pPr>
              <w:spacing w:after="0"/>
            </w:pPr>
            <w:r>
              <w:t>Year</w:t>
            </w:r>
          </w:p>
        </w:tc>
        <w:tc>
          <w:tcPr>
            <w:tcW w:w="999" w:type="dxa"/>
          </w:tcPr>
          <w:p w:rsidR="006C1227" w:rsidRDefault="006C1227" w:rsidP="00563BEE">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rsidR="006C1227" w:rsidRDefault="006C1227" w:rsidP="00563BE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rsidR="006C1227" w:rsidRDefault="006C1227" w:rsidP="00563BEE">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7" w:type="dxa"/>
          </w:tcPr>
          <w:p w:rsidR="006C1227" w:rsidRDefault="006C1227" w:rsidP="00563BEE">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4" w:type="dxa"/>
          </w:tcPr>
          <w:p w:rsidR="006C1227" w:rsidRDefault="006C1227" w:rsidP="00563BEE">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rsidR="006C1227" w:rsidRDefault="006C1227" w:rsidP="00563BEE">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6C1227" w:rsidTr="00563BEE">
        <w:tc>
          <w:tcPr>
            <w:cnfStyle w:val="001000000000" w:firstRow="0" w:lastRow="0" w:firstColumn="1" w:lastColumn="0" w:oddVBand="0" w:evenVBand="0" w:oddHBand="0" w:evenHBand="0" w:firstRowFirstColumn="0" w:firstRowLastColumn="0" w:lastRowFirstColumn="0" w:lastRowLastColumn="0"/>
            <w:tcW w:w="1229" w:type="dxa"/>
          </w:tcPr>
          <w:p w:rsidR="006C1227" w:rsidRPr="00847199" w:rsidRDefault="006C1227" w:rsidP="00563BEE">
            <w:pPr>
              <w:spacing w:after="0"/>
              <w:rPr>
                <w:b w:val="0"/>
              </w:rPr>
            </w:pPr>
            <w:r w:rsidRPr="00847199">
              <w:rPr>
                <w:b w:val="0"/>
              </w:rPr>
              <w:t>2017</w:t>
            </w:r>
            <w:r w:rsidRPr="00CE66EF">
              <w:rPr>
                <w:b w:val="0"/>
              </w:rPr>
              <w:t>–</w:t>
            </w:r>
            <w:r w:rsidRPr="00847199">
              <w:rPr>
                <w:b w:val="0"/>
              </w:rPr>
              <w:t>18</w:t>
            </w:r>
          </w:p>
        </w:tc>
        <w:tc>
          <w:tcPr>
            <w:tcW w:w="999" w:type="dxa"/>
            <w:vAlign w:val="top"/>
          </w:tcPr>
          <w:p w:rsidR="006C1227" w:rsidRDefault="006C1227" w:rsidP="00563BEE">
            <w:pPr>
              <w:spacing w:after="0"/>
              <w:jc w:val="center"/>
              <w:cnfStyle w:val="000000000000" w:firstRow="0" w:lastRow="0" w:firstColumn="0" w:lastColumn="0" w:oddVBand="0" w:evenVBand="0" w:oddHBand="0" w:evenHBand="0" w:firstRowFirstColumn="0" w:firstRowLastColumn="0" w:lastRowFirstColumn="0" w:lastRowLastColumn="0"/>
            </w:pPr>
            <w:r>
              <w:t>28</w:t>
            </w:r>
          </w:p>
        </w:tc>
        <w:tc>
          <w:tcPr>
            <w:tcW w:w="1369" w:type="dxa"/>
            <w:vAlign w:val="top"/>
          </w:tcPr>
          <w:p w:rsidR="006C1227" w:rsidRDefault="006C1227" w:rsidP="006C1227">
            <w:pPr>
              <w:spacing w:after="0"/>
              <w:jc w:val="center"/>
              <w:cnfStyle w:val="000000000000" w:firstRow="0" w:lastRow="0" w:firstColumn="0" w:lastColumn="0" w:oddVBand="0" w:evenVBand="0" w:oddHBand="0" w:evenHBand="0" w:firstRowFirstColumn="0" w:firstRowLastColumn="0" w:lastRowFirstColumn="0" w:lastRowLastColumn="0"/>
            </w:pPr>
            <w:r>
              <w:t>8</w:t>
            </w:r>
            <w:r w:rsidRPr="00C46280">
              <w:t xml:space="preserve"> (</w:t>
            </w:r>
            <w:r>
              <w:t>29</w:t>
            </w:r>
            <w:r w:rsidRPr="00C46280">
              <w:t>%)</w:t>
            </w:r>
          </w:p>
        </w:tc>
        <w:tc>
          <w:tcPr>
            <w:tcW w:w="1273" w:type="dxa"/>
            <w:vAlign w:val="top"/>
          </w:tcPr>
          <w:p w:rsidR="006C1227" w:rsidRDefault="006C1227" w:rsidP="00563BEE">
            <w:pPr>
              <w:spacing w:after="0"/>
              <w:jc w:val="center"/>
              <w:cnfStyle w:val="000000000000" w:firstRow="0" w:lastRow="0" w:firstColumn="0" w:lastColumn="0" w:oddVBand="0" w:evenVBand="0" w:oddHBand="0" w:evenHBand="0" w:firstRowFirstColumn="0" w:firstRowLastColumn="0" w:lastRowFirstColumn="0" w:lastRowLastColumn="0"/>
            </w:pPr>
            <w:r>
              <w:t>5</w:t>
            </w:r>
          </w:p>
        </w:tc>
        <w:tc>
          <w:tcPr>
            <w:tcW w:w="1367" w:type="dxa"/>
            <w:vAlign w:val="top"/>
          </w:tcPr>
          <w:p w:rsidR="006C1227" w:rsidRDefault="006C1227" w:rsidP="006C1227">
            <w:pPr>
              <w:spacing w:after="0"/>
              <w:jc w:val="center"/>
              <w:cnfStyle w:val="000000000000" w:firstRow="0" w:lastRow="0" w:firstColumn="0" w:lastColumn="0" w:oddVBand="0" w:evenVBand="0" w:oddHBand="0" w:evenHBand="0" w:firstRowFirstColumn="0" w:firstRowLastColumn="0" w:lastRowFirstColumn="0" w:lastRowLastColumn="0"/>
            </w:pPr>
            <w:r>
              <w:t>1</w:t>
            </w:r>
            <w:r w:rsidRPr="00C46280">
              <w:t xml:space="preserve"> (</w:t>
            </w:r>
            <w:r>
              <w:t>20</w:t>
            </w:r>
            <w:r w:rsidRPr="00C46280">
              <w:t>%)</w:t>
            </w:r>
          </w:p>
        </w:tc>
        <w:tc>
          <w:tcPr>
            <w:tcW w:w="1314" w:type="dxa"/>
            <w:vAlign w:val="top"/>
          </w:tcPr>
          <w:p w:rsidR="006C1227" w:rsidRDefault="006C1227" w:rsidP="00563BEE">
            <w:pPr>
              <w:spacing w:after="0"/>
              <w:jc w:val="center"/>
              <w:cnfStyle w:val="000000000000" w:firstRow="0" w:lastRow="0" w:firstColumn="0" w:lastColumn="0" w:oddVBand="0" w:evenVBand="0" w:oddHBand="0" w:evenHBand="0" w:firstRowFirstColumn="0" w:firstRowLastColumn="0" w:lastRowFirstColumn="0" w:lastRowLastColumn="0"/>
            </w:pPr>
            <w:r>
              <w:t>0</w:t>
            </w:r>
          </w:p>
        </w:tc>
        <w:tc>
          <w:tcPr>
            <w:tcW w:w="1475" w:type="dxa"/>
          </w:tcPr>
          <w:p w:rsidR="006C1227" w:rsidRDefault="006C1227" w:rsidP="00563BEE">
            <w:pPr>
              <w:spacing w:after="0"/>
              <w:jc w:val="center"/>
              <w:cnfStyle w:val="000000000000" w:firstRow="0" w:lastRow="0" w:firstColumn="0" w:lastColumn="0" w:oddVBand="0" w:evenVBand="0" w:oddHBand="0" w:evenHBand="0" w:firstRowFirstColumn="0" w:firstRowLastColumn="0" w:lastRowFirstColumn="0" w:lastRowLastColumn="0"/>
            </w:pPr>
            <w:r>
              <w:t>0</w:t>
            </w:r>
          </w:p>
        </w:tc>
      </w:tr>
      <w:tr w:rsidR="006C1227" w:rsidTr="00563BEE">
        <w:tc>
          <w:tcPr>
            <w:cnfStyle w:val="001000000000" w:firstRow="0" w:lastRow="0" w:firstColumn="1" w:lastColumn="0" w:oddVBand="0" w:evenVBand="0" w:oddHBand="0" w:evenHBand="0" w:firstRowFirstColumn="0" w:firstRowLastColumn="0" w:lastRowFirstColumn="0" w:lastRowLastColumn="0"/>
            <w:tcW w:w="1229" w:type="dxa"/>
          </w:tcPr>
          <w:p w:rsidR="006C1227" w:rsidRPr="00847199" w:rsidRDefault="006C1227" w:rsidP="00563BEE">
            <w:pPr>
              <w:spacing w:after="0"/>
              <w:rPr>
                <w:b w:val="0"/>
              </w:rPr>
            </w:pPr>
            <w:r>
              <w:rPr>
                <w:b w:val="0"/>
              </w:rPr>
              <w:t>2018</w:t>
            </w:r>
            <w:r w:rsidRPr="00CE66EF">
              <w:rPr>
                <w:b w:val="0"/>
              </w:rPr>
              <w:t>–</w:t>
            </w:r>
            <w:r>
              <w:rPr>
                <w:b w:val="0"/>
              </w:rPr>
              <w:t>19</w:t>
            </w:r>
          </w:p>
        </w:tc>
        <w:tc>
          <w:tcPr>
            <w:tcW w:w="999" w:type="dxa"/>
            <w:vAlign w:val="top"/>
          </w:tcPr>
          <w:p w:rsidR="006C1227" w:rsidRDefault="006C1227" w:rsidP="00563BEE">
            <w:pPr>
              <w:spacing w:after="0"/>
              <w:jc w:val="center"/>
              <w:cnfStyle w:val="000000000000" w:firstRow="0" w:lastRow="0" w:firstColumn="0" w:lastColumn="0" w:oddVBand="0" w:evenVBand="0" w:oddHBand="0" w:evenHBand="0" w:firstRowFirstColumn="0" w:firstRowLastColumn="0" w:lastRowFirstColumn="0" w:lastRowLastColumn="0"/>
            </w:pPr>
            <w:r>
              <w:t>20</w:t>
            </w:r>
          </w:p>
        </w:tc>
        <w:tc>
          <w:tcPr>
            <w:tcW w:w="1369" w:type="dxa"/>
            <w:vAlign w:val="top"/>
          </w:tcPr>
          <w:p w:rsidR="006C1227" w:rsidRDefault="006C1227" w:rsidP="006C1227">
            <w:pPr>
              <w:spacing w:after="0"/>
              <w:jc w:val="center"/>
              <w:cnfStyle w:val="000000000000" w:firstRow="0" w:lastRow="0" w:firstColumn="0" w:lastColumn="0" w:oddVBand="0" w:evenVBand="0" w:oddHBand="0" w:evenHBand="0" w:firstRowFirstColumn="0" w:firstRowLastColumn="0" w:lastRowFirstColumn="0" w:lastRowLastColumn="0"/>
            </w:pPr>
            <w:r>
              <w:t>8</w:t>
            </w:r>
            <w:r w:rsidRPr="00C46280">
              <w:t xml:space="preserve"> (</w:t>
            </w:r>
            <w:r>
              <w:t>40</w:t>
            </w:r>
            <w:r w:rsidRPr="00C46280">
              <w:t>%)</w:t>
            </w:r>
          </w:p>
        </w:tc>
        <w:tc>
          <w:tcPr>
            <w:tcW w:w="1273" w:type="dxa"/>
            <w:vAlign w:val="top"/>
          </w:tcPr>
          <w:p w:rsidR="006C1227" w:rsidRDefault="006C1227" w:rsidP="00563BEE">
            <w:pPr>
              <w:spacing w:after="0"/>
              <w:jc w:val="center"/>
              <w:cnfStyle w:val="000000000000" w:firstRow="0" w:lastRow="0" w:firstColumn="0" w:lastColumn="0" w:oddVBand="0" w:evenVBand="0" w:oddHBand="0" w:evenHBand="0" w:firstRowFirstColumn="0" w:firstRowLastColumn="0" w:lastRowFirstColumn="0" w:lastRowLastColumn="0"/>
            </w:pPr>
            <w:r>
              <w:t>4</w:t>
            </w:r>
          </w:p>
        </w:tc>
        <w:tc>
          <w:tcPr>
            <w:tcW w:w="1367" w:type="dxa"/>
            <w:vAlign w:val="top"/>
          </w:tcPr>
          <w:p w:rsidR="006C1227" w:rsidRDefault="006C1227" w:rsidP="006C1227">
            <w:pPr>
              <w:spacing w:after="0"/>
              <w:jc w:val="center"/>
              <w:cnfStyle w:val="000000000000" w:firstRow="0" w:lastRow="0" w:firstColumn="0" w:lastColumn="0" w:oddVBand="0" w:evenVBand="0" w:oddHBand="0" w:evenHBand="0" w:firstRowFirstColumn="0" w:firstRowLastColumn="0" w:lastRowFirstColumn="0" w:lastRowLastColumn="0"/>
            </w:pPr>
            <w:r>
              <w:t>1</w:t>
            </w:r>
            <w:r w:rsidRPr="00C46280">
              <w:t xml:space="preserve"> (</w:t>
            </w:r>
            <w:r>
              <w:t>25</w:t>
            </w:r>
            <w:r w:rsidRPr="00C46280">
              <w:t>%)</w:t>
            </w:r>
          </w:p>
        </w:tc>
        <w:tc>
          <w:tcPr>
            <w:tcW w:w="1314" w:type="dxa"/>
            <w:vAlign w:val="top"/>
          </w:tcPr>
          <w:p w:rsidR="006C1227" w:rsidRDefault="006C1227" w:rsidP="00563BEE">
            <w:pPr>
              <w:spacing w:after="0"/>
              <w:jc w:val="center"/>
              <w:cnfStyle w:val="000000000000" w:firstRow="0" w:lastRow="0" w:firstColumn="0" w:lastColumn="0" w:oddVBand="0" w:evenVBand="0" w:oddHBand="0" w:evenHBand="0" w:firstRowFirstColumn="0" w:firstRowLastColumn="0" w:lastRowFirstColumn="0" w:lastRowLastColumn="0"/>
            </w:pPr>
            <w:r>
              <w:t>1</w:t>
            </w:r>
          </w:p>
        </w:tc>
        <w:tc>
          <w:tcPr>
            <w:tcW w:w="1475" w:type="dxa"/>
          </w:tcPr>
          <w:p w:rsidR="006C1227" w:rsidRDefault="006C1227" w:rsidP="00EA294B">
            <w:pPr>
              <w:spacing w:after="0"/>
              <w:jc w:val="center"/>
              <w:cnfStyle w:val="000000000000" w:firstRow="0" w:lastRow="0" w:firstColumn="0" w:lastColumn="0" w:oddVBand="0" w:evenVBand="0" w:oddHBand="0" w:evenHBand="0" w:firstRowFirstColumn="0" w:firstRowLastColumn="0" w:lastRowFirstColumn="0" w:lastRowLastColumn="0"/>
            </w:pPr>
            <w:r>
              <w:t>1 ($1050)</w:t>
            </w:r>
          </w:p>
        </w:tc>
      </w:tr>
      <w:tr w:rsidR="006C1227" w:rsidTr="00563BEE">
        <w:tc>
          <w:tcPr>
            <w:cnfStyle w:val="001000000000" w:firstRow="0" w:lastRow="0" w:firstColumn="1" w:lastColumn="0" w:oddVBand="0" w:evenVBand="0" w:oddHBand="0" w:evenHBand="0" w:firstRowFirstColumn="0" w:firstRowLastColumn="0" w:lastRowFirstColumn="0" w:lastRowLastColumn="0"/>
            <w:tcW w:w="1229" w:type="dxa"/>
          </w:tcPr>
          <w:p w:rsidR="006C1227" w:rsidRDefault="006C1227" w:rsidP="00563BEE">
            <w:pPr>
              <w:spacing w:after="0"/>
              <w:rPr>
                <w:b w:val="0"/>
              </w:rPr>
            </w:pPr>
            <w:r>
              <w:rPr>
                <w:b w:val="0"/>
              </w:rPr>
              <w:t>2019</w:t>
            </w:r>
            <w:r w:rsidR="00AB64E8">
              <w:rPr>
                <w:b w:val="0"/>
              </w:rPr>
              <w:t>–</w:t>
            </w:r>
            <w:r>
              <w:rPr>
                <w:b w:val="0"/>
              </w:rPr>
              <w:t>20</w:t>
            </w:r>
          </w:p>
        </w:tc>
        <w:tc>
          <w:tcPr>
            <w:tcW w:w="999" w:type="dxa"/>
            <w:vAlign w:val="top"/>
          </w:tcPr>
          <w:p w:rsidR="006C1227" w:rsidRPr="00C46280" w:rsidRDefault="006C1227" w:rsidP="00563BEE">
            <w:pPr>
              <w:spacing w:after="0"/>
              <w:jc w:val="center"/>
              <w:cnfStyle w:val="000000000000" w:firstRow="0" w:lastRow="0" w:firstColumn="0" w:lastColumn="0" w:oddVBand="0" w:evenVBand="0" w:oddHBand="0" w:evenHBand="0" w:firstRowFirstColumn="0" w:firstRowLastColumn="0" w:lastRowFirstColumn="0" w:lastRowLastColumn="0"/>
            </w:pPr>
            <w:r>
              <w:t>36</w:t>
            </w:r>
          </w:p>
        </w:tc>
        <w:tc>
          <w:tcPr>
            <w:tcW w:w="1369" w:type="dxa"/>
            <w:vAlign w:val="top"/>
          </w:tcPr>
          <w:p w:rsidR="006C1227" w:rsidRPr="00C46280" w:rsidRDefault="006C1227" w:rsidP="006C1227">
            <w:pPr>
              <w:spacing w:after="0"/>
              <w:jc w:val="center"/>
              <w:cnfStyle w:val="000000000000" w:firstRow="0" w:lastRow="0" w:firstColumn="0" w:lastColumn="0" w:oddVBand="0" w:evenVBand="0" w:oddHBand="0" w:evenHBand="0" w:firstRowFirstColumn="0" w:firstRowLastColumn="0" w:lastRowFirstColumn="0" w:lastRowLastColumn="0"/>
            </w:pPr>
            <w:r>
              <w:t>16 (44%)</w:t>
            </w:r>
          </w:p>
        </w:tc>
        <w:tc>
          <w:tcPr>
            <w:tcW w:w="1273" w:type="dxa"/>
            <w:vAlign w:val="top"/>
          </w:tcPr>
          <w:p w:rsidR="006C1227" w:rsidRPr="00C46280" w:rsidRDefault="006C1227" w:rsidP="00563BEE">
            <w:pPr>
              <w:spacing w:after="0"/>
              <w:jc w:val="center"/>
              <w:cnfStyle w:val="000000000000" w:firstRow="0" w:lastRow="0" w:firstColumn="0" w:lastColumn="0" w:oddVBand="0" w:evenVBand="0" w:oddHBand="0" w:evenHBand="0" w:firstRowFirstColumn="0" w:firstRowLastColumn="0" w:lastRowFirstColumn="0" w:lastRowLastColumn="0"/>
            </w:pPr>
            <w:r>
              <w:t>27</w:t>
            </w:r>
          </w:p>
        </w:tc>
        <w:tc>
          <w:tcPr>
            <w:tcW w:w="1367" w:type="dxa"/>
            <w:vAlign w:val="top"/>
          </w:tcPr>
          <w:p w:rsidR="006C1227" w:rsidRPr="00C46280" w:rsidRDefault="006C1227" w:rsidP="006C1227">
            <w:pPr>
              <w:spacing w:after="0"/>
              <w:jc w:val="center"/>
              <w:cnfStyle w:val="000000000000" w:firstRow="0" w:lastRow="0" w:firstColumn="0" w:lastColumn="0" w:oddVBand="0" w:evenVBand="0" w:oddHBand="0" w:evenHBand="0" w:firstRowFirstColumn="0" w:firstRowLastColumn="0" w:lastRowFirstColumn="0" w:lastRowLastColumn="0"/>
            </w:pPr>
            <w:r>
              <w:t>5 (19%)</w:t>
            </w:r>
          </w:p>
        </w:tc>
        <w:tc>
          <w:tcPr>
            <w:tcW w:w="1314" w:type="dxa"/>
            <w:vAlign w:val="top"/>
          </w:tcPr>
          <w:p w:rsidR="006C1227" w:rsidRPr="00C46280" w:rsidRDefault="006C1227" w:rsidP="00563BEE">
            <w:pPr>
              <w:spacing w:after="0"/>
              <w:jc w:val="center"/>
              <w:cnfStyle w:val="000000000000" w:firstRow="0" w:lastRow="0" w:firstColumn="0" w:lastColumn="0" w:oddVBand="0" w:evenVBand="0" w:oddHBand="0" w:evenHBand="0" w:firstRowFirstColumn="0" w:firstRowLastColumn="0" w:lastRowFirstColumn="0" w:lastRowLastColumn="0"/>
            </w:pPr>
            <w:r>
              <w:t>0</w:t>
            </w:r>
          </w:p>
        </w:tc>
        <w:tc>
          <w:tcPr>
            <w:tcW w:w="1475" w:type="dxa"/>
          </w:tcPr>
          <w:p w:rsidR="006C1227" w:rsidRDefault="006C1227" w:rsidP="00EA294B">
            <w:pPr>
              <w:spacing w:after="0"/>
              <w:jc w:val="center"/>
              <w:cnfStyle w:val="000000000000" w:firstRow="0" w:lastRow="0" w:firstColumn="0" w:lastColumn="0" w:oddVBand="0" w:evenVBand="0" w:oddHBand="0" w:evenHBand="0" w:firstRowFirstColumn="0" w:firstRowLastColumn="0" w:lastRowFirstColumn="0" w:lastRowLastColumn="0"/>
            </w:pPr>
            <w:r>
              <w:t>4 ($5250)</w:t>
            </w:r>
          </w:p>
        </w:tc>
      </w:tr>
    </w:tbl>
    <w:p w:rsidR="006C1227" w:rsidRPr="00A61312" w:rsidRDefault="006C1227" w:rsidP="006C1227">
      <w:r>
        <w:rPr>
          <w:rStyle w:val="Tabletitle"/>
        </w:rPr>
        <w:t>Breaches by enforcement action 2019–20</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6C1227" w:rsidTr="00563BEE">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rsidR="006C1227" w:rsidRDefault="006C1227" w:rsidP="00563BEE">
            <w:pPr>
              <w:spacing w:after="0"/>
            </w:pPr>
            <w:r>
              <w:t>Enforcement action</w:t>
            </w:r>
          </w:p>
        </w:tc>
        <w:tc>
          <w:tcPr>
            <w:tcW w:w="1701" w:type="dxa"/>
          </w:tcPr>
          <w:p w:rsidR="006C1227" w:rsidRDefault="006C1227" w:rsidP="00563BEE">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rsidR="006C1227" w:rsidRDefault="006C1227" w:rsidP="00563BEE">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rsidR="006C1227" w:rsidRDefault="006C1227" w:rsidP="00563BEE">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rsidR="006C1227" w:rsidRDefault="006C1227" w:rsidP="00563BEE">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D657DC" w:rsidTr="00563BEE">
        <w:tc>
          <w:tcPr>
            <w:cnfStyle w:val="001000000000" w:firstRow="0" w:lastRow="0" w:firstColumn="1" w:lastColumn="0" w:oddVBand="0" w:evenVBand="0" w:oddHBand="0" w:evenHBand="0" w:firstRowFirstColumn="0" w:firstRowLastColumn="0" w:lastRowFirstColumn="0" w:lastRowLastColumn="0"/>
            <w:tcW w:w="2268" w:type="dxa"/>
          </w:tcPr>
          <w:p w:rsidR="00D657DC" w:rsidRPr="00847199" w:rsidRDefault="00D657DC" w:rsidP="00D657DC">
            <w:pPr>
              <w:spacing w:after="0"/>
              <w:rPr>
                <w:b w:val="0"/>
              </w:rPr>
            </w:pPr>
            <w:r>
              <w:rPr>
                <w:b w:val="0"/>
              </w:rPr>
              <w:t>Warning letter</w:t>
            </w:r>
          </w:p>
        </w:tc>
        <w:tc>
          <w:tcPr>
            <w:tcW w:w="1701"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291DD3">
              <w:t>0</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291DD3">
              <w:t>0</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291DD3">
              <w:t>0</w:t>
            </w:r>
          </w:p>
        </w:tc>
        <w:tc>
          <w:tcPr>
            <w:tcW w:w="1417"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291DD3">
              <w:t>0</w:t>
            </w:r>
          </w:p>
        </w:tc>
      </w:tr>
      <w:tr w:rsidR="00D657DC" w:rsidTr="00563BEE">
        <w:tc>
          <w:tcPr>
            <w:cnfStyle w:val="001000000000" w:firstRow="0" w:lastRow="0" w:firstColumn="1" w:lastColumn="0" w:oddVBand="0" w:evenVBand="0" w:oddHBand="0" w:evenHBand="0" w:firstRowFirstColumn="0" w:firstRowLastColumn="0" w:lastRowFirstColumn="0" w:lastRowLastColumn="0"/>
            <w:tcW w:w="2268" w:type="dxa"/>
          </w:tcPr>
          <w:p w:rsidR="00D657DC" w:rsidRPr="00847199" w:rsidRDefault="00D657DC" w:rsidP="00D657DC">
            <w:pPr>
              <w:spacing w:after="0"/>
              <w:rPr>
                <w:b w:val="0"/>
              </w:rPr>
            </w:pPr>
            <w:r>
              <w:rPr>
                <w:b w:val="0"/>
              </w:rPr>
              <w:t>Infringement notice</w:t>
            </w:r>
          </w:p>
        </w:tc>
        <w:tc>
          <w:tcPr>
            <w:tcW w:w="1701"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F27345">
              <w:t>0</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F27345">
              <w:t>5</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F27345">
              <w:t>0</w:t>
            </w:r>
          </w:p>
        </w:tc>
        <w:tc>
          <w:tcPr>
            <w:tcW w:w="1417"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F27345">
              <w:t>0</w:t>
            </w:r>
          </w:p>
        </w:tc>
      </w:tr>
    </w:tbl>
    <w:p w:rsidR="00247470" w:rsidRPr="00847199" w:rsidRDefault="00247470" w:rsidP="00247470">
      <w:pPr>
        <w:pStyle w:val="Heading2"/>
        <w:spacing w:before="0"/>
      </w:pPr>
      <w:bookmarkStart w:id="24" w:name="_Toc52367990"/>
      <w:r>
        <w:t>Seafood Retail</w:t>
      </w:r>
      <w:bookmarkEnd w:id="24"/>
    </w:p>
    <w:tbl>
      <w:tblPr>
        <w:tblStyle w:val="Style1"/>
        <w:tblpPr w:leftFromText="181" w:rightFromText="181" w:bottomFromText="425" w:vertAnchor="text" w:tblpY="1"/>
        <w:tblOverlap w:val="never"/>
        <w:tblW w:w="9026" w:type="dxa"/>
        <w:tblLook w:val="04A0" w:firstRow="1" w:lastRow="0" w:firstColumn="1" w:lastColumn="0" w:noHBand="0" w:noVBand="1"/>
        <w:tblDescription w:val="This table lists seafood retail compliance and enforcement in previous years."/>
      </w:tblPr>
      <w:tblGrid>
        <w:gridCol w:w="1229"/>
        <w:gridCol w:w="999"/>
        <w:gridCol w:w="1369"/>
        <w:gridCol w:w="1273"/>
        <w:gridCol w:w="1369"/>
        <w:gridCol w:w="1312"/>
        <w:gridCol w:w="1475"/>
      </w:tblGrid>
      <w:tr w:rsidR="00247470" w:rsidTr="006648C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229" w:type="dxa"/>
          </w:tcPr>
          <w:p w:rsidR="00247470" w:rsidRDefault="00247470" w:rsidP="006648C2">
            <w:pPr>
              <w:spacing w:after="0"/>
            </w:pPr>
            <w:r>
              <w:t>Year</w:t>
            </w:r>
          </w:p>
        </w:tc>
        <w:tc>
          <w:tcPr>
            <w:tcW w:w="999" w:type="dxa"/>
          </w:tcPr>
          <w:p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Initial audits</w:t>
            </w:r>
          </w:p>
        </w:tc>
        <w:tc>
          <w:tcPr>
            <w:tcW w:w="1369" w:type="dxa"/>
          </w:tcPr>
          <w:p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273" w:type="dxa"/>
          </w:tcPr>
          <w:p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Follow-up audits</w:t>
            </w:r>
          </w:p>
        </w:tc>
        <w:tc>
          <w:tcPr>
            <w:tcW w:w="1369" w:type="dxa"/>
          </w:tcPr>
          <w:p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Non-compliant</w:t>
            </w:r>
          </w:p>
        </w:tc>
        <w:tc>
          <w:tcPr>
            <w:tcW w:w="1312" w:type="dxa"/>
          </w:tcPr>
          <w:p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Warning letters</w:t>
            </w:r>
          </w:p>
        </w:tc>
        <w:tc>
          <w:tcPr>
            <w:tcW w:w="1475" w:type="dxa"/>
          </w:tcPr>
          <w:p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Infringement notices</w:t>
            </w:r>
          </w:p>
        </w:tc>
      </w:tr>
      <w:tr w:rsidR="00247470" w:rsidTr="00247470">
        <w:tc>
          <w:tcPr>
            <w:cnfStyle w:val="001000000000" w:firstRow="0" w:lastRow="0" w:firstColumn="1" w:lastColumn="0" w:oddVBand="0" w:evenVBand="0" w:oddHBand="0" w:evenHBand="0" w:firstRowFirstColumn="0" w:firstRowLastColumn="0" w:lastRowFirstColumn="0" w:lastRowLastColumn="0"/>
            <w:tcW w:w="1229" w:type="dxa"/>
          </w:tcPr>
          <w:p w:rsidR="00247470" w:rsidRPr="00847199" w:rsidRDefault="00247470" w:rsidP="00247470">
            <w:pPr>
              <w:spacing w:after="0"/>
              <w:rPr>
                <w:b w:val="0"/>
              </w:rPr>
            </w:pPr>
            <w:r w:rsidRPr="00847199">
              <w:rPr>
                <w:b w:val="0"/>
              </w:rPr>
              <w:t>2017</w:t>
            </w:r>
            <w:r w:rsidR="00CE66EF">
              <w:rPr>
                <w:b w:val="0"/>
              </w:rPr>
              <w:t>–</w:t>
            </w:r>
            <w:r w:rsidRPr="00847199">
              <w:rPr>
                <w:b w:val="0"/>
              </w:rPr>
              <w:t>18</w:t>
            </w:r>
          </w:p>
        </w:tc>
        <w:tc>
          <w:tcPr>
            <w:tcW w:w="999" w:type="dxa"/>
            <w:vAlign w:val="top"/>
          </w:tcPr>
          <w:p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191</w:t>
            </w:r>
          </w:p>
        </w:tc>
        <w:tc>
          <w:tcPr>
            <w:tcW w:w="1369" w:type="dxa"/>
            <w:vAlign w:val="top"/>
          </w:tcPr>
          <w:p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101 (53%)</w:t>
            </w:r>
          </w:p>
        </w:tc>
        <w:tc>
          <w:tcPr>
            <w:tcW w:w="1273" w:type="dxa"/>
            <w:vAlign w:val="top"/>
          </w:tcPr>
          <w:p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92</w:t>
            </w:r>
          </w:p>
        </w:tc>
        <w:tc>
          <w:tcPr>
            <w:tcW w:w="1369" w:type="dxa"/>
            <w:vAlign w:val="top"/>
          </w:tcPr>
          <w:p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20 (22%)</w:t>
            </w:r>
          </w:p>
        </w:tc>
        <w:tc>
          <w:tcPr>
            <w:tcW w:w="1312" w:type="dxa"/>
            <w:vAlign w:val="top"/>
          </w:tcPr>
          <w:p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5</w:t>
            </w:r>
          </w:p>
        </w:tc>
        <w:tc>
          <w:tcPr>
            <w:tcW w:w="1475" w:type="dxa"/>
            <w:vAlign w:val="top"/>
          </w:tcPr>
          <w:p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0</w:t>
            </w:r>
          </w:p>
        </w:tc>
      </w:tr>
      <w:tr w:rsidR="00247470" w:rsidTr="00247470">
        <w:tc>
          <w:tcPr>
            <w:cnfStyle w:val="001000000000" w:firstRow="0" w:lastRow="0" w:firstColumn="1" w:lastColumn="0" w:oddVBand="0" w:evenVBand="0" w:oddHBand="0" w:evenHBand="0" w:firstRowFirstColumn="0" w:firstRowLastColumn="0" w:lastRowFirstColumn="0" w:lastRowLastColumn="0"/>
            <w:tcW w:w="1229" w:type="dxa"/>
          </w:tcPr>
          <w:p w:rsidR="00247470" w:rsidRPr="00847199" w:rsidRDefault="00247470" w:rsidP="00247470">
            <w:pPr>
              <w:spacing w:after="0"/>
              <w:rPr>
                <w:b w:val="0"/>
              </w:rPr>
            </w:pPr>
            <w:r>
              <w:rPr>
                <w:b w:val="0"/>
              </w:rPr>
              <w:t>2018</w:t>
            </w:r>
            <w:r w:rsidR="00CE66EF">
              <w:rPr>
                <w:b w:val="0"/>
              </w:rPr>
              <w:t>–</w:t>
            </w:r>
            <w:r>
              <w:rPr>
                <w:b w:val="0"/>
              </w:rPr>
              <w:t>19</w:t>
            </w:r>
          </w:p>
        </w:tc>
        <w:tc>
          <w:tcPr>
            <w:tcW w:w="999" w:type="dxa"/>
            <w:vAlign w:val="top"/>
          </w:tcPr>
          <w:p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116</w:t>
            </w:r>
          </w:p>
        </w:tc>
        <w:tc>
          <w:tcPr>
            <w:tcW w:w="1369" w:type="dxa"/>
            <w:vAlign w:val="top"/>
          </w:tcPr>
          <w:p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53 (46%)</w:t>
            </w:r>
          </w:p>
        </w:tc>
        <w:tc>
          <w:tcPr>
            <w:tcW w:w="1273" w:type="dxa"/>
            <w:vAlign w:val="top"/>
          </w:tcPr>
          <w:p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48</w:t>
            </w:r>
          </w:p>
        </w:tc>
        <w:tc>
          <w:tcPr>
            <w:tcW w:w="1369" w:type="dxa"/>
            <w:vAlign w:val="top"/>
          </w:tcPr>
          <w:p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6 (13%)</w:t>
            </w:r>
          </w:p>
        </w:tc>
        <w:tc>
          <w:tcPr>
            <w:tcW w:w="1312" w:type="dxa"/>
            <w:vAlign w:val="top"/>
          </w:tcPr>
          <w:p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5</w:t>
            </w:r>
          </w:p>
        </w:tc>
        <w:tc>
          <w:tcPr>
            <w:tcW w:w="1475" w:type="dxa"/>
            <w:vAlign w:val="top"/>
          </w:tcPr>
          <w:p w:rsidR="00247470" w:rsidRDefault="00247470" w:rsidP="00247470">
            <w:pPr>
              <w:spacing w:after="0"/>
              <w:jc w:val="center"/>
              <w:cnfStyle w:val="000000000000" w:firstRow="0" w:lastRow="0" w:firstColumn="0" w:lastColumn="0" w:oddVBand="0" w:evenVBand="0" w:oddHBand="0" w:evenHBand="0" w:firstRowFirstColumn="0" w:firstRowLastColumn="0" w:lastRowFirstColumn="0" w:lastRowLastColumn="0"/>
            </w:pPr>
            <w:r w:rsidRPr="00E8437A">
              <w:t>1</w:t>
            </w:r>
            <w:r w:rsidR="007A42C5">
              <w:t xml:space="preserve"> ($1050)</w:t>
            </w:r>
          </w:p>
        </w:tc>
      </w:tr>
      <w:tr w:rsidR="00364A88" w:rsidTr="00247470">
        <w:tc>
          <w:tcPr>
            <w:cnfStyle w:val="001000000000" w:firstRow="0" w:lastRow="0" w:firstColumn="1" w:lastColumn="0" w:oddVBand="0" w:evenVBand="0" w:oddHBand="0" w:evenHBand="0" w:firstRowFirstColumn="0" w:firstRowLastColumn="0" w:lastRowFirstColumn="0" w:lastRowLastColumn="0"/>
            <w:tcW w:w="1229" w:type="dxa"/>
          </w:tcPr>
          <w:p w:rsidR="00364A88" w:rsidRDefault="00364A88" w:rsidP="00247470">
            <w:pPr>
              <w:spacing w:after="0"/>
              <w:rPr>
                <w:b w:val="0"/>
              </w:rPr>
            </w:pPr>
            <w:r>
              <w:rPr>
                <w:b w:val="0"/>
              </w:rPr>
              <w:t>2019</w:t>
            </w:r>
            <w:r w:rsidR="00AB64E8">
              <w:rPr>
                <w:b w:val="0"/>
              </w:rPr>
              <w:t>–</w:t>
            </w:r>
            <w:r>
              <w:rPr>
                <w:b w:val="0"/>
              </w:rPr>
              <w:t>20</w:t>
            </w:r>
          </w:p>
        </w:tc>
        <w:tc>
          <w:tcPr>
            <w:tcW w:w="999" w:type="dxa"/>
            <w:vAlign w:val="top"/>
          </w:tcPr>
          <w:p w:rsidR="00364A88" w:rsidRPr="00E8437A" w:rsidRDefault="00364A88" w:rsidP="00247470">
            <w:pPr>
              <w:spacing w:after="0"/>
              <w:jc w:val="center"/>
              <w:cnfStyle w:val="000000000000" w:firstRow="0" w:lastRow="0" w:firstColumn="0" w:lastColumn="0" w:oddVBand="0" w:evenVBand="0" w:oddHBand="0" w:evenHBand="0" w:firstRowFirstColumn="0" w:firstRowLastColumn="0" w:lastRowFirstColumn="0" w:lastRowLastColumn="0"/>
            </w:pPr>
            <w:r>
              <w:t>158</w:t>
            </w:r>
          </w:p>
        </w:tc>
        <w:tc>
          <w:tcPr>
            <w:tcW w:w="1369" w:type="dxa"/>
            <w:vAlign w:val="top"/>
          </w:tcPr>
          <w:p w:rsidR="00364A88" w:rsidRPr="00E8437A" w:rsidRDefault="00067E1A" w:rsidP="00247470">
            <w:pPr>
              <w:spacing w:after="0"/>
              <w:jc w:val="center"/>
              <w:cnfStyle w:val="000000000000" w:firstRow="0" w:lastRow="0" w:firstColumn="0" w:lastColumn="0" w:oddVBand="0" w:evenVBand="0" w:oddHBand="0" w:evenHBand="0" w:firstRowFirstColumn="0" w:firstRowLastColumn="0" w:lastRowFirstColumn="0" w:lastRowLastColumn="0"/>
            </w:pPr>
            <w:r>
              <w:t>79 (50%)</w:t>
            </w:r>
          </w:p>
        </w:tc>
        <w:tc>
          <w:tcPr>
            <w:tcW w:w="1273" w:type="dxa"/>
            <w:vAlign w:val="top"/>
          </w:tcPr>
          <w:p w:rsidR="00364A88" w:rsidRPr="00E8437A" w:rsidRDefault="00067E1A" w:rsidP="00247470">
            <w:pPr>
              <w:spacing w:after="0"/>
              <w:jc w:val="center"/>
              <w:cnfStyle w:val="000000000000" w:firstRow="0" w:lastRow="0" w:firstColumn="0" w:lastColumn="0" w:oddVBand="0" w:evenVBand="0" w:oddHBand="0" w:evenHBand="0" w:firstRowFirstColumn="0" w:firstRowLastColumn="0" w:lastRowFirstColumn="0" w:lastRowLastColumn="0"/>
            </w:pPr>
            <w:r>
              <w:t>54</w:t>
            </w:r>
          </w:p>
        </w:tc>
        <w:tc>
          <w:tcPr>
            <w:tcW w:w="1369" w:type="dxa"/>
            <w:vAlign w:val="top"/>
          </w:tcPr>
          <w:p w:rsidR="00364A88" w:rsidRPr="00E8437A" w:rsidRDefault="00067E1A" w:rsidP="00247470">
            <w:pPr>
              <w:spacing w:after="0"/>
              <w:jc w:val="center"/>
              <w:cnfStyle w:val="000000000000" w:firstRow="0" w:lastRow="0" w:firstColumn="0" w:lastColumn="0" w:oddVBand="0" w:evenVBand="0" w:oddHBand="0" w:evenHBand="0" w:firstRowFirstColumn="0" w:firstRowLastColumn="0" w:lastRowFirstColumn="0" w:lastRowLastColumn="0"/>
            </w:pPr>
            <w:r>
              <w:t>21 (39%)</w:t>
            </w:r>
          </w:p>
        </w:tc>
        <w:tc>
          <w:tcPr>
            <w:tcW w:w="1312" w:type="dxa"/>
            <w:vAlign w:val="top"/>
          </w:tcPr>
          <w:p w:rsidR="00364A88" w:rsidRPr="00E8437A" w:rsidRDefault="00067E1A" w:rsidP="00247470">
            <w:pPr>
              <w:spacing w:after="0"/>
              <w:jc w:val="center"/>
              <w:cnfStyle w:val="000000000000" w:firstRow="0" w:lastRow="0" w:firstColumn="0" w:lastColumn="0" w:oddVBand="0" w:evenVBand="0" w:oddHBand="0" w:evenHBand="0" w:firstRowFirstColumn="0" w:firstRowLastColumn="0" w:lastRowFirstColumn="0" w:lastRowLastColumn="0"/>
            </w:pPr>
            <w:r>
              <w:t>21</w:t>
            </w:r>
          </w:p>
        </w:tc>
        <w:tc>
          <w:tcPr>
            <w:tcW w:w="1475" w:type="dxa"/>
            <w:vAlign w:val="top"/>
          </w:tcPr>
          <w:p w:rsidR="00364A88" w:rsidRPr="00E8437A" w:rsidRDefault="00067E1A" w:rsidP="00EA294B">
            <w:pPr>
              <w:spacing w:after="0"/>
              <w:jc w:val="center"/>
              <w:cnfStyle w:val="000000000000" w:firstRow="0" w:lastRow="0" w:firstColumn="0" w:lastColumn="0" w:oddVBand="0" w:evenVBand="0" w:oddHBand="0" w:evenHBand="0" w:firstRowFirstColumn="0" w:firstRowLastColumn="0" w:lastRowFirstColumn="0" w:lastRowLastColumn="0"/>
            </w:pPr>
            <w:r>
              <w:t>4 ($5250)</w:t>
            </w:r>
          </w:p>
        </w:tc>
      </w:tr>
    </w:tbl>
    <w:p w:rsidR="00247470" w:rsidRPr="00A61312" w:rsidRDefault="00247470" w:rsidP="00247470">
      <w:r>
        <w:rPr>
          <w:rStyle w:val="Tabletitle"/>
        </w:rPr>
        <w:t xml:space="preserve">Breaches by enforcement action </w:t>
      </w:r>
      <w:r w:rsidR="008F75BF">
        <w:rPr>
          <w:rStyle w:val="Tabletitle"/>
        </w:rPr>
        <w:t>2019</w:t>
      </w:r>
      <w:r w:rsidR="00CE66EF">
        <w:rPr>
          <w:rStyle w:val="Tabletitle"/>
        </w:rPr>
        <w:t>–</w:t>
      </w:r>
      <w:r w:rsidR="008F75BF">
        <w:rPr>
          <w:rStyle w:val="Tabletitle"/>
        </w:rPr>
        <w:t>20</w:t>
      </w:r>
    </w:p>
    <w:tbl>
      <w:tblPr>
        <w:tblStyle w:val="Style1"/>
        <w:tblpPr w:leftFromText="181" w:rightFromText="181" w:bottomFromText="425" w:vertAnchor="text" w:tblpY="1"/>
        <w:tblOverlap w:val="never"/>
        <w:tblW w:w="9072" w:type="dxa"/>
        <w:tblLook w:val="04A0" w:firstRow="1" w:lastRow="0" w:firstColumn="1" w:lastColumn="0" w:noHBand="0" w:noVBand="1"/>
        <w:tblDescription w:val="This table lists enforcement actions."/>
      </w:tblPr>
      <w:tblGrid>
        <w:gridCol w:w="2268"/>
        <w:gridCol w:w="1701"/>
        <w:gridCol w:w="1843"/>
        <w:gridCol w:w="1843"/>
        <w:gridCol w:w="1417"/>
      </w:tblGrid>
      <w:tr w:rsidR="00247470" w:rsidTr="006648C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268" w:type="dxa"/>
          </w:tcPr>
          <w:p w:rsidR="00247470" w:rsidRDefault="00247470" w:rsidP="006648C2">
            <w:pPr>
              <w:spacing w:after="0"/>
            </w:pPr>
            <w:r>
              <w:t>Enforcement action</w:t>
            </w:r>
          </w:p>
        </w:tc>
        <w:tc>
          <w:tcPr>
            <w:tcW w:w="1701" w:type="dxa"/>
          </w:tcPr>
          <w:p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I</w:t>
            </w:r>
            <w:r w:rsidRPr="00A61312">
              <w:t>naccurate measuring instrument</w:t>
            </w:r>
          </w:p>
        </w:tc>
        <w:tc>
          <w:tcPr>
            <w:tcW w:w="1843" w:type="dxa"/>
          </w:tcPr>
          <w:p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(short measure)</w:t>
            </w:r>
          </w:p>
        </w:tc>
        <w:tc>
          <w:tcPr>
            <w:tcW w:w="1843" w:type="dxa"/>
          </w:tcPr>
          <w:p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P</w:t>
            </w:r>
            <w:r w:rsidRPr="00A61312">
              <w:t>ackaged goods (</w:t>
            </w:r>
            <w:r>
              <w:t>labelling</w:t>
            </w:r>
            <w:r w:rsidRPr="00A61312">
              <w:t>)</w:t>
            </w:r>
          </w:p>
        </w:tc>
        <w:tc>
          <w:tcPr>
            <w:tcW w:w="1417" w:type="dxa"/>
          </w:tcPr>
          <w:p w:rsidR="00247470" w:rsidRDefault="00247470" w:rsidP="006648C2">
            <w:pPr>
              <w:spacing w:after="0"/>
              <w:jc w:val="center"/>
              <w:cnfStyle w:val="100000000000" w:firstRow="1" w:lastRow="0" w:firstColumn="0" w:lastColumn="0" w:oddVBand="0" w:evenVBand="0" w:oddHBand="0" w:evenHBand="0" w:firstRowFirstColumn="0" w:firstRowLastColumn="0" w:lastRowFirstColumn="0" w:lastRowLastColumn="0"/>
            </w:pPr>
            <w:r>
              <w:t>Trading Practices</w:t>
            </w:r>
          </w:p>
        </w:tc>
      </w:tr>
      <w:tr w:rsidR="00D657DC" w:rsidTr="006648C2">
        <w:tc>
          <w:tcPr>
            <w:cnfStyle w:val="001000000000" w:firstRow="0" w:lastRow="0" w:firstColumn="1" w:lastColumn="0" w:oddVBand="0" w:evenVBand="0" w:oddHBand="0" w:evenHBand="0" w:firstRowFirstColumn="0" w:firstRowLastColumn="0" w:lastRowFirstColumn="0" w:lastRowLastColumn="0"/>
            <w:tcW w:w="2268" w:type="dxa"/>
          </w:tcPr>
          <w:p w:rsidR="00D657DC" w:rsidRPr="00847199" w:rsidRDefault="00D657DC" w:rsidP="00D657DC">
            <w:pPr>
              <w:spacing w:after="0"/>
              <w:rPr>
                <w:b w:val="0"/>
              </w:rPr>
            </w:pPr>
            <w:r>
              <w:rPr>
                <w:b w:val="0"/>
              </w:rPr>
              <w:t>Warning letter</w:t>
            </w:r>
          </w:p>
        </w:tc>
        <w:tc>
          <w:tcPr>
            <w:tcW w:w="1701"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7375D2">
              <w:t>7</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7375D2">
              <w:t>9</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7375D2">
              <w:t>7</w:t>
            </w:r>
          </w:p>
        </w:tc>
        <w:tc>
          <w:tcPr>
            <w:tcW w:w="1417"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7375D2">
              <w:t>26</w:t>
            </w:r>
          </w:p>
        </w:tc>
      </w:tr>
      <w:tr w:rsidR="00D657DC" w:rsidTr="006648C2">
        <w:tc>
          <w:tcPr>
            <w:cnfStyle w:val="001000000000" w:firstRow="0" w:lastRow="0" w:firstColumn="1" w:lastColumn="0" w:oddVBand="0" w:evenVBand="0" w:oddHBand="0" w:evenHBand="0" w:firstRowFirstColumn="0" w:firstRowLastColumn="0" w:lastRowFirstColumn="0" w:lastRowLastColumn="0"/>
            <w:tcW w:w="2268" w:type="dxa"/>
          </w:tcPr>
          <w:p w:rsidR="00D657DC" w:rsidRPr="00847199" w:rsidRDefault="00D657DC" w:rsidP="00D657DC">
            <w:pPr>
              <w:spacing w:after="0"/>
              <w:rPr>
                <w:b w:val="0"/>
              </w:rPr>
            </w:pPr>
            <w:r>
              <w:rPr>
                <w:b w:val="0"/>
              </w:rPr>
              <w:t>Infringement notice</w:t>
            </w:r>
          </w:p>
        </w:tc>
        <w:tc>
          <w:tcPr>
            <w:tcW w:w="1701"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5A785F">
              <w:t>0</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5A785F">
              <w:t>0</w:t>
            </w:r>
          </w:p>
        </w:tc>
        <w:tc>
          <w:tcPr>
            <w:tcW w:w="1843"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5A785F">
              <w:t>0</w:t>
            </w:r>
          </w:p>
        </w:tc>
        <w:tc>
          <w:tcPr>
            <w:tcW w:w="1417" w:type="dxa"/>
            <w:vAlign w:val="top"/>
          </w:tcPr>
          <w:p w:rsidR="00D657DC" w:rsidRDefault="00D657DC" w:rsidP="00D657DC">
            <w:pPr>
              <w:spacing w:after="0"/>
              <w:jc w:val="center"/>
              <w:cnfStyle w:val="000000000000" w:firstRow="0" w:lastRow="0" w:firstColumn="0" w:lastColumn="0" w:oddVBand="0" w:evenVBand="0" w:oddHBand="0" w:evenHBand="0" w:firstRowFirstColumn="0" w:firstRowLastColumn="0" w:lastRowFirstColumn="0" w:lastRowLastColumn="0"/>
            </w:pPr>
            <w:r w:rsidRPr="005A785F">
              <w:t>5</w:t>
            </w:r>
          </w:p>
        </w:tc>
      </w:tr>
    </w:tbl>
    <w:p w:rsidR="003E4ABD" w:rsidRDefault="003E4ABD">
      <w:pPr>
        <w:spacing w:after="200"/>
        <w:rPr>
          <w:rFonts w:asciiTheme="majorHAnsi" w:eastAsiaTheme="majorEastAsia" w:hAnsiTheme="majorHAnsi" w:cstheme="majorBidi"/>
          <w:b/>
          <w:bCs/>
          <w:color w:val="7C1222" w:themeColor="accent1" w:themeShade="BF"/>
          <w:sz w:val="28"/>
          <w:szCs w:val="28"/>
        </w:rPr>
      </w:pPr>
      <w:r>
        <w:br w:type="page"/>
      </w:r>
    </w:p>
    <w:p w:rsidR="00446350" w:rsidRDefault="00E13099" w:rsidP="00351596">
      <w:pPr>
        <w:pStyle w:val="Heading1"/>
      </w:pPr>
      <w:bookmarkStart w:id="25" w:name="_Toc52367991"/>
      <w:r>
        <w:lastRenderedPageBreak/>
        <w:t xml:space="preserve">Compliance by </w:t>
      </w:r>
      <w:r w:rsidR="005E5D33">
        <w:t>I</w:t>
      </w:r>
      <w:r>
        <w:t xml:space="preserve">nstrument </w:t>
      </w:r>
      <w:r w:rsidR="005E5D33">
        <w:t>T</w:t>
      </w:r>
      <w:r>
        <w:t>ype</w:t>
      </w:r>
      <w:bookmarkEnd w:id="25"/>
    </w:p>
    <w:p w:rsidR="00F80EF7" w:rsidRDefault="00F80EF7" w:rsidP="005B043E">
      <w:r>
        <w:t xml:space="preserve">As in previous years, in </w:t>
      </w:r>
      <w:r w:rsidR="003C25FE">
        <w:t>2019</w:t>
      </w:r>
      <w:r w:rsidR="00CE66EF">
        <w:t>–</w:t>
      </w:r>
      <w:r w:rsidR="003C25FE">
        <w:t xml:space="preserve">20 </w:t>
      </w:r>
      <w:r w:rsidR="009E50D0">
        <w:t xml:space="preserve">more than </w:t>
      </w:r>
      <w:r>
        <w:t>8</w:t>
      </w:r>
      <w:r w:rsidR="009E50D0">
        <w:t>0</w:t>
      </w:r>
      <w:r>
        <w:t xml:space="preserve"> per cent of instruments tested were found to be fully </w:t>
      </w:r>
      <w:r w:rsidR="005B043E">
        <w:t>compliant with legislative requirements</w:t>
      </w:r>
      <w:r w:rsidR="00281790">
        <w:t>. O</w:t>
      </w:r>
      <w:r w:rsidR="00CF4FD3">
        <w:t>nly a relatively small proportion (2.</w:t>
      </w:r>
      <w:r w:rsidR="003C25FE">
        <w:t xml:space="preserve">5 </w:t>
      </w:r>
      <w:r w:rsidR="00CF4FD3">
        <w:t xml:space="preserve">per cent) </w:t>
      </w:r>
      <w:r w:rsidR="00281790">
        <w:t xml:space="preserve">of measuring instruments </w:t>
      </w:r>
      <w:r w:rsidR="00CF4FD3">
        <w:t>were found to be inaccurate to consumer disadvantage</w:t>
      </w:r>
      <w:r w:rsidR="00373138">
        <w:t>,</w:t>
      </w:r>
      <w:r w:rsidR="00281790">
        <w:t xml:space="preserve"> outweighed by the 3.7</w:t>
      </w:r>
      <w:r w:rsidR="007558B0">
        <w:t xml:space="preserve"> per cent</w:t>
      </w:r>
      <w:r w:rsidR="00281790">
        <w:t xml:space="preserve"> of instruments found to be inaccurate in favour of the consumer</w:t>
      </w:r>
      <w:r w:rsidR="005B043E">
        <w:t xml:space="preserve">. </w:t>
      </w:r>
    </w:p>
    <w:p w:rsidR="00F80EF7" w:rsidRDefault="00F80EF7" w:rsidP="005B043E">
      <w:r>
        <w:t>An instrument was deemed non-compliant if one or more of the following was found:</w:t>
      </w:r>
    </w:p>
    <w:p w:rsidR="00F80EF7" w:rsidRDefault="00F80EF7" w:rsidP="00F80EF7">
      <w:pPr>
        <w:pStyle w:val="ListParagraph"/>
        <w:numPr>
          <w:ilvl w:val="0"/>
          <w:numId w:val="19"/>
        </w:numPr>
      </w:pPr>
      <w:r>
        <w:t>not verified by an authorised servicing licensee</w:t>
      </w:r>
      <w:r w:rsidR="00DE5AD6">
        <w:t xml:space="preserve"> (or without a verification mark)</w:t>
      </w:r>
    </w:p>
    <w:p w:rsidR="00F80EF7" w:rsidRDefault="00F80EF7" w:rsidP="00F80EF7">
      <w:pPr>
        <w:pStyle w:val="ListParagraph"/>
        <w:numPr>
          <w:ilvl w:val="0"/>
          <w:numId w:val="19"/>
        </w:numPr>
      </w:pPr>
      <w:r>
        <w:t>failed to measure accurately</w:t>
      </w:r>
      <w:r w:rsidR="00B729C2">
        <w:t xml:space="preserve"> – regardless of whether the inaccuracy was in favour of the consumer or resulted in short measure</w:t>
      </w:r>
    </w:p>
    <w:p w:rsidR="00F80EF7" w:rsidRDefault="00F80EF7" w:rsidP="00F80EF7">
      <w:pPr>
        <w:pStyle w:val="ListParagraph"/>
        <w:numPr>
          <w:ilvl w:val="0"/>
          <w:numId w:val="19"/>
        </w:numPr>
      </w:pPr>
      <w:proofErr w:type="gramStart"/>
      <w:r>
        <w:t>did</w:t>
      </w:r>
      <w:proofErr w:type="gramEnd"/>
      <w:r>
        <w:t xml:space="preserve"> not meet other standards necessary to comply with legislation, such as display issues; eccentricity; inadequate sealing; </w:t>
      </w:r>
      <w:r w:rsidR="004E71AF">
        <w:t xml:space="preserve">or </w:t>
      </w:r>
      <w:r>
        <w:t xml:space="preserve">data plate irregularities. </w:t>
      </w:r>
    </w:p>
    <w:tbl>
      <w:tblPr>
        <w:tblStyle w:val="Style1"/>
        <w:tblpPr w:leftFromText="181" w:rightFromText="181" w:bottomFromText="425" w:vertAnchor="text" w:tblpY="1"/>
        <w:tblOverlap w:val="never"/>
        <w:tblW w:w="9214" w:type="dxa"/>
        <w:tblLayout w:type="fixed"/>
        <w:tblLook w:val="04A0" w:firstRow="1" w:lastRow="0" w:firstColumn="1" w:lastColumn="0" w:noHBand="0" w:noVBand="1"/>
        <w:tblDescription w:val="This table lists instrument compliance in previous years."/>
      </w:tblPr>
      <w:tblGrid>
        <w:gridCol w:w="1134"/>
        <w:gridCol w:w="1418"/>
        <w:gridCol w:w="1276"/>
        <w:gridCol w:w="992"/>
        <w:gridCol w:w="1276"/>
        <w:gridCol w:w="1701"/>
        <w:gridCol w:w="1417"/>
      </w:tblGrid>
      <w:tr w:rsidR="00F875C8" w:rsidTr="007D7BA8">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134" w:type="dxa"/>
          </w:tcPr>
          <w:p w:rsidR="00F875C8" w:rsidRDefault="00F875C8" w:rsidP="005C07E7">
            <w:pPr>
              <w:spacing w:after="0"/>
            </w:pPr>
            <w:r>
              <w:t>Year</w:t>
            </w:r>
          </w:p>
        </w:tc>
        <w:tc>
          <w:tcPr>
            <w:tcW w:w="1418" w:type="dxa"/>
          </w:tcPr>
          <w:p w:rsidR="00F875C8" w:rsidRDefault="00F875C8" w:rsidP="00CE66EF">
            <w:pPr>
              <w:spacing w:after="0"/>
              <w:jc w:val="center"/>
              <w:cnfStyle w:val="100000000000" w:firstRow="1" w:lastRow="0" w:firstColumn="0" w:lastColumn="0" w:oddVBand="0" w:evenVBand="0" w:oddHBand="0" w:evenHBand="0" w:firstRowFirstColumn="0" w:firstRowLastColumn="0" w:lastRowFirstColumn="0" w:lastRowLastColumn="0"/>
            </w:pPr>
            <w:r>
              <w:t>Instruments</w:t>
            </w:r>
            <w:r w:rsidR="00CE66EF">
              <w:t xml:space="preserve"> </w:t>
            </w:r>
            <w:r>
              <w:t>tested</w:t>
            </w:r>
          </w:p>
        </w:tc>
        <w:tc>
          <w:tcPr>
            <w:tcW w:w="1276" w:type="dxa"/>
          </w:tcPr>
          <w:p w:rsidR="00F875C8" w:rsidRDefault="00F875C8" w:rsidP="00F875C8">
            <w:pPr>
              <w:spacing w:after="0"/>
              <w:jc w:val="center"/>
              <w:cnfStyle w:val="100000000000" w:firstRow="1" w:lastRow="0" w:firstColumn="0" w:lastColumn="0" w:oddVBand="0" w:evenVBand="0" w:oddHBand="0" w:evenHBand="0" w:firstRowFirstColumn="0" w:firstRowLastColumn="0" w:lastRowFirstColumn="0" w:lastRowLastColumn="0"/>
            </w:pPr>
            <w:r>
              <w:t>Compliant</w:t>
            </w:r>
          </w:p>
        </w:tc>
        <w:tc>
          <w:tcPr>
            <w:tcW w:w="992" w:type="dxa"/>
          </w:tcPr>
          <w:p w:rsidR="00F875C8" w:rsidRDefault="00F875C8" w:rsidP="00F875C8">
            <w:pPr>
              <w:spacing w:after="0"/>
              <w:jc w:val="center"/>
              <w:cnfStyle w:val="100000000000" w:firstRow="1" w:lastRow="0" w:firstColumn="0" w:lastColumn="0" w:oddVBand="0" w:evenVBand="0" w:oddHBand="0" w:evenHBand="0" w:firstRowFirstColumn="0" w:firstRowLastColumn="0" w:lastRowFirstColumn="0" w:lastRowLastColumn="0"/>
            </w:pPr>
            <w:r>
              <w:t>Not verified</w:t>
            </w:r>
          </w:p>
        </w:tc>
        <w:tc>
          <w:tcPr>
            <w:tcW w:w="1276" w:type="dxa"/>
          </w:tcPr>
          <w:p w:rsidR="00F875C8" w:rsidRDefault="00F875C8" w:rsidP="005C07E7">
            <w:pPr>
              <w:spacing w:after="0"/>
              <w:jc w:val="center"/>
              <w:cnfStyle w:val="100000000000" w:firstRow="1" w:lastRow="0" w:firstColumn="0" w:lastColumn="0" w:oddVBand="0" w:evenVBand="0" w:oddHBand="0" w:evenHBand="0" w:firstRowFirstColumn="0" w:firstRowLastColumn="0" w:lastRowFirstColumn="0" w:lastRowLastColumn="0"/>
            </w:pPr>
            <w:r>
              <w:t>Inaccurate</w:t>
            </w:r>
            <w:r>
              <w:br/>
              <w:t>(consumer advantage)</w:t>
            </w:r>
          </w:p>
        </w:tc>
        <w:tc>
          <w:tcPr>
            <w:tcW w:w="1701" w:type="dxa"/>
          </w:tcPr>
          <w:p w:rsidR="00F875C8" w:rsidRDefault="00F875C8" w:rsidP="005C07E7">
            <w:pPr>
              <w:spacing w:after="0"/>
              <w:jc w:val="center"/>
              <w:cnfStyle w:val="100000000000" w:firstRow="1" w:lastRow="0" w:firstColumn="0" w:lastColumn="0" w:oddVBand="0" w:evenVBand="0" w:oddHBand="0" w:evenHBand="0" w:firstRowFirstColumn="0" w:firstRowLastColumn="0" w:lastRowFirstColumn="0" w:lastRowLastColumn="0"/>
            </w:pPr>
            <w:r>
              <w:t>Inaccurate</w:t>
            </w:r>
            <w:r>
              <w:br/>
              <w:t>(consumer disadvantage)</w:t>
            </w:r>
          </w:p>
        </w:tc>
        <w:tc>
          <w:tcPr>
            <w:tcW w:w="1417" w:type="dxa"/>
          </w:tcPr>
          <w:p w:rsidR="00F875C8" w:rsidRDefault="00F875C8" w:rsidP="00F875C8">
            <w:pPr>
              <w:spacing w:after="0"/>
              <w:jc w:val="center"/>
              <w:cnfStyle w:val="100000000000" w:firstRow="1" w:lastRow="0" w:firstColumn="0" w:lastColumn="0" w:oddVBand="0" w:evenVBand="0" w:oddHBand="0" w:evenHBand="0" w:firstRowFirstColumn="0" w:firstRowLastColumn="0" w:lastRowFirstColumn="0" w:lastRowLastColumn="0"/>
            </w:pPr>
            <w:r>
              <w:t>Other non-compliance</w:t>
            </w:r>
          </w:p>
        </w:tc>
      </w:tr>
      <w:tr w:rsidR="000D638B" w:rsidTr="007D7BA8">
        <w:tc>
          <w:tcPr>
            <w:cnfStyle w:val="001000000000" w:firstRow="0" w:lastRow="0" w:firstColumn="1" w:lastColumn="0" w:oddVBand="0" w:evenVBand="0" w:oddHBand="0" w:evenHBand="0" w:firstRowFirstColumn="0" w:firstRowLastColumn="0" w:lastRowFirstColumn="0" w:lastRowLastColumn="0"/>
            <w:tcW w:w="1134" w:type="dxa"/>
          </w:tcPr>
          <w:p w:rsidR="000D638B" w:rsidRPr="00A56B39" w:rsidRDefault="000D638B" w:rsidP="005C07E7">
            <w:pPr>
              <w:spacing w:after="0"/>
              <w:rPr>
                <w:b w:val="0"/>
              </w:rPr>
            </w:pPr>
            <w:r w:rsidRPr="00A56B39">
              <w:rPr>
                <w:b w:val="0"/>
              </w:rPr>
              <w:t>2015</w:t>
            </w:r>
            <w:r w:rsidR="00CE66EF">
              <w:rPr>
                <w:b w:val="0"/>
              </w:rPr>
              <w:t>–</w:t>
            </w:r>
            <w:r w:rsidRPr="00A56B39">
              <w:rPr>
                <w:b w:val="0"/>
              </w:rPr>
              <w:t>16</w:t>
            </w:r>
          </w:p>
        </w:tc>
        <w:tc>
          <w:tcPr>
            <w:tcW w:w="1418" w:type="dxa"/>
          </w:tcPr>
          <w:p w:rsidR="000D638B" w:rsidRDefault="000D638B" w:rsidP="00951F7C">
            <w:pPr>
              <w:spacing w:after="0"/>
              <w:jc w:val="center"/>
              <w:cnfStyle w:val="000000000000" w:firstRow="0" w:lastRow="0" w:firstColumn="0" w:lastColumn="0" w:oddVBand="0" w:evenVBand="0" w:oddHBand="0" w:evenHBand="0" w:firstRowFirstColumn="0" w:firstRowLastColumn="0" w:lastRowFirstColumn="0" w:lastRowLastColumn="0"/>
            </w:pPr>
            <w:r>
              <w:t>15</w:t>
            </w:r>
            <w:r w:rsidR="00951F7C">
              <w:t xml:space="preserve"> </w:t>
            </w:r>
            <w:r>
              <w:t>240</w:t>
            </w:r>
          </w:p>
        </w:tc>
        <w:tc>
          <w:tcPr>
            <w:tcW w:w="1276" w:type="dxa"/>
          </w:tcPr>
          <w:p w:rsidR="000D638B" w:rsidRDefault="000D638B" w:rsidP="00951F7C">
            <w:pPr>
              <w:spacing w:after="0"/>
              <w:jc w:val="center"/>
              <w:cnfStyle w:val="000000000000" w:firstRow="0" w:lastRow="0" w:firstColumn="0" w:lastColumn="0" w:oddVBand="0" w:evenVBand="0" w:oddHBand="0" w:evenHBand="0" w:firstRowFirstColumn="0" w:firstRowLastColumn="0" w:lastRowFirstColumn="0" w:lastRowLastColumn="0"/>
            </w:pPr>
            <w:r>
              <w:t>12</w:t>
            </w:r>
            <w:r w:rsidR="00951F7C">
              <w:t xml:space="preserve"> </w:t>
            </w:r>
            <w:r>
              <w:t>623 (82.8%)</w:t>
            </w:r>
          </w:p>
        </w:tc>
        <w:tc>
          <w:tcPr>
            <w:tcW w:w="992" w:type="dxa"/>
          </w:tcPr>
          <w:p w:rsidR="000D638B" w:rsidRDefault="009E50D0" w:rsidP="005C07E7">
            <w:pPr>
              <w:spacing w:after="0"/>
              <w:jc w:val="center"/>
              <w:cnfStyle w:val="000000000000" w:firstRow="0" w:lastRow="0" w:firstColumn="0" w:lastColumn="0" w:oddVBand="0" w:evenVBand="0" w:oddHBand="0" w:evenHBand="0" w:firstRowFirstColumn="0" w:firstRowLastColumn="0" w:lastRowFirstColumn="0" w:lastRowLastColumn="0"/>
            </w:pPr>
            <w:r>
              <w:t>587 (3.9%)</w:t>
            </w:r>
          </w:p>
        </w:tc>
        <w:tc>
          <w:tcPr>
            <w:tcW w:w="1276" w:type="dxa"/>
          </w:tcPr>
          <w:p w:rsidR="000D638B" w:rsidRDefault="009E50D0" w:rsidP="005C07E7">
            <w:pPr>
              <w:spacing w:after="0"/>
              <w:jc w:val="center"/>
              <w:cnfStyle w:val="000000000000" w:firstRow="0" w:lastRow="0" w:firstColumn="0" w:lastColumn="0" w:oddVBand="0" w:evenVBand="0" w:oddHBand="0" w:evenHBand="0" w:firstRowFirstColumn="0" w:firstRowLastColumn="0" w:lastRowFirstColumn="0" w:lastRowLastColumn="0"/>
            </w:pPr>
            <w:r>
              <w:t>563 (3.7%)</w:t>
            </w:r>
          </w:p>
        </w:tc>
        <w:tc>
          <w:tcPr>
            <w:tcW w:w="1701" w:type="dxa"/>
          </w:tcPr>
          <w:p w:rsidR="000D638B" w:rsidRDefault="009E50D0" w:rsidP="005C07E7">
            <w:pPr>
              <w:spacing w:after="0"/>
              <w:jc w:val="center"/>
              <w:cnfStyle w:val="000000000000" w:firstRow="0" w:lastRow="0" w:firstColumn="0" w:lastColumn="0" w:oddVBand="0" w:evenVBand="0" w:oddHBand="0" w:evenHBand="0" w:firstRowFirstColumn="0" w:firstRowLastColumn="0" w:lastRowFirstColumn="0" w:lastRowLastColumn="0"/>
            </w:pPr>
            <w:r>
              <w:t>261 (1.7%)</w:t>
            </w:r>
          </w:p>
        </w:tc>
        <w:tc>
          <w:tcPr>
            <w:tcW w:w="1417" w:type="dxa"/>
          </w:tcPr>
          <w:p w:rsidR="000D638B" w:rsidRDefault="009E50D0" w:rsidP="005C07E7">
            <w:pPr>
              <w:spacing w:after="0"/>
              <w:jc w:val="center"/>
              <w:cnfStyle w:val="000000000000" w:firstRow="0" w:lastRow="0" w:firstColumn="0" w:lastColumn="0" w:oddVBand="0" w:evenVBand="0" w:oddHBand="0" w:evenHBand="0" w:firstRowFirstColumn="0" w:firstRowLastColumn="0" w:lastRowFirstColumn="0" w:lastRowLastColumn="0"/>
            </w:pPr>
            <w:r>
              <w:t>1206 (8</w:t>
            </w:r>
            <w:r w:rsidR="002F67CA">
              <w:t>.0</w:t>
            </w:r>
            <w:r>
              <w:t>%)</w:t>
            </w:r>
          </w:p>
        </w:tc>
      </w:tr>
      <w:tr w:rsidR="00F875C8" w:rsidTr="007D7BA8">
        <w:tc>
          <w:tcPr>
            <w:cnfStyle w:val="001000000000" w:firstRow="0" w:lastRow="0" w:firstColumn="1" w:lastColumn="0" w:oddVBand="0" w:evenVBand="0" w:oddHBand="0" w:evenHBand="0" w:firstRowFirstColumn="0" w:firstRowLastColumn="0" w:lastRowFirstColumn="0" w:lastRowLastColumn="0"/>
            <w:tcW w:w="1134" w:type="dxa"/>
          </w:tcPr>
          <w:p w:rsidR="00F875C8" w:rsidRPr="00847199" w:rsidRDefault="00F875C8" w:rsidP="005C07E7">
            <w:pPr>
              <w:spacing w:after="0"/>
              <w:rPr>
                <w:b w:val="0"/>
              </w:rPr>
            </w:pPr>
            <w:r w:rsidRPr="00847199">
              <w:rPr>
                <w:b w:val="0"/>
              </w:rPr>
              <w:t>2016</w:t>
            </w:r>
            <w:r w:rsidR="00CE66EF">
              <w:rPr>
                <w:b w:val="0"/>
              </w:rPr>
              <w:t>–</w:t>
            </w:r>
            <w:r w:rsidRPr="00847199">
              <w:rPr>
                <w:b w:val="0"/>
              </w:rPr>
              <w:t>17</w:t>
            </w:r>
          </w:p>
        </w:tc>
        <w:tc>
          <w:tcPr>
            <w:tcW w:w="1418" w:type="dxa"/>
          </w:tcPr>
          <w:p w:rsidR="00F875C8" w:rsidRDefault="00C447D7" w:rsidP="00951F7C">
            <w:pPr>
              <w:spacing w:after="0"/>
              <w:jc w:val="center"/>
              <w:cnfStyle w:val="000000000000" w:firstRow="0" w:lastRow="0" w:firstColumn="0" w:lastColumn="0" w:oddVBand="0" w:evenVBand="0" w:oddHBand="0" w:evenHBand="0" w:firstRowFirstColumn="0" w:firstRowLastColumn="0" w:lastRowFirstColumn="0" w:lastRowLastColumn="0"/>
            </w:pPr>
            <w:r>
              <w:t>17</w:t>
            </w:r>
            <w:r w:rsidR="00951F7C">
              <w:t xml:space="preserve"> </w:t>
            </w:r>
            <w:r>
              <w:t>093</w:t>
            </w:r>
          </w:p>
        </w:tc>
        <w:tc>
          <w:tcPr>
            <w:tcW w:w="1276" w:type="dxa"/>
          </w:tcPr>
          <w:p w:rsidR="00F875C8" w:rsidRDefault="00C447D7" w:rsidP="00951F7C">
            <w:pPr>
              <w:spacing w:after="0"/>
              <w:jc w:val="center"/>
              <w:cnfStyle w:val="000000000000" w:firstRow="0" w:lastRow="0" w:firstColumn="0" w:lastColumn="0" w:oddVBand="0" w:evenVBand="0" w:oddHBand="0" w:evenHBand="0" w:firstRowFirstColumn="0" w:firstRowLastColumn="0" w:lastRowFirstColumn="0" w:lastRowLastColumn="0"/>
            </w:pPr>
            <w:r>
              <w:t>14</w:t>
            </w:r>
            <w:r w:rsidR="00951F7C">
              <w:t xml:space="preserve"> </w:t>
            </w:r>
            <w:r>
              <w:t>664</w:t>
            </w:r>
            <w:r w:rsidR="00F875C8">
              <w:t xml:space="preserve"> (</w:t>
            </w:r>
            <w:r>
              <w:t>85.8</w:t>
            </w:r>
            <w:r w:rsidR="00F875C8">
              <w:t>%)</w:t>
            </w:r>
          </w:p>
        </w:tc>
        <w:tc>
          <w:tcPr>
            <w:tcW w:w="992" w:type="dxa"/>
          </w:tcPr>
          <w:p w:rsidR="00F875C8" w:rsidRDefault="00C447D7" w:rsidP="005C07E7">
            <w:pPr>
              <w:spacing w:after="0"/>
              <w:jc w:val="center"/>
              <w:cnfStyle w:val="000000000000" w:firstRow="0" w:lastRow="0" w:firstColumn="0" w:lastColumn="0" w:oddVBand="0" w:evenVBand="0" w:oddHBand="0" w:evenHBand="0" w:firstRowFirstColumn="0" w:firstRowLastColumn="0" w:lastRowFirstColumn="0" w:lastRowLastColumn="0"/>
            </w:pPr>
            <w:r>
              <w:t>829</w:t>
            </w:r>
            <w:r w:rsidR="004158CE">
              <w:t xml:space="preserve"> (4.8%)</w:t>
            </w:r>
          </w:p>
        </w:tc>
        <w:tc>
          <w:tcPr>
            <w:tcW w:w="1276" w:type="dxa"/>
          </w:tcPr>
          <w:p w:rsidR="00F875C8" w:rsidRDefault="004158CE" w:rsidP="005C07E7">
            <w:pPr>
              <w:spacing w:after="0"/>
              <w:jc w:val="center"/>
              <w:cnfStyle w:val="000000000000" w:firstRow="0" w:lastRow="0" w:firstColumn="0" w:lastColumn="0" w:oddVBand="0" w:evenVBand="0" w:oddHBand="0" w:evenHBand="0" w:firstRowFirstColumn="0" w:firstRowLastColumn="0" w:lastRowFirstColumn="0" w:lastRowLastColumn="0"/>
            </w:pPr>
            <w:r>
              <w:t>571 (3.3%)</w:t>
            </w:r>
          </w:p>
        </w:tc>
        <w:tc>
          <w:tcPr>
            <w:tcW w:w="1701" w:type="dxa"/>
          </w:tcPr>
          <w:p w:rsidR="00F875C8" w:rsidRDefault="004158CE" w:rsidP="005C07E7">
            <w:pPr>
              <w:spacing w:after="0"/>
              <w:jc w:val="center"/>
              <w:cnfStyle w:val="000000000000" w:firstRow="0" w:lastRow="0" w:firstColumn="0" w:lastColumn="0" w:oddVBand="0" w:evenVBand="0" w:oddHBand="0" w:evenHBand="0" w:firstRowFirstColumn="0" w:firstRowLastColumn="0" w:lastRowFirstColumn="0" w:lastRowLastColumn="0"/>
            </w:pPr>
            <w:r>
              <w:t>309 (1.8%)</w:t>
            </w:r>
          </w:p>
        </w:tc>
        <w:tc>
          <w:tcPr>
            <w:tcW w:w="1417" w:type="dxa"/>
          </w:tcPr>
          <w:p w:rsidR="00F875C8" w:rsidRDefault="00715C7E" w:rsidP="005C07E7">
            <w:pPr>
              <w:spacing w:after="0"/>
              <w:jc w:val="center"/>
              <w:cnfStyle w:val="000000000000" w:firstRow="0" w:lastRow="0" w:firstColumn="0" w:lastColumn="0" w:oddVBand="0" w:evenVBand="0" w:oddHBand="0" w:evenHBand="0" w:firstRowFirstColumn="0" w:firstRowLastColumn="0" w:lastRowFirstColumn="0" w:lastRowLastColumn="0"/>
            </w:pPr>
            <w:r>
              <w:t>720 (4.3</w:t>
            </w:r>
            <w:r w:rsidR="004158CE">
              <w:t>%)</w:t>
            </w:r>
          </w:p>
        </w:tc>
      </w:tr>
      <w:tr w:rsidR="00F875C8" w:rsidTr="007D7BA8">
        <w:tc>
          <w:tcPr>
            <w:cnfStyle w:val="001000000000" w:firstRow="0" w:lastRow="0" w:firstColumn="1" w:lastColumn="0" w:oddVBand="0" w:evenVBand="0" w:oddHBand="0" w:evenHBand="0" w:firstRowFirstColumn="0" w:firstRowLastColumn="0" w:lastRowFirstColumn="0" w:lastRowLastColumn="0"/>
            <w:tcW w:w="1134" w:type="dxa"/>
          </w:tcPr>
          <w:p w:rsidR="00F875C8" w:rsidRPr="00847199" w:rsidRDefault="00F875C8" w:rsidP="005C07E7">
            <w:pPr>
              <w:spacing w:after="0"/>
              <w:rPr>
                <w:b w:val="0"/>
              </w:rPr>
            </w:pPr>
            <w:r w:rsidRPr="00847199">
              <w:rPr>
                <w:b w:val="0"/>
              </w:rPr>
              <w:t>2017</w:t>
            </w:r>
            <w:r w:rsidR="00CE66EF">
              <w:rPr>
                <w:b w:val="0"/>
              </w:rPr>
              <w:t>–</w:t>
            </w:r>
            <w:r w:rsidRPr="00847199">
              <w:rPr>
                <w:b w:val="0"/>
              </w:rPr>
              <w:t>18</w:t>
            </w:r>
          </w:p>
        </w:tc>
        <w:tc>
          <w:tcPr>
            <w:tcW w:w="1418" w:type="dxa"/>
          </w:tcPr>
          <w:p w:rsidR="00F875C8" w:rsidRDefault="00F875C8" w:rsidP="00951F7C">
            <w:pPr>
              <w:spacing w:after="0"/>
              <w:jc w:val="center"/>
              <w:cnfStyle w:val="000000000000" w:firstRow="0" w:lastRow="0" w:firstColumn="0" w:lastColumn="0" w:oddVBand="0" w:evenVBand="0" w:oddHBand="0" w:evenHBand="0" w:firstRowFirstColumn="0" w:firstRowLastColumn="0" w:lastRowFirstColumn="0" w:lastRowLastColumn="0"/>
            </w:pPr>
            <w:r>
              <w:t>14</w:t>
            </w:r>
            <w:r w:rsidR="00951F7C">
              <w:t xml:space="preserve"> </w:t>
            </w:r>
            <w:r>
              <w:t>906</w:t>
            </w:r>
          </w:p>
        </w:tc>
        <w:tc>
          <w:tcPr>
            <w:tcW w:w="1276" w:type="dxa"/>
          </w:tcPr>
          <w:p w:rsidR="00F875C8" w:rsidRDefault="00715C7E" w:rsidP="00951F7C">
            <w:pPr>
              <w:spacing w:after="0"/>
              <w:jc w:val="center"/>
              <w:cnfStyle w:val="000000000000" w:firstRow="0" w:lastRow="0" w:firstColumn="0" w:lastColumn="0" w:oddVBand="0" w:evenVBand="0" w:oddHBand="0" w:evenHBand="0" w:firstRowFirstColumn="0" w:firstRowLastColumn="0" w:lastRowFirstColumn="0" w:lastRowLastColumn="0"/>
            </w:pPr>
            <w:r>
              <w:t>12</w:t>
            </w:r>
            <w:r w:rsidR="00951F7C">
              <w:t xml:space="preserve"> </w:t>
            </w:r>
            <w:r>
              <w:t>605 (84.6</w:t>
            </w:r>
            <w:r w:rsidR="00F875C8">
              <w:t>%)</w:t>
            </w:r>
          </w:p>
        </w:tc>
        <w:tc>
          <w:tcPr>
            <w:tcW w:w="992" w:type="dxa"/>
          </w:tcPr>
          <w:p w:rsidR="00F875C8" w:rsidRDefault="00F875C8" w:rsidP="005C07E7">
            <w:pPr>
              <w:spacing w:after="0"/>
              <w:jc w:val="center"/>
              <w:cnfStyle w:val="000000000000" w:firstRow="0" w:lastRow="0" w:firstColumn="0" w:lastColumn="0" w:oddVBand="0" w:evenVBand="0" w:oddHBand="0" w:evenHBand="0" w:firstRowFirstColumn="0" w:firstRowLastColumn="0" w:lastRowFirstColumn="0" w:lastRowLastColumn="0"/>
            </w:pPr>
            <w:r>
              <w:t>872 (5.9%)</w:t>
            </w:r>
          </w:p>
        </w:tc>
        <w:tc>
          <w:tcPr>
            <w:tcW w:w="1276" w:type="dxa"/>
          </w:tcPr>
          <w:p w:rsidR="00F875C8" w:rsidRDefault="00F875C8" w:rsidP="00F875C8">
            <w:pPr>
              <w:spacing w:after="0"/>
              <w:jc w:val="center"/>
              <w:cnfStyle w:val="000000000000" w:firstRow="0" w:lastRow="0" w:firstColumn="0" w:lastColumn="0" w:oddVBand="0" w:evenVBand="0" w:oddHBand="0" w:evenHBand="0" w:firstRowFirstColumn="0" w:firstRowLastColumn="0" w:lastRowFirstColumn="0" w:lastRowLastColumn="0"/>
            </w:pPr>
            <w:r>
              <w:t>557 (3.7%)</w:t>
            </w:r>
          </w:p>
        </w:tc>
        <w:tc>
          <w:tcPr>
            <w:tcW w:w="1701" w:type="dxa"/>
          </w:tcPr>
          <w:p w:rsidR="00F875C8" w:rsidRDefault="00F875C8" w:rsidP="005C07E7">
            <w:pPr>
              <w:spacing w:after="0"/>
              <w:jc w:val="center"/>
              <w:cnfStyle w:val="000000000000" w:firstRow="0" w:lastRow="0" w:firstColumn="0" w:lastColumn="0" w:oddVBand="0" w:evenVBand="0" w:oddHBand="0" w:evenHBand="0" w:firstRowFirstColumn="0" w:firstRowLastColumn="0" w:lastRowFirstColumn="0" w:lastRowLastColumn="0"/>
            </w:pPr>
            <w:r>
              <w:t>339 (2.3%)</w:t>
            </w:r>
          </w:p>
        </w:tc>
        <w:tc>
          <w:tcPr>
            <w:tcW w:w="1417" w:type="dxa"/>
          </w:tcPr>
          <w:p w:rsidR="00F875C8" w:rsidRDefault="00F875C8" w:rsidP="00F875C8">
            <w:pPr>
              <w:spacing w:after="0"/>
              <w:jc w:val="center"/>
              <w:cnfStyle w:val="000000000000" w:firstRow="0" w:lastRow="0" w:firstColumn="0" w:lastColumn="0" w:oddVBand="0" w:evenVBand="0" w:oddHBand="0" w:evenHBand="0" w:firstRowFirstColumn="0" w:firstRowLastColumn="0" w:lastRowFirstColumn="0" w:lastRowLastColumn="0"/>
            </w:pPr>
            <w:r>
              <w:t>533</w:t>
            </w:r>
            <w:r w:rsidR="004158CE">
              <w:t xml:space="preserve"> </w:t>
            </w:r>
            <w:r w:rsidR="00715C7E">
              <w:t>(3.5</w:t>
            </w:r>
            <w:r>
              <w:t>%)</w:t>
            </w:r>
          </w:p>
        </w:tc>
      </w:tr>
      <w:tr w:rsidR="00822A6D" w:rsidTr="007D7BA8">
        <w:tc>
          <w:tcPr>
            <w:cnfStyle w:val="001000000000" w:firstRow="0" w:lastRow="0" w:firstColumn="1" w:lastColumn="0" w:oddVBand="0" w:evenVBand="0" w:oddHBand="0" w:evenHBand="0" w:firstRowFirstColumn="0" w:firstRowLastColumn="0" w:lastRowFirstColumn="0" w:lastRowLastColumn="0"/>
            <w:tcW w:w="1134" w:type="dxa"/>
          </w:tcPr>
          <w:p w:rsidR="00822A6D" w:rsidRPr="00847199" w:rsidRDefault="00822A6D" w:rsidP="005C07E7">
            <w:pPr>
              <w:spacing w:after="0"/>
              <w:rPr>
                <w:b w:val="0"/>
              </w:rPr>
            </w:pPr>
            <w:r>
              <w:rPr>
                <w:b w:val="0"/>
              </w:rPr>
              <w:t>2018</w:t>
            </w:r>
            <w:r w:rsidR="00CE66EF">
              <w:rPr>
                <w:b w:val="0"/>
              </w:rPr>
              <w:t>–</w:t>
            </w:r>
            <w:r>
              <w:rPr>
                <w:b w:val="0"/>
              </w:rPr>
              <w:t>19</w:t>
            </w:r>
          </w:p>
        </w:tc>
        <w:tc>
          <w:tcPr>
            <w:tcW w:w="1418" w:type="dxa"/>
          </w:tcPr>
          <w:p w:rsidR="00822A6D" w:rsidRDefault="00822A6D" w:rsidP="00951F7C">
            <w:pPr>
              <w:spacing w:after="0"/>
              <w:jc w:val="center"/>
              <w:cnfStyle w:val="000000000000" w:firstRow="0" w:lastRow="0" w:firstColumn="0" w:lastColumn="0" w:oddVBand="0" w:evenVBand="0" w:oddHBand="0" w:evenHBand="0" w:firstRowFirstColumn="0" w:firstRowLastColumn="0" w:lastRowFirstColumn="0" w:lastRowLastColumn="0"/>
            </w:pPr>
            <w:r>
              <w:t>15</w:t>
            </w:r>
            <w:r w:rsidR="00951F7C">
              <w:t xml:space="preserve"> </w:t>
            </w:r>
            <w:r>
              <w:t>887</w:t>
            </w:r>
          </w:p>
        </w:tc>
        <w:tc>
          <w:tcPr>
            <w:tcW w:w="1276" w:type="dxa"/>
          </w:tcPr>
          <w:p w:rsidR="00822A6D" w:rsidRDefault="00822A6D" w:rsidP="00951F7C">
            <w:pPr>
              <w:spacing w:after="0"/>
              <w:jc w:val="center"/>
              <w:cnfStyle w:val="000000000000" w:firstRow="0" w:lastRow="0" w:firstColumn="0" w:lastColumn="0" w:oddVBand="0" w:evenVBand="0" w:oddHBand="0" w:evenHBand="0" w:firstRowFirstColumn="0" w:firstRowLastColumn="0" w:lastRowFirstColumn="0" w:lastRowLastColumn="0"/>
            </w:pPr>
            <w:r>
              <w:t>13</w:t>
            </w:r>
            <w:r w:rsidR="00951F7C">
              <w:t xml:space="preserve"> </w:t>
            </w:r>
            <w:r>
              <w:t>184 (83</w:t>
            </w:r>
            <w:r w:rsidR="0094724B">
              <w:t>.0</w:t>
            </w:r>
            <w:r>
              <w:t>%)</w:t>
            </w:r>
          </w:p>
        </w:tc>
        <w:tc>
          <w:tcPr>
            <w:tcW w:w="992" w:type="dxa"/>
          </w:tcPr>
          <w:p w:rsidR="00822A6D" w:rsidRDefault="00822A6D" w:rsidP="005C07E7">
            <w:pPr>
              <w:spacing w:after="0"/>
              <w:jc w:val="center"/>
              <w:cnfStyle w:val="000000000000" w:firstRow="0" w:lastRow="0" w:firstColumn="0" w:lastColumn="0" w:oddVBand="0" w:evenVBand="0" w:oddHBand="0" w:evenHBand="0" w:firstRowFirstColumn="0" w:firstRowLastColumn="0" w:lastRowFirstColumn="0" w:lastRowLastColumn="0"/>
            </w:pPr>
            <w:r>
              <w:t>611 (3.9%)</w:t>
            </w:r>
          </w:p>
        </w:tc>
        <w:tc>
          <w:tcPr>
            <w:tcW w:w="1276" w:type="dxa"/>
          </w:tcPr>
          <w:p w:rsidR="00822A6D" w:rsidRDefault="00822A6D" w:rsidP="00F875C8">
            <w:pPr>
              <w:spacing w:after="0"/>
              <w:jc w:val="center"/>
              <w:cnfStyle w:val="000000000000" w:firstRow="0" w:lastRow="0" w:firstColumn="0" w:lastColumn="0" w:oddVBand="0" w:evenVBand="0" w:oddHBand="0" w:evenHBand="0" w:firstRowFirstColumn="0" w:firstRowLastColumn="0" w:lastRowFirstColumn="0" w:lastRowLastColumn="0"/>
            </w:pPr>
            <w:r>
              <w:t>1144 (7.2%)</w:t>
            </w:r>
          </w:p>
        </w:tc>
        <w:tc>
          <w:tcPr>
            <w:tcW w:w="1701" w:type="dxa"/>
          </w:tcPr>
          <w:p w:rsidR="00822A6D" w:rsidRDefault="00822A6D" w:rsidP="005C07E7">
            <w:pPr>
              <w:spacing w:after="0"/>
              <w:jc w:val="center"/>
              <w:cnfStyle w:val="000000000000" w:firstRow="0" w:lastRow="0" w:firstColumn="0" w:lastColumn="0" w:oddVBand="0" w:evenVBand="0" w:oddHBand="0" w:evenHBand="0" w:firstRowFirstColumn="0" w:firstRowLastColumn="0" w:lastRowFirstColumn="0" w:lastRowLastColumn="0"/>
            </w:pPr>
            <w:r>
              <w:t>385 (2.4%)</w:t>
            </w:r>
          </w:p>
        </w:tc>
        <w:tc>
          <w:tcPr>
            <w:tcW w:w="1417" w:type="dxa"/>
          </w:tcPr>
          <w:p w:rsidR="00822A6D" w:rsidRDefault="00822A6D" w:rsidP="00F875C8">
            <w:pPr>
              <w:spacing w:after="0"/>
              <w:jc w:val="center"/>
              <w:cnfStyle w:val="000000000000" w:firstRow="0" w:lastRow="0" w:firstColumn="0" w:lastColumn="0" w:oddVBand="0" w:evenVBand="0" w:oddHBand="0" w:evenHBand="0" w:firstRowFirstColumn="0" w:firstRowLastColumn="0" w:lastRowFirstColumn="0" w:lastRowLastColumn="0"/>
            </w:pPr>
            <w:r>
              <w:t>750 (4.7%)</w:t>
            </w:r>
          </w:p>
        </w:tc>
      </w:tr>
      <w:tr w:rsidR="007D3D7A" w:rsidTr="007D7BA8">
        <w:tc>
          <w:tcPr>
            <w:cnfStyle w:val="001000000000" w:firstRow="0" w:lastRow="0" w:firstColumn="1" w:lastColumn="0" w:oddVBand="0" w:evenVBand="0" w:oddHBand="0" w:evenHBand="0" w:firstRowFirstColumn="0" w:firstRowLastColumn="0" w:lastRowFirstColumn="0" w:lastRowLastColumn="0"/>
            <w:tcW w:w="1134" w:type="dxa"/>
          </w:tcPr>
          <w:p w:rsidR="007D3D7A" w:rsidRPr="007D3D7A" w:rsidRDefault="007D3D7A" w:rsidP="007D3D7A">
            <w:pPr>
              <w:spacing w:after="0"/>
              <w:rPr>
                <w:b w:val="0"/>
              </w:rPr>
            </w:pPr>
            <w:r w:rsidRPr="007D3D7A">
              <w:rPr>
                <w:rFonts w:cs="Arial"/>
                <w:b w:val="0"/>
                <w:color w:val="000000"/>
                <w:szCs w:val="20"/>
              </w:rPr>
              <w:t>2019–20</w:t>
            </w:r>
          </w:p>
        </w:tc>
        <w:tc>
          <w:tcPr>
            <w:tcW w:w="1418" w:type="dxa"/>
          </w:tcPr>
          <w:p w:rsidR="007D3D7A" w:rsidRDefault="007D3D7A" w:rsidP="00951F7C">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13</w:t>
            </w:r>
            <w:r w:rsidR="00951F7C">
              <w:rPr>
                <w:rFonts w:cs="Arial"/>
                <w:color w:val="000000"/>
                <w:szCs w:val="20"/>
              </w:rPr>
              <w:t xml:space="preserve"> </w:t>
            </w:r>
            <w:r>
              <w:rPr>
                <w:rFonts w:cs="Arial"/>
                <w:color w:val="000000"/>
                <w:szCs w:val="20"/>
              </w:rPr>
              <w:t>588</w:t>
            </w:r>
          </w:p>
        </w:tc>
        <w:tc>
          <w:tcPr>
            <w:tcW w:w="1276" w:type="dxa"/>
          </w:tcPr>
          <w:p w:rsidR="007D3D7A" w:rsidRDefault="007D3D7A" w:rsidP="00951F7C">
            <w:pPr>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11</w:t>
            </w:r>
            <w:r w:rsidR="00951F7C">
              <w:rPr>
                <w:rFonts w:cs="Arial"/>
                <w:color w:val="000000"/>
                <w:szCs w:val="20"/>
              </w:rPr>
              <w:t xml:space="preserve"> </w:t>
            </w:r>
            <w:r>
              <w:rPr>
                <w:rFonts w:cs="Arial"/>
                <w:color w:val="000000"/>
                <w:szCs w:val="20"/>
              </w:rPr>
              <w:t>753</w:t>
            </w:r>
            <w:r w:rsidR="007D7BA8">
              <w:rPr>
                <w:rFonts w:cs="Arial"/>
                <w:color w:val="000000"/>
                <w:szCs w:val="20"/>
              </w:rPr>
              <w:t xml:space="preserve"> </w:t>
            </w:r>
            <w:r>
              <w:rPr>
                <w:rFonts w:cs="Arial"/>
                <w:color w:val="000000"/>
                <w:szCs w:val="20"/>
              </w:rPr>
              <w:t>(86.5%)</w:t>
            </w:r>
          </w:p>
        </w:tc>
        <w:tc>
          <w:tcPr>
            <w:tcW w:w="992" w:type="dxa"/>
          </w:tcPr>
          <w:p w:rsidR="007D3D7A" w:rsidRDefault="007D3D7A" w:rsidP="007D7BA8">
            <w:pPr>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415</w:t>
            </w:r>
            <w:r w:rsidR="007D7BA8">
              <w:rPr>
                <w:rFonts w:cs="Arial"/>
                <w:color w:val="000000"/>
                <w:szCs w:val="20"/>
              </w:rPr>
              <w:t xml:space="preserve"> </w:t>
            </w:r>
            <w:r>
              <w:rPr>
                <w:rFonts w:cs="Arial"/>
                <w:color w:val="000000"/>
                <w:szCs w:val="20"/>
              </w:rPr>
              <w:t>(3.1%)</w:t>
            </w:r>
          </w:p>
        </w:tc>
        <w:tc>
          <w:tcPr>
            <w:tcW w:w="1276" w:type="dxa"/>
          </w:tcPr>
          <w:p w:rsidR="007D3D7A" w:rsidRDefault="007D3D7A" w:rsidP="007D7BA8">
            <w:pPr>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505</w:t>
            </w:r>
            <w:r w:rsidR="007D7BA8">
              <w:rPr>
                <w:rFonts w:cs="Arial"/>
                <w:color w:val="000000"/>
                <w:szCs w:val="20"/>
              </w:rPr>
              <w:t xml:space="preserve"> </w:t>
            </w:r>
            <w:r>
              <w:rPr>
                <w:rFonts w:cs="Arial"/>
                <w:color w:val="000000"/>
                <w:szCs w:val="20"/>
              </w:rPr>
              <w:t>(3.7%)</w:t>
            </w:r>
          </w:p>
        </w:tc>
        <w:tc>
          <w:tcPr>
            <w:tcW w:w="1701" w:type="dxa"/>
          </w:tcPr>
          <w:p w:rsidR="007D3D7A" w:rsidRDefault="007D3D7A" w:rsidP="007D3D7A">
            <w:pPr>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342 (2.5%)</w:t>
            </w:r>
          </w:p>
        </w:tc>
        <w:tc>
          <w:tcPr>
            <w:tcW w:w="1417" w:type="dxa"/>
          </w:tcPr>
          <w:p w:rsidR="007D3D7A" w:rsidRDefault="007D3D7A" w:rsidP="007D3D7A">
            <w:pPr>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773 (5.7%)</w:t>
            </w:r>
          </w:p>
        </w:tc>
      </w:tr>
    </w:tbl>
    <w:p w:rsidR="003153BA" w:rsidRDefault="003153BA" w:rsidP="00AE4139">
      <w:r>
        <w:br w:type="page"/>
      </w:r>
    </w:p>
    <w:p w:rsidR="00AE4139" w:rsidRDefault="00181182" w:rsidP="00AE4139">
      <w:r>
        <w:lastRenderedPageBreak/>
        <w:t>T</w:t>
      </w:r>
      <w:r w:rsidR="005B043E">
        <w:t>he instrument</w:t>
      </w:r>
      <w:r w:rsidR="00A36410">
        <w:t xml:space="preserve"> types with an above average proportion </w:t>
      </w:r>
      <w:r w:rsidR="00AE4139">
        <w:t>found</w:t>
      </w:r>
      <w:r>
        <w:t xml:space="preserve"> to be inaccurate to consumer</w:t>
      </w:r>
      <w:r w:rsidR="005B043E">
        <w:t xml:space="preserve"> </w:t>
      </w:r>
      <w:r w:rsidR="00AE4139">
        <w:t>disadvantage</w:t>
      </w:r>
      <w:r>
        <w:t xml:space="preserve"> </w:t>
      </w:r>
      <w:r w:rsidR="00AE4139">
        <w:t>ha</w:t>
      </w:r>
      <w:r w:rsidR="004E71AF">
        <w:t>ve</w:t>
      </w:r>
      <w:r w:rsidR="00AE4139">
        <w:t xml:space="preserve"> been </w:t>
      </w:r>
      <w:r w:rsidR="00885CDB">
        <w:t xml:space="preserve">relatively </w:t>
      </w:r>
      <w:r w:rsidR="00AE4139">
        <w:t>consistent over recent years</w:t>
      </w:r>
      <w:r w:rsidR="00FF2409">
        <w:t>.</w:t>
      </w:r>
      <w:r w:rsidR="007D5003">
        <w:t xml:space="preserve"> We </w:t>
      </w:r>
      <w:r w:rsidR="00281790">
        <w:t xml:space="preserve">did however </w:t>
      </w:r>
      <w:r w:rsidR="007D5003">
        <w:t xml:space="preserve">note </w:t>
      </w:r>
      <w:r w:rsidR="00281790">
        <w:t xml:space="preserve">a </w:t>
      </w:r>
      <w:r w:rsidR="00435EEC">
        <w:t xml:space="preserve">significant </w:t>
      </w:r>
      <w:r w:rsidR="00281790">
        <w:t>reduction in the proportion of</w:t>
      </w:r>
      <w:r w:rsidR="00435EEC">
        <w:t xml:space="preserve"> weighing instruments</w:t>
      </w:r>
      <w:r w:rsidR="00630E26">
        <w:t xml:space="preserve"> (30 </w:t>
      </w:r>
      <w:r w:rsidR="00435EEC">
        <w:t>kg to 3 tonne)</w:t>
      </w:r>
      <w:r w:rsidR="00281790">
        <w:t xml:space="preserve"> found to be inaccurate to consumer disadvantage in 2019</w:t>
      </w:r>
      <w:r w:rsidR="000A2588">
        <w:t>–</w:t>
      </w:r>
      <w:r w:rsidR="00281790">
        <w:t>20 compared with previous years</w:t>
      </w:r>
      <w:r w:rsidR="00435EEC">
        <w:t xml:space="preserve">. </w:t>
      </w:r>
    </w:p>
    <w:tbl>
      <w:tblPr>
        <w:tblStyle w:val="Style1"/>
        <w:tblpPr w:leftFromText="181" w:rightFromText="181" w:bottomFromText="425" w:vertAnchor="text" w:tblpY="1"/>
        <w:tblOverlap w:val="never"/>
        <w:tblW w:w="8931" w:type="dxa"/>
        <w:tblLook w:val="04A0" w:firstRow="1" w:lastRow="0" w:firstColumn="1" w:lastColumn="0" w:noHBand="0" w:noVBand="1"/>
        <w:tblDescription w:val="This table lists instrument testing in previous years."/>
      </w:tblPr>
      <w:tblGrid>
        <w:gridCol w:w="2410"/>
        <w:gridCol w:w="1418"/>
        <w:gridCol w:w="2126"/>
        <w:gridCol w:w="2977"/>
      </w:tblGrid>
      <w:tr w:rsidR="00AE4139" w:rsidTr="009D4A2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410" w:type="dxa"/>
          </w:tcPr>
          <w:p w:rsidR="00AE4139" w:rsidRDefault="00FF6EDB" w:rsidP="005C07E7">
            <w:pPr>
              <w:spacing w:after="0"/>
            </w:pPr>
            <w:r>
              <w:t>Instrument type</w:t>
            </w:r>
          </w:p>
        </w:tc>
        <w:tc>
          <w:tcPr>
            <w:tcW w:w="1418" w:type="dxa"/>
          </w:tcPr>
          <w:p w:rsidR="00AE4139" w:rsidRDefault="00FF6EDB" w:rsidP="005C07E7">
            <w:pPr>
              <w:spacing w:after="0"/>
              <w:jc w:val="center"/>
              <w:cnfStyle w:val="100000000000" w:firstRow="1" w:lastRow="0" w:firstColumn="0" w:lastColumn="0" w:oddVBand="0" w:evenVBand="0" w:oddHBand="0" w:evenHBand="0" w:firstRowFirstColumn="0" w:firstRowLastColumn="0" w:lastRowFirstColumn="0" w:lastRowLastColumn="0"/>
            </w:pPr>
            <w:r>
              <w:t>Year</w:t>
            </w:r>
          </w:p>
        </w:tc>
        <w:tc>
          <w:tcPr>
            <w:tcW w:w="2126" w:type="dxa"/>
          </w:tcPr>
          <w:p w:rsidR="00AE4139" w:rsidRDefault="00FF6EDB" w:rsidP="005C07E7">
            <w:pPr>
              <w:spacing w:after="0"/>
              <w:jc w:val="center"/>
              <w:cnfStyle w:val="100000000000" w:firstRow="1" w:lastRow="0" w:firstColumn="0" w:lastColumn="0" w:oddVBand="0" w:evenVBand="0" w:oddHBand="0" w:evenHBand="0" w:firstRowFirstColumn="0" w:firstRowLastColumn="0" w:lastRowFirstColumn="0" w:lastRowLastColumn="0"/>
            </w:pPr>
            <w:r>
              <w:t>Instruments tested</w:t>
            </w:r>
          </w:p>
        </w:tc>
        <w:tc>
          <w:tcPr>
            <w:tcW w:w="2977" w:type="dxa"/>
          </w:tcPr>
          <w:p w:rsidR="00AE4139" w:rsidRDefault="00AE4139" w:rsidP="005C07E7">
            <w:pPr>
              <w:spacing w:after="0"/>
              <w:jc w:val="center"/>
              <w:cnfStyle w:val="100000000000" w:firstRow="1" w:lastRow="0" w:firstColumn="0" w:lastColumn="0" w:oddVBand="0" w:evenVBand="0" w:oddHBand="0" w:evenHBand="0" w:firstRowFirstColumn="0" w:firstRowLastColumn="0" w:lastRowFirstColumn="0" w:lastRowLastColumn="0"/>
            </w:pPr>
            <w:r>
              <w:t>Inaccurate</w:t>
            </w:r>
            <w:r>
              <w:br/>
              <w:t>(consumer disadvantage)</w:t>
            </w:r>
          </w:p>
        </w:tc>
      </w:tr>
      <w:tr w:rsidR="007B7320" w:rsidTr="009D4A22">
        <w:tc>
          <w:tcPr>
            <w:cnfStyle w:val="001000000000" w:firstRow="0" w:lastRow="0" w:firstColumn="1" w:lastColumn="0" w:oddVBand="0" w:evenVBand="0" w:oddHBand="0" w:evenHBand="0" w:firstRowFirstColumn="0" w:firstRowLastColumn="0" w:lastRowFirstColumn="0" w:lastRowLastColumn="0"/>
            <w:tcW w:w="2410" w:type="dxa"/>
            <w:vMerge w:val="restart"/>
          </w:tcPr>
          <w:p w:rsidR="007B7320" w:rsidRDefault="007B7320" w:rsidP="007B7320">
            <w:pPr>
              <w:spacing w:after="0"/>
              <w:rPr>
                <w:b w:val="0"/>
              </w:rPr>
            </w:pPr>
            <w:r>
              <w:rPr>
                <w:b w:val="0"/>
              </w:rPr>
              <w:t>Fuel dispensers</w:t>
            </w:r>
            <w:r>
              <w:rPr>
                <w:b w:val="0"/>
              </w:rPr>
              <w:br/>
              <w:t>(petrol and diesel)</w:t>
            </w:r>
          </w:p>
        </w:tc>
        <w:tc>
          <w:tcPr>
            <w:tcW w:w="1418" w:type="dxa"/>
          </w:tcPr>
          <w:p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2015–16</w:t>
            </w:r>
          </w:p>
        </w:tc>
        <w:tc>
          <w:tcPr>
            <w:tcW w:w="2126" w:type="dxa"/>
          </w:tcPr>
          <w:p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2923</w:t>
            </w:r>
          </w:p>
        </w:tc>
        <w:tc>
          <w:tcPr>
            <w:tcW w:w="2977" w:type="dxa"/>
          </w:tcPr>
          <w:p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85 (2.9%)</w:t>
            </w:r>
          </w:p>
        </w:tc>
      </w:tr>
      <w:tr w:rsidR="007B7320" w:rsidTr="009D4A22">
        <w:tc>
          <w:tcPr>
            <w:cnfStyle w:val="001000000000" w:firstRow="0" w:lastRow="0" w:firstColumn="1" w:lastColumn="0" w:oddVBand="0" w:evenVBand="0" w:oddHBand="0" w:evenHBand="0" w:firstRowFirstColumn="0" w:firstRowLastColumn="0" w:lastRowFirstColumn="0" w:lastRowLastColumn="0"/>
            <w:tcW w:w="2410" w:type="dxa"/>
            <w:vMerge/>
          </w:tcPr>
          <w:p w:rsidR="007B7320" w:rsidRPr="00F80EF7" w:rsidRDefault="007B7320" w:rsidP="007B7320">
            <w:pPr>
              <w:spacing w:after="0"/>
              <w:rPr>
                <w:b w:val="0"/>
              </w:rPr>
            </w:pPr>
          </w:p>
        </w:tc>
        <w:tc>
          <w:tcPr>
            <w:tcW w:w="1418" w:type="dxa"/>
          </w:tcPr>
          <w:p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2016–17</w:t>
            </w:r>
          </w:p>
        </w:tc>
        <w:tc>
          <w:tcPr>
            <w:tcW w:w="2126" w:type="dxa"/>
          </w:tcPr>
          <w:p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1260</w:t>
            </w:r>
          </w:p>
        </w:tc>
        <w:tc>
          <w:tcPr>
            <w:tcW w:w="2977" w:type="dxa"/>
          </w:tcPr>
          <w:p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54 (4.3%)</w:t>
            </w:r>
          </w:p>
        </w:tc>
      </w:tr>
      <w:tr w:rsidR="007B7320" w:rsidTr="009D4A22">
        <w:tc>
          <w:tcPr>
            <w:cnfStyle w:val="001000000000" w:firstRow="0" w:lastRow="0" w:firstColumn="1" w:lastColumn="0" w:oddVBand="0" w:evenVBand="0" w:oddHBand="0" w:evenHBand="0" w:firstRowFirstColumn="0" w:firstRowLastColumn="0" w:lastRowFirstColumn="0" w:lastRowLastColumn="0"/>
            <w:tcW w:w="2410" w:type="dxa"/>
            <w:vMerge/>
          </w:tcPr>
          <w:p w:rsidR="007B7320" w:rsidRPr="00F80EF7" w:rsidRDefault="007B7320" w:rsidP="007B7320">
            <w:pPr>
              <w:spacing w:after="0"/>
              <w:rPr>
                <w:b w:val="0"/>
              </w:rPr>
            </w:pPr>
          </w:p>
        </w:tc>
        <w:tc>
          <w:tcPr>
            <w:tcW w:w="1418" w:type="dxa"/>
          </w:tcPr>
          <w:p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2017–18</w:t>
            </w:r>
          </w:p>
        </w:tc>
        <w:tc>
          <w:tcPr>
            <w:tcW w:w="2126" w:type="dxa"/>
          </w:tcPr>
          <w:p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1434</w:t>
            </w:r>
          </w:p>
        </w:tc>
        <w:tc>
          <w:tcPr>
            <w:tcW w:w="2977" w:type="dxa"/>
          </w:tcPr>
          <w:p w:rsidR="007B7320" w:rsidRDefault="007B7320" w:rsidP="007B7320">
            <w:pPr>
              <w:spacing w:after="0"/>
              <w:jc w:val="center"/>
              <w:cnfStyle w:val="000000000000" w:firstRow="0" w:lastRow="0" w:firstColumn="0" w:lastColumn="0" w:oddVBand="0" w:evenVBand="0" w:oddHBand="0" w:evenHBand="0" w:firstRowFirstColumn="0" w:firstRowLastColumn="0" w:lastRowFirstColumn="0" w:lastRowLastColumn="0"/>
            </w:pPr>
            <w:r>
              <w:t>91 (6.3%)</w:t>
            </w:r>
          </w:p>
        </w:tc>
      </w:tr>
      <w:tr w:rsidR="007444C9" w:rsidTr="009D4A22">
        <w:tc>
          <w:tcPr>
            <w:cnfStyle w:val="001000000000" w:firstRow="0" w:lastRow="0" w:firstColumn="1" w:lastColumn="0" w:oddVBand="0" w:evenVBand="0" w:oddHBand="0" w:evenHBand="0" w:firstRowFirstColumn="0" w:firstRowLastColumn="0" w:lastRowFirstColumn="0" w:lastRowLastColumn="0"/>
            <w:tcW w:w="2410" w:type="dxa"/>
            <w:vMerge/>
          </w:tcPr>
          <w:p w:rsidR="007444C9" w:rsidRPr="00F80EF7" w:rsidRDefault="007444C9" w:rsidP="007444C9">
            <w:pPr>
              <w:spacing w:after="0"/>
              <w:rPr>
                <w:b w:val="0"/>
              </w:rPr>
            </w:pPr>
          </w:p>
        </w:tc>
        <w:tc>
          <w:tcPr>
            <w:tcW w:w="1418"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2018–19</w:t>
            </w:r>
          </w:p>
        </w:tc>
        <w:tc>
          <w:tcPr>
            <w:tcW w:w="2126"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3883</w:t>
            </w:r>
          </w:p>
        </w:tc>
        <w:tc>
          <w:tcPr>
            <w:tcW w:w="2977"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211 (5.4%)</w:t>
            </w:r>
          </w:p>
        </w:tc>
      </w:tr>
      <w:tr w:rsidR="007444C9" w:rsidTr="009D4A22">
        <w:tc>
          <w:tcPr>
            <w:cnfStyle w:val="001000000000" w:firstRow="0" w:lastRow="0" w:firstColumn="1" w:lastColumn="0" w:oddVBand="0" w:evenVBand="0" w:oddHBand="0" w:evenHBand="0" w:firstRowFirstColumn="0" w:firstRowLastColumn="0" w:lastRowFirstColumn="0" w:lastRowLastColumn="0"/>
            <w:tcW w:w="2410" w:type="dxa"/>
            <w:vMerge/>
          </w:tcPr>
          <w:p w:rsidR="007444C9" w:rsidRPr="00F80EF7" w:rsidRDefault="007444C9" w:rsidP="007444C9">
            <w:pPr>
              <w:spacing w:after="0"/>
              <w:rPr>
                <w:b w:val="0"/>
              </w:rPr>
            </w:pPr>
          </w:p>
        </w:tc>
        <w:tc>
          <w:tcPr>
            <w:tcW w:w="1418"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2019–20</w:t>
            </w:r>
          </w:p>
        </w:tc>
        <w:tc>
          <w:tcPr>
            <w:tcW w:w="2126"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3699</w:t>
            </w:r>
          </w:p>
        </w:tc>
        <w:tc>
          <w:tcPr>
            <w:tcW w:w="2977"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193 (</w:t>
            </w:r>
            <w:r w:rsidRPr="00281790">
              <w:t>5.2</w:t>
            </w:r>
            <w:r>
              <w:t>%)</w:t>
            </w:r>
          </w:p>
        </w:tc>
      </w:tr>
      <w:tr w:rsidR="007444C9" w:rsidTr="009D4A22">
        <w:tc>
          <w:tcPr>
            <w:cnfStyle w:val="001000000000" w:firstRow="0" w:lastRow="0" w:firstColumn="1" w:lastColumn="0" w:oddVBand="0" w:evenVBand="0" w:oddHBand="0" w:evenHBand="0" w:firstRowFirstColumn="0" w:firstRowLastColumn="0" w:lastRowFirstColumn="0" w:lastRowLastColumn="0"/>
            <w:tcW w:w="2410" w:type="dxa"/>
            <w:vMerge w:val="restart"/>
          </w:tcPr>
          <w:p w:rsidR="007444C9" w:rsidRDefault="007444C9" w:rsidP="007444C9">
            <w:pPr>
              <w:spacing w:after="0"/>
              <w:rPr>
                <w:b w:val="0"/>
              </w:rPr>
            </w:pPr>
            <w:r>
              <w:rPr>
                <w:b w:val="0"/>
              </w:rPr>
              <w:t>Weighing instruments</w:t>
            </w:r>
            <w:r>
              <w:rPr>
                <w:b w:val="0"/>
              </w:rPr>
              <w:br/>
              <w:t>(30 kg to 3 tonnes)</w:t>
            </w:r>
          </w:p>
        </w:tc>
        <w:tc>
          <w:tcPr>
            <w:tcW w:w="1418"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2015–16</w:t>
            </w:r>
          </w:p>
        </w:tc>
        <w:tc>
          <w:tcPr>
            <w:tcW w:w="2126"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364</w:t>
            </w:r>
          </w:p>
        </w:tc>
        <w:tc>
          <w:tcPr>
            <w:tcW w:w="2977"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16 (4.4%)</w:t>
            </w:r>
          </w:p>
        </w:tc>
      </w:tr>
      <w:tr w:rsidR="007444C9" w:rsidTr="009D4A22">
        <w:tc>
          <w:tcPr>
            <w:cnfStyle w:val="001000000000" w:firstRow="0" w:lastRow="0" w:firstColumn="1" w:lastColumn="0" w:oddVBand="0" w:evenVBand="0" w:oddHBand="0" w:evenHBand="0" w:firstRowFirstColumn="0" w:firstRowLastColumn="0" w:lastRowFirstColumn="0" w:lastRowLastColumn="0"/>
            <w:tcW w:w="2410" w:type="dxa"/>
            <w:vMerge/>
          </w:tcPr>
          <w:p w:rsidR="007444C9" w:rsidRPr="00F80EF7" w:rsidRDefault="007444C9" w:rsidP="007444C9">
            <w:pPr>
              <w:spacing w:after="0"/>
              <w:rPr>
                <w:b w:val="0"/>
              </w:rPr>
            </w:pPr>
          </w:p>
        </w:tc>
        <w:tc>
          <w:tcPr>
            <w:tcW w:w="1418"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2016–17</w:t>
            </w:r>
          </w:p>
        </w:tc>
        <w:tc>
          <w:tcPr>
            <w:tcW w:w="2126"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475</w:t>
            </w:r>
          </w:p>
        </w:tc>
        <w:tc>
          <w:tcPr>
            <w:tcW w:w="2977"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23 (4.8%)</w:t>
            </w:r>
          </w:p>
        </w:tc>
      </w:tr>
      <w:tr w:rsidR="007444C9" w:rsidTr="009D4A22">
        <w:tc>
          <w:tcPr>
            <w:cnfStyle w:val="001000000000" w:firstRow="0" w:lastRow="0" w:firstColumn="1" w:lastColumn="0" w:oddVBand="0" w:evenVBand="0" w:oddHBand="0" w:evenHBand="0" w:firstRowFirstColumn="0" w:firstRowLastColumn="0" w:lastRowFirstColumn="0" w:lastRowLastColumn="0"/>
            <w:tcW w:w="2410" w:type="dxa"/>
            <w:vMerge/>
          </w:tcPr>
          <w:p w:rsidR="007444C9" w:rsidRPr="00F80EF7" w:rsidRDefault="007444C9" w:rsidP="007444C9">
            <w:pPr>
              <w:spacing w:after="0"/>
              <w:rPr>
                <w:b w:val="0"/>
              </w:rPr>
            </w:pPr>
          </w:p>
        </w:tc>
        <w:tc>
          <w:tcPr>
            <w:tcW w:w="1418"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2017–18</w:t>
            </w:r>
          </w:p>
        </w:tc>
        <w:tc>
          <w:tcPr>
            <w:tcW w:w="2126"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346</w:t>
            </w:r>
          </w:p>
        </w:tc>
        <w:tc>
          <w:tcPr>
            <w:tcW w:w="2977"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18 (5.2%)</w:t>
            </w:r>
          </w:p>
        </w:tc>
      </w:tr>
      <w:tr w:rsidR="007444C9" w:rsidTr="009D4A22">
        <w:tc>
          <w:tcPr>
            <w:cnfStyle w:val="001000000000" w:firstRow="0" w:lastRow="0" w:firstColumn="1" w:lastColumn="0" w:oddVBand="0" w:evenVBand="0" w:oddHBand="0" w:evenHBand="0" w:firstRowFirstColumn="0" w:firstRowLastColumn="0" w:lastRowFirstColumn="0" w:lastRowLastColumn="0"/>
            <w:tcW w:w="2410" w:type="dxa"/>
            <w:vMerge/>
          </w:tcPr>
          <w:p w:rsidR="007444C9" w:rsidRPr="00F80EF7" w:rsidRDefault="007444C9" w:rsidP="007444C9">
            <w:pPr>
              <w:spacing w:after="0"/>
              <w:rPr>
                <w:b w:val="0"/>
              </w:rPr>
            </w:pPr>
          </w:p>
        </w:tc>
        <w:tc>
          <w:tcPr>
            <w:tcW w:w="1418"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2018–19</w:t>
            </w:r>
          </w:p>
        </w:tc>
        <w:tc>
          <w:tcPr>
            <w:tcW w:w="2126"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298</w:t>
            </w:r>
          </w:p>
        </w:tc>
        <w:tc>
          <w:tcPr>
            <w:tcW w:w="2977"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13 (4.4%)</w:t>
            </w:r>
          </w:p>
        </w:tc>
      </w:tr>
      <w:tr w:rsidR="007444C9" w:rsidTr="009D4A22">
        <w:tc>
          <w:tcPr>
            <w:cnfStyle w:val="001000000000" w:firstRow="0" w:lastRow="0" w:firstColumn="1" w:lastColumn="0" w:oddVBand="0" w:evenVBand="0" w:oddHBand="0" w:evenHBand="0" w:firstRowFirstColumn="0" w:firstRowLastColumn="0" w:lastRowFirstColumn="0" w:lastRowLastColumn="0"/>
            <w:tcW w:w="2410" w:type="dxa"/>
            <w:vMerge/>
          </w:tcPr>
          <w:p w:rsidR="007444C9" w:rsidRPr="00F80EF7" w:rsidRDefault="007444C9" w:rsidP="007444C9">
            <w:pPr>
              <w:spacing w:after="0"/>
              <w:rPr>
                <w:b w:val="0"/>
              </w:rPr>
            </w:pPr>
          </w:p>
        </w:tc>
        <w:tc>
          <w:tcPr>
            <w:tcW w:w="1418"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2019–20</w:t>
            </w:r>
          </w:p>
        </w:tc>
        <w:tc>
          <w:tcPr>
            <w:tcW w:w="2126"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179</w:t>
            </w:r>
          </w:p>
        </w:tc>
        <w:tc>
          <w:tcPr>
            <w:tcW w:w="2977"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5 (2.8%)</w:t>
            </w:r>
          </w:p>
        </w:tc>
      </w:tr>
      <w:tr w:rsidR="007444C9" w:rsidTr="009D4A22">
        <w:tc>
          <w:tcPr>
            <w:cnfStyle w:val="001000000000" w:firstRow="0" w:lastRow="0" w:firstColumn="1" w:lastColumn="0" w:oddVBand="0" w:evenVBand="0" w:oddHBand="0" w:evenHBand="0" w:firstRowFirstColumn="0" w:firstRowLastColumn="0" w:lastRowFirstColumn="0" w:lastRowLastColumn="0"/>
            <w:tcW w:w="2410" w:type="dxa"/>
            <w:vMerge w:val="restart"/>
          </w:tcPr>
          <w:p w:rsidR="007444C9" w:rsidRDefault="007444C9" w:rsidP="007444C9">
            <w:pPr>
              <w:spacing w:after="0"/>
              <w:rPr>
                <w:b w:val="0"/>
              </w:rPr>
            </w:pPr>
            <w:r>
              <w:rPr>
                <w:b w:val="0"/>
              </w:rPr>
              <w:t>Beverage dispensers</w:t>
            </w:r>
          </w:p>
        </w:tc>
        <w:tc>
          <w:tcPr>
            <w:tcW w:w="1418"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2015–16</w:t>
            </w:r>
          </w:p>
        </w:tc>
        <w:tc>
          <w:tcPr>
            <w:tcW w:w="2126"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865</w:t>
            </w:r>
          </w:p>
        </w:tc>
        <w:tc>
          <w:tcPr>
            <w:tcW w:w="2977"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35 (4</w:t>
            </w:r>
            <w:r w:rsidR="007558B0">
              <w:t>.0</w:t>
            </w:r>
            <w:r>
              <w:t>%)</w:t>
            </w:r>
          </w:p>
        </w:tc>
      </w:tr>
      <w:tr w:rsidR="007444C9" w:rsidTr="009D4A22">
        <w:tc>
          <w:tcPr>
            <w:cnfStyle w:val="001000000000" w:firstRow="0" w:lastRow="0" w:firstColumn="1" w:lastColumn="0" w:oddVBand="0" w:evenVBand="0" w:oddHBand="0" w:evenHBand="0" w:firstRowFirstColumn="0" w:firstRowLastColumn="0" w:lastRowFirstColumn="0" w:lastRowLastColumn="0"/>
            <w:tcW w:w="2410" w:type="dxa"/>
            <w:vMerge/>
          </w:tcPr>
          <w:p w:rsidR="007444C9" w:rsidRPr="00F80EF7" w:rsidRDefault="007444C9" w:rsidP="007444C9">
            <w:pPr>
              <w:spacing w:after="0"/>
              <w:rPr>
                <w:b w:val="0"/>
              </w:rPr>
            </w:pPr>
          </w:p>
        </w:tc>
        <w:tc>
          <w:tcPr>
            <w:tcW w:w="1418"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2016–17</w:t>
            </w:r>
          </w:p>
        </w:tc>
        <w:tc>
          <w:tcPr>
            <w:tcW w:w="2126"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945</w:t>
            </w:r>
          </w:p>
        </w:tc>
        <w:tc>
          <w:tcPr>
            <w:tcW w:w="2977"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62 (6.6%)</w:t>
            </w:r>
          </w:p>
        </w:tc>
      </w:tr>
      <w:tr w:rsidR="007444C9" w:rsidTr="009D4A22">
        <w:tc>
          <w:tcPr>
            <w:cnfStyle w:val="001000000000" w:firstRow="0" w:lastRow="0" w:firstColumn="1" w:lastColumn="0" w:oddVBand="0" w:evenVBand="0" w:oddHBand="0" w:evenHBand="0" w:firstRowFirstColumn="0" w:firstRowLastColumn="0" w:lastRowFirstColumn="0" w:lastRowLastColumn="0"/>
            <w:tcW w:w="2410" w:type="dxa"/>
            <w:vMerge/>
          </w:tcPr>
          <w:p w:rsidR="007444C9" w:rsidRPr="00F80EF7" w:rsidRDefault="007444C9" w:rsidP="007444C9">
            <w:pPr>
              <w:spacing w:after="0"/>
              <w:rPr>
                <w:b w:val="0"/>
              </w:rPr>
            </w:pPr>
          </w:p>
        </w:tc>
        <w:tc>
          <w:tcPr>
            <w:tcW w:w="1418"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2017–18</w:t>
            </w:r>
          </w:p>
        </w:tc>
        <w:tc>
          <w:tcPr>
            <w:tcW w:w="2126"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1113</w:t>
            </w:r>
          </w:p>
        </w:tc>
        <w:tc>
          <w:tcPr>
            <w:tcW w:w="2977"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34 (3.1%)</w:t>
            </w:r>
          </w:p>
        </w:tc>
      </w:tr>
      <w:tr w:rsidR="007444C9" w:rsidTr="009D4A22">
        <w:tc>
          <w:tcPr>
            <w:cnfStyle w:val="001000000000" w:firstRow="0" w:lastRow="0" w:firstColumn="1" w:lastColumn="0" w:oddVBand="0" w:evenVBand="0" w:oddHBand="0" w:evenHBand="0" w:firstRowFirstColumn="0" w:firstRowLastColumn="0" w:lastRowFirstColumn="0" w:lastRowLastColumn="0"/>
            <w:tcW w:w="2410" w:type="dxa"/>
            <w:vMerge/>
          </w:tcPr>
          <w:p w:rsidR="007444C9" w:rsidRPr="00F80EF7" w:rsidRDefault="007444C9" w:rsidP="007444C9">
            <w:pPr>
              <w:spacing w:after="0"/>
              <w:rPr>
                <w:b w:val="0"/>
              </w:rPr>
            </w:pPr>
          </w:p>
        </w:tc>
        <w:tc>
          <w:tcPr>
            <w:tcW w:w="1418"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2018–19</w:t>
            </w:r>
          </w:p>
        </w:tc>
        <w:tc>
          <w:tcPr>
            <w:tcW w:w="2126"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401</w:t>
            </w:r>
          </w:p>
        </w:tc>
        <w:tc>
          <w:tcPr>
            <w:tcW w:w="2977"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16 (4.0%)</w:t>
            </w:r>
          </w:p>
        </w:tc>
      </w:tr>
      <w:tr w:rsidR="007444C9" w:rsidTr="009D4A22">
        <w:tc>
          <w:tcPr>
            <w:cnfStyle w:val="001000000000" w:firstRow="0" w:lastRow="0" w:firstColumn="1" w:lastColumn="0" w:oddVBand="0" w:evenVBand="0" w:oddHBand="0" w:evenHBand="0" w:firstRowFirstColumn="0" w:firstRowLastColumn="0" w:lastRowFirstColumn="0" w:lastRowLastColumn="0"/>
            <w:tcW w:w="2410" w:type="dxa"/>
            <w:vMerge/>
          </w:tcPr>
          <w:p w:rsidR="007444C9" w:rsidRPr="00F80EF7" w:rsidRDefault="007444C9" w:rsidP="007444C9">
            <w:pPr>
              <w:spacing w:after="0"/>
              <w:rPr>
                <w:b w:val="0"/>
              </w:rPr>
            </w:pPr>
          </w:p>
        </w:tc>
        <w:tc>
          <w:tcPr>
            <w:tcW w:w="1418"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2019–20</w:t>
            </w:r>
          </w:p>
        </w:tc>
        <w:tc>
          <w:tcPr>
            <w:tcW w:w="2126"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1486</w:t>
            </w:r>
          </w:p>
        </w:tc>
        <w:tc>
          <w:tcPr>
            <w:tcW w:w="2977" w:type="dxa"/>
          </w:tcPr>
          <w:p w:rsidR="007444C9" w:rsidRDefault="007444C9" w:rsidP="007444C9">
            <w:pPr>
              <w:spacing w:after="0"/>
              <w:jc w:val="center"/>
              <w:cnfStyle w:val="000000000000" w:firstRow="0" w:lastRow="0" w:firstColumn="0" w:lastColumn="0" w:oddVBand="0" w:evenVBand="0" w:oddHBand="0" w:evenHBand="0" w:firstRowFirstColumn="0" w:firstRowLastColumn="0" w:lastRowFirstColumn="0" w:lastRowLastColumn="0"/>
            </w:pPr>
            <w:r>
              <w:t>61 (4.1%)</w:t>
            </w:r>
          </w:p>
        </w:tc>
      </w:tr>
    </w:tbl>
    <w:p w:rsidR="00464EAD" w:rsidRDefault="00464EAD" w:rsidP="003A0F3F">
      <w:pPr>
        <w:pStyle w:val="Heading2"/>
        <w:rPr>
          <w:rStyle w:val="Tabletitle"/>
          <w:bCs w:val="0"/>
        </w:rPr>
      </w:pPr>
      <w:r>
        <w:rPr>
          <w:rStyle w:val="Tabletitle"/>
        </w:rPr>
        <w:br w:type="page"/>
      </w:r>
    </w:p>
    <w:p w:rsidR="00814D94" w:rsidRPr="003A0F3F" w:rsidRDefault="00464EAD" w:rsidP="003A0F3F">
      <w:pPr>
        <w:pStyle w:val="Heading2"/>
      </w:pPr>
      <w:bookmarkStart w:id="26" w:name="_Toc52367992"/>
      <w:r w:rsidRPr="003A0F3F">
        <w:rPr>
          <w:rStyle w:val="Tabletitle"/>
          <w:b/>
        </w:rPr>
        <w:lastRenderedPageBreak/>
        <w:t>Compliance</w:t>
      </w:r>
      <w:r w:rsidR="00814D94" w:rsidRPr="003A0F3F">
        <w:rPr>
          <w:rStyle w:val="Tabletitle"/>
          <w:b/>
        </w:rPr>
        <w:t xml:space="preserve"> of </w:t>
      </w:r>
      <w:r w:rsidR="005E5D33" w:rsidRPr="003A0F3F">
        <w:rPr>
          <w:rStyle w:val="Tabletitle"/>
          <w:b/>
        </w:rPr>
        <w:t>R</w:t>
      </w:r>
      <w:r w:rsidR="00814D94" w:rsidRPr="003A0F3F">
        <w:rPr>
          <w:rStyle w:val="Tabletitle"/>
          <w:b/>
        </w:rPr>
        <w:t xml:space="preserve">etail </w:t>
      </w:r>
      <w:r w:rsidR="005E5D33" w:rsidRPr="003A0F3F">
        <w:rPr>
          <w:rStyle w:val="Tabletitle"/>
          <w:b/>
        </w:rPr>
        <w:t>F</w:t>
      </w:r>
      <w:r w:rsidR="00814D94" w:rsidRPr="003A0F3F">
        <w:rPr>
          <w:rStyle w:val="Tabletitle"/>
          <w:b/>
        </w:rPr>
        <w:t xml:space="preserve">uel </w:t>
      </w:r>
      <w:r w:rsidR="005E5D33" w:rsidRPr="003A0F3F">
        <w:rPr>
          <w:rStyle w:val="Tabletitle"/>
          <w:b/>
        </w:rPr>
        <w:t>D</w:t>
      </w:r>
      <w:r w:rsidR="00814D94" w:rsidRPr="003A0F3F">
        <w:rPr>
          <w:rStyle w:val="Tabletitle"/>
          <w:b/>
        </w:rPr>
        <w:t>ispensers</w:t>
      </w:r>
      <w:bookmarkEnd w:id="26"/>
      <w:r w:rsidR="00814D94" w:rsidRPr="003A0F3F">
        <w:t xml:space="preserve"> </w:t>
      </w:r>
    </w:p>
    <w:p w:rsidR="000A0A9B" w:rsidRPr="00F52BF6" w:rsidRDefault="000A0A9B" w:rsidP="005B043E">
      <w:r w:rsidRPr="00F52BF6">
        <w:t>Of 3699 fuel dispensers tested in 2019</w:t>
      </w:r>
      <w:r w:rsidR="00942D30">
        <w:t>–</w:t>
      </w:r>
      <w:r w:rsidRPr="00F52BF6">
        <w:t>20, 191 (5.2 per cent) were delivering more fuel than indicated on the display to the benefit of consumers while 193 (5.2 per cent) were delivering less fuel.</w:t>
      </w:r>
    </w:p>
    <w:p w:rsidR="00D65C88" w:rsidRPr="00F52BF6" w:rsidRDefault="006219FF" w:rsidP="005B043E">
      <w:r w:rsidRPr="00F52BF6">
        <w:t>T</w:t>
      </w:r>
      <w:r w:rsidR="0000239B" w:rsidRPr="00F52BF6">
        <w:t xml:space="preserve">he </w:t>
      </w:r>
      <w:r w:rsidR="00D3474A" w:rsidRPr="00F52BF6">
        <w:t xml:space="preserve">great majority of dispensers inaccurate to consumer disadvantage were inaccurate in the range of one to three times </w:t>
      </w:r>
      <w:r w:rsidR="00F52BF6" w:rsidRPr="00F52BF6">
        <w:t>the maximum permissible error of 0.3 per cent. This equates to</w:t>
      </w:r>
      <w:r w:rsidR="00D3474A" w:rsidRPr="00F52BF6">
        <w:t xml:space="preserve"> between 30 cents and 90 cents for every $100 of fuel delivered. </w:t>
      </w:r>
      <w:r w:rsidR="00F52BF6" w:rsidRPr="00F52BF6">
        <w:t xml:space="preserve">While this is relatively small sum for an individual consumer, if applied to 5.2 per cent of all fuel sales in the year it amounts to between $4m and $12m. </w:t>
      </w:r>
    </w:p>
    <w:p w:rsidR="00F80EF7" w:rsidRDefault="00391EA4" w:rsidP="005B043E">
      <w:r>
        <w:t xml:space="preserve">NMI will </w:t>
      </w:r>
      <w:r w:rsidR="004E5DD9">
        <w:t>continue to closely assess trade measurement compliance at</w:t>
      </w:r>
      <w:r>
        <w:t xml:space="preserve"> retail fuel sites as part of its </w:t>
      </w:r>
      <w:hyperlink r:id="rId18" w:history="1">
        <w:r w:rsidR="00F80EF7" w:rsidRPr="006B39A3">
          <w:rPr>
            <w:rStyle w:val="Hyperlink"/>
          </w:rPr>
          <w:t xml:space="preserve">National Compliance Plan for </w:t>
        </w:r>
        <w:r w:rsidR="00CE628A" w:rsidRPr="006B39A3">
          <w:rPr>
            <w:rStyle w:val="Hyperlink"/>
          </w:rPr>
          <w:t>20</w:t>
        </w:r>
        <w:r w:rsidR="00CE628A">
          <w:rPr>
            <w:rStyle w:val="Hyperlink"/>
          </w:rPr>
          <w:t>20</w:t>
        </w:r>
        <w:r w:rsidR="00CE66EF">
          <w:rPr>
            <w:rStyle w:val="Hyperlink"/>
          </w:rPr>
          <w:t>–</w:t>
        </w:r>
        <w:r>
          <w:rPr>
            <w:rStyle w:val="Hyperlink"/>
          </w:rPr>
          <w:t>2</w:t>
        </w:r>
        <w:r w:rsidR="00CE628A">
          <w:rPr>
            <w:rStyle w:val="Hyperlink"/>
          </w:rPr>
          <w:t>1</w:t>
        </w:r>
      </w:hyperlink>
      <w:r w:rsidR="00F80EF7">
        <w:rPr>
          <w:rStyle w:val="FootnoteReference"/>
        </w:rPr>
        <w:footnoteReference w:id="5"/>
      </w:r>
      <w:r w:rsidR="00F80EF7">
        <w:t>.</w:t>
      </w:r>
    </w:p>
    <w:tbl>
      <w:tblPr>
        <w:tblStyle w:val="Style1"/>
        <w:tblpPr w:leftFromText="181" w:rightFromText="181" w:bottomFromText="425" w:vertAnchor="text" w:tblpY="1"/>
        <w:tblOverlap w:val="never"/>
        <w:tblW w:w="8931" w:type="dxa"/>
        <w:tblLook w:val="04A0" w:firstRow="1" w:lastRow="0" w:firstColumn="1" w:lastColumn="0" w:noHBand="0" w:noVBand="1"/>
        <w:tblDescription w:val="This table lists fuel compliance and enforcement in previous years."/>
      </w:tblPr>
      <w:tblGrid>
        <w:gridCol w:w="1560"/>
        <w:gridCol w:w="2126"/>
        <w:gridCol w:w="2551"/>
        <w:gridCol w:w="2694"/>
      </w:tblGrid>
      <w:tr w:rsidR="0000239B" w:rsidTr="00D64016">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560" w:type="dxa"/>
          </w:tcPr>
          <w:p w:rsidR="0000239B" w:rsidRDefault="0000239B" w:rsidP="0097221E">
            <w:pPr>
              <w:spacing w:after="0"/>
            </w:pPr>
            <w:r>
              <w:t>Year</w:t>
            </w:r>
          </w:p>
        </w:tc>
        <w:tc>
          <w:tcPr>
            <w:tcW w:w="2126" w:type="dxa"/>
          </w:tcPr>
          <w:p w:rsidR="0000239B" w:rsidRDefault="004171A2" w:rsidP="004171A2">
            <w:pPr>
              <w:spacing w:after="0"/>
              <w:jc w:val="center"/>
              <w:cnfStyle w:val="100000000000" w:firstRow="1" w:lastRow="0" w:firstColumn="0" w:lastColumn="0" w:oddVBand="0" w:evenVBand="0" w:oddHBand="0" w:evenHBand="0" w:firstRowFirstColumn="0" w:firstRowLastColumn="0" w:lastRowFirstColumn="0" w:lastRowLastColumn="0"/>
            </w:pPr>
            <w:r>
              <w:t>Petrol and diesel d</w:t>
            </w:r>
            <w:r w:rsidR="0000239B">
              <w:t>ispensers tested</w:t>
            </w:r>
          </w:p>
        </w:tc>
        <w:tc>
          <w:tcPr>
            <w:tcW w:w="2551" w:type="dxa"/>
          </w:tcPr>
          <w:p w:rsidR="0000239B" w:rsidRDefault="00F875C8" w:rsidP="00F875C8">
            <w:pPr>
              <w:spacing w:after="0"/>
              <w:jc w:val="center"/>
              <w:cnfStyle w:val="100000000000" w:firstRow="1" w:lastRow="0" w:firstColumn="0" w:lastColumn="0" w:oddVBand="0" w:evenVBand="0" w:oddHBand="0" w:evenHBand="0" w:firstRowFirstColumn="0" w:firstRowLastColumn="0" w:lastRowFirstColumn="0" w:lastRowLastColumn="0"/>
            </w:pPr>
            <w:r>
              <w:t>Inaccurate</w:t>
            </w:r>
            <w:r>
              <w:br/>
              <w:t>(</w:t>
            </w:r>
            <w:r w:rsidR="0000239B">
              <w:t>consumer advantage</w:t>
            </w:r>
            <w:r>
              <w:t>)</w:t>
            </w:r>
          </w:p>
        </w:tc>
        <w:tc>
          <w:tcPr>
            <w:tcW w:w="2694" w:type="dxa"/>
          </w:tcPr>
          <w:p w:rsidR="0000239B" w:rsidRDefault="0000239B" w:rsidP="00F875C8">
            <w:pPr>
              <w:spacing w:after="0"/>
              <w:jc w:val="center"/>
              <w:cnfStyle w:val="100000000000" w:firstRow="1" w:lastRow="0" w:firstColumn="0" w:lastColumn="0" w:oddVBand="0" w:evenVBand="0" w:oddHBand="0" w:evenHBand="0" w:firstRowFirstColumn="0" w:firstRowLastColumn="0" w:lastRowFirstColumn="0" w:lastRowLastColumn="0"/>
            </w:pPr>
            <w:r>
              <w:t>Inaccurate</w:t>
            </w:r>
            <w:r w:rsidR="00F875C8">
              <w:br/>
              <w:t>(</w:t>
            </w:r>
            <w:r>
              <w:t>consumer disadvantage</w:t>
            </w:r>
            <w:r w:rsidR="00F875C8">
              <w:t>)</w:t>
            </w:r>
          </w:p>
        </w:tc>
      </w:tr>
      <w:tr w:rsidR="0000239B" w:rsidTr="00D64016">
        <w:tc>
          <w:tcPr>
            <w:cnfStyle w:val="001000000000" w:firstRow="0" w:lastRow="0" w:firstColumn="1" w:lastColumn="0" w:oddVBand="0" w:evenVBand="0" w:oddHBand="0" w:evenHBand="0" w:firstRowFirstColumn="0" w:firstRowLastColumn="0" w:lastRowFirstColumn="0" w:lastRowLastColumn="0"/>
            <w:tcW w:w="1560" w:type="dxa"/>
          </w:tcPr>
          <w:p w:rsidR="0000239B" w:rsidRPr="00F80EF7" w:rsidRDefault="0000239B" w:rsidP="0097221E">
            <w:pPr>
              <w:spacing w:after="0"/>
              <w:rPr>
                <w:b w:val="0"/>
              </w:rPr>
            </w:pPr>
            <w:r w:rsidRPr="00F80EF7">
              <w:rPr>
                <w:b w:val="0"/>
              </w:rPr>
              <w:t>2015</w:t>
            </w:r>
            <w:r w:rsidR="00CE66EF">
              <w:rPr>
                <w:b w:val="0"/>
              </w:rPr>
              <w:t>–</w:t>
            </w:r>
            <w:r w:rsidRPr="00F80EF7">
              <w:rPr>
                <w:b w:val="0"/>
              </w:rPr>
              <w:t>16</w:t>
            </w:r>
          </w:p>
        </w:tc>
        <w:tc>
          <w:tcPr>
            <w:tcW w:w="2126" w:type="dxa"/>
          </w:tcPr>
          <w:p w:rsidR="0000239B" w:rsidRDefault="0000239B" w:rsidP="003A0F3F">
            <w:pPr>
              <w:spacing w:after="0"/>
              <w:jc w:val="center"/>
              <w:cnfStyle w:val="000000000000" w:firstRow="0" w:lastRow="0" w:firstColumn="0" w:lastColumn="0" w:oddVBand="0" w:evenVBand="0" w:oddHBand="0" w:evenHBand="0" w:firstRowFirstColumn="0" w:firstRowLastColumn="0" w:lastRowFirstColumn="0" w:lastRowLastColumn="0"/>
            </w:pPr>
            <w:r>
              <w:t>292</w:t>
            </w:r>
            <w:r w:rsidR="003A0F3F">
              <w:t>3</w:t>
            </w:r>
          </w:p>
        </w:tc>
        <w:tc>
          <w:tcPr>
            <w:tcW w:w="2551" w:type="dxa"/>
          </w:tcPr>
          <w:p w:rsidR="0000239B" w:rsidRDefault="0000239B" w:rsidP="00773150">
            <w:pPr>
              <w:spacing w:after="0"/>
              <w:jc w:val="center"/>
              <w:cnfStyle w:val="000000000000" w:firstRow="0" w:lastRow="0" w:firstColumn="0" w:lastColumn="0" w:oddVBand="0" w:evenVBand="0" w:oddHBand="0" w:evenHBand="0" w:firstRowFirstColumn="0" w:firstRowLastColumn="0" w:lastRowFirstColumn="0" w:lastRowLastColumn="0"/>
            </w:pPr>
            <w:r>
              <w:t>1</w:t>
            </w:r>
            <w:r w:rsidR="00773150">
              <w:t>40</w:t>
            </w:r>
            <w:r>
              <w:t xml:space="preserve"> (4</w:t>
            </w:r>
            <w:r w:rsidR="00D350A8">
              <w:t>.</w:t>
            </w:r>
            <w:r w:rsidR="00773150">
              <w:t>8</w:t>
            </w:r>
            <w:r>
              <w:t>%)</w:t>
            </w:r>
          </w:p>
        </w:tc>
        <w:tc>
          <w:tcPr>
            <w:tcW w:w="2694" w:type="dxa"/>
          </w:tcPr>
          <w:p w:rsidR="0000239B" w:rsidRDefault="00773150" w:rsidP="00773150">
            <w:pPr>
              <w:spacing w:after="0"/>
              <w:jc w:val="center"/>
              <w:cnfStyle w:val="000000000000" w:firstRow="0" w:lastRow="0" w:firstColumn="0" w:lastColumn="0" w:oddVBand="0" w:evenVBand="0" w:oddHBand="0" w:evenHBand="0" w:firstRowFirstColumn="0" w:firstRowLastColumn="0" w:lastRowFirstColumn="0" w:lastRowLastColumn="0"/>
            </w:pPr>
            <w:r>
              <w:t>85</w:t>
            </w:r>
            <w:r w:rsidR="0000239B">
              <w:t xml:space="preserve"> (2.</w:t>
            </w:r>
            <w:r>
              <w:t>9</w:t>
            </w:r>
            <w:r w:rsidR="0000239B">
              <w:t>%)</w:t>
            </w:r>
          </w:p>
        </w:tc>
      </w:tr>
      <w:tr w:rsidR="0000239B" w:rsidTr="00D64016">
        <w:tc>
          <w:tcPr>
            <w:cnfStyle w:val="001000000000" w:firstRow="0" w:lastRow="0" w:firstColumn="1" w:lastColumn="0" w:oddVBand="0" w:evenVBand="0" w:oddHBand="0" w:evenHBand="0" w:firstRowFirstColumn="0" w:firstRowLastColumn="0" w:lastRowFirstColumn="0" w:lastRowLastColumn="0"/>
            <w:tcW w:w="1560" w:type="dxa"/>
          </w:tcPr>
          <w:p w:rsidR="0000239B" w:rsidRPr="00F80EF7" w:rsidRDefault="0000239B" w:rsidP="0097221E">
            <w:pPr>
              <w:spacing w:after="0"/>
              <w:rPr>
                <w:b w:val="0"/>
              </w:rPr>
            </w:pPr>
            <w:r w:rsidRPr="00F80EF7">
              <w:rPr>
                <w:b w:val="0"/>
              </w:rPr>
              <w:t>2016</w:t>
            </w:r>
            <w:r w:rsidR="00CE66EF">
              <w:rPr>
                <w:b w:val="0"/>
              </w:rPr>
              <w:t>–</w:t>
            </w:r>
            <w:r w:rsidRPr="00F80EF7">
              <w:rPr>
                <w:b w:val="0"/>
              </w:rPr>
              <w:t>17</w:t>
            </w:r>
          </w:p>
        </w:tc>
        <w:tc>
          <w:tcPr>
            <w:tcW w:w="2126" w:type="dxa"/>
          </w:tcPr>
          <w:p w:rsidR="0000239B" w:rsidRDefault="0000239B" w:rsidP="00773150">
            <w:pPr>
              <w:spacing w:after="0"/>
              <w:jc w:val="center"/>
              <w:cnfStyle w:val="000000000000" w:firstRow="0" w:lastRow="0" w:firstColumn="0" w:lastColumn="0" w:oddVBand="0" w:evenVBand="0" w:oddHBand="0" w:evenHBand="0" w:firstRowFirstColumn="0" w:firstRowLastColumn="0" w:lastRowFirstColumn="0" w:lastRowLastColumn="0"/>
            </w:pPr>
            <w:r>
              <w:t>1</w:t>
            </w:r>
            <w:r w:rsidR="00773150">
              <w:t>260</w:t>
            </w:r>
          </w:p>
        </w:tc>
        <w:tc>
          <w:tcPr>
            <w:tcW w:w="2551" w:type="dxa"/>
          </w:tcPr>
          <w:p w:rsidR="0000239B" w:rsidRDefault="00814D94" w:rsidP="00773150">
            <w:pPr>
              <w:spacing w:after="0"/>
              <w:jc w:val="center"/>
              <w:cnfStyle w:val="000000000000" w:firstRow="0" w:lastRow="0" w:firstColumn="0" w:lastColumn="0" w:oddVBand="0" w:evenVBand="0" w:oddHBand="0" w:evenHBand="0" w:firstRowFirstColumn="0" w:firstRowLastColumn="0" w:lastRowFirstColumn="0" w:lastRowLastColumn="0"/>
            </w:pPr>
            <w:r>
              <w:t>51 (</w:t>
            </w:r>
            <w:r w:rsidR="00773150">
              <w:t>4.0</w:t>
            </w:r>
            <w:r>
              <w:t>%)</w:t>
            </w:r>
          </w:p>
        </w:tc>
        <w:tc>
          <w:tcPr>
            <w:tcW w:w="2694" w:type="dxa"/>
          </w:tcPr>
          <w:p w:rsidR="0000239B" w:rsidRDefault="0000239B" w:rsidP="00773150">
            <w:pPr>
              <w:spacing w:after="0"/>
              <w:jc w:val="center"/>
              <w:cnfStyle w:val="000000000000" w:firstRow="0" w:lastRow="0" w:firstColumn="0" w:lastColumn="0" w:oddVBand="0" w:evenVBand="0" w:oddHBand="0" w:evenHBand="0" w:firstRowFirstColumn="0" w:firstRowLastColumn="0" w:lastRowFirstColumn="0" w:lastRowLastColumn="0"/>
            </w:pPr>
            <w:r>
              <w:t>54 (</w:t>
            </w:r>
            <w:r w:rsidR="00773150">
              <w:t>4.3</w:t>
            </w:r>
            <w:r>
              <w:t>%)</w:t>
            </w:r>
          </w:p>
        </w:tc>
      </w:tr>
      <w:tr w:rsidR="0000239B" w:rsidTr="00D64016">
        <w:tc>
          <w:tcPr>
            <w:cnfStyle w:val="001000000000" w:firstRow="0" w:lastRow="0" w:firstColumn="1" w:lastColumn="0" w:oddVBand="0" w:evenVBand="0" w:oddHBand="0" w:evenHBand="0" w:firstRowFirstColumn="0" w:firstRowLastColumn="0" w:lastRowFirstColumn="0" w:lastRowLastColumn="0"/>
            <w:tcW w:w="1560" w:type="dxa"/>
          </w:tcPr>
          <w:p w:rsidR="0000239B" w:rsidRPr="00F80EF7" w:rsidRDefault="0000239B" w:rsidP="0097221E">
            <w:pPr>
              <w:spacing w:after="0"/>
              <w:rPr>
                <w:b w:val="0"/>
              </w:rPr>
            </w:pPr>
            <w:r w:rsidRPr="00F80EF7">
              <w:rPr>
                <w:b w:val="0"/>
              </w:rPr>
              <w:t>2017</w:t>
            </w:r>
            <w:r w:rsidR="00CE66EF">
              <w:rPr>
                <w:b w:val="0"/>
              </w:rPr>
              <w:t>–</w:t>
            </w:r>
            <w:r w:rsidRPr="00F80EF7">
              <w:rPr>
                <w:b w:val="0"/>
              </w:rPr>
              <w:t>18</w:t>
            </w:r>
          </w:p>
        </w:tc>
        <w:tc>
          <w:tcPr>
            <w:tcW w:w="2126" w:type="dxa"/>
          </w:tcPr>
          <w:p w:rsidR="0000239B" w:rsidRDefault="00773150" w:rsidP="0000239B">
            <w:pPr>
              <w:spacing w:after="0"/>
              <w:jc w:val="center"/>
              <w:cnfStyle w:val="000000000000" w:firstRow="0" w:lastRow="0" w:firstColumn="0" w:lastColumn="0" w:oddVBand="0" w:evenVBand="0" w:oddHBand="0" w:evenHBand="0" w:firstRowFirstColumn="0" w:firstRowLastColumn="0" w:lastRowFirstColumn="0" w:lastRowLastColumn="0"/>
            </w:pPr>
            <w:r>
              <w:t>1434</w:t>
            </w:r>
          </w:p>
        </w:tc>
        <w:tc>
          <w:tcPr>
            <w:tcW w:w="2551" w:type="dxa"/>
          </w:tcPr>
          <w:p w:rsidR="0000239B" w:rsidRDefault="00773150" w:rsidP="00773150">
            <w:pPr>
              <w:spacing w:after="0"/>
              <w:jc w:val="center"/>
              <w:cnfStyle w:val="000000000000" w:firstRow="0" w:lastRow="0" w:firstColumn="0" w:lastColumn="0" w:oddVBand="0" w:evenVBand="0" w:oddHBand="0" w:evenHBand="0" w:firstRowFirstColumn="0" w:firstRowLastColumn="0" w:lastRowFirstColumn="0" w:lastRowLastColumn="0"/>
            </w:pPr>
            <w:r>
              <w:t>31</w:t>
            </w:r>
            <w:r w:rsidR="00814D94">
              <w:t xml:space="preserve"> (</w:t>
            </w:r>
            <w:r>
              <w:t>2.2</w:t>
            </w:r>
            <w:r w:rsidR="00814D94">
              <w:t>%)</w:t>
            </w:r>
          </w:p>
        </w:tc>
        <w:tc>
          <w:tcPr>
            <w:tcW w:w="2694" w:type="dxa"/>
          </w:tcPr>
          <w:p w:rsidR="0000239B" w:rsidRDefault="00773150" w:rsidP="00773150">
            <w:pPr>
              <w:spacing w:after="0"/>
              <w:jc w:val="center"/>
              <w:cnfStyle w:val="000000000000" w:firstRow="0" w:lastRow="0" w:firstColumn="0" w:lastColumn="0" w:oddVBand="0" w:evenVBand="0" w:oddHBand="0" w:evenHBand="0" w:firstRowFirstColumn="0" w:firstRowLastColumn="0" w:lastRowFirstColumn="0" w:lastRowLastColumn="0"/>
            </w:pPr>
            <w:r>
              <w:t>91</w:t>
            </w:r>
            <w:r w:rsidR="0000239B">
              <w:t xml:space="preserve"> (</w:t>
            </w:r>
            <w:r>
              <w:t>6.3</w:t>
            </w:r>
            <w:r w:rsidR="0000239B">
              <w:t>%)</w:t>
            </w:r>
          </w:p>
        </w:tc>
      </w:tr>
      <w:tr w:rsidR="002344E8" w:rsidTr="00D64016">
        <w:tc>
          <w:tcPr>
            <w:cnfStyle w:val="001000000000" w:firstRow="0" w:lastRow="0" w:firstColumn="1" w:lastColumn="0" w:oddVBand="0" w:evenVBand="0" w:oddHBand="0" w:evenHBand="0" w:firstRowFirstColumn="0" w:firstRowLastColumn="0" w:lastRowFirstColumn="0" w:lastRowLastColumn="0"/>
            <w:tcW w:w="1560" w:type="dxa"/>
          </w:tcPr>
          <w:p w:rsidR="002344E8" w:rsidRPr="00F80EF7" w:rsidRDefault="002344E8" w:rsidP="0097221E">
            <w:pPr>
              <w:spacing w:after="0"/>
              <w:rPr>
                <w:b w:val="0"/>
              </w:rPr>
            </w:pPr>
            <w:r>
              <w:rPr>
                <w:b w:val="0"/>
              </w:rPr>
              <w:t>2018</w:t>
            </w:r>
            <w:r w:rsidR="00CE66EF">
              <w:rPr>
                <w:b w:val="0"/>
              </w:rPr>
              <w:t>–</w:t>
            </w:r>
            <w:r>
              <w:rPr>
                <w:b w:val="0"/>
              </w:rPr>
              <w:t>19</w:t>
            </w:r>
          </w:p>
        </w:tc>
        <w:tc>
          <w:tcPr>
            <w:tcW w:w="2126" w:type="dxa"/>
          </w:tcPr>
          <w:p w:rsidR="002344E8" w:rsidRDefault="00773150" w:rsidP="0000239B">
            <w:pPr>
              <w:spacing w:after="0"/>
              <w:jc w:val="center"/>
              <w:cnfStyle w:val="000000000000" w:firstRow="0" w:lastRow="0" w:firstColumn="0" w:lastColumn="0" w:oddVBand="0" w:evenVBand="0" w:oddHBand="0" w:evenHBand="0" w:firstRowFirstColumn="0" w:firstRowLastColumn="0" w:lastRowFirstColumn="0" w:lastRowLastColumn="0"/>
            </w:pPr>
            <w:r>
              <w:t>3883</w:t>
            </w:r>
          </w:p>
        </w:tc>
        <w:tc>
          <w:tcPr>
            <w:tcW w:w="2551" w:type="dxa"/>
          </w:tcPr>
          <w:p w:rsidR="002344E8" w:rsidRDefault="00773150" w:rsidP="00773150">
            <w:pPr>
              <w:spacing w:after="0"/>
              <w:jc w:val="center"/>
              <w:cnfStyle w:val="000000000000" w:firstRow="0" w:lastRow="0" w:firstColumn="0" w:lastColumn="0" w:oddVBand="0" w:evenVBand="0" w:oddHBand="0" w:evenHBand="0" w:firstRowFirstColumn="0" w:firstRowLastColumn="0" w:lastRowFirstColumn="0" w:lastRowLastColumn="0"/>
            </w:pPr>
            <w:r>
              <w:t>157</w:t>
            </w:r>
            <w:r w:rsidR="002344E8">
              <w:t xml:space="preserve"> (</w:t>
            </w:r>
            <w:r>
              <w:t>4.0</w:t>
            </w:r>
            <w:r w:rsidR="002344E8">
              <w:t>%)</w:t>
            </w:r>
          </w:p>
        </w:tc>
        <w:tc>
          <w:tcPr>
            <w:tcW w:w="2694" w:type="dxa"/>
          </w:tcPr>
          <w:p w:rsidR="002344E8" w:rsidRDefault="002344E8" w:rsidP="00773150">
            <w:pPr>
              <w:spacing w:after="0"/>
              <w:jc w:val="center"/>
              <w:cnfStyle w:val="000000000000" w:firstRow="0" w:lastRow="0" w:firstColumn="0" w:lastColumn="0" w:oddVBand="0" w:evenVBand="0" w:oddHBand="0" w:evenHBand="0" w:firstRowFirstColumn="0" w:firstRowLastColumn="0" w:lastRowFirstColumn="0" w:lastRowLastColumn="0"/>
            </w:pPr>
            <w:r>
              <w:t>211 (</w:t>
            </w:r>
            <w:r w:rsidR="00773150">
              <w:t>5.4</w:t>
            </w:r>
            <w:r>
              <w:t>%)</w:t>
            </w:r>
          </w:p>
        </w:tc>
      </w:tr>
      <w:tr w:rsidR="00CE628A" w:rsidTr="00D64016">
        <w:tc>
          <w:tcPr>
            <w:cnfStyle w:val="001000000000" w:firstRow="0" w:lastRow="0" w:firstColumn="1" w:lastColumn="0" w:oddVBand="0" w:evenVBand="0" w:oddHBand="0" w:evenHBand="0" w:firstRowFirstColumn="0" w:firstRowLastColumn="0" w:lastRowFirstColumn="0" w:lastRowLastColumn="0"/>
            <w:tcW w:w="1560" w:type="dxa"/>
          </w:tcPr>
          <w:p w:rsidR="00CE628A" w:rsidRPr="00CE628A" w:rsidRDefault="00CE628A" w:rsidP="00CE628A">
            <w:pPr>
              <w:spacing w:after="0"/>
              <w:rPr>
                <w:b w:val="0"/>
              </w:rPr>
            </w:pPr>
            <w:r w:rsidRPr="00CE628A">
              <w:rPr>
                <w:rFonts w:cs="Arial"/>
                <w:b w:val="0"/>
                <w:color w:val="000000"/>
                <w:szCs w:val="20"/>
              </w:rPr>
              <w:t>2019–20</w:t>
            </w:r>
          </w:p>
        </w:tc>
        <w:tc>
          <w:tcPr>
            <w:tcW w:w="2126" w:type="dxa"/>
          </w:tcPr>
          <w:p w:rsidR="00CE628A" w:rsidRDefault="00CE628A" w:rsidP="00CE628A">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3699</w:t>
            </w:r>
          </w:p>
        </w:tc>
        <w:tc>
          <w:tcPr>
            <w:tcW w:w="2551" w:type="dxa"/>
          </w:tcPr>
          <w:p w:rsidR="00CE628A" w:rsidRDefault="00CE628A" w:rsidP="00CE628A">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191 (5.2%)</w:t>
            </w:r>
          </w:p>
        </w:tc>
        <w:tc>
          <w:tcPr>
            <w:tcW w:w="2694" w:type="dxa"/>
          </w:tcPr>
          <w:p w:rsidR="00CE628A" w:rsidRDefault="00CE628A" w:rsidP="00CE628A">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193 (5.2%)</w:t>
            </w:r>
          </w:p>
        </w:tc>
      </w:tr>
    </w:tbl>
    <w:bookmarkEnd w:id="0"/>
    <w:p w:rsidR="003A0F3F" w:rsidRDefault="005B41B3" w:rsidP="00D3599E">
      <w:pPr>
        <w:pStyle w:val="Heading3"/>
      </w:pPr>
      <w:r>
        <w:t>Consumer complaints</w:t>
      </w:r>
    </w:p>
    <w:p w:rsidR="00910840" w:rsidRDefault="00DB550C" w:rsidP="00910840">
      <w:r>
        <w:t>C</w:t>
      </w:r>
      <w:r w:rsidR="00643251">
        <w:t>onsumer concern about this issue</w:t>
      </w:r>
      <w:r>
        <w:t xml:space="preserve"> is reflected in complaints to NMI about potential breaches of trade measurement law</w:t>
      </w:r>
      <w:r w:rsidR="003153BA">
        <w:t xml:space="preserve">, of which almost two thirds relate </w:t>
      </w:r>
      <w:r>
        <w:t xml:space="preserve">to short measure from fuel dispensers (liquid and gas). </w:t>
      </w:r>
      <w:r w:rsidR="00FB346F">
        <w:t xml:space="preserve">Only </w:t>
      </w:r>
      <w:r w:rsidR="00A331D2">
        <w:t>14 (3.5 per cent) of 403 fuel related complaints</w:t>
      </w:r>
      <w:r w:rsidR="00A331D2" w:rsidDel="00A331D2">
        <w:t xml:space="preserve"> </w:t>
      </w:r>
      <w:r w:rsidR="000A0A9B">
        <w:t xml:space="preserve">received in 2019–20 </w:t>
      </w:r>
      <w:r w:rsidR="00A331D2">
        <w:t xml:space="preserve">were </w:t>
      </w:r>
      <w:r w:rsidR="00643251">
        <w:t>found to be justified when investigated</w:t>
      </w:r>
      <w:r w:rsidR="00B80FD2">
        <w:t xml:space="preserve">, consistent with </w:t>
      </w:r>
      <w:r w:rsidR="000A0A9B">
        <w:t>average results over</w:t>
      </w:r>
      <w:r w:rsidR="00B80FD2">
        <w:t xml:space="preserve"> recent years</w:t>
      </w:r>
      <w:r w:rsidR="00643251">
        <w:t>.</w:t>
      </w:r>
      <w:r w:rsidR="007E74FB">
        <w:t xml:space="preserve"> </w:t>
      </w:r>
    </w:p>
    <w:tbl>
      <w:tblPr>
        <w:tblStyle w:val="Style1"/>
        <w:tblpPr w:leftFromText="181" w:rightFromText="181" w:bottomFromText="425" w:vertAnchor="text" w:tblpY="1"/>
        <w:tblOverlap w:val="never"/>
        <w:tblW w:w="8931" w:type="dxa"/>
        <w:tblLook w:val="04A0" w:firstRow="1" w:lastRow="0" w:firstColumn="1" w:lastColumn="0" w:noHBand="0" w:noVBand="1"/>
        <w:tblDescription w:val="This table lists complaints in previous years."/>
      </w:tblPr>
      <w:tblGrid>
        <w:gridCol w:w="1560"/>
        <w:gridCol w:w="2126"/>
        <w:gridCol w:w="2551"/>
        <w:gridCol w:w="2694"/>
      </w:tblGrid>
      <w:tr w:rsidR="00910840" w:rsidTr="00C340E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560" w:type="dxa"/>
          </w:tcPr>
          <w:p w:rsidR="00910840" w:rsidRDefault="00910840" w:rsidP="00C340E2">
            <w:pPr>
              <w:spacing w:after="0"/>
            </w:pPr>
            <w:r>
              <w:t>Year</w:t>
            </w:r>
          </w:p>
        </w:tc>
        <w:tc>
          <w:tcPr>
            <w:tcW w:w="2126" w:type="dxa"/>
          </w:tcPr>
          <w:p w:rsidR="00910840" w:rsidRDefault="00910840" w:rsidP="00910840">
            <w:pPr>
              <w:spacing w:after="0"/>
              <w:jc w:val="center"/>
              <w:cnfStyle w:val="100000000000" w:firstRow="1" w:lastRow="0" w:firstColumn="0" w:lastColumn="0" w:oddVBand="0" w:evenVBand="0" w:oddHBand="0" w:evenHBand="0" w:firstRowFirstColumn="0" w:firstRowLastColumn="0" w:lastRowFirstColumn="0" w:lastRowLastColumn="0"/>
            </w:pPr>
            <w:r>
              <w:t>Total complaints received</w:t>
            </w:r>
          </w:p>
        </w:tc>
        <w:tc>
          <w:tcPr>
            <w:tcW w:w="2551" w:type="dxa"/>
          </w:tcPr>
          <w:p w:rsidR="00910840" w:rsidRDefault="00910840" w:rsidP="00910840">
            <w:pPr>
              <w:spacing w:after="0"/>
              <w:jc w:val="center"/>
              <w:cnfStyle w:val="100000000000" w:firstRow="1" w:lastRow="0" w:firstColumn="0" w:lastColumn="0" w:oddVBand="0" w:evenVBand="0" w:oddHBand="0" w:evenHBand="0" w:firstRowFirstColumn="0" w:firstRowLastColumn="0" w:lastRowFirstColumn="0" w:lastRowLastColumn="0"/>
            </w:pPr>
            <w:r>
              <w:t>Fuel (liquid and gas) complaints</w:t>
            </w:r>
          </w:p>
        </w:tc>
        <w:tc>
          <w:tcPr>
            <w:tcW w:w="2694" w:type="dxa"/>
          </w:tcPr>
          <w:p w:rsidR="00910840" w:rsidRDefault="00910840" w:rsidP="00910840">
            <w:pPr>
              <w:spacing w:after="0"/>
              <w:jc w:val="center"/>
              <w:cnfStyle w:val="100000000000" w:firstRow="1" w:lastRow="0" w:firstColumn="0" w:lastColumn="0" w:oddVBand="0" w:evenVBand="0" w:oddHBand="0" w:evenHBand="0" w:firstRowFirstColumn="0" w:firstRowLastColumn="0" w:lastRowFirstColumn="0" w:lastRowLastColumn="0"/>
            </w:pPr>
            <w:r>
              <w:t>Fuel complaints justified</w:t>
            </w:r>
            <w:r>
              <w:br/>
              <w:t>(consumer disadvantage)</w:t>
            </w:r>
          </w:p>
        </w:tc>
      </w:tr>
      <w:tr w:rsidR="009E50D0" w:rsidTr="00C340E2">
        <w:tc>
          <w:tcPr>
            <w:cnfStyle w:val="001000000000" w:firstRow="0" w:lastRow="0" w:firstColumn="1" w:lastColumn="0" w:oddVBand="0" w:evenVBand="0" w:oddHBand="0" w:evenHBand="0" w:firstRowFirstColumn="0" w:firstRowLastColumn="0" w:lastRowFirstColumn="0" w:lastRowLastColumn="0"/>
            <w:tcW w:w="1560" w:type="dxa"/>
          </w:tcPr>
          <w:p w:rsidR="009E50D0" w:rsidRPr="00F80EF7" w:rsidRDefault="009E50D0" w:rsidP="00C340E2">
            <w:pPr>
              <w:spacing w:after="0"/>
              <w:rPr>
                <w:b w:val="0"/>
              </w:rPr>
            </w:pPr>
            <w:r>
              <w:rPr>
                <w:b w:val="0"/>
              </w:rPr>
              <w:t>2015</w:t>
            </w:r>
            <w:r w:rsidR="00CE66EF">
              <w:rPr>
                <w:b w:val="0"/>
              </w:rPr>
              <w:t>–</w:t>
            </w:r>
            <w:r>
              <w:rPr>
                <w:b w:val="0"/>
              </w:rPr>
              <w:t>16</w:t>
            </w:r>
          </w:p>
        </w:tc>
        <w:tc>
          <w:tcPr>
            <w:tcW w:w="2126" w:type="dxa"/>
          </w:tcPr>
          <w:p w:rsidR="009E50D0" w:rsidRDefault="009E50D0" w:rsidP="00C340E2">
            <w:pPr>
              <w:spacing w:after="0"/>
              <w:jc w:val="center"/>
              <w:cnfStyle w:val="000000000000" w:firstRow="0" w:lastRow="0" w:firstColumn="0" w:lastColumn="0" w:oddVBand="0" w:evenVBand="0" w:oddHBand="0" w:evenHBand="0" w:firstRowFirstColumn="0" w:firstRowLastColumn="0" w:lastRowFirstColumn="0" w:lastRowLastColumn="0"/>
            </w:pPr>
            <w:r>
              <w:t>724</w:t>
            </w:r>
          </w:p>
        </w:tc>
        <w:tc>
          <w:tcPr>
            <w:tcW w:w="2551" w:type="dxa"/>
          </w:tcPr>
          <w:p w:rsidR="009E50D0" w:rsidRDefault="009E50D0" w:rsidP="00910840">
            <w:pPr>
              <w:spacing w:after="0"/>
              <w:jc w:val="center"/>
              <w:cnfStyle w:val="000000000000" w:firstRow="0" w:lastRow="0" w:firstColumn="0" w:lastColumn="0" w:oddVBand="0" w:evenVBand="0" w:oddHBand="0" w:evenHBand="0" w:firstRowFirstColumn="0" w:firstRowLastColumn="0" w:lastRowFirstColumn="0" w:lastRowLastColumn="0"/>
            </w:pPr>
            <w:r>
              <w:t>459 (63%)</w:t>
            </w:r>
          </w:p>
        </w:tc>
        <w:tc>
          <w:tcPr>
            <w:tcW w:w="2694" w:type="dxa"/>
          </w:tcPr>
          <w:p w:rsidR="009E50D0" w:rsidRDefault="00F145EE" w:rsidP="00910840">
            <w:pPr>
              <w:spacing w:after="0"/>
              <w:jc w:val="center"/>
              <w:cnfStyle w:val="000000000000" w:firstRow="0" w:lastRow="0" w:firstColumn="0" w:lastColumn="0" w:oddVBand="0" w:evenVBand="0" w:oddHBand="0" w:evenHBand="0" w:firstRowFirstColumn="0" w:firstRowLastColumn="0" w:lastRowFirstColumn="0" w:lastRowLastColumn="0"/>
            </w:pPr>
            <w:r>
              <w:t>10 (2.2%)</w:t>
            </w:r>
          </w:p>
        </w:tc>
      </w:tr>
      <w:tr w:rsidR="00910840" w:rsidTr="00C340E2">
        <w:tc>
          <w:tcPr>
            <w:cnfStyle w:val="001000000000" w:firstRow="0" w:lastRow="0" w:firstColumn="1" w:lastColumn="0" w:oddVBand="0" w:evenVBand="0" w:oddHBand="0" w:evenHBand="0" w:firstRowFirstColumn="0" w:firstRowLastColumn="0" w:lastRowFirstColumn="0" w:lastRowLastColumn="0"/>
            <w:tcW w:w="1560" w:type="dxa"/>
          </w:tcPr>
          <w:p w:rsidR="00910840" w:rsidRPr="00F80EF7" w:rsidRDefault="00910840" w:rsidP="00C340E2">
            <w:pPr>
              <w:spacing w:after="0"/>
              <w:rPr>
                <w:b w:val="0"/>
              </w:rPr>
            </w:pPr>
            <w:r w:rsidRPr="00F80EF7">
              <w:rPr>
                <w:b w:val="0"/>
              </w:rPr>
              <w:t>2016</w:t>
            </w:r>
            <w:r w:rsidR="00CE66EF">
              <w:rPr>
                <w:b w:val="0"/>
              </w:rPr>
              <w:t>–</w:t>
            </w:r>
            <w:r w:rsidRPr="00F80EF7">
              <w:rPr>
                <w:b w:val="0"/>
              </w:rPr>
              <w:t>17</w:t>
            </w:r>
          </w:p>
        </w:tc>
        <w:tc>
          <w:tcPr>
            <w:tcW w:w="2126" w:type="dxa"/>
          </w:tcPr>
          <w:p w:rsidR="00910840" w:rsidRDefault="00910840" w:rsidP="00C340E2">
            <w:pPr>
              <w:spacing w:after="0"/>
              <w:jc w:val="center"/>
              <w:cnfStyle w:val="000000000000" w:firstRow="0" w:lastRow="0" w:firstColumn="0" w:lastColumn="0" w:oddVBand="0" w:evenVBand="0" w:oddHBand="0" w:evenHBand="0" w:firstRowFirstColumn="0" w:firstRowLastColumn="0" w:lastRowFirstColumn="0" w:lastRowLastColumn="0"/>
            </w:pPr>
            <w:r>
              <w:t>672</w:t>
            </w:r>
          </w:p>
        </w:tc>
        <w:tc>
          <w:tcPr>
            <w:tcW w:w="2551" w:type="dxa"/>
          </w:tcPr>
          <w:p w:rsidR="00910840" w:rsidRDefault="00910840" w:rsidP="00910840">
            <w:pPr>
              <w:spacing w:after="0"/>
              <w:jc w:val="center"/>
              <w:cnfStyle w:val="000000000000" w:firstRow="0" w:lastRow="0" w:firstColumn="0" w:lastColumn="0" w:oddVBand="0" w:evenVBand="0" w:oddHBand="0" w:evenHBand="0" w:firstRowFirstColumn="0" w:firstRowLastColumn="0" w:lastRowFirstColumn="0" w:lastRowLastColumn="0"/>
            </w:pPr>
            <w:r>
              <w:t>411 (61%)</w:t>
            </w:r>
          </w:p>
        </w:tc>
        <w:tc>
          <w:tcPr>
            <w:tcW w:w="2694" w:type="dxa"/>
          </w:tcPr>
          <w:p w:rsidR="00910840" w:rsidRDefault="00910840" w:rsidP="00910840">
            <w:pPr>
              <w:spacing w:after="0"/>
              <w:jc w:val="center"/>
              <w:cnfStyle w:val="000000000000" w:firstRow="0" w:lastRow="0" w:firstColumn="0" w:lastColumn="0" w:oddVBand="0" w:evenVBand="0" w:oddHBand="0" w:evenHBand="0" w:firstRowFirstColumn="0" w:firstRowLastColumn="0" w:lastRowFirstColumn="0" w:lastRowLastColumn="0"/>
            </w:pPr>
            <w:r>
              <w:t>18 (4.4%)</w:t>
            </w:r>
          </w:p>
        </w:tc>
      </w:tr>
      <w:tr w:rsidR="00910840" w:rsidTr="00C340E2">
        <w:tc>
          <w:tcPr>
            <w:cnfStyle w:val="001000000000" w:firstRow="0" w:lastRow="0" w:firstColumn="1" w:lastColumn="0" w:oddVBand="0" w:evenVBand="0" w:oddHBand="0" w:evenHBand="0" w:firstRowFirstColumn="0" w:firstRowLastColumn="0" w:lastRowFirstColumn="0" w:lastRowLastColumn="0"/>
            <w:tcW w:w="1560" w:type="dxa"/>
          </w:tcPr>
          <w:p w:rsidR="00910840" w:rsidRPr="00F80EF7" w:rsidRDefault="00910840" w:rsidP="00C340E2">
            <w:pPr>
              <w:spacing w:after="0"/>
              <w:rPr>
                <w:b w:val="0"/>
              </w:rPr>
            </w:pPr>
            <w:r w:rsidRPr="00F80EF7">
              <w:rPr>
                <w:b w:val="0"/>
              </w:rPr>
              <w:t>2017</w:t>
            </w:r>
            <w:r w:rsidR="00CE66EF">
              <w:rPr>
                <w:b w:val="0"/>
              </w:rPr>
              <w:t>–</w:t>
            </w:r>
            <w:r w:rsidRPr="00F80EF7">
              <w:rPr>
                <w:b w:val="0"/>
              </w:rPr>
              <w:t>18</w:t>
            </w:r>
          </w:p>
        </w:tc>
        <w:tc>
          <w:tcPr>
            <w:tcW w:w="2126" w:type="dxa"/>
          </w:tcPr>
          <w:p w:rsidR="00910840" w:rsidRDefault="00910840" w:rsidP="00C340E2">
            <w:pPr>
              <w:spacing w:after="0"/>
              <w:jc w:val="center"/>
              <w:cnfStyle w:val="000000000000" w:firstRow="0" w:lastRow="0" w:firstColumn="0" w:lastColumn="0" w:oddVBand="0" w:evenVBand="0" w:oddHBand="0" w:evenHBand="0" w:firstRowFirstColumn="0" w:firstRowLastColumn="0" w:lastRowFirstColumn="0" w:lastRowLastColumn="0"/>
            </w:pPr>
            <w:r>
              <w:t>782</w:t>
            </w:r>
          </w:p>
        </w:tc>
        <w:tc>
          <w:tcPr>
            <w:tcW w:w="2551" w:type="dxa"/>
          </w:tcPr>
          <w:p w:rsidR="00910840" w:rsidRDefault="00910840" w:rsidP="00910840">
            <w:pPr>
              <w:spacing w:after="0"/>
              <w:jc w:val="center"/>
              <w:cnfStyle w:val="000000000000" w:firstRow="0" w:lastRow="0" w:firstColumn="0" w:lastColumn="0" w:oddVBand="0" w:evenVBand="0" w:oddHBand="0" w:evenHBand="0" w:firstRowFirstColumn="0" w:firstRowLastColumn="0" w:lastRowFirstColumn="0" w:lastRowLastColumn="0"/>
            </w:pPr>
            <w:r>
              <w:t>511 (65%)</w:t>
            </w:r>
          </w:p>
        </w:tc>
        <w:tc>
          <w:tcPr>
            <w:tcW w:w="2694" w:type="dxa"/>
          </w:tcPr>
          <w:p w:rsidR="00910840" w:rsidRDefault="00910840" w:rsidP="00910840">
            <w:pPr>
              <w:spacing w:after="0"/>
              <w:jc w:val="center"/>
              <w:cnfStyle w:val="000000000000" w:firstRow="0" w:lastRow="0" w:firstColumn="0" w:lastColumn="0" w:oddVBand="0" w:evenVBand="0" w:oddHBand="0" w:evenHBand="0" w:firstRowFirstColumn="0" w:firstRowLastColumn="0" w:lastRowFirstColumn="0" w:lastRowLastColumn="0"/>
            </w:pPr>
            <w:r>
              <w:t>16 (3.1%)</w:t>
            </w:r>
          </w:p>
        </w:tc>
      </w:tr>
      <w:tr w:rsidR="002344E8" w:rsidTr="00C340E2">
        <w:tc>
          <w:tcPr>
            <w:cnfStyle w:val="001000000000" w:firstRow="0" w:lastRow="0" w:firstColumn="1" w:lastColumn="0" w:oddVBand="0" w:evenVBand="0" w:oddHBand="0" w:evenHBand="0" w:firstRowFirstColumn="0" w:firstRowLastColumn="0" w:lastRowFirstColumn="0" w:lastRowLastColumn="0"/>
            <w:tcW w:w="1560" w:type="dxa"/>
          </w:tcPr>
          <w:p w:rsidR="002344E8" w:rsidRPr="00F80EF7" w:rsidRDefault="002344E8" w:rsidP="00C340E2">
            <w:pPr>
              <w:spacing w:after="0"/>
              <w:rPr>
                <w:b w:val="0"/>
              </w:rPr>
            </w:pPr>
            <w:r>
              <w:rPr>
                <w:b w:val="0"/>
              </w:rPr>
              <w:t>2018</w:t>
            </w:r>
            <w:r w:rsidR="00CE66EF">
              <w:rPr>
                <w:b w:val="0"/>
              </w:rPr>
              <w:t>–</w:t>
            </w:r>
            <w:r>
              <w:rPr>
                <w:b w:val="0"/>
              </w:rPr>
              <w:t>19</w:t>
            </w:r>
          </w:p>
        </w:tc>
        <w:tc>
          <w:tcPr>
            <w:tcW w:w="2126" w:type="dxa"/>
          </w:tcPr>
          <w:p w:rsidR="002344E8" w:rsidRDefault="002344E8" w:rsidP="00C340E2">
            <w:pPr>
              <w:spacing w:after="0"/>
              <w:jc w:val="center"/>
              <w:cnfStyle w:val="000000000000" w:firstRow="0" w:lastRow="0" w:firstColumn="0" w:lastColumn="0" w:oddVBand="0" w:evenVBand="0" w:oddHBand="0" w:evenHBand="0" w:firstRowFirstColumn="0" w:firstRowLastColumn="0" w:lastRowFirstColumn="0" w:lastRowLastColumn="0"/>
            </w:pPr>
            <w:r>
              <w:t>767</w:t>
            </w:r>
          </w:p>
        </w:tc>
        <w:tc>
          <w:tcPr>
            <w:tcW w:w="2551" w:type="dxa"/>
          </w:tcPr>
          <w:p w:rsidR="002344E8" w:rsidRDefault="002344E8" w:rsidP="00910840">
            <w:pPr>
              <w:spacing w:after="0"/>
              <w:jc w:val="center"/>
              <w:cnfStyle w:val="000000000000" w:firstRow="0" w:lastRow="0" w:firstColumn="0" w:lastColumn="0" w:oddVBand="0" w:evenVBand="0" w:oddHBand="0" w:evenHBand="0" w:firstRowFirstColumn="0" w:firstRowLastColumn="0" w:lastRowFirstColumn="0" w:lastRowLastColumn="0"/>
            </w:pPr>
            <w:r>
              <w:t>494 (64%)</w:t>
            </w:r>
          </w:p>
        </w:tc>
        <w:tc>
          <w:tcPr>
            <w:tcW w:w="2694" w:type="dxa"/>
          </w:tcPr>
          <w:p w:rsidR="002344E8" w:rsidRDefault="002344E8" w:rsidP="00910840">
            <w:pPr>
              <w:spacing w:after="0"/>
              <w:jc w:val="center"/>
              <w:cnfStyle w:val="000000000000" w:firstRow="0" w:lastRow="0" w:firstColumn="0" w:lastColumn="0" w:oddVBand="0" w:evenVBand="0" w:oddHBand="0" w:evenHBand="0" w:firstRowFirstColumn="0" w:firstRowLastColumn="0" w:lastRowFirstColumn="0" w:lastRowLastColumn="0"/>
            </w:pPr>
            <w:r>
              <w:t>31 (6.3%)</w:t>
            </w:r>
          </w:p>
        </w:tc>
      </w:tr>
      <w:tr w:rsidR="00CE628A" w:rsidTr="00C340E2">
        <w:tc>
          <w:tcPr>
            <w:cnfStyle w:val="001000000000" w:firstRow="0" w:lastRow="0" w:firstColumn="1" w:lastColumn="0" w:oddVBand="0" w:evenVBand="0" w:oddHBand="0" w:evenHBand="0" w:firstRowFirstColumn="0" w:firstRowLastColumn="0" w:lastRowFirstColumn="0" w:lastRowLastColumn="0"/>
            <w:tcW w:w="1560" w:type="dxa"/>
          </w:tcPr>
          <w:p w:rsidR="00CE628A" w:rsidRPr="00CE628A" w:rsidRDefault="00CE628A" w:rsidP="00CE628A">
            <w:pPr>
              <w:spacing w:after="0"/>
              <w:rPr>
                <w:b w:val="0"/>
              </w:rPr>
            </w:pPr>
            <w:r w:rsidRPr="00CE628A">
              <w:rPr>
                <w:rFonts w:cs="Arial"/>
                <w:b w:val="0"/>
                <w:color w:val="000000"/>
                <w:szCs w:val="20"/>
              </w:rPr>
              <w:t>2019–20</w:t>
            </w:r>
          </w:p>
        </w:tc>
        <w:tc>
          <w:tcPr>
            <w:tcW w:w="2126" w:type="dxa"/>
          </w:tcPr>
          <w:p w:rsidR="00CE628A" w:rsidRDefault="00CE628A" w:rsidP="00CE628A">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651</w:t>
            </w:r>
          </w:p>
        </w:tc>
        <w:tc>
          <w:tcPr>
            <w:tcW w:w="2551" w:type="dxa"/>
          </w:tcPr>
          <w:p w:rsidR="00CE628A" w:rsidRDefault="00CE628A" w:rsidP="00CE628A">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403 (62%)</w:t>
            </w:r>
          </w:p>
        </w:tc>
        <w:tc>
          <w:tcPr>
            <w:tcW w:w="2694" w:type="dxa"/>
          </w:tcPr>
          <w:p w:rsidR="00CE628A" w:rsidRDefault="00CE628A" w:rsidP="00CE628A">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14 (3.5%)</w:t>
            </w:r>
          </w:p>
        </w:tc>
      </w:tr>
    </w:tbl>
    <w:p w:rsidR="00CE1390" w:rsidRDefault="00CE1390">
      <w:pPr>
        <w:spacing w:after="200"/>
        <w:rPr>
          <w:rFonts w:asciiTheme="majorHAnsi" w:eastAsiaTheme="majorEastAsia" w:hAnsiTheme="majorHAnsi" w:cstheme="majorBidi"/>
          <w:b/>
          <w:bCs/>
          <w:color w:val="7C1222" w:themeColor="accent1" w:themeShade="BF"/>
          <w:sz w:val="28"/>
          <w:szCs w:val="28"/>
        </w:rPr>
      </w:pPr>
      <w:r>
        <w:br w:type="page"/>
      </w:r>
    </w:p>
    <w:p w:rsidR="006B39A3" w:rsidRDefault="002C27B1" w:rsidP="002C27B1">
      <w:pPr>
        <w:pStyle w:val="Heading1"/>
      </w:pPr>
      <w:bookmarkStart w:id="27" w:name="_Toc52367993"/>
      <w:r>
        <w:lastRenderedPageBreak/>
        <w:t xml:space="preserve">Compliance of </w:t>
      </w:r>
      <w:r w:rsidR="005E5D33">
        <w:t>P</w:t>
      </w:r>
      <w:r>
        <w:t xml:space="preserve">ackaged </w:t>
      </w:r>
      <w:r w:rsidR="005E5D33">
        <w:t>G</w:t>
      </w:r>
      <w:r>
        <w:t>oods</w:t>
      </w:r>
      <w:bookmarkEnd w:id="27"/>
    </w:p>
    <w:p w:rsidR="002C27B1" w:rsidRPr="00BA54FF" w:rsidRDefault="002C27B1" w:rsidP="002C27B1">
      <w:r>
        <w:t>In 201</w:t>
      </w:r>
      <w:r w:rsidR="003C25FE">
        <w:t>9</w:t>
      </w:r>
      <w:r w:rsidR="00CE66EF">
        <w:t>–</w:t>
      </w:r>
      <w:r w:rsidR="003C25FE">
        <w:t>20</w:t>
      </w:r>
      <w:r>
        <w:t>, t</w:t>
      </w:r>
      <w:r w:rsidRPr="00BA54FF">
        <w:t>rade me</w:t>
      </w:r>
      <w:r>
        <w:t xml:space="preserve">asurement inspectors examined </w:t>
      </w:r>
      <w:r w:rsidR="008D68DE" w:rsidRPr="00D350A8">
        <w:t>7</w:t>
      </w:r>
      <w:r w:rsidR="003C25FE">
        <w:t>8</w:t>
      </w:r>
      <w:r w:rsidR="00951F7C">
        <w:t xml:space="preserve"> </w:t>
      </w:r>
      <w:r w:rsidR="003C25FE">
        <w:t>290</w:t>
      </w:r>
      <w:r w:rsidR="003C25FE" w:rsidRPr="00BA54FF">
        <w:t xml:space="preserve"> </w:t>
      </w:r>
      <w:r w:rsidRPr="00BA54FF">
        <w:t>lines of</w:t>
      </w:r>
      <w:r>
        <w:t xml:space="preserve"> packaged goods (</w:t>
      </w:r>
      <w:r w:rsidR="003C25FE">
        <w:t>203</w:t>
      </w:r>
      <w:r w:rsidR="00951F7C">
        <w:t xml:space="preserve"> </w:t>
      </w:r>
      <w:r w:rsidR="003C25FE">
        <w:t xml:space="preserve">320 </w:t>
      </w:r>
      <w:r>
        <w:t xml:space="preserve">individual packages) </w:t>
      </w:r>
      <w:r w:rsidRPr="00BA54FF">
        <w:t xml:space="preserve">to check whether they: </w:t>
      </w:r>
    </w:p>
    <w:p w:rsidR="002C27B1" w:rsidRPr="00BA54FF" w:rsidRDefault="002C27B1" w:rsidP="002C27B1">
      <w:pPr>
        <w:pStyle w:val="ListParagraph"/>
        <w:numPr>
          <w:ilvl w:val="0"/>
          <w:numId w:val="27"/>
        </w:numPr>
      </w:pPr>
      <w:r w:rsidRPr="00BA54FF">
        <w:t>contained the correct amount (weight, volume or units) as displayed on the label</w:t>
      </w:r>
    </w:p>
    <w:p w:rsidR="002C27B1" w:rsidRPr="00BA54FF" w:rsidRDefault="002C27B1" w:rsidP="002C27B1">
      <w:pPr>
        <w:pStyle w:val="ListParagraph"/>
        <w:numPr>
          <w:ilvl w:val="0"/>
          <w:numId w:val="27"/>
        </w:numPr>
      </w:pPr>
      <w:r w:rsidRPr="00BA54FF">
        <w:t xml:space="preserve">displayed sufficient measurement marking (e.g. weight, price per kilogram and total price for the article) in the correct format and position </w:t>
      </w:r>
    </w:p>
    <w:p w:rsidR="002C27B1" w:rsidRPr="00BA54FF" w:rsidRDefault="002C27B1" w:rsidP="002C27B1">
      <w:pPr>
        <w:pStyle w:val="ListParagraph"/>
        <w:numPr>
          <w:ilvl w:val="0"/>
          <w:numId w:val="27"/>
        </w:numPr>
      </w:pPr>
      <w:r w:rsidRPr="00BA54FF">
        <w:t>included correct packer identification (name and street address of packer if packed within Australia o</w:t>
      </w:r>
      <w:r>
        <w:t>r</w:t>
      </w:r>
      <w:r w:rsidRPr="00BA54FF">
        <w:t xml:space="preserve"> name and</w:t>
      </w:r>
      <w:r>
        <w:t xml:space="preserve"> address of importer or seller)</w:t>
      </w:r>
    </w:p>
    <w:p w:rsidR="00D350A8" w:rsidRDefault="00D350A8" w:rsidP="005C07E7">
      <w:r>
        <w:t>M</w:t>
      </w:r>
      <w:r w:rsidRPr="00D350A8">
        <w:t xml:space="preserve">ost discrepancies </w:t>
      </w:r>
      <w:r>
        <w:t xml:space="preserve">detected in packaged goods are </w:t>
      </w:r>
      <w:r w:rsidRPr="00D350A8">
        <w:t>usually relatively small</w:t>
      </w:r>
      <w:r>
        <w:t xml:space="preserve"> and can be corrected following advice from a trade measurement inspector.</w:t>
      </w:r>
      <w:r w:rsidRPr="00D350A8">
        <w:t xml:space="preserve"> </w:t>
      </w:r>
    </w:p>
    <w:p w:rsidR="005C07E7" w:rsidRDefault="002A6829" w:rsidP="005C07E7">
      <w:r>
        <w:t>As shown in the table below, t</w:t>
      </w:r>
      <w:r w:rsidR="005C07E7">
        <w:t xml:space="preserve">he proportion of packaged goods lines found to have </w:t>
      </w:r>
      <w:r w:rsidR="007E4157">
        <w:t>short</w:t>
      </w:r>
      <w:r w:rsidR="005C07E7">
        <w:t xml:space="preserve"> measure </w:t>
      </w:r>
      <w:r w:rsidR="003C25FE">
        <w:t>continued to fall</w:t>
      </w:r>
      <w:r w:rsidR="00D350A8">
        <w:t xml:space="preserve"> </w:t>
      </w:r>
      <w:r w:rsidR="003C25FE">
        <w:t xml:space="preserve">in 2019–20 </w:t>
      </w:r>
      <w:r w:rsidR="00330F38">
        <w:t xml:space="preserve">and is now down </w:t>
      </w:r>
      <w:r w:rsidR="003C25FE">
        <w:t>to 1.6 per cent, the lowest level in the past 5 years</w:t>
      </w:r>
      <w:r w:rsidR="008D68DE">
        <w:t>.</w:t>
      </w:r>
    </w:p>
    <w:tbl>
      <w:tblPr>
        <w:tblStyle w:val="Style1"/>
        <w:tblpPr w:leftFromText="181" w:rightFromText="181" w:bottomFromText="425" w:vertAnchor="text" w:tblpY="1"/>
        <w:tblOverlap w:val="never"/>
        <w:tblW w:w="8931" w:type="dxa"/>
        <w:tblLook w:val="04A0" w:firstRow="1" w:lastRow="0" w:firstColumn="1" w:lastColumn="0" w:noHBand="0" w:noVBand="1"/>
        <w:tblCaption w:val="Compliance of packaged goods"/>
        <w:tblDescription w:val="Table showing that the proportion of packaged goods lines found to have short measure continued to fall in 2019-20 and is now down to 1.6 per cent, the lowest level in the past 5 years."/>
      </w:tblPr>
      <w:tblGrid>
        <w:gridCol w:w="1083"/>
        <w:gridCol w:w="2178"/>
        <w:gridCol w:w="1559"/>
        <w:gridCol w:w="1984"/>
        <w:gridCol w:w="2127"/>
      </w:tblGrid>
      <w:tr w:rsidR="005C07E7" w:rsidTr="005C07E7">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1083" w:type="dxa"/>
          </w:tcPr>
          <w:p w:rsidR="005C07E7" w:rsidRDefault="005C07E7" w:rsidP="005C07E7">
            <w:pPr>
              <w:spacing w:after="0"/>
            </w:pPr>
            <w:r>
              <w:t>Year</w:t>
            </w:r>
          </w:p>
        </w:tc>
        <w:tc>
          <w:tcPr>
            <w:tcW w:w="2178" w:type="dxa"/>
          </w:tcPr>
          <w:p w:rsidR="005C07E7" w:rsidRDefault="005C07E7" w:rsidP="005C07E7">
            <w:pPr>
              <w:spacing w:after="0"/>
              <w:jc w:val="center"/>
              <w:cnfStyle w:val="100000000000" w:firstRow="1" w:lastRow="0" w:firstColumn="0" w:lastColumn="0" w:oddVBand="0" w:evenVBand="0" w:oddHBand="0" w:evenHBand="0" w:firstRowFirstColumn="0" w:firstRowLastColumn="0" w:lastRowFirstColumn="0" w:lastRowLastColumn="0"/>
            </w:pPr>
            <w:r>
              <w:t>Packaged lines inspected</w:t>
            </w:r>
          </w:p>
        </w:tc>
        <w:tc>
          <w:tcPr>
            <w:tcW w:w="1559" w:type="dxa"/>
          </w:tcPr>
          <w:p w:rsidR="005C07E7" w:rsidRDefault="005C07E7" w:rsidP="005C07E7">
            <w:pPr>
              <w:spacing w:after="0"/>
              <w:jc w:val="center"/>
              <w:cnfStyle w:val="100000000000" w:firstRow="1" w:lastRow="0" w:firstColumn="0" w:lastColumn="0" w:oddVBand="0" w:evenVBand="0" w:oddHBand="0" w:evenHBand="0" w:firstRowFirstColumn="0" w:firstRowLastColumn="0" w:lastRowFirstColumn="0" w:lastRowLastColumn="0"/>
            </w:pPr>
            <w:r>
              <w:t>Individual packages</w:t>
            </w:r>
          </w:p>
        </w:tc>
        <w:tc>
          <w:tcPr>
            <w:tcW w:w="1984" w:type="dxa"/>
          </w:tcPr>
          <w:p w:rsidR="005C07E7" w:rsidRDefault="005C07E7" w:rsidP="00F62A1C">
            <w:pPr>
              <w:spacing w:after="0"/>
              <w:jc w:val="center"/>
              <w:cnfStyle w:val="100000000000" w:firstRow="1" w:lastRow="0" w:firstColumn="0" w:lastColumn="0" w:oddVBand="0" w:evenVBand="0" w:oddHBand="0" w:evenHBand="0" w:firstRowFirstColumn="0" w:firstRowLastColumn="0" w:lastRowFirstColumn="0" w:lastRowLastColumn="0"/>
            </w:pPr>
            <w:r>
              <w:t xml:space="preserve">Lines with </w:t>
            </w:r>
            <w:r w:rsidR="00F62A1C">
              <w:t xml:space="preserve">short </w:t>
            </w:r>
            <w:r>
              <w:t>measure</w:t>
            </w:r>
          </w:p>
        </w:tc>
        <w:tc>
          <w:tcPr>
            <w:tcW w:w="2127" w:type="dxa"/>
          </w:tcPr>
          <w:p w:rsidR="005C07E7" w:rsidRDefault="005C07E7" w:rsidP="005C07E7">
            <w:pPr>
              <w:spacing w:after="0"/>
              <w:jc w:val="center"/>
              <w:cnfStyle w:val="100000000000" w:firstRow="1" w:lastRow="0" w:firstColumn="0" w:lastColumn="0" w:oddVBand="0" w:evenVBand="0" w:oddHBand="0" w:evenHBand="0" w:firstRowFirstColumn="0" w:firstRowLastColumn="0" w:lastRowFirstColumn="0" w:lastRowLastColumn="0"/>
            </w:pPr>
            <w:r>
              <w:t>Lines with non-compliant labelling</w:t>
            </w:r>
          </w:p>
        </w:tc>
      </w:tr>
      <w:tr w:rsidR="005C07E7" w:rsidTr="005C07E7">
        <w:tc>
          <w:tcPr>
            <w:cnfStyle w:val="001000000000" w:firstRow="0" w:lastRow="0" w:firstColumn="1" w:lastColumn="0" w:oddVBand="0" w:evenVBand="0" w:oddHBand="0" w:evenHBand="0" w:firstRowFirstColumn="0" w:firstRowLastColumn="0" w:lastRowFirstColumn="0" w:lastRowLastColumn="0"/>
            <w:tcW w:w="1083" w:type="dxa"/>
          </w:tcPr>
          <w:p w:rsidR="005C07E7" w:rsidRPr="00F80EF7" w:rsidRDefault="005C07E7" w:rsidP="005C07E7">
            <w:pPr>
              <w:spacing w:after="0"/>
              <w:rPr>
                <w:b w:val="0"/>
              </w:rPr>
            </w:pPr>
            <w:r w:rsidRPr="00F80EF7">
              <w:rPr>
                <w:b w:val="0"/>
              </w:rPr>
              <w:t>2015</w:t>
            </w:r>
            <w:r w:rsidR="00CE66EF">
              <w:rPr>
                <w:b w:val="0"/>
              </w:rPr>
              <w:t>–</w:t>
            </w:r>
            <w:r w:rsidRPr="00F80EF7">
              <w:rPr>
                <w:b w:val="0"/>
              </w:rPr>
              <w:t>16</w:t>
            </w:r>
          </w:p>
        </w:tc>
        <w:tc>
          <w:tcPr>
            <w:tcW w:w="2178" w:type="dxa"/>
          </w:tcPr>
          <w:p w:rsidR="005C07E7" w:rsidRDefault="005C07E7" w:rsidP="00EA294B">
            <w:pPr>
              <w:spacing w:after="0"/>
              <w:jc w:val="center"/>
              <w:cnfStyle w:val="000000000000" w:firstRow="0" w:lastRow="0" w:firstColumn="0" w:lastColumn="0" w:oddVBand="0" w:evenVBand="0" w:oddHBand="0" w:evenHBand="0" w:firstRowFirstColumn="0" w:firstRowLastColumn="0" w:lastRowFirstColumn="0" w:lastRowLastColumn="0"/>
            </w:pPr>
            <w:r>
              <w:t>80</w:t>
            </w:r>
            <w:r w:rsidR="00EA294B">
              <w:t xml:space="preserve"> </w:t>
            </w:r>
            <w:r>
              <w:t>163</w:t>
            </w:r>
          </w:p>
        </w:tc>
        <w:tc>
          <w:tcPr>
            <w:tcW w:w="1559" w:type="dxa"/>
          </w:tcPr>
          <w:p w:rsidR="005C07E7" w:rsidRDefault="005C07E7" w:rsidP="00951F7C">
            <w:pPr>
              <w:spacing w:after="0"/>
              <w:jc w:val="center"/>
              <w:cnfStyle w:val="000000000000" w:firstRow="0" w:lastRow="0" w:firstColumn="0" w:lastColumn="0" w:oddVBand="0" w:evenVBand="0" w:oddHBand="0" w:evenHBand="0" w:firstRowFirstColumn="0" w:firstRowLastColumn="0" w:lastRowFirstColumn="0" w:lastRowLastColumn="0"/>
            </w:pPr>
            <w:r>
              <w:t>319</w:t>
            </w:r>
            <w:r w:rsidR="00951F7C">
              <w:t xml:space="preserve"> </w:t>
            </w:r>
            <w:r>
              <w:t>616</w:t>
            </w:r>
          </w:p>
        </w:tc>
        <w:tc>
          <w:tcPr>
            <w:tcW w:w="1984" w:type="dxa"/>
          </w:tcPr>
          <w:p w:rsidR="005C07E7" w:rsidRDefault="00E9265C" w:rsidP="00E9265C">
            <w:pPr>
              <w:spacing w:after="0"/>
              <w:jc w:val="center"/>
              <w:cnfStyle w:val="000000000000" w:firstRow="0" w:lastRow="0" w:firstColumn="0" w:lastColumn="0" w:oddVBand="0" w:evenVBand="0" w:oddHBand="0" w:evenHBand="0" w:firstRowFirstColumn="0" w:firstRowLastColumn="0" w:lastRowFirstColumn="0" w:lastRowLastColumn="0"/>
            </w:pPr>
            <w:r>
              <w:t>2155</w:t>
            </w:r>
            <w:r w:rsidR="005C07E7">
              <w:t xml:space="preserve"> (</w:t>
            </w:r>
            <w:r>
              <w:t>2.7</w:t>
            </w:r>
            <w:r w:rsidR="005C07E7">
              <w:t>%)</w:t>
            </w:r>
          </w:p>
        </w:tc>
        <w:tc>
          <w:tcPr>
            <w:tcW w:w="2127" w:type="dxa"/>
          </w:tcPr>
          <w:p w:rsidR="005C07E7" w:rsidRDefault="00E9265C" w:rsidP="005C07E7">
            <w:pPr>
              <w:spacing w:after="0"/>
              <w:jc w:val="center"/>
              <w:cnfStyle w:val="000000000000" w:firstRow="0" w:lastRow="0" w:firstColumn="0" w:lastColumn="0" w:oddVBand="0" w:evenVBand="0" w:oddHBand="0" w:evenHBand="0" w:firstRowFirstColumn="0" w:firstRowLastColumn="0" w:lastRowFirstColumn="0" w:lastRowLastColumn="0"/>
            </w:pPr>
            <w:r>
              <w:t>1615</w:t>
            </w:r>
            <w:r w:rsidR="005C07E7">
              <w:t xml:space="preserve"> (2</w:t>
            </w:r>
            <w:r>
              <w:t>.0</w:t>
            </w:r>
            <w:r w:rsidR="005C07E7">
              <w:t>%)</w:t>
            </w:r>
          </w:p>
        </w:tc>
      </w:tr>
      <w:tr w:rsidR="005C07E7" w:rsidTr="005C07E7">
        <w:tc>
          <w:tcPr>
            <w:cnfStyle w:val="001000000000" w:firstRow="0" w:lastRow="0" w:firstColumn="1" w:lastColumn="0" w:oddVBand="0" w:evenVBand="0" w:oddHBand="0" w:evenHBand="0" w:firstRowFirstColumn="0" w:firstRowLastColumn="0" w:lastRowFirstColumn="0" w:lastRowLastColumn="0"/>
            <w:tcW w:w="1083" w:type="dxa"/>
          </w:tcPr>
          <w:p w:rsidR="005C07E7" w:rsidRPr="00F80EF7" w:rsidRDefault="005C07E7" w:rsidP="005C07E7">
            <w:pPr>
              <w:spacing w:after="0"/>
              <w:rPr>
                <w:b w:val="0"/>
              </w:rPr>
            </w:pPr>
            <w:r w:rsidRPr="00F80EF7">
              <w:rPr>
                <w:b w:val="0"/>
              </w:rPr>
              <w:t>2016</w:t>
            </w:r>
            <w:r w:rsidR="00CE66EF">
              <w:rPr>
                <w:b w:val="0"/>
              </w:rPr>
              <w:t>–</w:t>
            </w:r>
            <w:r w:rsidRPr="00F80EF7">
              <w:rPr>
                <w:b w:val="0"/>
              </w:rPr>
              <w:t>17</w:t>
            </w:r>
          </w:p>
        </w:tc>
        <w:tc>
          <w:tcPr>
            <w:tcW w:w="2178" w:type="dxa"/>
          </w:tcPr>
          <w:p w:rsidR="005C07E7" w:rsidRDefault="005C07E7" w:rsidP="00EA294B">
            <w:pPr>
              <w:spacing w:after="0"/>
              <w:jc w:val="center"/>
              <w:cnfStyle w:val="000000000000" w:firstRow="0" w:lastRow="0" w:firstColumn="0" w:lastColumn="0" w:oddVBand="0" w:evenVBand="0" w:oddHBand="0" w:evenHBand="0" w:firstRowFirstColumn="0" w:firstRowLastColumn="0" w:lastRowFirstColumn="0" w:lastRowLastColumn="0"/>
            </w:pPr>
            <w:r>
              <w:t>87</w:t>
            </w:r>
            <w:r w:rsidR="00EA294B">
              <w:t xml:space="preserve"> </w:t>
            </w:r>
            <w:r>
              <w:t>964</w:t>
            </w:r>
          </w:p>
        </w:tc>
        <w:tc>
          <w:tcPr>
            <w:tcW w:w="1559" w:type="dxa"/>
          </w:tcPr>
          <w:p w:rsidR="005C07E7" w:rsidRDefault="005C07E7" w:rsidP="00951F7C">
            <w:pPr>
              <w:spacing w:after="0"/>
              <w:jc w:val="center"/>
              <w:cnfStyle w:val="000000000000" w:firstRow="0" w:lastRow="0" w:firstColumn="0" w:lastColumn="0" w:oddVBand="0" w:evenVBand="0" w:oddHBand="0" w:evenHBand="0" w:firstRowFirstColumn="0" w:firstRowLastColumn="0" w:lastRowFirstColumn="0" w:lastRowLastColumn="0"/>
            </w:pPr>
            <w:r>
              <w:t>355</w:t>
            </w:r>
            <w:r w:rsidR="00951F7C">
              <w:t xml:space="preserve"> </w:t>
            </w:r>
            <w:r>
              <w:t>438</w:t>
            </w:r>
          </w:p>
        </w:tc>
        <w:tc>
          <w:tcPr>
            <w:tcW w:w="1984" w:type="dxa"/>
          </w:tcPr>
          <w:p w:rsidR="005C07E7" w:rsidRDefault="00E9265C" w:rsidP="00E9265C">
            <w:pPr>
              <w:spacing w:after="0"/>
              <w:jc w:val="center"/>
              <w:cnfStyle w:val="000000000000" w:firstRow="0" w:lastRow="0" w:firstColumn="0" w:lastColumn="0" w:oddVBand="0" w:evenVBand="0" w:oddHBand="0" w:evenHBand="0" w:firstRowFirstColumn="0" w:firstRowLastColumn="0" w:lastRowFirstColumn="0" w:lastRowLastColumn="0"/>
            </w:pPr>
            <w:r>
              <w:t>3111</w:t>
            </w:r>
            <w:r w:rsidR="005C07E7">
              <w:t xml:space="preserve"> (</w:t>
            </w:r>
            <w:r>
              <w:t>3.5</w:t>
            </w:r>
            <w:r w:rsidR="00D64016">
              <w:t>%</w:t>
            </w:r>
            <w:r w:rsidR="005C07E7">
              <w:t>)</w:t>
            </w:r>
          </w:p>
        </w:tc>
        <w:tc>
          <w:tcPr>
            <w:tcW w:w="2127" w:type="dxa"/>
          </w:tcPr>
          <w:p w:rsidR="005C07E7" w:rsidRDefault="00E9265C" w:rsidP="00E9265C">
            <w:pPr>
              <w:spacing w:after="0"/>
              <w:jc w:val="center"/>
              <w:cnfStyle w:val="000000000000" w:firstRow="0" w:lastRow="0" w:firstColumn="0" w:lastColumn="0" w:oddVBand="0" w:evenVBand="0" w:oddHBand="0" w:evenHBand="0" w:firstRowFirstColumn="0" w:firstRowLastColumn="0" w:lastRowFirstColumn="0" w:lastRowLastColumn="0"/>
            </w:pPr>
            <w:r>
              <w:t>4589</w:t>
            </w:r>
            <w:r w:rsidR="005C07E7">
              <w:t xml:space="preserve"> (</w:t>
            </w:r>
            <w:r>
              <w:t>5.2</w:t>
            </w:r>
            <w:r w:rsidR="005C07E7">
              <w:t>%)</w:t>
            </w:r>
          </w:p>
        </w:tc>
      </w:tr>
      <w:tr w:rsidR="005C07E7" w:rsidTr="005C07E7">
        <w:tc>
          <w:tcPr>
            <w:cnfStyle w:val="001000000000" w:firstRow="0" w:lastRow="0" w:firstColumn="1" w:lastColumn="0" w:oddVBand="0" w:evenVBand="0" w:oddHBand="0" w:evenHBand="0" w:firstRowFirstColumn="0" w:firstRowLastColumn="0" w:lastRowFirstColumn="0" w:lastRowLastColumn="0"/>
            <w:tcW w:w="1083" w:type="dxa"/>
          </w:tcPr>
          <w:p w:rsidR="005C07E7" w:rsidRPr="00F80EF7" w:rsidRDefault="005C07E7" w:rsidP="005C07E7">
            <w:pPr>
              <w:spacing w:after="0"/>
              <w:rPr>
                <w:b w:val="0"/>
              </w:rPr>
            </w:pPr>
            <w:r w:rsidRPr="00F80EF7">
              <w:rPr>
                <w:b w:val="0"/>
              </w:rPr>
              <w:t>2017</w:t>
            </w:r>
            <w:r w:rsidR="00CE66EF">
              <w:rPr>
                <w:b w:val="0"/>
              </w:rPr>
              <w:t>–</w:t>
            </w:r>
            <w:r w:rsidRPr="00F80EF7">
              <w:rPr>
                <w:b w:val="0"/>
              </w:rPr>
              <w:t>18</w:t>
            </w:r>
          </w:p>
        </w:tc>
        <w:tc>
          <w:tcPr>
            <w:tcW w:w="2178" w:type="dxa"/>
          </w:tcPr>
          <w:p w:rsidR="005C07E7" w:rsidRDefault="005C07E7" w:rsidP="00EA294B">
            <w:pPr>
              <w:spacing w:after="0"/>
              <w:jc w:val="center"/>
              <w:cnfStyle w:val="000000000000" w:firstRow="0" w:lastRow="0" w:firstColumn="0" w:lastColumn="0" w:oddVBand="0" w:evenVBand="0" w:oddHBand="0" w:evenHBand="0" w:firstRowFirstColumn="0" w:firstRowLastColumn="0" w:lastRowFirstColumn="0" w:lastRowLastColumn="0"/>
            </w:pPr>
            <w:r>
              <w:t>71</w:t>
            </w:r>
            <w:r w:rsidR="00EA294B">
              <w:t xml:space="preserve"> </w:t>
            </w:r>
            <w:r>
              <w:t>733</w:t>
            </w:r>
          </w:p>
        </w:tc>
        <w:tc>
          <w:tcPr>
            <w:tcW w:w="1559" w:type="dxa"/>
          </w:tcPr>
          <w:p w:rsidR="005C07E7" w:rsidRDefault="005C07E7" w:rsidP="00951F7C">
            <w:pPr>
              <w:spacing w:after="0"/>
              <w:jc w:val="center"/>
              <w:cnfStyle w:val="000000000000" w:firstRow="0" w:lastRow="0" w:firstColumn="0" w:lastColumn="0" w:oddVBand="0" w:evenVBand="0" w:oddHBand="0" w:evenHBand="0" w:firstRowFirstColumn="0" w:firstRowLastColumn="0" w:lastRowFirstColumn="0" w:lastRowLastColumn="0"/>
            </w:pPr>
            <w:r>
              <w:t>271</w:t>
            </w:r>
            <w:r w:rsidR="00951F7C">
              <w:t xml:space="preserve"> </w:t>
            </w:r>
            <w:r>
              <w:t>243</w:t>
            </w:r>
          </w:p>
        </w:tc>
        <w:tc>
          <w:tcPr>
            <w:tcW w:w="1984" w:type="dxa"/>
          </w:tcPr>
          <w:p w:rsidR="005C07E7" w:rsidRDefault="00E9265C" w:rsidP="00E9265C">
            <w:pPr>
              <w:spacing w:after="0"/>
              <w:jc w:val="center"/>
              <w:cnfStyle w:val="000000000000" w:firstRow="0" w:lastRow="0" w:firstColumn="0" w:lastColumn="0" w:oddVBand="0" w:evenVBand="0" w:oddHBand="0" w:evenHBand="0" w:firstRowFirstColumn="0" w:firstRowLastColumn="0" w:lastRowFirstColumn="0" w:lastRowLastColumn="0"/>
            </w:pPr>
            <w:r>
              <w:t>3464</w:t>
            </w:r>
            <w:r w:rsidR="005C07E7">
              <w:t xml:space="preserve"> (</w:t>
            </w:r>
            <w:r>
              <w:t>4.8</w:t>
            </w:r>
            <w:r w:rsidR="00D64016">
              <w:t>%)</w:t>
            </w:r>
          </w:p>
        </w:tc>
        <w:tc>
          <w:tcPr>
            <w:tcW w:w="2127" w:type="dxa"/>
          </w:tcPr>
          <w:p w:rsidR="005C07E7" w:rsidRDefault="00E9265C" w:rsidP="00D64016">
            <w:pPr>
              <w:spacing w:after="0"/>
              <w:jc w:val="center"/>
              <w:cnfStyle w:val="000000000000" w:firstRow="0" w:lastRow="0" w:firstColumn="0" w:lastColumn="0" w:oddVBand="0" w:evenVBand="0" w:oddHBand="0" w:evenHBand="0" w:firstRowFirstColumn="0" w:firstRowLastColumn="0" w:lastRowFirstColumn="0" w:lastRowLastColumn="0"/>
            </w:pPr>
            <w:r>
              <w:t>3691</w:t>
            </w:r>
            <w:r w:rsidR="005C07E7">
              <w:t xml:space="preserve"> (</w:t>
            </w:r>
            <w:r w:rsidR="00D64016">
              <w:t>5</w:t>
            </w:r>
            <w:r>
              <w:t>.2</w:t>
            </w:r>
            <w:r w:rsidR="005C07E7">
              <w:t>%)</w:t>
            </w:r>
          </w:p>
        </w:tc>
      </w:tr>
      <w:tr w:rsidR="002344E8" w:rsidTr="005C07E7">
        <w:tc>
          <w:tcPr>
            <w:cnfStyle w:val="001000000000" w:firstRow="0" w:lastRow="0" w:firstColumn="1" w:lastColumn="0" w:oddVBand="0" w:evenVBand="0" w:oddHBand="0" w:evenHBand="0" w:firstRowFirstColumn="0" w:firstRowLastColumn="0" w:lastRowFirstColumn="0" w:lastRowLastColumn="0"/>
            <w:tcW w:w="1083" w:type="dxa"/>
          </w:tcPr>
          <w:p w:rsidR="002344E8" w:rsidRPr="00F80EF7" w:rsidRDefault="002344E8" w:rsidP="005C07E7">
            <w:pPr>
              <w:spacing w:after="0"/>
              <w:rPr>
                <w:b w:val="0"/>
              </w:rPr>
            </w:pPr>
            <w:r>
              <w:rPr>
                <w:b w:val="0"/>
              </w:rPr>
              <w:t>2018</w:t>
            </w:r>
            <w:r w:rsidR="00CE66EF">
              <w:rPr>
                <w:b w:val="0"/>
              </w:rPr>
              <w:t>–</w:t>
            </w:r>
            <w:r>
              <w:rPr>
                <w:b w:val="0"/>
              </w:rPr>
              <w:t>19</w:t>
            </w:r>
          </w:p>
        </w:tc>
        <w:tc>
          <w:tcPr>
            <w:tcW w:w="2178" w:type="dxa"/>
          </w:tcPr>
          <w:p w:rsidR="002344E8" w:rsidRDefault="0001377D" w:rsidP="00EA294B">
            <w:pPr>
              <w:spacing w:after="0"/>
              <w:jc w:val="center"/>
              <w:cnfStyle w:val="000000000000" w:firstRow="0" w:lastRow="0" w:firstColumn="0" w:lastColumn="0" w:oddVBand="0" w:evenVBand="0" w:oddHBand="0" w:evenHBand="0" w:firstRowFirstColumn="0" w:firstRowLastColumn="0" w:lastRowFirstColumn="0" w:lastRowLastColumn="0"/>
            </w:pPr>
            <w:r w:rsidRPr="00D350A8">
              <w:t>70</w:t>
            </w:r>
            <w:r w:rsidR="00EA294B">
              <w:t xml:space="preserve"> </w:t>
            </w:r>
            <w:r w:rsidRPr="00D350A8">
              <w:t>183</w:t>
            </w:r>
          </w:p>
        </w:tc>
        <w:tc>
          <w:tcPr>
            <w:tcW w:w="1559" w:type="dxa"/>
          </w:tcPr>
          <w:p w:rsidR="002344E8" w:rsidRDefault="0001377D" w:rsidP="00951F7C">
            <w:pPr>
              <w:spacing w:after="0"/>
              <w:jc w:val="center"/>
              <w:cnfStyle w:val="000000000000" w:firstRow="0" w:lastRow="0" w:firstColumn="0" w:lastColumn="0" w:oddVBand="0" w:evenVBand="0" w:oddHBand="0" w:evenHBand="0" w:firstRowFirstColumn="0" w:firstRowLastColumn="0" w:lastRowFirstColumn="0" w:lastRowLastColumn="0"/>
            </w:pPr>
            <w:r>
              <w:t>256</w:t>
            </w:r>
            <w:r w:rsidR="00951F7C">
              <w:t xml:space="preserve"> </w:t>
            </w:r>
            <w:r>
              <w:t>507</w:t>
            </w:r>
          </w:p>
        </w:tc>
        <w:tc>
          <w:tcPr>
            <w:tcW w:w="1984" w:type="dxa"/>
          </w:tcPr>
          <w:p w:rsidR="002344E8" w:rsidRDefault="0001377D" w:rsidP="00E9265C">
            <w:pPr>
              <w:spacing w:after="0"/>
              <w:jc w:val="center"/>
              <w:cnfStyle w:val="000000000000" w:firstRow="0" w:lastRow="0" w:firstColumn="0" w:lastColumn="0" w:oddVBand="0" w:evenVBand="0" w:oddHBand="0" w:evenHBand="0" w:firstRowFirstColumn="0" w:firstRowLastColumn="0" w:lastRowFirstColumn="0" w:lastRowLastColumn="0"/>
            </w:pPr>
            <w:r>
              <w:t>1621 (2.3%)</w:t>
            </w:r>
          </w:p>
        </w:tc>
        <w:tc>
          <w:tcPr>
            <w:tcW w:w="2127" w:type="dxa"/>
          </w:tcPr>
          <w:p w:rsidR="002344E8" w:rsidRDefault="0001377D" w:rsidP="00D64016">
            <w:pPr>
              <w:spacing w:after="0"/>
              <w:jc w:val="center"/>
              <w:cnfStyle w:val="000000000000" w:firstRow="0" w:lastRow="0" w:firstColumn="0" w:lastColumn="0" w:oddVBand="0" w:evenVBand="0" w:oddHBand="0" w:evenHBand="0" w:firstRowFirstColumn="0" w:firstRowLastColumn="0" w:lastRowFirstColumn="0" w:lastRowLastColumn="0"/>
            </w:pPr>
            <w:r>
              <w:t>1606 (2.3%)</w:t>
            </w:r>
          </w:p>
        </w:tc>
      </w:tr>
      <w:tr w:rsidR="003C25FE" w:rsidTr="005C07E7">
        <w:tc>
          <w:tcPr>
            <w:cnfStyle w:val="001000000000" w:firstRow="0" w:lastRow="0" w:firstColumn="1" w:lastColumn="0" w:oddVBand="0" w:evenVBand="0" w:oddHBand="0" w:evenHBand="0" w:firstRowFirstColumn="0" w:firstRowLastColumn="0" w:lastRowFirstColumn="0" w:lastRowLastColumn="0"/>
            <w:tcW w:w="1083" w:type="dxa"/>
          </w:tcPr>
          <w:p w:rsidR="003C25FE" w:rsidRPr="003C25FE" w:rsidRDefault="003C25FE" w:rsidP="003C25FE">
            <w:pPr>
              <w:spacing w:after="0"/>
              <w:rPr>
                <w:b w:val="0"/>
              </w:rPr>
            </w:pPr>
            <w:r w:rsidRPr="003C25FE">
              <w:rPr>
                <w:rFonts w:cs="Arial"/>
                <w:b w:val="0"/>
                <w:color w:val="000000"/>
                <w:szCs w:val="20"/>
              </w:rPr>
              <w:t>2019–20</w:t>
            </w:r>
          </w:p>
        </w:tc>
        <w:tc>
          <w:tcPr>
            <w:tcW w:w="2178" w:type="dxa"/>
          </w:tcPr>
          <w:p w:rsidR="003C25FE" w:rsidRPr="00D350A8" w:rsidRDefault="003C25FE" w:rsidP="00EA294B">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78</w:t>
            </w:r>
            <w:r w:rsidR="00EA294B">
              <w:rPr>
                <w:rFonts w:cs="Arial"/>
                <w:color w:val="000000"/>
                <w:szCs w:val="20"/>
              </w:rPr>
              <w:t xml:space="preserve"> </w:t>
            </w:r>
            <w:r>
              <w:rPr>
                <w:rFonts w:cs="Arial"/>
                <w:color w:val="000000"/>
                <w:szCs w:val="20"/>
              </w:rPr>
              <w:t>290</w:t>
            </w:r>
          </w:p>
        </w:tc>
        <w:tc>
          <w:tcPr>
            <w:tcW w:w="1559" w:type="dxa"/>
          </w:tcPr>
          <w:p w:rsidR="003C25FE" w:rsidRDefault="003C25FE" w:rsidP="00951F7C">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203</w:t>
            </w:r>
            <w:r w:rsidR="00951F7C">
              <w:rPr>
                <w:rFonts w:cs="Arial"/>
                <w:color w:val="000000"/>
                <w:szCs w:val="20"/>
              </w:rPr>
              <w:t xml:space="preserve"> </w:t>
            </w:r>
            <w:r>
              <w:rPr>
                <w:rFonts w:cs="Arial"/>
                <w:color w:val="000000"/>
                <w:szCs w:val="20"/>
              </w:rPr>
              <w:t>320</w:t>
            </w:r>
          </w:p>
        </w:tc>
        <w:tc>
          <w:tcPr>
            <w:tcW w:w="1984" w:type="dxa"/>
          </w:tcPr>
          <w:p w:rsidR="003C25FE" w:rsidRDefault="003C25FE" w:rsidP="003C25FE">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1269 (1.6%)</w:t>
            </w:r>
          </w:p>
        </w:tc>
        <w:tc>
          <w:tcPr>
            <w:tcW w:w="2127" w:type="dxa"/>
          </w:tcPr>
          <w:p w:rsidR="003C25FE" w:rsidRDefault="003C25FE" w:rsidP="003C25FE">
            <w:pPr>
              <w:spacing w:after="0"/>
              <w:jc w:val="center"/>
              <w:cnfStyle w:val="000000000000" w:firstRow="0" w:lastRow="0" w:firstColumn="0" w:lastColumn="0" w:oddVBand="0" w:evenVBand="0" w:oddHBand="0" w:evenHBand="0" w:firstRowFirstColumn="0" w:firstRowLastColumn="0" w:lastRowFirstColumn="0" w:lastRowLastColumn="0"/>
            </w:pPr>
            <w:r>
              <w:rPr>
                <w:rFonts w:cs="Arial"/>
                <w:color w:val="000000"/>
                <w:szCs w:val="20"/>
              </w:rPr>
              <w:t>2243 (2.9%)</w:t>
            </w:r>
          </w:p>
        </w:tc>
      </w:tr>
    </w:tbl>
    <w:p w:rsidR="005C07E7" w:rsidRDefault="00AC4E4D" w:rsidP="00814D94">
      <w:r>
        <w:t>While m</w:t>
      </w:r>
      <w:r w:rsidR="004D4A82">
        <w:t xml:space="preserve">eat and seafood </w:t>
      </w:r>
      <w:r>
        <w:t>consistently appear</w:t>
      </w:r>
      <w:r w:rsidR="004D4A82">
        <w:t xml:space="preserve"> among the categories of packaged goods with the greatest proportion found to contain short measure</w:t>
      </w:r>
      <w:r>
        <w:t xml:space="preserve">, there </w:t>
      </w:r>
      <w:r w:rsidR="00CE1390">
        <w:t>has been</w:t>
      </w:r>
      <w:r>
        <w:t xml:space="preserve"> considerable variation among other categories</w:t>
      </w:r>
      <w:r w:rsidR="00CE1390">
        <w:t xml:space="preserve"> over recent years</w:t>
      </w:r>
      <w:r>
        <w:t>.</w:t>
      </w:r>
    </w:p>
    <w:p w:rsidR="004D4A82" w:rsidRPr="00D87BC8" w:rsidRDefault="00D45506" w:rsidP="004D4A82">
      <w:pPr>
        <w:rPr>
          <w:rStyle w:val="Tabletitle"/>
        </w:rPr>
      </w:pPr>
      <w:r>
        <w:rPr>
          <w:rStyle w:val="Tabletitle"/>
        </w:rPr>
        <w:t xml:space="preserve">Packaged goods </w:t>
      </w:r>
      <w:r w:rsidR="00062F7A">
        <w:rPr>
          <w:rStyle w:val="Tabletitle"/>
        </w:rPr>
        <w:t>short</w:t>
      </w:r>
      <w:r>
        <w:rPr>
          <w:rStyle w:val="Tabletitle"/>
        </w:rPr>
        <w:t xml:space="preserve"> measure </w:t>
      </w:r>
      <w:r w:rsidR="00330F38">
        <w:rPr>
          <w:rStyle w:val="Tabletitle"/>
        </w:rPr>
        <w:t>2019</w:t>
      </w:r>
      <w:r w:rsidR="00CE66EF">
        <w:rPr>
          <w:rStyle w:val="Tabletitle"/>
        </w:rPr>
        <w:t>–</w:t>
      </w:r>
      <w:r w:rsidR="00330F38">
        <w:rPr>
          <w:rStyle w:val="Tabletitle"/>
        </w:rPr>
        <w:t>20</w:t>
      </w:r>
    </w:p>
    <w:tbl>
      <w:tblPr>
        <w:tblStyle w:val="Style1"/>
        <w:tblpPr w:leftFromText="181" w:rightFromText="181" w:bottomFromText="425" w:vertAnchor="text" w:tblpY="1"/>
        <w:tblOverlap w:val="never"/>
        <w:tblW w:w="8931" w:type="dxa"/>
        <w:tblLook w:val="04A0" w:firstRow="1" w:lastRow="0" w:firstColumn="1" w:lastColumn="0" w:noHBand="0" w:noVBand="1"/>
        <w:tblCaption w:val="Packaged goods short measure"/>
      </w:tblPr>
      <w:tblGrid>
        <w:gridCol w:w="3129"/>
        <w:gridCol w:w="1809"/>
        <w:gridCol w:w="2137"/>
        <w:gridCol w:w="1856"/>
      </w:tblGrid>
      <w:tr w:rsidR="004C1342" w:rsidTr="00E85A54">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3129" w:type="dxa"/>
          </w:tcPr>
          <w:p w:rsidR="004C1342" w:rsidRDefault="004C1342" w:rsidP="004C1342">
            <w:pPr>
              <w:spacing w:after="0"/>
            </w:pPr>
            <w:bookmarkStart w:id="28" w:name="_GoBack" w:colFirst="0" w:colLast="4"/>
            <w:r>
              <w:t>Product type</w:t>
            </w:r>
          </w:p>
        </w:tc>
        <w:tc>
          <w:tcPr>
            <w:tcW w:w="1809" w:type="dxa"/>
          </w:tcPr>
          <w:p w:rsidR="004C1342" w:rsidRDefault="004C1342" w:rsidP="004C1342">
            <w:pPr>
              <w:spacing w:after="0"/>
              <w:jc w:val="center"/>
              <w:cnfStyle w:val="100000000000" w:firstRow="1" w:lastRow="0" w:firstColumn="0" w:lastColumn="0" w:oddVBand="0" w:evenVBand="0" w:oddHBand="0" w:evenHBand="0" w:firstRowFirstColumn="0" w:firstRowLastColumn="0" w:lastRowFirstColumn="0" w:lastRowLastColumn="0"/>
            </w:pPr>
            <w:r>
              <w:t>Packaged lines inspected</w:t>
            </w:r>
          </w:p>
        </w:tc>
        <w:tc>
          <w:tcPr>
            <w:tcW w:w="2137" w:type="dxa"/>
          </w:tcPr>
          <w:p w:rsidR="004C1342" w:rsidRDefault="004C1342" w:rsidP="004C1342">
            <w:pPr>
              <w:spacing w:after="0"/>
              <w:jc w:val="center"/>
              <w:cnfStyle w:val="100000000000" w:firstRow="1" w:lastRow="0" w:firstColumn="0" w:lastColumn="0" w:oddVBand="0" w:evenVBand="0" w:oddHBand="0" w:evenHBand="0" w:firstRowFirstColumn="0" w:firstRowLastColumn="0" w:lastRowFirstColumn="0" w:lastRowLastColumn="0"/>
            </w:pPr>
            <w:r>
              <w:t>Individual packages</w:t>
            </w:r>
          </w:p>
        </w:tc>
        <w:tc>
          <w:tcPr>
            <w:tcW w:w="1856" w:type="dxa"/>
          </w:tcPr>
          <w:p w:rsidR="004C1342" w:rsidRDefault="004C1342" w:rsidP="00F62A1C">
            <w:pPr>
              <w:spacing w:after="0"/>
              <w:jc w:val="center"/>
              <w:cnfStyle w:val="100000000000" w:firstRow="1" w:lastRow="0" w:firstColumn="0" w:lastColumn="0" w:oddVBand="0" w:evenVBand="0" w:oddHBand="0" w:evenHBand="0" w:firstRowFirstColumn="0" w:firstRowLastColumn="0" w:lastRowFirstColumn="0" w:lastRowLastColumn="0"/>
            </w:pPr>
            <w:r>
              <w:t xml:space="preserve">Lines with </w:t>
            </w:r>
            <w:r w:rsidR="00F62A1C">
              <w:t xml:space="preserve">short </w:t>
            </w:r>
            <w:r>
              <w:t>measure</w:t>
            </w:r>
          </w:p>
        </w:tc>
      </w:tr>
      <w:tr w:rsidR="00E85A54" w:rsidTr="00E85A54">
        <w:tc>
          <w:tcPr>
            <w:cnfStyle w:val="001000000000" w:firstRow="0" w:lastRow="0" w:firstColumn="1" w:lastColumn="0" w:oddVBand="0" w:evenVBand="0" w:oddHBand="0" w:evenHBand="0" w:firstRowFirstColumn="0" w:firstRowLastColumn="0" w:lastRowFirstColumn="0" w:lastRowLastColumn="0"/>
            <w:tcW w:w="3129" w:type="dxa"/>
            <w:vAlign w:val="top"/>
          </w:tcPr>
          <w:p w:rsidR="00E85A54" w:rsidRPr="00E85A54" w:rsidRDefault="00E85A54" w:rsidP="00E85A54">
            <w:pPr>
              <w:spacing w:after="0"/>
              <w:rPr>
                <w:b w:val="0"/>
              </w:rPr>
            </w:pPr>
            <w:r w:rsidRPr="00E85A54">
              <w:rPr>
                <w:b w:val="0"/>
              </w:rPr>
              <w:t>Fuel (Solid)</w:t>
            </w:r>
          </w:p>
        </w:tc>
        <w:tc>
          <w:tcPr>
            <w:tcW w:w="1809" w:type="dxa"/>
            <w:vAlign w:val="top"/>
          </w:tcPr>
          <w:p w:rsidR="00E85A54"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D30EF0">
              <w:t>537</w:t>
            </w:r>
          </w:p>
        </w:tc>
        <w:tc>
          <w:tcPr>
            <w:tcW w:w="2137" w:type="dxa"/>
            <w:vAlign w:val="top"/>
          </w:tcPr>
          <w:p w:rsidR="00E85A54"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D30EF0">
              <w:t>2065</w:t>
            </w:r>
          </w:p>
        </w:tc>
        <w:tc>
          <w:tcPr>
            <w:tcW w:w="1856" w:type="dxa"/>
            <w:vAlign w:val="top"/>
          </w:tcPr>
          <w:p w:rsidR="00E85A54"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D30EF0">
              <w:t>29</w:t>
            </w:r>
            <w:r>
              <w:t xml:space="preserve"> (5.4%)</w:t>
            </w:r>
          </w:p>
        </w:tc>
      </w:tr>
      <w:tr w:rsidR="00E85A54" w:rsidTr="00E85A54">
        <w:tc>
          <w:tcPr>
            <w:cnfStyle w:val="001000000000" w:firstRow="0" w:lastRow="0" w:firstColumn="1" w:lastColumn="0" w:oddVBand="0" w:evenVBand="0" w:oddHBand="0" w:evenHBand="0" w:firstRowFirstColumn="0" w:firstRowLastColumn="0" w:lastRowFirstColumn="0" w:lastRowLastColumn="0"/>
            <w:tcW w:w="3129" w:type="dxa"/>
            <w:vAlign w:val="top"/>
          </w:tcPr>
          <w:p w:rsidR="00E85A54" w:rsidRPr="00E85A54" w:rsidRDefault="00E85A54" w:rsidP="00E85A54">
            <w:pPr>
              <w:spacing w:after="0"/>
              <w:rPr>
                <w:b w:val="0"/>
              </w:rPr>
            </w:pPr>
            <w:r w:rsidRPr="00E85A54">
              <w:rPr>
                <w:b w:val="0"/>
              </w:rPr>
              <w:t>Seafood (Frozen)</w:t>
            </w:r>
          </w:p>
        </w:tc>
        <w:tc>
          <w:tcPr>
            <w:tcW w:w="1809" w:type="dxa"/>
            <w:vAlign w:val="top"/>
          </w:tcPr>
          <w:p w:rsidR="00E85A54" w:rsidDel="00EE7B5A"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D30EF0">
              <w:t>676</w:t>
            </w:r>
          </w:p>
        </w:tc>
        <w:tc>
          <w:tcPr>
            <w:tcW w:w="2137" w:type="dxa"/>
            <w:vAlign w:val="top"/>
          </w:tcPr>
          <w:p w:rsidR="00E85A54" w:rsidDel="00EE7B5A"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D30EF0">
              <w:t>1975</w:t>
            </w:r>
          </w:p>
        </w:tc>
        <w:tc>
          <w:tcPr>
            <w:tcW w:w="1856" w:type="dxa"/>
            <w:vAlign w:val="top"/>
          </w:tcPr>
          <w:p w:rsidR="00E85A54" w:rsidDel="00EE7B5A"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D30EF0">
              <w:t>29</w:t>
            </w:r>
            <w:r>
              <w:t xml:space="preserve"> (4.3%)</w:t>
            </w:r>
          </w:p>
        </w:tc>
      </w:tr>
      <w:tr w:rsidR="00E85A54" w:rsidTr="00E85A54">
        <w:tc>
          <w:tcPr>
            <w:cnfStyle w:val="001000000000" w:firstRow="0" w:lastRow="0" w:firstColumn="1" w:lastColumn="0" w:oddVBand="0" w:evenVBand="0" w:oddHBand="0" w:evenHBand="0" w:firstRowFirstColumn="0" w:firstRowLastColumn="0" w:lastRowFirstColumn="0" w:lastRowLastColumn="0"/>
            <w:tcW w:w="3129" w:type="dxa"/>
            <w:vAlign w:val="top"/>
          </w:tcPr>
          <w:p w:rsidR="00E85A54" w:rsidRPr="00E85A54" w:rsidRDefault="00E85A54" w:rsidP="00E85A54">
            <w:pPr>
              <w:spacing w:after="0"/>
              <w:rPr>
                <w:b w:val="0"/>
              </w:rPr>
            </w:pPr>
            <w:r w:rsidRPr="00E85A54">
              <w:rPr>
                <w:b w:val="0"/>
              </w:rPr>
              <w:t>Meat (Processed)</w:t>
            </w:r>
          </w:p>
        </w:tc>
        <w:tc>
          <w:tcPr>
            <w:tcW w:w="1809" w:type="dxa"/>
            <w:vAlign w:val="top"/>
          </w:tcPr>
          <w:p w:rsidR="00E85A54" w:rsidDel="00EE7B5A"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D30EF0">
              <w:t>1811</w:t>
            </w:r>
          </w:p>
        </w:tc>
        <w:tc>
          <w:tcPr>
            <w:tcW w:w="2137" w:type="dxa"/>
            <w:vAlign w:val="top"/>
          </w:tcPr>
          <w:p w:rsidR="00E85A54" w:rsidDel="00EE7B5A"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D30EF0">
              <w:t>5751</w:t>
            </w:r>
          </w:p>
        </w:tc>
        <w:tc>
          <w:tcPr>
            <w:tcW w:w="1856" w:type="dxa"/>
            <w:vAlign w:val="top"/>
          </w:tcPr>
          <w:p w:rsidR="00E85A54" w:rsidDel="00EE7B5A"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D30EF0">
              <w:t>76</w:t>
            </w:r>
            <w:r>
              <w:t xml:space="preserve"> (4.2%)</w:t>
            </w:r>
          </w:p>
        </w:tc>
      </w:tr>
      <w:tr w:rsidR="00E85A54" w:rsidTr="00E85A54">
        <w:tc>
          <w:tcPr>
            <w:cnfStyle w:val="001000000000" w:firstRow="0" w:lastRow="0" w:firstColumn="1" w:lastColumn="0" w:oddVBand="0" w:evenVBand="0" w:oddHBand="0" w:evenHBand="0" w:firstRowFirstColumn="0" w:firstRowLastColumn="0" w:lastRowFirstColumn="0" w:lastRowLastColumn="0"/>
            <w:tcW w:w="3129" w:type="dxa"/>
            <w:vAlign w:val="top"/>
          </w:tcPr>
          <w:p w:rsidR="00E85A54" w:rsidRPr="00E85A54" w:rsidRDefault="00E85A54" w:rsidP="00E85A54">
            <w:pPr>
              <w:spacing w:after="0"/>
              <w:rPr>
                <w:b w:val="0"/>
              </w:rPr>
            </w:pPr>
            <w:r w:rsidRPr="00E85A54">
              <w:rPr>
                <w:b w:val="0"/>
              </w:rPr>
              <w:t>Meat (Fresh)</w:t>
            </w:r>
          </w:p>
        </w:tc>
        <w:tc>
          <w:tcPr>
            <w:tcW w:w="1809" w:type="dxa"/>
            <w:vAlign w:val="top"/>
          </w:tcPr>
          <w:p w:rsidR="00E85A54" w:rsidRDefault="00E85A54" w:rsidP="00EA294B">
            <w:pPr>
              <w:spacing w:after="0"/>
              <w:jc w:val="center"/>
              <w:cnfStyle w:val="000000000000" w:firstRow="0" w:lastRow="0" w:firstColumn="0" w:lastColumn="0" w:oddVBand="0" w:evenVBand="0" w:oddHBand="0" w:evenHBand="0" w:firstRowFirstColumn="0" w:firstRowLastColumn="0" w:lastRowFirstColumn="0" w:lastRowLastColumn="0"/>
            </w:pPr>
            <w:r w:rsidRPr="00D30EF0">
              <w:t>15</w:t>
            </w:r>
            <w:r w:rsidR="00EA294B">
              <w:t xml:space="preserve"> </w:t>
            </w:r>
            <w:r w:rsidRPr="00D30EF0">
              <w:t>311</w:t>
            </w:r>
          </w:p>
        </w:tc>
        <w:tc>
          <w:tcPr>
            <w:tcW w:w="2137" w:type="dxa"/>
            <w:vAlign w:val="top"/>
          </w:tcPr>
          <w:p w:rsidR="00E85A54" w:rsidRDefault="00E85A54" w:rsidP="00EA294B">
            <w:pPr>
              <w:spacing w:after="0"/>
              <w:jc w:val="center"/>
              <w:cnfStyle w:val="000000000000" w:firstRow="0" w:lastRow="0" w:firstColumn="0" w:lastColumn="0" w:oddVBand="0" w:evenVBand="0" w:oddHBand="0" w:evenHBand="0" w:firstRowFirstColumn="0" w:firstRowLastColumn="0" w:lastRowFirstColumn="0" w:lastRowLastColumn="0"/>
            </w:pPr>
            <w:r w:rsidRPr="00D30EF0">
              <w:t>48</w:t>
            </w:r>
            <w:r w:rsidR="00EA294B">
              <w:t xml:space="preserve"> </w:t>
            </w:r>
            <w:r w:rsidRPr="00D30EF0">
              <w:t>331</w:t>
            </w:r>
          </w:p>
        </w:tc>
        <w:tc>
          <w:tcPr>
            <w:tcW w:w="1856" w:type="dxa"/>
            <w:vAlign w:val="top"/>
          </w:tcPr>
          <w:p w:rsidR="00E85A54"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D30EF0">
              <w:t>542</w:t>
            </w:r>
            <w:r>
              <w:t xml:space="preserve"> (3.5%)</w:t>
            </w:r>
          </w:p>
        </w:tc>
      </w:tr>
      <w:tr w:rsidR="00E85A54" w:rsidTr="00E85A54">
        <w:tc>
          <w:tcPr>
            <w:cnfStyle w:val="001000000000" w:firstRow="0" w:lastRow="0" w:firstColumn="1" w:lastColumn="0" w:oddVBand="0" w:evenVBand="0" w:oddHBand="0" w:evenHBand="0" w:firstRowFirstColumn="0" w:firstRowLastColumn="0" w:lastRowFirstColumn="0" w:lastRowLastColumn="0"/>
            <w:tcW w:w="3129" w:type="dxa"/>
          </w:tcPr>
          <w:p w:rsidR="00E85A54" w:rsidRPr="00E85A54" w:rsidRDefault="00E85A54" w:rsidP="00E85A54">
            <w:pPr>
              <w:spacing w:after="0"/>
              <w:rPr>
                <w:b w:val="0"/>
              </w:rPr>
            </w:pPr>
            <w:r w:rsidRPr="00E85A54">
              <w:rPr>
                <w:b w:val="0"/>
              </w:rPr>
              <w:t>Beverages (inc</w:t>
            </w:r>
            <w:r w:rsidR="004E71AF">
              <w:rPr>
                <w:b w:val="0"/>
              </w:rPr>
              <w:t>luding</w:t>
            </w:r>
            <w:r w:rsidRPr="00E85A54">
              <w:rPr>
                <w:b w:val="0"/>
              </w:rPr>
              <w:t xml:space="preserve"> Alcohol)</w:t>
            </w:r>
          </w:p>
        </w:tc>
        <w:tc>
          <w:tcPr>
            <w:tcW w:w="1809" w:type="dxa"/>
            <w:vAlign w:val="top"/>
          </w:tcPr>
          <w:p w:rsidR="00E85A54"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236122">
              <w:t>1058</w:t>
            </w:r>
          </w:p>
        </w:tc>
        <w:tc>
          <w:tcPr>
            <w:tcW w:w="2137" w:type="dxa"/>
            <w:vAlign w:val="top"/>
          </w:tcPr>
          <w:p w:rsidR="00E85A54"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236122">
              <w:t>1452</w:t>
            </w:r>
          </w:p>
        </w:tc>
        <w:tc>
          <w:tcPr>
            <w:tcW w:w="1856" w:type="dxa"/>
            <w:vAlign w:val="top"/>
          </w:tcPr>
          <w:p w:rsidR="00E85A54"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236122">
              <w:t>36</w:t>
            </w:r>
            <w:r>
              <w:t xml:space="preserve"> (3.4%)</w:t>
            </w:r>
          </w:p>
        </w:tc>
      </w:tr>
      <w:tr w:rsidR="00E85A54" w:rsidTr="00E85A54">
        <w:tc>
          <w:tcPr>
            <w:cnfStyle w:val="001000000000" w:firstRow="0" w:lastRow="0" w:firstColumn="1" w:lastColumn="0" w:oddVBand="0" w:evenVBand="0" w:oddHBand="0" w:evenHBand="0" w:firstRowFirstColumn="0" w:firstRowLastColumn="0" w:lastRowFirstColumn="0" w:lastRowLastColumn="0"/>
            <w:tcW w:w="3129" w:type="dxa"/>
            <w:vAlign w:val="top"/>
          </w:tcPr>
          <w:p w:rsidR="00E85A54" w:rsidRPr="00E85A54" w:rsidRDefault="00E85A54" w:rsidP="00E85A54">
            <w:pPr>
              <w:spacing w:after="0"/>
              <w:rPr>
                <w:b w:val="0"/>
              </w:rPr>
            </w:pPr>
            <w:r w:rsidRPr="00E85A54">
              <w:rPr>
                <w:b w:val="0"/>
              </w:rPr>
              <w:t>Confectionery/Snack Foods</w:t>
            </w:r>
          </w:p>
        </w:tc>
        <w:tc>
          <w:tcPr>
            <w:tcW w:w="1809" w:type="dxa"/>
            <w:vAlign w:val="top"/>
          </w:tcPr>
          <w:p w:rsidR="00E85A54"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F3710F">
              <w:t>3398</w:t>
            </w:r>
          </w:p>
        </w:tc>
        <w:tc>
          <w:tcPr>
            <w:tcW w:w="2137" w:type="dxa"/>
            <w:vAlign w:val="top"/>
          </w:tcPr>
          <w:p w:rsidR="00E85A54"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F3710F">
              <w:t>10</w:t>
            </w:r>
            <w:r w:rsidR="00EA294B">
              <w:t xml:space="preserve"> </w:t>
            </w:r>
            <w:r w:rsidRPr="00F3710F">
              <w:t>940</w:t>
            </w:r>
          </w:p>
        </w:tc>
        <w:tc>
          <w:tcPr>
            <w:tcW w:w="1856" w:type="dxa"/>
            <w:vAlign w:val="top"/>
          </w:tcPr>
          <w:p w:rsidR="00E85A54"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F3710F">
              <w:t>81</w:t>
            </w:r>
            <w:r>
              <w:t xml:space="preserve"> (2.4%)</w:t>
            </w:r>
          </w:p>
        </w:tc>
      </w:tr>
      <w:tr w:rsidR="00E85A54" w:rsidTr="00E85A54">
        <w:tc>
          <w:tcPr>
            <w:cnfStyle w:val="001000000000" w:firstRow="0" w:lastRow="0" w:firstColumn="1" w:lastColumn="0" w:oddVBand="0" w:evenVBand="0" w:oddHBand="0" w:evenHBand="0" w:firstRowFirstColumn="0" w:firstRowLastColumn="0" w:lastRowFirstColumn="0" w:lastRowLastColumn="0"/>
            <w:tcW w:w="3129" w:type="dxa"/>
            <w:vAlign w:val="top"/>
          </w:tcPr>
          <w:p w:rsidR="00E85A54" w:rsidRPr="00E85A54" w:rsidRDefault="00E85A54" w:rsidP="00E85A54">
            <w:pPr>
              <w:spacing w:after="0"/>
              <w:rPr>
                <w:b w:val="0"/>
              </w:rPr>
            </w:pPr>
            <w:r w:rsidRPr="00E85A54">
              <w:rPr>
                <w:b w:val="0"/>
              </w:rPr>
              <w:t>Fruit &amp; Vegetables (Fresh)</w:t>
            </w:r>
          </w:p>
        </w:tc>
        <w:tc>
          <w:tcPr>
            <w:tcW w:w="1809" w:type="dxa"/>
            <w:vAlign w:val="top"/>
          </w:tcPr>
          <w:p w:rsidR="00E85A54"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F3710F">
              <w:t>7563</w:t>
            </w:r>
          </w:p>
        </w:tc>
        <w:tc>
          <w:tcPr>
            <w:tcW w:w="2137" w:type="dxa"/>
            <w:vAlign w:val="top"/>
          </w:tcPr>
          <w:p w:rsidR="00E85A54" w:rsidRDefault="00E85A54" w:rsidP="00EA294B">
            <w:pPr>
              <w:spacing w:after="0"/>
              <w:jc w:val="center"/>
              <w:cnfStyle w:val="000000000000" w:firstRow="0" w:lastRow="0" w:firstColumn="0" w:lastColumn="0" w:oddVBand="0" w:evenVBand="0" w:oddHBand="0" w:evenHBand="0" w:firstRowFirstColumn="0" w:firstRowLastColumn="0" w:lastRowFirstColumn="0" w:lastRowLastColumn="0"/>
            </w:pPr>
            <w:r w:rsidRPr="00F3710F">
              <w:t>26</w:t>
            </w:r>
            <w:r w:rsidR="00EA294B">
              <w:t xml:space="preserve"> </w:t>
            </w:r>
            <w:r w:rsidRPr="00F3710F">
              <w:t>397</w:t>
            </w:r>
          </w:p>
        </w:tc>
        <w:tc>
          <w:tcPr>
            <w:tcW w:w="1856" w:type="dxa"/>
            <w:vAlign w:val="top"/>
          </w:tcPr>
          <w:p w:rsidR="00E85A54" w:rsidRDefault="00E85A54" w:rsidP="00E85A54">
            <w:pPr>
              <w:spacing w:after="0"/>
              <w:jc w:val="center"/>
              <w:cnfStyle w:val="000000000000" w:firstRow="0" w:lastRow="0" w:firstColumn="0" w:lastColumn="0" w:oddVBand="0" w:evenVBand="0" w:oddHBand="0" w:evenHBand="0" w:firstRowFirstColumn="0" w:firstRowLastColumn="0" w:lastRowFirstColumn="0" w:lastRowLastColumn="0"/>
            </w:pPr>
            <w:r w:rsidRPr="00F3710F">
              <w:t>179</w:t>
            </w:r>
            <w:r>
              <w:t xml:space="preserve"> (2.4%)</w:t>
            </w:r>
          </w:p>
        </w:tc>
      </w:tr>
      <w:bookmarkEnd w:id="28"/>
    </w:tbl>
    <w:p w:rsidR="00A222E8" w:rsidRDefault="00A222E8" w:rsidP="00CE1390"/>
    <w:sectPr w:rsidR="00A222E8" w:rsidSect="00585806">
      <w:headerReference w:type="default"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1B0" w:rsidRDefault="009021B0" w:rsidP="00B526AB">
      <w:pPr>
        <w:spacing w:after="0" w:line="240" w:lineRule="auto"/>
      </w:pPr>
      <w:r>
        <w:separator/>
      </w:r>
    </w:p>
  </w:endnote>
  <w:endnote w:type="continuationSeparator" w:id="0">
    <w:p w:rsidR="009021B0" w:rsidRDefault="009021B0" w:rsidP="00B5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F85" w:rsidRDefault="00DC7F85">
    <w:pPr>
      <w:pStyle w:val="Footer"/>
    </w:pPr>
    <w:r>
      <w:rPr>
        <w:noProof/>
        <w:lang w:eastAsia="en-AU"/>
      </w:rPr>
      <w:drawing>
        <wp:anchor distT="0" distB="0" distL="114300" distR="114300" simplePos="0" relativeHeight="251657728" behindDoc="1" locked="0" layoutInCell="1" allowOverlap="1" wp14:anchorId="733BA351" wp14:editId="51F550D0">
          <wp:simplePos x="0" y="0"/>
          <wp:positionH relativeFrom="column">
            <wp:posOffset>-911860</wp:posOffset>
          </wp:positionH>
          <wp:positionV relativeFrom="paragraph">
            <wp:posOffset>67310</wp:posOffset>
          </wp:positionV>
          <wp:extent cx="7560000" cy="521064"/>
          <wp:effectExtent l="0" t="0" r="0" b="12700"/>
          <wp:wrapNone/>
          <wp:docPr id="4" name="Picture 4" descr="Report footer with URL" title="measurem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al_Word_footer_MAS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2106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F85" w:rsidRDefault="00DC7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1B0" w:rsidRDefault="009021B0" w:rsidP="00B526AB">
      <w:pPr>
        <w:spacing w:after="0" w:line="240" w:lineRule="auto"/>
      </w:pPr>
      <w:r>
        <w:separator/>
      </w:r>
    </w:p>
  </w:footnote>
  <w:footnote w:type="continuationSeparator" w:id="0">
    <w:p w:rsidR="009021B0" w:rsidRDefault="009021B0" w:rsidP="00B526AB">
      <w:pPr>
        <w:spacing w:after="0" w:line="240" w:lineRule="auto"/>
      </w:pPr>
      <w:r>
        <w:continuationSeparator/>
      </w:r>
    </w:p>
  </w:footnote>
  <w:footnote w:id="1">
    <w:p w:rsidR="00DC7F85" w:rsidRDefault="00DC7F85" w:rsidP="00B7796E">
      <w:pPr>
        <w:pStyle w:val="FootnoteText"/>
      </w:pPr>
      <w:r>
        <w:rPr>
          <w:rStyle w:val="FootnoteReference"/>
        </w:rPr>
        <w:footnoteRef/>
      </w:r>
      <w:r>
        <w:t xml:space="preserve"> </w:t>
      </w:r>
      <w:r w:rsidRPr="004121D4">
        <w:t>Birch, J (2003) ‘Benefit of Legal Metrology for the Economy and Society’, International Committee of Legal Metrology</w:t>
      </w:r>
      <w:r>
        <w:t>.</w:t>
      </w:r>
    </w:p>
  </w:footnote>
  <w:footnote w:id="2">
    <w:p w:rsidR="00DC7F85" w:rsidRDefault="00DC7F85" w:rsidP="00A76A5F">
      <w:pPr>
        <w:pStyle w:val="FootnoteText"/>
      </w:pPr>
      <w:r>
        <w:rPr>
          <w:rStyle w:val="FootnoteReference"/>
        </w:rPr>
        <w:footnoteRef/>
      </w:r>
      <w:r>
        <w:t xml:space="preserve"> </w:t>
      </w:r>
      <w:r w:rsidRPr="00AB40CF">
        <w:rPr>
          <w:rStyle w:val="Hyperlink"/>
        </w:rPr>
        <w:t>https://www.industry.gov.au/data-and-publications/national-measurement-institute-national-compliance-plan</w:t>
      </w:r>
    </w:p>
  </w:footnote>
  <w:footnote w:id="3">
    <w:p w:rsidR="00DC7F85" w:rsidRDefault="00DC7F85">
      <w:pPr>
        <w:pStyle w:val="FootnoteText"/>
      </w:pPr>
      <w:r>
        <w:rPr>
          <w:rStyle w:val="FootnoteReference"/>
        </w:rPr>
        <w:footnoteRef/>
      </w:r>
      <w:r>
        <w:t xml:space="preserve"> </w:t>
      </w:r>
      <w:r w:rsidRPr="0024216E">
        <w:t>https://www.industry.gov.au/data-and-publications/national-measurement-institute-national-compliance-plan</w:t>
      </w:r>
    </w:p>
  </w:footnote>
  <w:footnote w:id="4">
    <w:p w:rsidR="00DC7F85" w:rsidRDefault="00DC7F85" w:rsidP="0024216E">
      <w:pPr>
        <w:pStyle w:val="FootnoteText"/>
      </w:pPr>
      <w:r>
        <w:rPr>
          <w:rStyle w:val="FootnoteReference"/>
        </w:rPr>
        <w:footnoteRef/>
      </w:r>
      <w:r>
        <w:t xml:space="preserve"> </w:t>
      </w:r>
      <w:r w:rsidRPr="00AB40CF">
        <w:rPr>
          <w:rStyle w:val="Hyperlink"/>
        </w:rPr>
        <w:t>https://www.industry.gov.au/data-and-publications/national-measurement-institute-national-compliance-plan</w:t>
      </w:r>
    </w:p>
  </w:footnote>
  <w:footnote w:id="5">
    <w:p w:rsidR="00DC7F85" w:rsidRDefault="00DC7F85" w:rsidP="00F80EF7">
      <w:pPr>
        <w:pStyle w:val="FootnoteText"/>
      </w:pPr>
      <w:r>
        <w:rPr>
          <w:rStyle w:val="FootnoteReference"/>
        </w:rPr>
        <w:footnoteRef/>
      </w:r>
      <w:r>
        <w:t xml:space="preserve"> </w:t>
      </w:r>
      <w:r w:rsidRPr="00AB40CF">
        <w:rPr>
          <w:rStyle w:val="Hyperlink"/>
        </w:rPr>
        <w:t>https://www.industry.gov.au/data-and-publications/national-measurement-institute-national-compliance-plan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F85" w:rsidRDefault="00DC7F85">
    <w:pPr>
      <w:pStyle w:val="Header"/>
    </w:pPr>
    <w:r>
      <w:rPr>
        <w:noProof/>
        <w:lang w:eastAsia="en-AU"/>
      </w:rPr>
      <w:drawing>
        <wp:anchor distT="0" distB="0" distL="114300" distR="114300" simplePos="0" relativeHeight="251656704" behindDoc="1" locked="0" layoutInCell="1" allowOverlap="1" wp14:anchorId="1D53F6F8" wp14:editId="39364D2E">
          <wp:simplePos x="0" y="0"/>
          <wp:positionH relativeFrom="page">
            <wp:posOffset>0</wp:posOffset>
          </wp:positionH>
          <wp:positionV relativeFrom="page">
            <wp:posOffset>1557196</wp:posOffset>
          </wp:positionV>
          <wp:extent cx="7558405" cy="9129980"/>
          <wp:effectExtent l="0" t="0" r="4445" b="0"/>
          <wp:wrapNone/>
          <wp:docPr id="9" name="Picture 9" descr="Report cover page with footer URL" title="Australian Government | National Measurement Institute | measurem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al_Word_update_slide_frontpage.jpg"/>
                  <pic:cNvPicPr/>
                </pic:nvPicPr>
                <pic:blipFill rotWithShape="1">
                  <a:blip r:embed="rId1">
                    <a:extLst>
                      <a:ext uri="{28A0092B-C50C-407E-A947-70E740481C1C}">
                        <a14:useLocalDpi xmlns:a14="http://schemas.microsoft.com/office/drawing/2010/main" val="0"/>
                      </a:ext>
                    </a:extLst>
                  </a:blip>
                  <a:srcRect t="14571"/>
                  <a:stretch/>
                </pic:blipFill>
                <pic:spPr bwMode="auto">
                  <a:xfrm>
                    <a:off x="0" y="0"/>
                    <a:ext cx="7558766" cy="9130416"/>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F85" w:rsidRDefault="006E7FA8">
    <w:pPr>
      <w:pStyle w:val="Header"/>
      <w:jc w:val="right"/>
    </w:pPr>
    <w:sdt>
      <w:sdtPr>
        <w:id w:val="1213311449"/>
        <w:docPartObj>
          <w:docPartGallery w:val="Page Numbers (Top of Page)"/>
          <w:docPartUnique/>
        </w:docPartObj>
      </w:sdtPr>
      <w:sdtEndPr>
        <w:rPr>
          <w:noProof/>
        </w:rPr>
      </w:sdtEndPr>
      <w:sdtContent>
        <w:r w:rsidR="00DC7F85">
          <w:fldChar w:fldCharType="begin"/>
        </w:r>
        <w:r w:rsidR="00DC7F85">
          <w:instrText xml:space="preserve"> PAGE   \* MERGEFORMAT </w:instrText>
        </w:r>
        <w:r w:rsidR="00DC7F85">
          <w:fldChar w:fldCharType="separate"/>
        </w:r>
        <w:r>
          <w:rPr>
            <w:noProof/>
          </w:rPr>
          <w:t>19</w:t>
        </w:r>
        <w:r w:rsidR="00DC7F85">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F85" w:rsidRDefault="00DC7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3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CD5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82E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2EF1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56CB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7456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5899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F05DB2"/>
    <w:lvl w:ilvl="0">
      <w:start w:val="1"/>
      <w:numFmt w:val="bullet"/>
      <w:pStyle w:val="ListBullet2"/>
      <w:lvlText w:val=""/>
      <w:lvlJc w:val="left"/>
      <w:pPr>
        <w:ind w:left="644" w:hanging="360"/>
      </w:pPr>
      <w:rPr>
        <w:rFonts w:ascii="Symbol" w:hAnsi="Symbol" w:hint="default"/>
        <w:b/>
        <w:i w:val="0"/>
        <w:color w:val="A6192E" w:themeColor="accent1"/>
      </w:rPr>
    </w:lvl>
  </w:abstractNum>
  <w:abstractNum w:abstractNumId="8" w15:restartNumberingAfterBreak="0">
    <w:nsid w:val="FFFFFF88"/>
    <w:multiLevelType w:val="singleLevel"/>
    <w:tmpl w:val="9350D2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1A1AA8"/>
    <w:lvl w:ilvl="0">
      <w:start w:val="1"/>
      <w:numFmt w:val="bullet"/>
      <w:pStyle w:val="ListBullet"/>
      <w:lvlText w:val=""/>
      <w:lvlJc w:val="left"/>
      <w:pPr>
        <w:ind w:left="360" w:hanging="360"/>
      </w:pPr>
      <w:rPr>
        <w:rFonts w:ascii="Symbol" w:hAnsi="Symbol" w:hint="default"/>
        <w:color w:val="A6192E" w:themeColor="accent1"/>
      </w:rPr>
    </w:lvl>
  </w:abstractNum>
  <w:abstractNum w:abstractNumId="10" w15:restartNumberingAfterBreak="0">
    <w:nsid w:val="001B4253"/>
    <w:multiLevelType w:val="hybridMultilevel"/>
    <w:tmpl w:val="74F20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CD32E2"/>
    <w:multiLevelType w:val="hybridMultilevel"/>
    <w:tmpl w:val="A3AC6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157C6F"/>
    <w:multiLevelType w:val="hybridMultilevel"/>
    <w:tmpl w:val="21D8B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2CC0631"/>
    <w:multiLevelType w:val="hybridMultilevel"/>
    <w:tmpl w:val="56243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3382345"/>
    <w:multiLevelType w:val="hybridMultilevel"/>
    <w:tmpl w:val="B3D43F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4E873DF"/>
    <w:multiLevelType w:val="hybridMultilevel"/>
    <w:tmpl w:val="196C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6523307"/>
    <w:multiLevelType w:val="hybridMultilevel"/>
    <w:tmpl w:val="C2BEA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6F6421A"/>
    <w:multiLevelType w:val="hybridMultilevel"/>
    <w:tmpl w:val="302A0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9472B9C"/>
    <w:multiLevelType w:val="hybridMultilevel"/>
    <w:tmpl w:val="8410D9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BAA34B3"/>
    <w:multiLevelType w:val="hybridMultilevel"/>
    <w:tmpl w:val="006C8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97E37AB"/>
    <w:multiLevelType w:val="hybridMultilevel"/>
    <w:tmpl w:val="407AFF2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1E236171"/>
    <w:multiLevelType w:val="hybridMultilevel"/>
    <w:tmpl w:val="FDA66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2F6AD9"/>
    <w:multiLevelType w:val="hybridMultilevel"/>
    <w:tmpl w:val="C180E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584CD9"/>
    <w:multiLevelType w:val="hybridMultilevel"/>
    <w:tmpl w:val="B18A98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A73934"/>
    <w:multiLevelType w:val="hybridMultilevel"/>
    <w:tmpl w:val="C6A400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E56F4A"/>
    <w:multiLevelType w:val="hybridMultilevel"/>
    <w:tmpl w:val="87C4E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FB0E05"/>
    <w:multiLevelType w:val="hybridMultilevel"/>
    <w:tmpl w:val="22EE7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4E393A"/>
    <w:multiLevelType w:val="hybridMultilevel"/>
    <w:tmpl w:val="42D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8C63B3"/>
    <w:multiLevelType w:val="hybridMultilevel"/>
    <w:tmpl w:val="4F803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39532B"/>
    <w:multiLevelType w:val="hybridMultilevel"/>
    <w:tmpl w:val="A2B0D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D86982"/>
    <w:multiLevelType w:val="hybridMultilevel"/>
    <w:tmpl w:val="CE729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363D89"/>
    <w:multiLevelType w:val="hybridMultilevel"/>
    <w:tmpl w:val="FE883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E312D1"/>
    <w:multiLevelType w:val="hybridMultilevel"/>
    <w:tmpl w:val="2B18B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D114A52"/>
    <w:multiLevelType w:val="hybridMultilevel"/>
    <w:tmpl w:val="CE4E3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DBC5CC3"/>
    <w:multiLevelType w:val="hybridMultilevel"/>
    <w:tmpl w:val="ED8E13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027162"/>
    <w:multiLevelType w:val="hybridMultilevel"/>
    <w:tmpl w:val="9350C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AB642F"/>
    <w:multiLevelType w:val="hybridMultilevel"/>
    <w:tmpl w:val="52109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A57FAC"/>
    <w:multiLevelType w:val="hybridMultilevel"/>
    <w:tmpl w:val="39B402A6"/>
    <w:lvl w:ilvl="0" w:tplc="5A642538">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8796727"/>
    <w:multiLevelType w:val="hybridMultilevel"/>
    <w:tmpl w:val="11D0C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A4488F"/>
    <w:multiLevelType w:val="hybridMultilevel"/>
    <w:tmpl w:val="3BEACC1C"/>
    <w:lvl w:ilvl="0" w:tplc="5F48D692">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E9D6B26"/>
    <w:multiLevelType w:val="hybridMultilevel"/>
    <w:tmpl w:val="C61A4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E525E3"/>
    <w:multiLevelType w:val="hybridMultilevel"/>
    <w:tmpl w:val="3B22D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2995252"/>
    <w:multiLevelType w:val="multilevel"/>
    <w:tmpl w:val="0E10E22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3D5ADC"/>
    <w:multiLevelType w:val="hybridMultilevel"/>
    <w:tmpl w:val="06CE7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5582F83"/>
    <w:multiLevelType w:val="hybridMultilevel"/>
    <w:tmpl w:val="CBF03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B8F1897"/>
    <w:multiLevelType w:val="hybridMultilevel"/>
    <w:tmpl w:val="A6DA8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936FE3"/>
    <w:multiLevelType w:val="hybridMultilevel"/>
    <w:tmpl w:val="4844E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35E2FFD"/>
    <w:multiLevelType w:val="hybridMultilevel"/>
    <w:tmpl w:val="9524F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29213C"/>
    <w:multiLevelType w:val="hybridMultilevel"/>
    <w:tmpl w:val="5C9A1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C353F6"/>
    <w:multiLevelType w:val="hybridMultilevel"/>
    <w:tmpl w:val="82D0C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43"/>
  </w:num>
  <w:num w:numId="13">
    <w:abstractNumId w:val="17"/>
  </w:num>
  <w:num w:numId="14">
    <w:abstractNumId w:val="33"/>
  </w:num>
  <w:num w:numId="15">
    <w:abstractNumId w:val="10"/>
  </w:num>
  <w:num w:numId="16">
    <w:abstractNumId w:val="49"/>
  </w:num>
  <w:num w:numId="17">
    <w:abstractNumId w:val="47"/>
  </w:num>
  <w:num w:numId="18">
    <w:abstractNumId w:val="37"/>
  </w:num>
  <w:num w:numId="19">
    <w:abstractNumId w:val="11"/>
  </w:num>
  <w:num w:numId="20">
    <w:abstractNumId w:val="39"/>
  </w:num>
  <w:num w:numId="21">
    <w:abstractNumId w:val="30"/>
  </w:num>
  <w:num w:numId="22">
    <w:abstractNumId w:val="34"/>
  </w:num>
  <w:num w:numId="23">
    <w:abstractNumId w:val="25"/>
  </w:num>
  <w:num w:numId="24">
    <w:abstractNumId w:val="16"/>
  </w:num>
  <w:num w:numId="25">
    <w:abstractNumId w:val="23"/>
  </w:num>
  <w:num w:numId="26">
    <w:abstractNumId w:val="18"/>
  </w:num>
  <w:num w:numId="27">
    <w:abstractNumId w:val="21"/>
  </w:num>
  <w:num w:numId="28">
    <w:abstractNumId w:val="12"/>
  </w:num>
  <w:num w:numId="29">
    <w:abstractNumId w:val="48"/>
  </w:num>
  <w:num w:numId="30">
    <w:abstractNumId w:val="31"/>
  </w:num>
  <w:num w:numId="31">
    <w:abstractNumId w:val="22"/>
  </w:num>
  <w:num w:numId="32">
    <w:abstractNumId w:val="41"/>
  </w:num>
  <w:num w:numId="33">
    <w:abstractNumId w:val="36"/>
  </w:num>
  <w:num w:numId="34">
    <w:abstractNumId w:val="32"/>
  </w:num>
  <w:num w:numId="35">
    <w:abstractNumId w:val="13"/>
  </w:num>
  <w:num w:numId="36">
    <w:abstractNumId w:val="46"/>
  </w:num>
  <w:num w:numId="37">
    <w:abstractNumId w:val="29"/>
  </w:num>
  <w:num w:numId="38">
    <w:abstractNumId w:val="42"/>
  </w:num>
  <w:num w:numId="39">
    <w:abstractNumId w:val="14"/>
  </w:num>
  <w:num w:numId="40">
    <w:abstractNumId w:val="20"/>
  </w:num>
  <w:num w:numId="41">
    <w:abstractNumId w:val="24"/>
  </w:num>
  <w:num w:numId="42">
    <w:abstractNumId w:val="35"/>
  </w:num>
  <w:num w:numId="43">
    <w:abstractNumId w:val="45"/>
  </w:num>
  <w:num w:numId="44">
    <w:abstractNumId w:val="44"/>
  </w:num>
  <w:num w:numId="45">
    <w:abstractNumId w:val="19"/>
  </w:num>
  <w:num w:numId="46">
    <w:abstractNumId w:val="38"/>
  </w:num>
  <w:num w:numId="47">
    <w:abstractNumId w:val="40"/>
  </w:num>
  <w:num w:numId="48">
    <w:abstractNumId w:val="28"/>
  </w:num>
  <w:num w:numId="49">
    <w:abstractNumId w:val="2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60"/>
    <w:rsid w:val="0000239B"/>
    <w:rsid w:val="0001377D"/>
    <w:rsid w:val="00021168"/>
    <w:rsid w:val="000261CA"/>
    <w:rsid w:val="00031535"/>
    <w:rsid w:val="000333FC"/>
    <w:rsid w:val="00033463"/>
    <w:rsid w:val="000420A6"/>
    <w:rsid w:val="00045DCA"/>
    <w:rsid w:val="00062F7A"/>
    <w:rsid w:val="00064ABF"/>
    <w:rsid w:val="00064C16"/>
    <w:rsid w:val="00065915"/>
    <w:rsid w:val="00067E1A"/>
    <w:rsid w:val="0007063A"/>
    <w:rsid w:val="00076D10"/>
    <w:rsid w:val="00091355"/>
    <w:rsid w:val="00093ED9"/>
    <w:rsid w:val="00097064"/>
    <w:rsid w:val="000A0A9B"/>
    <w:rsid w:val="000A2588"/>
    <w:rsid w:val="000B184C"/>
    <w:rsid w:val="000B1D9D"/>
    <w:rsid w:val="000B32F4"/>
    <w:rsid w:val="000B45A5"/>
    <w:rsid w:val="000D14B8"/>
    <w:rsid w:val="000D2B10"/>
    <w:rsid w:val="000D638B"/>
    <w:rsid w:val="00100E15"/>
    <w:rsid w:val="0010125A"/>
    <w:rsid w:val="00111E0F"/>
    <w:rsid w:val="00122E4D"/>
    <w:rsid w:val="001239C1"/>
    <w:rsid w:val="0012511B"/>
    <w:rsid w:val="001255CD"/>
    <w:rsid w:val="00137AEC"/>
    <w:rsid w:val="00140516"/>
    <w:rsid w:val="001530DB"/>
    <w:rsid w:val="00157862"/>
    <w:rsid w:val="00163B54"/>
    <w:rsid w:val="00163C4F"/>
    <w:rsid w:val="00177503"/>
    <w:rsid w:val="00181182"/>
    <w:rsid w:val="0018379C"/>
    <w:rsid w:val="00190CF8"/>
    <w:rsid w:val="00193A7C"/>
    <w:rsid w:val="001965BB"/>
    <w:rsid w:val="001A25AE"/>
    <w:rsid w:val="001A2DC6"/>
    <w:rsid w:val="001C3620"/>
    <w:rsid w:val="001D383E"/>
    <w:rsid w:val="001E1066"/>
    <w:rsid w:val="001E169D"/>
    <w:rsid w:val="001F31B2"/>
    <w:rsid w:val="001F518F"/>
    <w:rsid w:val="00200E9E"/>
    <w:rsid w:val="00203649"/>
    <w:rsid w:val="00213BD7"/>
    <w:rsid w:val="0022001F"/>
    <w:rsid w:val="00221E81"/>
    <w:rsid w:val="00225BE3"/>
    <w:rsid w:val="0022663F"/>
    <w:rsid w:val="002300AC"/>
    <w:rsid w:val="002344E8"/>
    <w:rsid w:val="002364AC"/>
    <w:rsid w:val="0024216E"/>
    <w:rsid w:val="00244596"/>
    <w:rsid w:val="00244AF1"/>
    <w:rsid w:val="00244CCE"/>
    <w:rsid w:val="00247470"/>
    <w:rsid w:val="00253E40"/>
    <w:rsid w:val="00260176"/>
    <w:rsid w:val="0026060B"/>
    <w:rsid w:val="00260B01"/>
    <w:rsid w:val="00263E00"/>
    <w:rsid w:val="00271DC2"/>
    <w:rsid w:val="00272BEC"/>
    <w:rsid w:val="002767F6"/>
    <w:rsid w:val="00281790"/>
    <w:rsid w:val="00291508"/>
    <w:rsid w:val="00293294"/>
    <w:rsid w:val="002A6829"/>
    <w:rsid w:val="002A69F4"/>
    <w:rsid w:val="002B52A5"/>
    <w:rsid w:val="002B537E"/>
    <w:rsid w:val="002B57BF"/>
    <w:rsid w:val="002B70F7"/>
    <w:rsid w:val="002C10BB"/>
    <w:rsid w:val="002C27B1"/>
    <w:rsid w:val="002C717D"/>
    <w:rsid w:val="002D1B96"/>
    <w:rsid w:val="002D3954"/>
    <w:rsid w:val="002E14EA"/>
    <w:rsid w:val="002E201E"/>
    <w:rsid w:val="002F0E5F"/>
    <w:rsid w:val="002F5440"/>
    <w:rsid w:val="002F65AF"/>
    <w:rsid w:val="002F67CA"/>
    <w:rsid w:val="002F79D7"/>
    <w:rsid w:val="00304F04"/>
    <w:rsid w:val="00306686"/>
    <w:rsid w:val="003153BA"/>
    <w:rsid w:val="00321300"/>
    <w:rsid w:val="003221EB"/>
    <w:rsid w:val="00330F38"/>
    <w:rsid w:val="003402E2"/>
    <w:rsid w:val="00345A88"/>
    <w:rsid w:val="00347C12"/>
    <w:rsid w:val="0035033F"/>
    <w:rsid w:val="003506FA"/>
    <w:rsid w:val="003514B7"/>
    <w:rsid w:val="00351596"/>
    <w:rsid w:val="00352C04"/>
    <w:rsid w:val="0036193A"/>
    <w:rsid w:val="00362C1D"/>
    <w:rsid w:val="00364A88"/>
    <w:rsid w:val="00373138"/>
    <w:rsid w:val="00374C6D"/>
    <w:rsid w:val="0038442D"/>
    <w:rsid w:val="00391EA4"/>
    <w:rsid w:val="00392CF9"/>
    <w:rsid w:val="003A0F3F"/>
    <w:rsid w:val="003B59A1"/>
    <w:rsid w:val="003C25FE"/>
    <w:rsid w:val="003D23F8"/>
    <w:rsid w:val="003D5F93"/>
    <w:rsid w:val="003E1610"/>
    <w:rsid w:val="003E4ABD"/>
    <w:rsid w:val="003E7F51"/>
    <w:rsid w:val="003E7F5E"/>
    <w:rsid w:val="004016C7"/>
    <w:rsid w:val="00402E42"/>
    <w:rsid w:val="00406755"/>
    <w:rsid w:val="00407ECA"/>
    <w:rsid w:val="004111E9"/>
    <w:rsid w:val="004158CE"/>
    <w:rsid w:val="004171A2"/>
    <w:rsid w:val="00421B26"/>
    <w:rsid w:val="00425E47"/>
    <w:rsid w:val="00434405"/>
    <w:rsid w:val="00435EEC"/>
    <w:rsid w:val="00436B60"/>
    <w:rsid w:val="00446350"/>
    <w:rsid w:val="00452BA6"/>
    <w:rsid w:val="00462CA9"/>
    <w:rsid w:val="00464EAD"/>
    <w:rsid w:val="004A1CC0"/>
    <w:rsid w:val="004A24E8"/>
    <w:rsid w:val="004A3232"/>
    <w:rsid w:val="004C1342"/>
    <w:rsid w:val="004C35F6"/>
    <w:rsid w:val="004C6F08"/>
    <w:rsid w:val="004D4A82"/>
    <w:rsid w:val="004E2B9A"/>
    <w:rsid w:val="004E3E57"/>
    <w:rsid w:val="004E3F16"/>
    <w:rsid w:val="004E41E2"/>
    <w:rsid w:val="004E5DD9"/>
    <w:rsid w:val="004E71AF"/>
    <w:rsid w:val="004F4DBC"/>
    <w:rsid w:val="005025BF"/>
    <w:rsid w:val="00503E6F"/>
    <w:rsid w:val="0050506D"/>
    <w:rsid w:val="00511C0A"/>
    <w:rsid w:val="00511D06"/>
    <w:rsid w:val="00517BDA"/>
    <w:rsid w:val="00526F10"/>
    <w:rsid w:val="005411D9"/>
    <w:rsid w:val="00553A55"/>
    <w:rsid w:val="00563BEE"/>
    <w:rsid w:val="005642F2"/>
    <w:rsid w:val="00564692"/>
    <w:rsid w:val="00564B3A"/>
    <w:rsid w:val="00573C5E"/>
    <w:rsid w:val="00573E0D"/>
    <w:rsid w:val="005836BC"/>
    <w:rsid w:val="00585806"/>
    <w:rsid w:val="00591D94"/>
    <w:rsid w:val="005962DE"/>
    <w:rsid w:val="005A14E3"/>
    <w:rsid w:val="005A24BD"/>
    <w:rsid w:val="005A43D0"/>
    <w:rsid w:val="005A7670"/>
    <w:rsid w:val="005B043E"/>
    <w:rsid w:val="005B1040"/>
    <w:rsid w:val="005B41B3"/>
    <w:rsid w:val="005B6110"/>
    <w:rsid w:val="005C07E7"/>
    <w:rsid w:val="005C5E5B"/>
    <w:rsid w:val="005D0228"/>
    <w:rsid w:val="005D0A20"/>
    <w:rsid w:val="005E5D33"/>
    <w:rsid w:val="005F1934"/>
    <w:rsid w:val="005F2675"/>
    <w:rsid w:val="005F28BA"/>
    <w:rsid w:val="00601CBD"/>
    <w:rsid w:val="00602C92"/>
    <w:rsid w:val="00603AF2"/>
    <w:rsid w:val="00606F86"/>
    <w:rsid w:val="006111D0"/>
    <w:rsid w:val="00616A56"/>
    <w:rsid w:val="0061775B"/>
    <w:rsid w:val="00620E23"/>
    <w:rsid w:val="006219FF"/>
    <w:rsid w:val="00626CDF"/>
    <w:rsid w:val="00630E26"/>
    <w:rsid w:val="006320A5"/>
    <w:rsid w:val="00636029"/>
    <w:rsid w:val="0063634A"/>
    <w:rsid w:val="00637E1F"/>
    <w:rsid w:val="00643251"/>
    <w:rsid w:val="00645ADE"/>
    <w:rsid w:val="00651836"/>
    <w:rsid w:val="0065247C"/>
    <w:rsid w:val="00652733"/>
    <w:rsid w:val="00661A4E"/>
    <w:rsid w:val="006648C2"/>
    <w:rsid w:val="00666E9A"/>
    <w:rsid w:val="0067103F"/>
    <w:rsid w:val="00676F37"/>
    <w:rsid w:val="006846F6"/>
    <w:rsid w:val="0068579B"/>
    <w:rsid w:val="00686B3A"/>
    <w:rsid w:val="006875C2"/>
    <w:rsid w:val="00693653"/>
    <w:rsid w:val="006A5D23"/>
    <w:rsid w:val="006A779D"/>
    <w:rsid w:val="006B1A1B"/>
    <w:rsid w:val="006B39A3"/>
    <w:rsid w:val="006C1227"/>
    <w:rsid w:val="006C1CC6"/>
    <w:rsid w:val="006C2852"/>
    <w:rsid w:val="006C3943"/>
    <w:rsid w:val="006E027A"/>
    <w:rsid w:val="006E27FD"/>
    <w:rsid w:val="006E7FA8"/>
    <w:rsid w:val="00710262"/>
    <w:rsid w:val="0071448F"/>
    <w:rsid w:val="00715C7E"/>
    <w:rsid w:val="00723B30"/>
    <w:rsid w:val="007264FE"/>
    <w:rsid w:val="00731962"/>
    <w:rsid w:val="00731BD8"/>
    <w:rsid w:val="007359BD"/>
    <w:rsid w:val="00741A90"/>
    <w:rsid w:val="007444C9"/>
    <w:rsid w:val="007525A7"/>
    <w:rsid w:val="00754739"/>
    <w:rsid w:val="0075581A"/>
    <w:rsid w:val="007558B0"/>
    <w:rsid w:val="00773150"/>
    <w:rsid w:val="007801EE"/>
    <w:rsid w:val="00786B60"/>
    <w:rsid w:val="00787C0F"/>
    <w:rsid w:val="007A3071"/>
    <w:rsid w:val="007A42C5"/>
    <w:rsid w:val="007B38D9"/>
    <w:rsid w:val="007B5B6A"/>
    <w:rsid w:val="007B71D2"/>
    <w:rsid w:val="007B7320"/>
    <w:rsid w:val="007C0C30"/>
    <w:rsid w:val="007D3D7A"/>
    <w:rsid w:val="007D5003"/>
    <w:rsid w:val="007D7BA8"/>
    <w:rsid w:val="007E4157"/>
    <w:rsid w:val="007E5C19"/>
    <w:rsid w:val="007E6974"/>
    <w:rsid w:val="007E74FB"/>
    <w:rsid w:val="007F182C"/>
    <w:rsid w:val="007F6FF3"/>
    <w:rsid w:val="00803229"/>
    <w:rsid w:val="00814D94"/>
    <w:rsid w:val="00817FC6"/>
    <w:rsid w:val="00822068"/>
    <w:rsid w:val="008228BD"/>
    <w:rsid w:val="00822A6D"/>
    <w:rsid w:val="00824510"/>
    <w:rsid w:val="00831DAA"/>
    <w:rsid w:val="00840349"/>
    <w:rsid w:val="0084125E"/>
    <w:rsid w:val="00841920"/>
    <w:rsid w:val="008458C3"/>
    <w:rsid w:val="00847199"/>
    <w:rsid w:val="00850038"/>
    <w:rsid w:val="0085285D"/>
    <w:rsid w:val="00865241"/>
    <w:rsid w:val="00875D9B"/>
    <w:rsid w:val="00885CDB"/>
    <w:rsid w:val="0088639D"/>
    <w:rsid w:val="008935C0"/>
    <w:rsid w:val="00895940"/>
    <w:rsid w:val="00895FE1"/>
    <w:rsid w:val="008972E4"/>
    <w:rsid w:val="00897D27"/>
    <w:rsid w:val="008A2BF4"/>
    <w:rsid w:val="008B1B8D"/>
    <w:rsid w:val="008B3226"/>
    <w:rsid w:val="008B6C95"/>
    <w:rsid w:val="008C0D68"/>
    <w:rsid w:val="008C20F4"/>
    <w:rsid w:val="008C5B95"/>
    <w:rsid w:val="008D3236"/>
    <w:rsid w:val="008D5C49"/>
    <w:rsid w:val="008D68DE"/>
    <w:rsid w:val="008E2840"/>
    <w:rsid w:val="008F21E7"/>
    <w:rsid w:val="008F75BF"/>
    <w:rsid w:val="00900BD6"/>
    <w:rsid w:val="009021B0"/>
    <w:rsid w:val="00910840"/>
    <w:rsid w:val="00915AFC"/>
    <w:rsid w:val="00925F00"/>
    <w:rsid w:val="009271E9"/>
    <w:rsid w:val="009371CE"/>
    <w:rsid w:val="0094010C"/>
    <w:rsid w:val="00942D30"/>
    <w:rsid w:val="00944B4F"/>
    <w:rsid w:val="0094716F"/>
    <w:rsid w:val="0094724B"/>
    <w:rsid w:val="00951F7C"/>
    <w:rsid w:val="00956813"/>
    <w:rsid w:val="00963C63"/>
    <w:rsid w:val="00971527"/>
    <w:rsid w:val="0097221E"/>
    <w:rsid w:val="00975726"/>
    <w:rsid w:val="00977342"/>
    <w:rsid w:val="009814DC"/>
    <w:rsid w:val="00983216"/>
    <w:rsid w:val="009900F3"/>
    <w:rsid w:val="00990166"/>
    <w:rsid w:val="00991FDD"/>
    <w:rsid w:val="009A0EF0"/>
    <w:rsid w:val="009B0EC8"/>
    <w:rsid w:val="009B10FD"/>
    <w:rsid w:val="009B1B9B"/>
    <w:rsid w:val="009B2426"/>
    <w:rsid w:val="009B35E0"/>
    <w:rsid w:val="009B6442"/>
    <w:rsid w:val="009C51D0"/>
    <w:rsid w:val="009D42B4"/>
    <w:rsid w:val="009D4A22"/>
    <w:rsid w:val="009D5579"/>
    <w:rsid w:val="009D7BB6"/>
    <w:rsid w:val="009E055E"/>
    <w:rsid w:val="009E50D0"/>
    <w:rsid w:val="009E61EB"/>
    <w:rsid w:val="00A10EBE"/>
    <w:rsid w:val="00A144DE"/>
    <w:rsid w:val="00A15E82"/>
    <w:rsid w:val="00A2010D"/>
    <w:rsid w:val="00A222E8"/>
    <w:rsid w:val="00A26612"/>
    <w:rsid w:val="00A3151B"/>
    <w:rsid w:val="00A331D2"/>
    <w:rsid w:val="00A36410"/>
    <w:rsid w:val="00A51E16"/>
    <w:rsid w:val="00A5461C"/>
    <w:rsid w:val="00A56B39"/>
    <w:rsid w:val="00A61312"/>
    <w:rsid w:val="00A62CFE"/>
    <w:rsid w:val="00A66E5D"/>
    <w:rsid w:val="00A7541F"/>
    <w:rsid w:val="00A76A5F"/>
    <w:rsid w:val="00A81A69"/>
    <w:rsid w:val="00A81B23"/>
    <w:rsid w:val="00A84300"/>
    <w:rsid w:val="00A85BA1"/>
    <w:rsid w:val="00A863FE"/>
    <w:rsid w:val="00A97596"/>
    <w:rsid w:val="00AA2AFF"/>
    <w:rsid w:val="00AA79A5"/>
    <w:rsid w:val="00AB2475"/>
    <w:rsid w:val="00AB40CF"/>
    <w:rsid w:val="00AB441B"/>
    <w:rsid w:val="00AB51A1"/>
    <w:rsid w:val="00AB64E8"/>
    <w:rsid w:val="00AB74AC"/>
    <w:rsid w:val="00AC1A7C"/>
    <w:rsid w:val="00AC3D55"/>
    <w:rsid w:val="00AC4E4D"/>
    <w:rsid w:val="00AE0F7F"/>
    <w:rsid w:val="00AE4139"/>
    <w:rsid w:val="00AF45C9"/>
    <w:rsid w:val="00AF6569"/>
    <w:rsid w:val="00B0011E"/>
    <w:rsid w:val="00B0345F"/>
    <w:rsid w:val="00B11668"/>
    <w:rsid w:val="00B148E2"/>
    <w:rsid w:val="00B16E80"/>
    <w:rsid w:val="00B243C9"/>
    <w:rsid w:val="00B26D4E"/>
    <w:rsid w:val="00B35B5C"/>
    <w:rsid w:val="00B526AB"/>
    <w:rsid w:val="00B53AA9"/>
    <w:rsid w:val="00B729C2"/>
    <w:rsid w:val="00B7796E"/>
    <w:rsid w:val="00B80FD2"/>
    <w:rsid w:val="00B83001"/>
    <w:rsid w:val="00B8338D"/>
    <w:rsid w:val="00B90FA9"/>
    <w:rsid w:val="00B951FE"/>
    <w:rsid w:val="00B979BC"/>
    <w:rsid w:val="00BB0B8D"/>
    <w:rsid w:val="00BC5DB1"/>
    <w:rsid w:val="00BD079F"/>
    <w:rsid w:val="00BE7B9F"/>
    <w:rsid w:val="00BF38EB"/>
    <w:rsid w:val="00BF4AAE"/>
    <w:rsid w:val="00C0236B"/>
    <w:rsid w:val="00C03DEA"/>
    <w:rsid w:val="00C05664"/>
    <w:rsid w:val="00C1365E"/>
    <w:rsid w:val="00C21646"/>
    <w:rsid w:val="00C27904"/>
    <w:rsid w:val="00C279B4"/>
    <w:rsid w:val="00C340E2"/>
    <w:rsid w:val="00C447D7"/>
    <w:rsid w:val="00C476C0"/>
    <w:rsid w:val="00C609F2"/>
    <w:rsid w:val="00C74127"/>
    <w:rsid w:val="00C75032"/>
    <w:rsid w:val="00C82E31"/>
    <w:rsid w:val="00C858EC"/>
    <w:rsid w:val="00C86B41"/>
    <w:rsid w:val="00C956F8"/>
    <w:rsid w:val="00C96F67"/>
    <w:rsid w:val="00CA2A73"/>
    <w:rsid w:val="00CA558B"/>
    <w:rsid w:val="00CA7ACE"/>
    <w:rsid w:val="00CB13A2"/>
    <w:rsid w:val="00CB2680"/>
    <w:rsid w:val="00CB5313"/>
    <w:rsid w:val="00CB5911"/>
    <w:rsid w:val="00CC0943"/>
    <w:rsid w:val="00CC2DCE"/>
    <w:rsid w:val="00CC5FD7"/>
    <w:rsid w:val="00CC7875"/>
    <w:rsid w:val="00CE1390"/>
    <w:rsid w:val="00CE2AE9"/>
    <w:rsid w:val="00CE628A"/>
    <w:rsid w:val="00CE66EF"/>
    <w:rsid w:val="00CE709E"/>
    <w:rsid w:val="00CF4FD3"/>
    <w:rsid w:val="00D03149"/>
    <w:rsid w:val="00D034DA"/>
    <w:rsid w:val="00D11AEF"/>
    <w:rsid w:val="00D20481"/>
    <w:rsid w:val="00D22E59"/>
    <w:rsid w:val="00D3474A"/>
    <w:rsid w:val="00D350A8"/>
    <w:rsid w:val="00D3599E"/>
    <w:rsid w:val="00D45506"/>
    <w:rsid w:val="00D465C0"/>
    <w:rsid w:val="00D57C05"/>
    <w:rsid w:val="00D57D83"/>
    <w:rsid w:val="00D63157"/>
    <w:rsid w:val="00D63288"/>
    <w:rsid w:val="00D64016"/>
    <w:rsid w:val="00D6567D"/>
    <w:rsid w:val="00D657DC"/>
    <w:rsid w:val="00D65C88"/>
    <w:rsid w:val="00D72BB6"/>
    <w:rsid w:val="00D85222"/>
    <w:rsid w:val="00D87BC8"/>
    <w:rsid w:val="00D94563"/>
    <w:rsid w:val="00D971C0"/>
    <w:rsid w:val="00DA43F7"/>
    <w:rsid w:val="00DA6D27"/>
    <w:rsid w:val="00DB1020"/>
    <w:rsid w:val="00DB28FE"/>
    <w:rsid w:val="00DB4447"/>
    <w:rsid w:val="00DB550C"/>
    <w:rsid w:val="00DC7F85"/>
    <w:rsid w:val="00DD515D"/>
    <w:rsid w:val="00DE5AD6"/>
    <w:rsid w:val="00DF410E"/>
    <w:rsid w:val="00DF6101"/>
    <w:rsid w:val="00DF6A23"/>
    <w:rsid w:val="00E028F7"/>
    <w:rsid w:val="00E058F9"/>
    <w:rsid w:val="00E13099"/>
    <w:rsid w:val="00E37B0D"/>
    <w:rsid w:val="00E5186C"/>
    <w:rsid w:val="00E5348D"/>
    <w:rsid w:val="00E62912"/>
    <w:rsid w:val="00E72774"/>
    <w:rsid w:val="00E77BB6"/>
    <w:rsid w:val="00E85A54"/>
    <w:rsid w:val="00E9265C"/>
    <w:rsid w:val="00E93FBE"/>
    <w:rsid w:val="00EA294B"/>
    <w:rsid w:val="00EA41C3"/>
    <w:rsid w:val="00EB0D46"/>
    <w:rsid w:val="00EC45F1"/>
    <w:rsid w:val="00ED17D8"/>
    <w:rsid w:val="00EE0A6F"/>
    <w:rsid w:val="00EE5D2A"/>
    <w:rsid w:val="00EE7B5A"/>
    <w:rsid w:val="00EF04C9"/>
    <w:rsid w:val="00EF6BC7"/>
    <w:rsid w:val="00F11C75"/>
    <w:rsid w:val="00F145EE"/>
    <w:rsid w:val="00F25F29"/>
    <w:rsid w:val="00F26B9F"/>
    <w:rsid w:val="00F37457"/>
    <w:rsid w:val="00F4213B"/>
    <w:rsid w:val="00F44BFA"/>
    <w:rsid w:val="00F4574E"/>
    <w:rsid w:val="00F50363"/>
    <w:rsid w:val="00F52BF6"/>
    <w:rsid w:val="00F54B90"/>
    <w:rsid w:val="00F61752"/>
    <w:rsid w:val="00F61B71"/>
    <w:rsid w:val="00F62A1C"/>
    <w:rsid w:val="00F6597E"/>
    <w:rsid w:val="00F77132"/>
    <w:rsid w:val="00F80E5A"/>
    <w:rsid w:val="00F80EF7"/>
    <w:rsid w:val="00F80F50"/>
    <w:rsid w:val="00F875C8"/>
    <w:rsid w:val="00F94218"/>
    <w:rsid w:val="00FA12B3"/>
    <w:rsid w:val="00FA1E94"/>
    <w:rsid w:val="00FA2015"/>
    <w:rsid w:val="00FB0317"/>
    <w:rsid w:val="00FB346F"/>
    <w:rsid w:val="00FB5EE6"/>
    <w:rsid w:val="00FB77C0"/>
    <w:rsid w:val="00FC1DA7"/>
    <w:rsid w:val="00FC3380"/>
    <w:rsid w:val="00FC70DE"/>
    <w:rsid w:val="00FD3A4B"/>
    <w:rsid w:val="00FD5DE8"/>
    <w:rsid w:val="00FF2409"/>
    <w:rsid w:val="00FF5F77"/>
    <w:rsid w:val="00FF6EDB"/>
    <w:rsid w:val="00FF6F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0CA4F72C-3462-4538-B195-FD20B42A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40"/>
    <w:pPr>
      <w:spacing w:after="120"/>
    </w:pPr>
    <w:rPr>
      <w:sz w:val="20"/>
    </w:rPr>
  </w:style>
  <w:style w:type="paragraph" w:styleId="Heading1">
    <w:name w:val="heading 1"/>
    <w:basedOn w:val="Normal"/>
    <w:next w:val="Normal"/>
    <w:link w:val="Heading1Char"/>
    <w:uiPriority w:val="9"/>
    <w:qFormat/>
    <w:rsid w:val="00975726"/>
    <w:pPr>
      <w:keepNext/>
      <w:keepLines/>
      <w:spacing w:before="480" w:after="0"/>
      <w:outlineLvl w:val="0"/>
    </w:pPr>
    <w:rPr>
      <w:rFonts w:asciiTheme="majorHAnsi" w:eastAsiaTheme="majorEastAsia" w:hAnsiTheme="majorHAnsi" w:cstheme="majorBidi"/>
      <w:b/>
      <w:bCs/>
      <w:color w:val="7C1222" w:themeColor="accent1" w:themeShade="BF"/>
      <w:sz w:val="28"/>
      <w:szCs w:val="28"/>
    </w:rPr>
  </w:style>
  <w:style w:type="paragraph" w:styleId="Heading2">
    <w:name w:val="heading 2"/>
    <w:basedOn w:val="Normal"/>
    <w:next w:val="Normal"/>
    <w:link w:val="Heading2Char"/>
    <w:uiPriority w:val="9"/>
    <w:unhideWhenUsed/>
    <w:qFormat/>
    <w:rsid w:val="00975726"/>
    <w:pPr>
      <w:keepNext/>
      <w:keepLines/>
      <w:spacing w:before="200" w:after="0"/>
      <w:outlineLvl w:val="1"/>
    </w:pPr>
    <w:rPr>
      <w:rFonts w:asciiTheme="majorHAnsi" w:eastAsiaTheme="majorEastAsia" w:hAnsiTheme="majorHAnsi" w:cstheme="majorBidi"/>
      <w:b/>
      <w:bCs/>
      <w:color w:val="A6192E" w:themeColor="accent1"/>
      <w:sz w:val="26"/>
      <w:szCs w:val="26"/>
    </w:rPr>
  </w:style>
  <w:style w:type="paragraph" w:styleId="Heading3">
    <w:name w:val="heading 3"/>
    <w:basedOn w:val="Normal"/>
    <w:next w:val="Normal"/>
    <w:link w:val="Heading3Char"/>
    <w:uiPriority w:val="9"/>
    <w:unhideWhenUsed/>
    <w:qFormat/>
    <w:rsid w:val="00822068"/>
    <w:pPr>
      <w:keepNext/>
      <w:keepLines/>
      <w:spacing w:before="200" w:after="0"/>
      <w:outlineLvl w:val="2"/>
    </w:pPr>
    <w:rPr>
      <w:rFonts w:asciiTheme="majorHAnsi" w:eastAsiaTheme="majorEastAsia" w:hAnsiTheme="majorHAnsi" w:cstheme="majorBidi"/>
      <w:b/>
      <w:bCs/>
      <w:color w:val="A6192E" w:themeColor="accent1"/>
    </w:rPr>
  </w:style>
  <w:style w:type="paragraph" w:styleId="Heading4">
    <w:name w:val="heading 4"/>
    <w:basedOn w:val="Normal"/>
    <w:next w:val="Normal"/>
    <w:link w:val="Heading4Char"/>
    <w:uiPriority w:val="9"/>
    <w:unhideWhenUsed/>
    <w:qFormat/>
    <w:rsid w:val="00822068"/>
    <w:pPr>
      <w:keepNext/>
      <w:keepLines/>
      <w:spacing w:before="200" w:after="0"/>
      <w:outlineLvl w:val="3"/>
    </w:pPr>
    <w:rPr>
      <w:rFonts w:asciiTheme="majorHAnsi" w:eastAsiaTheme="majorEastAsia" w:hAnsiTheme="majorHAnsi" w:cstheme="majorBidi"/>
      <w:b/>
      <w:bCs/>
      <w:i/>
      <w:iCs/>
      <w:color w:val="A6192E" w:themeColor="accent1"/>
    </w:rPr>
  </w:style>
  <w:style w:type="paragraph" w:styleId="Heading5">
    <w:name w:val="heading 5"/>
    <w:basedOn w:val="Normal"/>
    <w:next w:val="Normal"/>
    <w:link w:val="Heading5Char"/>
    <w:uiPriority w:val="9"/>
    <w:unhideWhenUsed/>
    <w:qFormat/>
    <w:rsid w:val="00822068"/>
    <w:pPr>
      <w:keepNext/>
      <w:keepLines/>
      <w:spacing w:before="200" w:after="0"/>
      <w:outlineLvl w:val="4"/>
    </w:pPr>
    <w:rPr>
      <w:rFonts w:asciiTheme="majorHAnsi" w:eastAsiaTheme="majorEastAsia" w:hAnsiTheme="majorHAnsi" w:cstheme="majorBidi"/>
      <w:color w:val="520C1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726"/>
    <w:pPr>
      <w:spacing w:after="0" w:line="240" w:lineRule="auto"/>
    </w:pPr>
  </w:style>
  <w:style w:type="character" w:customStyle="1" w:styleId="Heading1Char">
    <w:name w:val="Heading 1 Char"/>
    <w:basedOn w:val="DefaultParagraphFont"/>
    <w:link w:val="Heading1"/>
    <w:uiPriority w:val="9"/>
    <w:rsid w:val="00975726"/>
    <w:rPr>
      <w:rFonts w:asciiTheme="majorHAnsi" w:eastAsiaTheme="majorEastAsia" w:hAnsiTheme="majorHAnsi" w:cstheme="majorBidi"/>
      <w:b/>
      <w:bCs/>
      <w:color w:val="7C1222" w:themeColor="accent1" w:themeShade="BF"/>
      <w:sz w:val="28"/>
      <w:szCs w:val="28"/>
    </w:rPr>
  </w:style>
  <w:style w:type="character" w:customStyle="1" w:styleId="Heading2Char">
    <w:name w:val="Heading 2 Char"/>
    <w:basedOn w:val="DefaultParagraphFont"/>
    <w:link w:val="Heading2"/>
    <w:uiPriority w:val="9"/>
    <w:rsid w:val="00975726"/>
    <w:rPr>
      <w:rFonts w:asciiTheme="majorHAnsi" w:eastAsiaTheme="majorEastAsia" w:hAnsiTheme="majorHAnsi" w:cstheme="majorBidi"/>
      <w:b/>
      <w:bCs/>
      <w:color w:val="A6192E" w:themeColor="accent1"/>
      <w:sz w:val="26"/>
      <w:szCs w:val="26"/>
    </w:rPr>
  </w:style>
  <w:style w:type="paragraph" w:styleId="Title">
    <w:name w:val="Title"/>
    <w:basedOn w:val="Normal"/>
    <w:next w:val="Normal"/>
    <w:link w:val="TitleChar"/>
    <w:uiPriority w:val="10"/>
    <w:qFormat/>
    <w:rsid w:val="00EF6BC7"/>
    <w:pPr>
      <w:spacing w:before="8880" w:after="480" w:line="240" w:lineRule="auto"/>
      <w:contextualSpacing/>
    </w:pPr>
    <w:rPr>
      <w:rFonts w:asciiTheme="majorHAnsi" w:eastAsiaTheme="majorEastAsia" w:hAnsiTheme="majorHAnsi" w:cstheme="majorBidi"/>
      <w:b/>
      <w:color w:val="2C2C2D" w:themeColor="text2" w:themeShade="80"/>
      <w:spacing w:val="5"/>
      <w:kern w:val="28"/>
      <w:sz w:val="64"/>
      <w:szCs w:val="52"/>
    </w:rPr>
  </w:style>
  <w:style w:type="character" w:customStyle="1" w:styleId="TitleChar">
    <w:name w:val="Title Char"/>
    <w:basedOn w:val="DefaultParagraphFont"/>
    <w:link w:val="Title"/>
    <w:uiPriority w:val="10"/>
    <w:rsid w:val="00EF6BC7"/>
    <w:rPr>
      <w:rFonts w:asciiTheme="majorHAnsi" w:eastAsiaTheme="majorEastAsia" w:hAnsiTheme="majorHAnsi" w:cstheme="majorBidi"/>
      <w:b/>
      <w:color w:val="2C2C2D" w:themeColor="text2" w:themeShade="80"/>
      <w:spacing w:val="5"/>
      <w:kern w:val="28"/>
      <w:sz w:val="64"/>
      <w:szCs w:val="52"/>
    </w:rPr>
  </w:style>
  <w:style w:type="paragraph" w:styleId="Subtitle">
    <w:name w:val="Subtitle"/>
    <w:basedOn w:val="Normal"/>
    <w:next w:val="Normal"/>
    <w:link w:val="SubtitleChar"/>
    <w:uiPriority w:val="11"/>
    <w:qFormat/>
    <w:rsid w:val="005F1934"/>
    <w:pPr>
      <w:numPr>
        <w:ilvl w:val="1"/>
      </w:numPr>
    </w:pPr>
    <w:rPr>
      <w:rFonts w:asciiTheme="majorHAnsi" w:eastAsiaTheme="majorEastAsia" w:hAnsiTheme="majorHAnsi" w:cstheme="majorBidi"/>
      <w:iCs/>
      <w:color w:val="939598" w:themeColor="background2"/>
      <w:spacing w:val="15"/>
      <w:sz w:val="40"/>
      <w:szCs w:val="24"/>
    </w:rPr>
  </w:style>
  <w:style w:type="character" w:customStyle="1" w:styleId="SubtitleChar">
    <w:name w:val="Subtitle Char"/>
    <w:basedOn w:val="DefaultParagraphFont"/>
    <w:link w:val="Subtitle"/>
    <w:uiPriority w:val="11"/>
    <w:rsid w:val="005F1934"/>
    <w:rPr>
      <w:rFonts w:asciiTheme="majorHAnsi" w:eastAsiaTheme="majorEastAsia" w:hAnsiTheme="majorHAnsi" w:cstheme="majorBidi"/>
      <w:iCs/>
      <w:color w:val="939598" w:themeColor="background2"/>
      <w:spacing w:val="15"/>
      <w:sz w:val="40"/>
      <w:szCs w:val="24"/>
    </w:rPr>
  </w:style>
  <w:style w:type="character" w:styleId="Emphasis">
    <w:name w:val="Emphasis"/>
    <w:basedOn w:val="DefaultParagraphFont"/>
    <w:uiPriority w:val="20"/>
    <w:qFormat/>
    <w:rsid w:val="00975726"/>
    <w:rPr>
      <w:i/>
      <w:iCs/>
    </w:rPr>
  </w:style>
  <w:style w:type="character" w:styleId="Strong">
    <w:name w:val="Strong"/>
    <w:basedOn w:val="DefaultParagraphFont"/>
    <w:uiPriority w:val="22"/>
    <w:qFormat/>
    <w:rsid w:val="00975726"/>
    <w:rPr>
      <w:b/>
      <w:bCs/>
    </w:rPr>
  </w:style>
  <w:style w:type="character" w:styleId="Hyperlink">
    <w:name w:val="Hyperlink"/>
    <w:basedOn w:val="DefaultParagraphFont"/>
    <w:uiPriority w:val="99"/>
    <w:unhideWhenUsed/>
    <w:rsid w:val="00822068"/>
    <w:rPr>
      <w:color w:val="005677" w:themeColor="hyperlink"/>
      <w:u w:val="single"/>
    </w:rPr>
  </w:style>
  <w:style w:type="character" w:customStyle="1" w:styleId="Heading3Char">
    <w:name w:val="Heading 3 Char"/>
    <w:basedOn w:val="DefaultParagraphFont"/>
    <w:link w:val="Heading3"/>
    <w:uiPriority w:val="9"/>
    <w:rsid w:val="00822068"/>
    <w:rPr>
      <w:rFonts w:asciiTheme="majorHAnsi" w:eastAsiaTheme="majorEastAsia" w:hAnsiTheme="majorHAnsi" w:cstheme="majorBidi"/>
      <w:b/>
      <w:bCs/>
      <w:color w:val="A6192E" w:themeColor="accent1"/>
      <w:sz w:val="20"/>
    </w:rPr>
  </w:style>
  <w:style w:type="character" w:customStyle="1" w:styleId="Heading4Char">
    <w:name w:val="Heading 4 Char"/>
    <w:basedOn w:val="DefaultParagraphFont"/>
    <w:link w:val="Heading4"/>
    <w:uiPriority w:val="9"/>
    <w:rsid w:val="00822068"/>
    <w:rPr>
      <w:rFonts w:asciiTheme="majorHAnsi" w:eastAsiaTheme="majorEastAsia" w:hAnsiTheme="majorHAnsi" w:cstheme="majorBidi"/>
      <w:b/>
      <w:bCs/>
      <w:i/>
      <w:iCs/>
      <w:color w:val="A6192E" w:themeColor="accent1"/>
      <w:sz w:val="20"/>
    </w:rPr>
  </w:style>
  <w:style w:type="character" w:customStyle="1" w:styleId="Heading5Char">
    <w:name w:val="Heading 5 Char"/>
    <w:basedOn w:val="DefaultParagraphFont"/>
    <w:link w:val="Heading5"/>
    <w:uiPriority w:val="9"/>
    <w:rsid w:val="00822068"/>
    <w:rPr>
      <w:rFonts w:asciiTheme="majorHAnsi" w:eastAsiaTheme="majorEastAsia" w:hAnsiTheme="majorHAnsi" w:cstheme="majorBidi"/>
      <w:color w:val="520C16" w:themeColor="accent1" w:themeShade="7F"/>
      <w:sz w:val="20"/>
    </w:rPr>
  </w:style>
  <w:style w:type="table" w:styleId="TableGrid">
    <w:name w:val="Table Grid"/>
    <w:basedOn w:val="TableNormal"/>
    <w:uiPriority w:val="59"/>
    <w:rsid w:val="0082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22068"/>
    <w:pPr>
      <w:spacing w:after="0" w:line="240" w:lineRule="auto"/>
    </w:pPr>
    <w:tblPr>
      <w:tblStyleRowBandSize w:val="1"/>
      <w:tblStyleColBandSize w:val="1"/>
      <w:tblBorders>
        <w:top w:val="single" w:sz="8" w:space="0" w:color="A6192E" w:themeColor="accent1"/>
        <w:left w:val="single" w:sz="8" w:space="0" w:color="A6192E" w:themeColor="accent1"/>
        <w:bottom w:val="single" w:sz="8" w:space="0" w:color="A6192E" w:themeColor="accent1"/>
        <w:right w:val="single" w:sz="8" w:space="0" w:color="A6192E" w:themeColor="accent1"/>
      </w:tblBorders>
    </w:tblPr>
    <w:tblStylePr w:type="firstRow">
      <w:pPr>
        <w:spacing w:before="0" w:after="0" w:line="240" w:lineRule="auto"/>
      </w:pPr>
      <w:rPr>
        <w:b/>
        <w:bCs/>
        <w:color w:val="FFFFFF" w:themeColor="background1"/>
      </w:rPr>
      <w:tblPr/>
      <w:tcPr>
        <w:shd w:val="clear" w:color="auto" w:fill="A6192E" w:themeFill="accent1"/>
      </w:tcPr>
    </w:tblStylePr>
    <w:tblStylePr w:type="lastRow">
      <w:pPr>
        <w:spacing w:before="0" w:after="0" w:line="240" w:lineRule="auto"/>
      </w:pPr>
      <w:rPr>
        <w:b/>
        <w:bCs/>
      </w:rPr>
      <w:tblPr/>
      <w:tcPr>
        <w:tcBorders>
          <w:top w:val="double" w:sz="6" w:space="0" w:color="A6192E" w:themeColor="accent1"/>
          <w:left w:val="single" w:sz="8" w:space="0" w:color="A6192E" w:themeColor="accent1"/>
          <w:bottom w:val="single" w:sz="8" w:space="0" w:color="A6192E" w:themeColor="accent1"/>
          <w:right w:val="single" w:sz="8" w:space="0" w:color="A6192E" w:themeColor="accent1"/>
        </w:tcBorders>
      </w:tcPr>
    </w:tblStylePr>
    <w:tblStylePr w:type="firstCol">
      <w:rPr>
        <w:b/>
        <w:bCs/>
      </w:rPr>
    </w:tblStylePr>
    <w:tblStylePr w:type="lastCol">
      <w:rPr>
        <w:b/>
        <w:bCs/>
      </w:rPr>
    </w:tblStylePr>
    <w:tblStylePr w:type="band1Vert">
      <w:tblPr/>
      <w:tcPr>
        <w:tcBorders>
          <w:top w:val="single" w:sz="8" w:space="0" w:color="A6192E" w:themeColor="accent1"/>
          <w:left w:val="single" w:sz="8" w:space="0" w:color="A6192E" w:themeColor="accent1"/>
          <w:bottom w:val="single" w:sz="8" w:space="0" w:color="A6192E" w:themeColor="accent1"/>
          <w:right w:val="single" w:sz="8" w:space="0" w:color="A6192E" w:themeColor="accent1"/>
        </w:tcBorders>
      </w:tcPr>
    </w:tblStylePr>
    <w:tblStylePr w:type="band1Horz">
      <w:tblPr/>
      <w:tcPr>
        <w:tcBorders>
          <w:top w:val="single" w:sz="8" w:space="0" w:color="A6192E" w:themeColor="accent1"/>
          <w:left w:val="single" w:sz="8" w:space="0" w:color="A6192E" w:themeColor="accent1"/>
          <w:bottom w:val="single" w:sz="8" w:space="0" w:color="A6192E" w:themeColor="accent1"/>
          <w:right w:val="single" w:sz="8" w:space="0" w:color="A6192E" w:themeColor="accent1"/>
        </w:tcBorders>
      </w:tcPr>
    </w:tblStylePr>
  </w:style>
  <w:style w:type="table" w:styleId="LightList-Accent2">
    <w:name w:val="Light List Accent 2"/>
    <w:basedOn w:val="TableNormal"/>
    <w:uiPriority w:val="61"/>
    <w:rsid w:val="00822068"/>
    <w:pPr>
      <w:spacing w:after="0" w:line="240" w:lineRule="auto"/>
    </w:pPr>
    <w:tblPr>
      <w:tblStyleRowBandSize w:val="1"/>
      <w:tblStyleColBandSize w:val="1"/>
      <w:tblBorders>
        <w:top w:val="single" w:sz="8" w:space="0" w:color="572D2D" w:themeColor="accent2"/>
        <w:left w:val="single" w:sz="8" w:space="0" w:color="572D2D" w:themeColor="accent2"/>
        <w:bottom w:val="single" w:sz="8" w:space="0" w:color="572D2D" w:themeColor="accent2"/>
        <w:right w:val="single" w:sz="8" w:space="0" w:color="572D2D" w:themeColor="accent2"/>
      </w:tblBorders>
    </w:tblPr>
    <w:tblStylePr w:type="firstRow">
      <w:pPr>
        <w:spacing w:before="0" w:after="0" w:line="240" w:lineRule="auto"/>
      </w:pPr>
      <w:rPr>
        <w:b/>
        <w:bCs/>
        <w:color w:val="FFFFFF" w:themeColor="background1"/>
      </w:rPr>
      <w:tblPr/>
      <w:tcPr>
        <w:shd w:val="clear" w:color="auto" w:fill="572D2D" w:themeFill="accent2"/>
      </w:tcPr>
    </w:tblStylePr>
    <w:tblStylePr w:type="lastRow">
      <w:pPr>
        <w:spacing w:before="0" w:after="0" w:line="240" w:lineRule="auto"/>
      </w:pPr>
      <w:rPr>
        <w:b/>
        <w:bCs/>
      </w:rPr>
      <w:tblPr/>
      <w:tcPr>
        <w:tcBorders>
          <w:top w:val="double" w:sz="6" w:space="0" w:color="572D2D" w:themeColor="accent2"/>
          <w:left w:val="single" w:sz="8" w:space="0" w:color="572D2D" w:themeColor="accent2"/>
          <w:bottom w:val="single" w:sz="8" w:space="0" w:color="572D2D" w:themeColor="accent2"/>
          <w:right w:val="single" w:sz="8" w:space="0" w:color="572D2D" w:themeColor="accent2"/>
        </w:tcBorders>
      </w:tcPr>
    </w:tblStylePr>
    <w:tblStylePr w:type="firstCol">
      <w:rPr>
        <w:b/>
        <w:bCs/>
      </w:rPr>
    </w:tblStylePr>
    <w:tblStylePr w:type="lastCol">
      <w:rPr>
        <w:b/>
        <w:bCs/>
      </w:rPr>
    </w:tblStylePr>
    <w:tblStylePr w:type="band1Vert">
      <w:tblPr/>
      <w:tcPr>
        <w:tcBorders>
          <w:top w:val="single" w:sz="8" w:space="0" w:color="572D2D" w:themeColor="accent2"/>
          <w:left w:val="single" w:sz="8" w:space="0" w:color="572D2D" w:themeColor="accent2"/>
          <w:bottom w:val="single" w:sz="8" w:space="0" w:color="572D2D" w:themeColor="accent2"/>
          <w:right w:val="single" w:sz="8" w:space="0" w:color="572D2D" w:themeColor="accent2"/>
        </w:tcBorders>
      </w:tcPr>
    </w:tblStylePr>
    <w:tblStylePr w:type="band1Horz">
      <w:tblPr/>
      <w:tcPr>
        <w:tcBorders>
          <w:top w:val="single" w:sz="8" w:space="0" w:color="572D2D" w:themeColor="accent2"/>
          <w:left w:val="single" w:sz="8" w:space="0" w:color="572D2D" w:themeColor="accent2"/>
          <w:bottom w:val="single" w:sz="8" w:space="0" w:color="572D2D" w:themeColor="accent2"/>
          <w:right w:val="single" w:sz="8" w:space="0" w:color="572D2D" w:themeColor="accent2"/>
        </w:tcBorders>
      </w:tcPr>
    </w:tblStylePr>
  </w:style>
  <w:style w:type="table" w:styleId="LightList-Accent3">
    <w:name w:val="Light List Accent 3"/>
    <w:basedOn w:val="TableNormal"/>
    <w:uiPriority w:val="61"/>
    <w:rsid w:val="00822068"/>
    <w:pPr>
      <w:spacing w:after="0" w:line="240" w:lineRule="auto"/>
    </w:pPr>
    <w:tblPr>
      <w:tblStyleRowBandSize w:val="1"/>
      <w:tblStyleColBandSize w:val="1"/>
      <w:tblBorders>
        <w:top w:val="single" w:sz="8" w:space="0" w:color="71CC98" w:themeColor="accent3"/>
        <w:left w:val="single" w:sz="8" w:space="0" w:color="71CC98" w:themeColor="accent3"/>
        <w:bottom w:val="single" w:sz="8" w:space="0" w:color="71CC98" w:themeColor="accent3"/>
        <w:right w:val="single" w:sz="8" w:space="0" w:color="71CC98" w:themeColor="accent3"/>
      </w:tblBorders>
    </w:tblPr>
    <w:tblStylePr w:type="firstRow">
      <w:pPr>
        <w:spacing w:before="0" w:after="0" w:line="240" w:lineRule="auto"/>
      </w:pPr>
      <w:rPr>
        <w:b/>
        <w:bCs/>
        <w:color w:val="FFFFFF" w:themeColor="background1"/>
      </w:rPr>
      <w:tblPr/>
      <w:tcPr>
        <w:shd w:val="clear" w:color="auto" w:fill="71CC98" w:themeFill="accent3"/>
      </w:tcPr>
    </w:tblStylePr>
    <w:tblStylePr w:type="lastRow">
      <w:pPr>
        <w:spacing w:before="0" w:after="0" w:line="240" w:lineRule="auto"/>
      </w:pPr>
      <w:rPr>
        <w:b/>
        <w:bCs/>
      </w:rPr>
      <w:tblPr/>
      <w:tcPr>
        <w:tcBorders>
          <w:top w:val="double" w:sz="6" w:space="0" w:color="71CC98" w:themeColor="accent3"/>
          <w:left w:val="single" w:sz="8" w:space="0" w:color="71CC98" w:themeColor="accent3"/>
          <w:bottom w:val="single" w:sz="8" w:space="0" w:color="71CC98" w:themeColor="accent3"/>
          <w:right w:val="single" w:sz="8" w:space="0" w:color="71CC98" w:themeColor="accent3"/>
        </w:tcBorders>
      </w:tcPr>
    </w:tblStylePr>
    <w:tblStylePr w:type="firstCol">
      <w:rPr>
        <w:b/>
        <w:bCs/>
      </w:rPr>
    </w:tblStylePr>
    <w:tblStylePr w:type="lastCol">
      <w:rPr>
        <w:b/>
        <w:bCs/>
      </w:rPr>
    </w:tblStylePr>
    <w:tblStylePr w:type="band1Vert">
      <w:tblPr/>
      <w:tcPr>
        <w:tcBorders>
          <w:top w:val="single" w:sz="8" w:space="0" w:color="71CC98" w:themeColor="accent3"/>
          <w:left w:val="single" w:sz="8" w:space="0" w:color="71CC98" w:themeColor="accent3"/>
          <w:bottom w:val="single" w:sz="8" w:space="0" w:color="71CC98" w:themeColor="accent3"/>
          <w:right w:val="single" w:sz="8" w:space="0" w:color="71CC98" w:themeColor="accent3"/>
        </w:tcBorders>
      </w:tcPr>
    </w:tblStylePr>
    <w:tblStylePr w:type="band1Horz">
      <w:tblPr/>
      <w:tcPr>
        <w:tcBorders>
          <w:top w:val="single" w:sz="8" w:space="0" w:color="71CC98" w:themeColor="accent3"/>
          <w:left w:val="single" w:sz="8" w:space="0" w:color="71CC98" w:themeColor="accent3"/>
          <w:bottom w:val="single" w:sz="8" w:space="0" w:color="71CC98" w:themeColor="accent3"/>
          <w:right w:val="single" w:sz="8" w:space="0" w:color="71CC98" w:themeColor="accent3"/>
        </w:tcBorders>
      </w:tcPr>
    </w:tblStylePr>
  </w:style>
  <w:style w:type="table" w:styleId="LightList-Accent4">
    <w:name w:val="Light List Accent 4"/>
    <w:basedOn w:val="TableNormal"/>
    <w:uiPriority w:val="61"/>
    <w:rsid w:val="00822068"/>
    <w:pPr>
      <w:spacing w:after="0" w:line="240" w:lineRule="auto"/>
    </w:pPr>
    <w:tblPr>
      <w:tblStyleRowBandSize w:val="1"/>
      <w:tblStyleColBandSize w:val="1"/>
      <w:tblBorders>
        <w:top w:val="single" w:sz="8" w:space="0" w:color="B7B09C" w:themeColor="accent4"/>
        <w:left w:val="single" w:sz="8" w:space="0" w:color="B7B09C" w:themeColor="accent4"/>
        <w:bottom w:val="single" w:sz="8" w:space="0" w:color="B7B09C" w:themeColor="accent4"/>
        <w:right w:val="single" w:sz="8" w:space="0" w:color="B7B09C" w:themeColor="accent4"/>
      </w:tblBorders>
    </w:tblPr>
    <w:tblStylePr w:type="firstRow">
      <w:pPr>
        <w:spacing w:before="0" w:after="0" w:line="240" w:lineRule="auto"/>
      </w:pPr>
      <w:rPr>
        <w:b/>
        <w:bCs/>
        <w:color w:val="FFFFFF" w:themeColor="background1"/>
      </w:rPr>
      <w:tblPr/>
      <w:tcPr>
        <w:shd w:val="clear" w:color="auto" w:fill="B7B09C" w:themeFill="accent4"/>
      </w:tcPr>
    </w:tblStylePr>
    <w:tblStylePr w:type="lastRow">
      <w:pPr>
        <w:spacing w:before="0" w:after="0" w:line="240" w:lineRule="auto"/>
      </w:pPr>
      <w:rPr>
        <w:b/>
        <w:bCs/>
      </w:rPr>
      <w:tblPr/>
      <w:tcPr>
        <w:tcBorders>
          <w:top w:val="double" w:sz="6" w:space="0" w:color="B7B09C" w:themeColor="accent4"/>
          <w:left w:val="single" w:sz="8" w:space="0" w:color="B7B09C" w:themeColor="accent4"/>
          <w:bottom w:val="single" w:sz="8" w:space="0" w:color="B7B09C" w:themeColor="accent4"/>
          <w:right w:val="single" w:sz="8" w:space="0" w:color="B7B09C" w:themeColor="accent4"/>
        </w:tcBorders>
      </w:tcPr>
    </w:tblStylePr>
    <w:tblStylePr w:type="firstCol">
      <w:rPr>
        <w:b/>
        <w:bCs/>
      </w:rPr>
    </w:tblStylePr>
    <w:tblStylePr w:type="lastCol">
      <w:rPr>
        <w:b/>
        <w:bCs/>
      </w:rPr>
    </w:tblStylePr>
    <w:tblStylePr w:type="band1Vert">
      <w:tblPr/>
      <w:tcPr>
        <w:tcBorders>
          <w:top w:val="single" w:sz="8" w:space="0" w:color="B7B09C" w:themeColor="accent4"/>
          <w:left w:val="single" w:sz="8" w:space="0" w:color="B7B09C" w:themeColor="accent4"/>
          <w:bottom w:val="single" w:sz="8" w:space="0" w:color="B7B09C" w:themeColor="accent4"/>
          <w:right w:val="single" w:sz="8" w:space="0" w:color="B7B09C" w:themeColor="accent4"/>
        </w:tcBorders>
      </w:tcPr>
    </w:tblStylePr>
    <w:tblStylePr w:type="band1Horz">
      <w:tblPr/>
      <w:tcPr>
        <w:tcBorders>
          <w:top w:val="single" w:sz="8" w:space="0" w:color="B7B09C" w:themeColor="accent4"/>
          <w:left w:val="single" w:sz="8" w:space="0" w:color="B7B09C" w:themeColor="accent4"/>
          <w:bottom w:val="single" w:sz="8" w:space="0" w:color="B7B09C" w:themeColor="accent4"/>
          <w:right w:val="single" w:sz="8" w:space="0" w:color="B7B09C" w:themeColor="accent4"/>
        </w:tcBorders>
      </w:tcPr>
    </w:tblStylePr>
  </w:style>
  <w:style w:type="table" w:customStyle="1" w:styleId="Style1">
    <w:name w:val="Style1"/>
    <w:basedOn w:val="TableNormal"/>
    <w:uiPriority w:val="99"/>
    <w:rsid w:val="002E14EA"/>
    <w:pPr>
      <w:spacing w:after="0" w:line="240" w:lineRule="auto"/>
    </w:pPr>
    <w:rPr>
      <w:rFonts w:ascii="Arial" w:hAnsi="Arial"/>
      <w:color w:val="000000" w:themeColor="text1"/>
      <w:sz w:val="20"/>
    </w:rPr>
    <w:tblPr>
      <w:tblBorders>
        <w:bottom w:val="single" w:sz="2" w:space="0" w:color="A6192E" w:themeColor="accent1"/>
        <w:insideH w:val="single" w:sz="2" w:space="0" w:color="A6192E" w:themeColor="accent1"/>
      </w:tblBorders>
      <w:tblCellMar>
        <w:top w:w="85" w:type="dxa"/>
        <w:bottom w:w="85" w:type="dxa"/>
      </w:tblCellMar>
    </w:tblPr>
    <w:tcPr>
      <w:shd w:val="clear" w:color="auto" w:fill="auto"/>
      <w:vAlign w:val="center"/>
    </w:tcPr>
    <w:tblStylePr w:type="firstRow">
      <w:pPr>
        <w:jc w:val="left"/>
      </w:pPr>
      <w:rPr>
        <w:rFonts w:ascii="Arial" w:hAnsi="Arial"/>
        <w:b/>
        <w:color w:val="FFFFFF" w:themeColor="background1"/>
        <w:sz w:val="20"/>
      </w:rPr>
      <w:tblPr/>
      <w:tcPr>
        <w:shd w:val="clear" w:color="auto" w:fill="A6192E" w:themeFill="accent1"/>
      </w:tcPr>
    </w:tblStylePr>
    <w:tblStylePr w:type="lastRow">
      <w:pPr>
        <w:jc w:val="left"/>
      </w:pPr>
      <w:rPr>
        <w:rFonts w:ascii="Arial" w:hAnsi="Arial"/>
        <w:b/>
      </w:rPr>
    </w:tblStylePr>
    <w:tblStylePr w:type="firstCol">
      <w:rPr>
        <w:b/>
      </w:rPr>
    </w:tblStylePr>
  </w:style>
  <w:style w:type="paragraph" w:styleId="TOCHeading">
    <w:name w:val="TOC Heading"/>
    <w:basedOn w:val="Heading1"/>
    <w:next w:val="Normal"/>
    <w:uiPriority w:val="39"/>
    <w:unhideWhenUsed/>
    <w:qFormat/>
    <w:rsid w:val="00CB2680"/>
    <w:pPr>
      <w:spacing w:before="0" w:after="240"/>
      <w:outlineLvl w:val="9"/>
    </w:pPr>
    <w:rPr>
      <w:lang w:val="en-US" w:eastAsia="ja-JP"/>
    </w:rPr>
  </w:style>
  <w:style w:type="paragraph" w:styleId="TOC1">
    <w:name w:val="toc 1"/>
    <w:basedOn w:val="Normal"/>
    <w:next w:val="Normal"/>
    <w:autoRedefine/>
    <w:uiPriority w:val="39"/>
    <w:unhideWhenUsed/>
    <w:qFormat/>
    <w:rsid w:val="00163B54"/>
    <w:pPr>
      <w:spacing w:after="100"/>
    </w:pPr>
    <w:rPr>
      <w:sz w:val="24"/>
    </w:rPr>
  </w:style>
  <w:style w:type="paragraph" w:styleId="TOC2">
    <w:name w:val="toc 2"/>
    <w:basedOn w:val="Normal"/>
    <w:next w:val="Normal"/>
    <w:autoRedefine/>
    <w:uiPriority w:val="39"/>
    <w:unhideWhenUsed/>
    <w:qFormat/>
    <w:rsid w:val="00163B54"/>
    <w:pPr>
      <w:spacing w:after="100"/>
      <w:ind w:left="200"/>
    </w:pPr>
    <w:rPr>
      <w:color w:val="58595B" w:themeColor="text2"/>
    </w:rPr>
  </w:style>
  <w:style w:type="paragraph" w:styleId="TOC3">
    <w:name w:val="toc 3"/>
    <w:basedOn w:val="Normal"/>
    <w:next w:val="Normal"/>
    <w:autoRedefine/>
    <w:uiPriority w:val="39"/>
    <w:unhideWhenUsed/>
    <w:qFormat/>
    <w:rsid w:val="002E14EA"/>
    <w:pPr>
      <w:spacing w:after="100"/>
      <w:ind w:left="400"/>
    </w:pPr>
  </w:style>
  <w:style w:type="paragraph" w:styleId="BalloonText">
    <w:name w:val="Balloon Text"/>
    <w:basedOn w:val="Normal"/>
    <w:link w:val="BalloonTextChar"/>
    <w:uiPriority w:val="99"/>
    <w:semiHidden/>
    <w:unhideWhenUsed/>
    <w:rsid w:val="002E1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4EA"/>
    <w:rPr>
      <w:rFonts w:ascii="Tahoma" w:hAnsi="Tahoma" w:cs="Tahoma"/>
      <w:sz w:val="16"/>
      <w:szCs w:val="16"/>
    </w:rPr>
  </w:style>
  <w:style w:type="paragraph" w:styleId="ListBullet">
    <w:name w:val="List Bullet"/>
    <w:basedOn w:val="Normal"/>
    <w:uiPriority w:val="99"/>
    <w:unhideWhenUsed/>
    <w:rsid w:val="009D7BB6"/>
    <w:pPr>
      <w:numPr>
        <w:numId w:val="1"/>
      </w:numPr>
      <w:ind w:left="284" w:hanging="284"/>
      <w:contextualSpacing/>
    </w:pPr>
  </w:style>
  <w:style w:type="paragraph" w:styleId="ListBullet2">
    <w:name w:val="List Bullet 2"/>
    <w:basedOn w:val="Normal"/>
    <w:uiPriority w:val="99"/>
    <w:unhideWhenUsed/>
    <w:rsid w:val="002F65AF"/>
    <w:pPr>
      <w:numPr>
        <w:numId w:val="2"/>
      </w:numPr>
      <w:contextualSpacing/>
    </w:pPr>
  </w:style>
  <w:style w:type="paragraph" w:styleId="Quote">
    <w:name w:val="Quote"/>
    <w:basedOn w:val="Normal"/>
    <w:next w:val="Normal"/>
    <w:link w:val="QuoteChar"/>
    <w:uiPriority w:val="29"/>
    <w:qFormat/>
    <w:rsid w:val="009D7BB6"/>
    <w:pPr>
      <w:pBdr>
        <w:top w:val="single" w:sz="4" w:space="1" w:color="71CC98" w:themeColor="accent3"/>
        <w:bottom w:val="single" w:sz="4" w:space="1" w:color="71CC98" w:themeColor="accent3"/>
      </w:pBdr>
      <w:spacing w:before="240" w:after="240"/>
    </w:pPr>
    <w:rPr>
      <w:i/>
      <w:iCs/>
      <w:color w:val="A6192E" w:themeColor="accent1"/>
      <w:sz w:val="24"/>
    </w:rPr>
  </w:style>
  <w:style w:type="character" w:customStyle="1" w:styleId="QuoteChar">
    <w:name w:val="Quote Char"/>
    <w:basedOn w:val="DefaultParagraphFont"/>
    <w:link w:val="Quote"/>
    <w:uiPriority w:val="29"/>
    <w:rsid w:val="009D7BB6"/>
    <w:rPr>
      <w:i/>
      <w:iCs/>
      <w:color w:val="A6192E" w:themeColor="accent1"/>
      <w:sz w:val="24"/>
    </w:rPr>
  </w:style>
  <w:style w:type="character" w:styleId="SubtleEmphasis">
    <w:name w:val="Subtle Emphasis"/>
    <w:basedOn w:val="DefaultParagraphFont"/>
    <w:uiPriority w:val="19"/>
    <w:rsid w:val="005D0228"/>
    <w:rPr>
      <w:i/>
      <w:iCs/>
      <w:color w:val="808080" w:themeColor="text1" w:themeTint="7F"/>
      <w:sz w:val="28"/>
    </w:rPr>
  </w:style>
  <w:style w:type="character" w:styleId="IntenseEmphasis">
    <w:name w:val="Intense Emphasis"/>
    <w:basedOn w:val="DefaultParagraphFont"/>
    <w:uiPriority w:val="21"/>
    <w:qFormat/>
    <w:rsid w:val="005D0228"/>
    <w:rPr>
      <w:b/>
      <w:bCs/>
      <w:i/>
      <w:iCs/>
      <w:color w:val="A6192E" w:themeColor="accent1"/>
    </w:rPr>
  </w:style>
  <w:style w:type="paragraph" w:styleId="Caption">
    <w:name w:val="caption"/>
    <w:basedOn w:val="Normal"/>
    <w:next w:val="Normal"/>
    <w:uiPriority w:val="35"/>
    <w:unhideWhenUsed/>
    <w:qFormat/>
    <w:rsid w:val="00B526AB"/>
    <w:pPr>
      <w:spacing w:after="360" w:line="240" w:lineRule="auto"/>
    </w:pPr>
    <w:rPr>
      <w:bCs/>
      <w:color w:val="A6192E" w:themeColor="accent1"/>
      <w:sz w:val="18"/>
      <w:szCs w:val="18"/>
    </w:rPr>
  </w:style>
  <w:style w:type="character" w:customStyle="1" w:styleId="Tabletitle">
    <w:name w:val="Table title"/>
    <w:basedOn w:val="DefaultParagraphFont"/>
    <w:uiPriority w:val="1"/>
    <w:qFormat/>
    <w:rsid w:val="00D87BC8"/>
    <w:rPr>
      <w:b/>
      <w:color w:val="A6192E" w:themeColor="accent1"/>
    </w:rPr>
  </w:style>
  <w:style w:type="character" w:customStyle="1" w:styleId="Figuretitle">
    <w:name w:val="Figure title"/>
    <w:basedOn w:val="Tabletitle"/>
    <w:uiPriority w:val="1"/>
    <w:qFormat/>
    <w:rsid w:val="00D87BC8"/>
    <w:rPr>
      <w:b/>
      <w:color w:val="A6192E" w:themeColor="accent1"/>
    </w:rPr>
  </w:style>
  <w:style w:type="paragraph" w:customStyle="1" w:styleId="Credit">
    <w:name w:val="Credit"/>
    <w:basedOn w:val="Caption"/>
    <w:qFormat/>
    <w:rsid w:val="00A51E16"/>
    <w:rPr>
      <w:color w:val="58595B" w:themeColor="text2"/>
    </w:rPr>
  </w:style>
  <w:style w:type="paragraph" w:styleId="EndnoteText">
    <w:name w:val="endnote text"/>
    <w:basedOn w:val="Normal"/>
    <w:link w:val="EndnoteTextChar"/>
    <w:uiPriority w:val="99"/>
    <w:semiHidden/>
    <w:unhideWhenUsed/>
    <w:rsid w:val="00B526AB"/>
    <w:pPr>
      <w:spacing w:after="0" w:line="240" w:lineRule="auto"/>
    </w:pPr>
    <w:rPr>
      <w:szCs w:val="20"/>
    </w:rPr>
  </w:style>
  <w:style w:type="character" w:customStyle="1" w:styleId="EndnoteTextChar">
    <w:name w:val="Endnote Text Char"/>
    <w:basedOn w:val="DefaultParagraphFont"/>
    <w:link w:val="EndnoteText"/>
    <w:uiPriority w:val="99"/>
    <w:semiHidden/>
    <w:rsid w:val="00B526AB"/>
    <w:rPr>
      <w:sz w:val="20"/>
      <w:szCs w:val="20"/>
    </w:rPr>
  </w:style>
  <w:style w:type="character" w:styleId="EndnoteReference">
    <w:name w:val="endnote reference"/>
    <w:basedOn w:val="DefaultParagraphFont"/>
    <w:uiPriority w:val="99"/>
    <w:semiHidden/>
    <w:unhideWhenUsed/>
    <w:rsid w:val="00B526AB"/>
    <w:rPr>
      <w:vertAlign w:val="superscript"/>
    </w:rPr>
  </w:style>
  <w:style w:type="paragraph" w:styleId="FootnoteText">
    <w:name w:val="footnote text"/>
    <w:basedOn w:val="Normal"/>
    <w:link w:val="FootnoteTextChar"/>
    <w:uiPriority w:val="99"/>
    <w:unhideWhenUsed/>
    <w:rsid w:val="00B526AB"/>
    <w:pPr>
      <w:spacing w:after="60" w:line="240" w:lineRule="auto"/>
    </w:pPr>
    <w:rPr>
      <w:sz w:val="16"/>
      <w:szCs w:val="20"/>
    </w:rPr>
  </w:style>
  <w:style w:type="character" w:customStyle="1" w:styleId="FootnoteTextChar">
    <w:name w:val="Footnote Text Char"/>
    <w:basedOn w:val="DefaultParagraphFont"/>
    <w:link w:val="FootnoteText"/>
    <w:uiPriority w:val="99"/>
    <w:rsid w:val="00B526AB"/>
    <w:rPr>
      <w:sz w:val="16"/>
      <w:szCs w:val="20"/>
    </w:rPr>
  </w:style>
  <w:style w:type="character" w:styleId="FootnoteReference">
    <w:name w:val="footnote reference"/>
    <w:basedOn w:val="DefaultParagraphFont"/>
    <w:uiPriority w:val="99"/>
    <w:semiHidden/>
    <w:unhideWhenUsed/>
    <w:rsid w:val="00B526AB"/>
    <w:rPr>
      <w:vertAlign w:val="superscript"/>
    </w:rPr>
  </w:style>
  <w:style w:type="paragraph" w:customStyle="1" w:styleId="Casestudy">
    <w:name w:val="Case study"/>
    <w:basedOn w:val="Normal"/>
    <w:qFormat/>
    <w:rsid w:val="00244596"/>
    <w:pPr>
      <w:pBdr>
        <w:top w:val="single" w:sz="4" w:space="4" w:color="572D2D" w:themeColor="accent2"/>
        <w:left w:val="single" w:sz="4" w:space="4" w:color="572D2D" w:themeColor="accent2"/>
        <w:bottom w:val="single" w:sz="4" w:space="4" w:color="572D2D" w:themeColor="accent2"/>
        <w:right w:val="single" w:sz="4" w:space="4" w:color="572D2D" w:themeColor="accent2"/>
      </w:pBdr>
      <w:shd w:val="clear" w:color="auto" w:fill="F1E5E5" w:themeFill="accent2" w:themeFillTint="1A"/>
      <w:ind w:left="113" w:right="113"/>
    </w:pPr>
  </w:style>
  <w:style w:type="paragraph" w:customStyle="1" w:styleId="Casestudytitle">
    <w:name w:val="Case study title"/>
    <w:basedOn w:val="Casestudy"/>
    <w:qFormat/>
    <w:rsid w:val="002D3954"/>
    <w:pPr>
      <w:spacing w:before="360"/>
    </w:pPr>
    <w:rPr>
      <w:color w:val="572D2D" w:themeColor="accent2"/>
      <w:sz w:val="28"/>
    </w:rPr>
  </w:style>
  <w:style w:type="paragraph" w:customStyle="1" w:styleId="Casestudysource">
    <w:name w:val="Case study source"/>
    <w:basedOn w:val="Casestudy"/>
    <w:qFormat/>
    <w:rsid w:val="00F25F29"/>
    <w:pPr>
      <w:spacing w:before="240" w:after="480"/>
    </w:pPr>
    <w:rPr>
      <w:color w:val="572D2D" w:themeColor="accent2"/>
      <w:sz w:val="16"/>
    </w:rPr>
  </w:style>
  <w:style w:type="paragraph" w:styleId="Header">
    <w:name w:val="header"/>
    <w:basedOn w:val="Normal"/>
    <w:link w:val="HeaderChar"/>
    <w:uiPriority w:val="99"/>
    <w:unhideWhenUsed/>
    <w:rsid w:val="00991F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91FDD"/>
    <w:rPr>
      <w:sz w:val="20"/>
    </w:rPr>
  </w:style>
  <w:style w:type="paragraph" w:styleId="Footer">
    <w:name w:val="footer"/>
    <w:basedOn w:val="Normal"/>
    <w:link w:val="FooterChar"/>
    <w:uiPriority w:val="99"/>
    <w:unhideWhenUsed/>
    <w:rsid w:val="00991F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1FDD"/>
    <w:rPr>
      <w:sz w:val="20"/>
    </w:rPr>
  </w:style>
  <w:style w:type="paragraph" w:styleId="ListParagraph">
    <w:name w:val="List Paragraph"/>
    <w:basedOn w:val="Normal"/>
    <w:uiPriority w:val="34"/>
    <w:qFormat/>
    <w:rsid w:val="00B7796E"/>
    <w:pPr>
      <w:ind w:left="720"/>
      <w:contextualSpacing/>
    </w:pPr>
  </w:style>
  <w:style w:type="character" w:styleId="CommentReference">
    <w:name w:val="annotation reference"/>
    <w:basedOn w:val="DefaultParagraphFont"/>
    <w:uiPriority w:val="99"/>
    <w:semiHidden/>
    <w:unhideWhenUsed/>
    <w:rsid w:val="00177503"/>
    <w:rPr>
      <w:sz w:val="16"/>
      <w:szCs w:val="16"/>
    </w:rPr>
  </w:style>
  <w:style w:type="paragraph" w:styleId="CommentText">
    <w:name w:val="annotation text"/>
    <w:basedOn w:val="Normal"/>
    <w:link w:val="CommentTextChar"/>
    <w:uiPriority w:val="99"/>
    <w:unhideWhenUsed/>
    <w:rsid w:val="00177503"/>
    <w:pPr>
      <w:spacing w:line="240" w:lineRule="auto"/>
    </w:pPr>
    <w:rPr>
      <w:szCs w:val="20"/>
    </w:rPr>
  </w:style>
  <w:style w:type="character" w:customStyle="1" w:styleId="CommentTextChar">
    <w:name w:val="Comment Text Char"/>
    <w:basedOn w:val="DefaultParagraphFont"/>
    <w:link w:val="CommentText"/>
    <w:uiPriority w:val="99"/>
    <w:rsid w:val="00177503"/>
    <w:rPr>
      <w:sz w:val="20"/>
      <w:szCs w:val="20"/>
    </w:rPr>
  </w:style>
  <w:style w:type="paragraph" w:styleId="CommentSubject">
    <w:name w:val="annotation subject"/>
    <w:basedOn w:val="CommentText"/>
    <w:next w:val="CommentText"/>
    <w:link w:val="CommentSubjectChar"/>
    <w:uiPriority w:val="99"/>
    <w:semiHidden/>
    <w:unhideWhenUsed/>
    <w:rsid w:val="00177503"/>
    <w:rPr>
      <w:b/>
      <w:bCs/>
    </w:rPr>
  </w:style>
  <w:style w:type="character" w:customStyle="1" w:styleId="CommentSubjectChar">
    <w:name w:val="Comment Subject Char"/>
    <w:basedOn w:val="CommentTextChar"/>
    <w:link w:val="CommentSubject"/>
    <w:uiPriority w:val="99"/>
    <w:semiHidden/>
    <w:rsid w:val="00177503"/>
    <w:rPr>
      <w:b/>
      <w:bCs/>
      <w:sz w:val="20"/>
      <w:szCs w:val="20"/>
    </w:rPr>
  </w:style>
  <w:style w:type="paragraph" w:styleId="Revision">
    <w:name w:val="Revision"/>
    <w:hidden/>
    <w:uiPriority w:val="99"/>
    <w:semiHidden/>
    <w:rsid w:val="008D5C49"/>
    <w:pPr>
      <w:spacing w:after="0" w:line="240" w:lineRule="auto"/>
    </w:pPr>
    <w:rPr>
      <w:sz w:val="20"/>
    </w:rPr>
  </w:style>
  <w:style w:type="character" w:styleId="FollowedHyperlink">
    <w:name w:val="FollowedHyperlink"/>
    <w:basedOn w:val="DefaultParagraphFont"/>
    <w:uiPriority w:val="99"/>
    <w:semiHidden/>
    <w:unhideWhenUsed/>
    <w:rsid w:val="00FA2015"/>
    <w:rPr>
      <w:color w:val="C973AF" w:themeColor="followedHyperlink"/>
      <w:u w:val="single"/>
    </w:rPr>
  </w:style>
  <w:style w:type="paragraph" w:customStyle="1" w:styleId="Heading1-NoNumber">
    <w:name w:val="Heading 1 - No Number"/>
    <w:basedOn w:val="Heading1"/>
    <w:next w:val="Normal"/>
    <w:qFormat/>
    <w:rsid w:val="007E5C1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7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ndustry.gov.au/data-and-publications/national-measurement-institute-national-compliance-plan"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measurement.gov.au" TargetMode="External"/><Relationship Id="rId17" Type="http://schemas.openxmlformats.org/officeDocument/2006/relationships/hyperlink" Target="https://www.industry.gov.au/data-and-publications/national-measurement-institute-national-compliance-plan" TargetMode="External"/><Relationship Id="rId2" Type="http://schemas.openxmlformats.org/officeDocument/2006/relationships/customXml" Target="../customXml/item2.xml"/><Relationship Id="rId16" Type="http://schemas.openxmlformats.org/officeDocument/2006/relationships/hyperlink" Target="https://www.industry.gov.au/data-and-publications/national-measurement-institute-national-compliance-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dustry.gov.au/data-and-publications/national-measurement-institute-national-compliance-pla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16C00085"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Science">
      <a:dk1>
        <a:sysClr val="windowText" lastClr="000000"/>
      </a:dk1>
      <a:lt1>
        <a:sysClr val="window" lastClr="FFFFFF"/>
      </a:lt1>
      <a:dk2>
        <a:srgbClr val="58595B"/>
      </a:dk2>
      <a:lt2>
        <a:srgbClr val="939598"/>
      </a:lt2>
      <a:accent1>
        <a:srgbClr val="A6192E"/>
      </a:accent1>
      <a:accent2>
        <a:srgbClr val="572D2D"/>
      </a:accent2>
      <a:accent3>
        <a:srgbClr val="71CC98"/>
      </a:accent3>
      <a:accent4>
        <a:srgbClr val="B7B09C"/>
      </a:accent4>
      <a:accent5>
        <a:srgbClr val="58595B"/>
      </a:accent5>
      <a:accent6>
        <a:srgbClr val="6D6E70"/>
      </a:accent6>
      <a:hlink>
        <a:srgbClr val="005677"/>
      </a:hlink>
      <a:folHlink>
        <a:srgbClr val="C973A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3537FC6FD94646A86461B35952B3B6" ma:contentTypeVersion="0" ma:contentTypeDescription="Create a new document." ma:contentTypeScope="" ma:versionID="983559623591219a4b403c2274f351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96561-863C-4F9F-9520-83330CD71F0E}">
  <ds:schemaRefs>
    <ds:schemaRef ds:uri="http://schemas.microsoft.com/sharepoint/v3/contenttype/forms"/>
  </ds:schemaRefs>
</ds:datastoreItem>
</file>

<file path=customXml/itemProps2.xml><?xml version="1.0" encoding="utf-8"?>
<ds:datastoreItem xmlns:ds="http://schemas.openxmlformats.org/officeDocument/2006/customXml" ds:itemID="{D9B08487-B632-4FBC-9D96-FEBE4DB1A5B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3649E11-EA8A-4FB0-95F2-ED9D7A39A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F35FBD-C4B8-43E8-B0C3-F4CBC1045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4724</Words>
  <Characters>26928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NMI Report cover template - no photo</vt:lpstr>
    </vt:vector>
  </TitlesOfParts>
  <Company>Australian Government | National Measurement Institute | measurement.gov.au</Company>
  <LinksUpToDate>false</LinksUpToDate>
  <CharactersWithSpaces>31589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NMI Report cover template - no photo</dc:title>
  <dc:creator>NMI</dc:creator>
  <cp:lastModifiedBy>Ruth, Jodie</cp:lastModifiedBy>
  <cp:revision>3</cp:revision>
  <cp:lastPrinted>2020-10-12T00:40:00Z</cp:lastPrinted>
  <dcterms:created xsi:type="dcterms:W3CDTF">2020-10-12T00:41:00Z</dcterms:created>
  <dcterms:modified xsi:type="dcterms:W3CDTF">2020-10-13T23:01:00Z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0x010100013537FC6FD94646A86461B35952B3B6</vt:lpwstr>
  </property>
</Properties>
</file>