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rPr>
        <w:id w:val="1373031956"/>
        <w:docPartObj>
          <w:docPartGallery w:val="Cover Pages"/>
          <w:docPartUnique/>
        </w:docPartObj>
      </w:sdtPr>
      <w:sdtEndPr/>
      <w:sdtContent>
        <w:tbl>
          <w:tblPr>
            <w:tblW w:w="0" w:type="auto"/>
            <w:tblLook w:val="04A0" w:firstRow="1" w:lastRow="0" w:firstColumn="1" w:lastColumn="0" w:noHBand="0" w:noVBand="1"/>
          </w:tblPr>
          <w:tblGrid>
            <w:gridCol w:w="9242"/>
          </w:tblGrid>
          <w:tr w:rsidR="000526EF" w14:paraId="529528A2" w14:textId="77777777" w:rsidTr="006653F0">
            <w:trPr>
              <w:cantSplit/>
              <w:trHeight w:val="1418"/>
            </w:trPr>
            <w:tc>
              <w:tcPr>
                <w:tcW w:w="9242" w:type="dxa"/>
              </w:tcPr>
              <w:p w14:paraId="4C1B68ED" w14:textId="0FA514C5" w:rsidR="000526EF" w:rsidRDefault="0032565E" w:rsidP="006653F0">
                <w:pPr>
                  <w:pStyle w:val="CoverNormal"/>
                </w:pPr>
                <w:r>
                  <w:rPr>
                    <w:noProof/>
                    <w:lang w:eastAsia="en-AU"/>
                  </w:rPr>
                  <w:drawing>
                    <wp:inline distT="0" distB="0" distL="0" distR="0" wp14:anchorId="4B1A83B6" wp14:editId="75D27ACF">
                      <wp:extent cx="3495675" cy="573759"/>
                      <wp:effectExtent l="0" t="0" r="0" b="0"/>
                      <wp:docPr id="14" name="Picture 14" descr="Image shows a logo with the Australian Government Department of Industry, Science, Energy and Resources&#10;alongside the logo of the 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8148" cy="590578"/>
                              </a:xfrm>
                              <a:prstGeom prst="rect">
                                <a:avLst/>
                              </a:prstGeom>
                            </pic:spPr>
                          </pic:pic>
                        </a:graphicData>
                      </a:graphic>
                    </wp:inline>
                  </w:drawing>
                </w:r>
                <w:r w:rsidR="007A0BD0">
                  <w:rPr>
                    <w:noProof/>
                    <w:lang w:eastAsia="en-AU"/>
                  </w:rPr>
                  <w:drawing>
                    <wp:inline distT="0" distB="0" distL="0" distR="0" wp14:anchorId="3566E352" wp14:editId="1610C698">
                      <wp:extent cx="2081879" cy="627321"/>
                      <wp:effectExtent l="0" t="0" r="0" b="1905"/>
                      <wp:docPr id="13" name="Picture 13" descr="Image shows the Australian Government logo alongside the Economic Data and Analysi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DAN logo with crest-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585" cy="656159"/>
                              </a:xfrm>
                              <a:prstGeom prst="rect">
                                <a:avLst/>
                              </a:prstGeom>
                            </pic:spPr>
                          </pic:pic>
                        </a:graphicData>
                      </a:graphic>
                    </wp:inline>
                  </w:drawing>
                </w:r>
              </w:p>
            </w:tc>
          </w:tr>
          <w:tr w:rsidR="000526EF" w14:paraId="49E86A60" w14:textId="77777777" w:rsidTr="006653F0">
            <w:trPr>
              <w:cantSplit/>
              <w:trHeight w:hRule="exact" w:val="1417"/>
            </w:trPr>
            <w:tc>
              <w:tcPr>
                <w:tcW w:w="9242" w:type="dxa"/>
                <w:vAlign w:val="bottom"/>
              </w:tcPr>
              <w:p w14:paraId="3F44B534" w14:textId="258AA3EA" w:rsidR="000526EF" w:rsidRDefault="000526EF" w:rsidP="007D604C">
                <w:pPr>
                  <w:pStyle w:val="ResearchPaper"/>
                </w:pPr>
                <w:r>
                  <w:t xml:space="preserve">Research Paper </w:t>
                </w:r>
                <w:r w:rsidR="007D604C">
                  <w:t>2/2020</w:t>
                </w:r>
              </w:p>
            </w:tc>
          </w:tr>
          <w:tr w:rsidR="000526EF" w:rsidRPr="00CF654B" w14:paraId="32FA20EC" w14:textId="77777777" w:rsidTr="006653F0">
            <w:trPr>
              <w:cantSplit/>
            </w:trPr>
            <w:sdt>
              <w:sdtPr>
                <w:rPr>
                  <w:rStyle w:val="TitleHeadingChar"/>
                  <w:b/>
                </w:rPr>
                <w:alias w:val="Research Paper Title"/>
                <w:tag w:val="Research Paper Title"/>
                <w:id w:val="803742244"/>
                <w:placeholder>
                  <w:docPart w:val="29F84614D48141AA940BF53563541A7A"/>
                </w:placeholder>
              </w:sdtPr>
              <w:sdtEndPr>
                <w:rPr>
                  <w:rStyle w:val="DefaultParagraphFont"/>
                </w:rPr>
              </w:sdtEndPr>
              <w:sdtContent>
                <w:tc>
                  <w:tcPr>
                    <w:tcW w:w="9242" w:type="dxa"/>
                  </w:tcPr>
                  <w:p w14:paraId="7445C096" w14:textId="2FDB76C1" w:rsidR="000526EF" w:rsidRPr="00E018A4" w:rsidRDefault="000526EF" w:rsidP="004D44D4">
                    <w:pPr>
                      <w:pStyle w:val="TitleHeading"/>
                      <w:rPr>
                        <w:b/>
                      </w:rPr>
                    </w:pPr>
                    <w:r>
                      <w:rPr>
                        <w:rStyle w:val="TitleHeadingChar"/>
                      </w:rPr>
                      <w:t>Market Power and Entrepreneurship</w:t>
                    </w:r>
                    <w:r w:rsidR="00BE52AA">
                      <w:rPr>
                        <w:rStyle w:val="TitleHeadingChar"/>
                      </w:rPr>
                      <w:t xml:space="preserve"> Change</w:t>
                    </w:r>
                    <w:r>
                      <w:rPr>
                        <w:rStyle w:val="TitleHeadingChar"/>
                      </w:rPr>
                      <w:t>: the Case for Australia</w:t>
                    </w:r>
                  </w:p>
                </w:tc>
              </w:sdtContent>
            </w:sdt>
          </w:tr>
          <w:tr w:rsidR="000526EF" w14:paraId="2FD4A21E" w14:textId="77777777" w:rsidTr="006653F0">
            <w:trPr>
              <w:cantSplit/>
            </w:trPr>
            <w:tc>
              <w:tcPr>
                <w:tcW w:w="9242" w:type="dxa"/>
                <w:vAlign w:val="center"/>
              </w:tcPr>
              <w:p w14:paraId="40CDBCE6" w14:textId="77777777" w:rsidR="000526EF" w:rsidRDefault="000526EF" w:rsidP="006653F0">
                <w:pPr>
                  <w:pStyle w:val="Author"/>
                </w:pPr>
                <w:r>
                  <w:t>Sasan Bakhtiari</w:t>
                </w:r>
              </w:p>
            </w:tc>
          </w:tr>
          <w:tr w:rsidR="000526EF" w14:paraId="66A6C149" w14:textId="77777777" w:rsidTr="006653F0">
            <w:trPr>
              <w:cantSplit/>
            </w:trPr>
            <w:tc>
              <w:tcPr>
                <w:tcW w:w="9242" w:type="dxa"/>
                <w:vAlign w:val="center"/>
              </w:tcPr>
              <w:p w14:paraId="0B5C1538" w14:textId="77777777" w:rsidR="000526EF" w:rsidRDefault="000526EF" w:rsidP="006653F0">
                <w:pPr>
                  <w:pStyle w:val="MonthYear"/>
                </w:pPr>
                <w:r>
                  <w:fldChar w:fldCharType="begin"/>
                </w:r>
                <w:r>
                  <w:instrText xml:space="preserve"> DATE  \@ "MMMM yyyy"  \* MERGEFORMAT </w:instrText>
                </w:r>
                <w:r>
                  <w:fldChar w:fldCharType="separate"/>
                </w:r>
                <w:r w:rsidR="009A27E4">
                  <w:rPr>
                    <w:noProof/>
                  </w:rPr>
                  <w:t>July 2020</w:t>
                </w:r>
                <w:r>
                  <w:fldChar w:fldCharType="end"/>
                </w:r>
              </w:p>
            </w:tc>
          </w:tr>
          <w:tr w:rsidR="000526EF" w14:paraId="30F17167" w14:textId="77777777" w:rsidTr="006653F0">
            <w:trPr>
              <w:cantSplit/>
              <w:trHeight w:val="765"/>
            </w:trPr>
            <w:tc>
              <w:tcPr>
                <w:tcW w:w="9242" w:type="dxa"/>
              </w:tcPr>
              <w:p w14:paraId="2651F359" w14:textId="77777777" w:rsidR="000526EF" w:rsidRDefault="000526EF" w:rsidP="006653F0">
                <w:pPr>
                  <w:pStyle w:val="AbstractHeader"/>
                </w:pPr>
                <w:r w:rsidRPr="002054C2">
                  <w:t>Abstract</w:t>
                </w:r>
              </w:p>
            </w:tc>
          </w:tr>
          <w:tr w:rsidR="000526EF" w14:paraId="3B4ECFD9" w14:textId="77777777" w:rsidTr="006653F0">
            <w:trPr>
              <w:cantSplit/>
              <w:trHeight w:val="1125"/>
            </w:trPr>
            <w:tc>
              <w:tcPr>
                <w:tcW w:w="9242" w:type="dxa"/>
              </w:tcPr>
              <w:p w14:paraId="39984E9D" w14:textId="1AC4B205" w:rsidR="000526EF" w:rsidRDefault="000526EF" w:rsidP="00E04F2A">
                <w:pPr>
                  <w:pStyle w:val="AbstractText"/>
                  <w:jc w:val="both"/>
                </w:pPr>
                <w:r>
                  <w:t xml:space="preserve">It has been suggested that the increasing market power of large firms is behind the entrepreneurship decline in several advanced economies. With a focus on Australia, this paper studies whether this has been the case. It uses an index, extracted from Hirschman-Herfindahl and </w:t>
                </w:r>
                <w:r w:rsidR="004D44D4">
                  <w:t>the business counts</w:t>
                </w:r>
                <w:r>
                  <w:t xml:space="preserve"> of industries, to rank industries based on their supposed market power. Using this index, the impact of market power on firm entry is estimated through the application of parametric and semi-parametric methods. The results suggest that changes to market power are unlikely to be the reason behind the observed </w:t>
                </w:r>
                <w:r w:rsidR="004D44D4">
                  <w:t xml:space="preserve">historical </w:t>
                </w:r>
                <w:r>
                  <w:t>decline in entrepreneurship. The decline seems to have a secular nature or to be driven by factors other than change</w:t>
                </w:r>
                <w:r w:rsidR="004D44D4">
                  <w:t>s</w:t>
                </w:r>
                <w:r>
                  <w:t xml:space="preserve"> in market power.</w:t>
                </w:r>
              </w:p>
              <w:p w14:paraId="230CC0D7" w14:textId="77777777" w:rsidR="000526EF" w:rsidRPr="00C63547" w:rsidRDefault="000526EF" w:rsidP="006653F0">
                <w:pPr>
                  <w:pStyle w:val="AbstractText"/>
                </w:pPr>
              </w:p>
            </w:tc>
          </w:tr>
          <w:tr w:rsidR="000526EF" w14:paraId="6FCE84EF" w14:textId="77777777" w:rsidTr="006653F0">
            <w:trPr>
              <w:cantSplit/>
              <w:trHeight w:val="1125"/>
            </w:trPr>
            <w:tc>
              <w:tcPr>
                <w:tcW w:w="9242" w:type="dxa"/>
              </w:tcPr>
              <w:p w14:paraId="59888635" w14:textId="77777777" w:rsidR="000526EF" w:rsidRPr="00116A9D" w:rsidRDefault="000526EF" w:rsidP="006653F0">
                <w:pPr>
                  <w:pStyle w:val="JELCodeheader"/>
                  <w:rPr>
                    <w:b w:val="0"/>
                  </w:rPr>
                </w:pPr>
                <w:r w:rsidRPr="000502F2">
                  <w:rPr>
                    <w:color w:val="005CAF"/>
                  </w:rPr>
                  <w:t>JEL Codes:</w:t>
                </w:r>
                <w:r w:rsidRPr="000502F2">
                  <w:rPr>
                    <w:b w:val="0"/>
                    <w:color w:val="005CAF"/>
                  </w:rPr>
                  <w:t xml:space="preserve"> </w:t>
                </w:r>
                <w:r w:rsidRPr="00A10304">
                  <w:rPr>
                    <w:b w:val="0"/>
                  </w:rPr>
                  <w:t>D43, L13, L26, M13</w:t>
                </w:r>
              </w:p>
              <w:p w14:paraId="659178F1" w14:textId="77777777" w:rsidR="000526EF" w:rsidRPr="00A10304" w:rsidRDefault="000526EF" w:rsidP="006653F0">
                <w:pPr>
                  <w:pStyle w:val="JELCodeheader"/>
                  <w:rPr>
                    <w:b w:val="0"/>
                  </w:rPr>
                </w:pPr>
                <w:r w:rsidRPr="000502F2">
                  <w:rPr>
                    <w:color w:val="005CAF"/>
                  </w:rPr>
                  <w:t>Keywords:</w:t>
                </w:r>
                <w:r>
                  <w:rPr>
                    <w:b w:val="0"/>
                  </w:rPr>
                  <w:t xml:space="preserve"> </w:t>
                </w:r>
                <w:r w:rsidRPr="00A10304">
                  <w:rPr>
                    <w:b w:val="0"/>
                  </w:rPr>
                  <w:t>Market Concentration, Market Power, Competition, Entrepreneurship, Exporting</w:t>
                </w:r>
              </w:p>
              <w:p w14:paraId="18D99FA7" w14:textId="77777777" w:rsidR="000526EF" w:rsidRPr="002054C2" w:rsidRDefault="000526EF" w:rsidP="006653F0">
                <w:pPr>
                  <w:pStyle w:val="JELCodeheader"/>
                </w:pPr>
              </w:p>
            </w:tc>
          </w:tr>
        </w:tbl>
        <w:p w14:paraId="60CEB8A9" w14:textId="77777777" w:rsidR="000526EF" w:rsidRDefault="000526EF" w:rsidP="006653F0">
          <w:pPr>
            <w:pStyle w:val="CoverNormal"/>
          </w:pPr>
        </w:p>
        <w:p w14:paraId="758F24B3" w14:textId="77777777" w:rsidR="000526EF" w:rsidRDefault="000526EF" w:rsidP="006653F0">
          <w:r>
            <w:br w:type="page"/>
          </w:r>
        </w:p>
        <w:p w14:paraId="22A27DD5" w14:textId="3F174902" w:rsidR="009610EF" w:rsidRPr="009610EF" w:rsidRDefault="009610EF" w:rsidP="009610EF">
          <w:pPr>
            <w:pStyle w:val="DisclaimerHeading"/>
          </w:pPr>
          <w:r w:rsidRPr="009610EF">
            <w:lastRenderedPageBreak/>
            <w:t xml:space="preserve">For further information on this research paper please contact: </w:t>
          </w:r>
        </w:p>
        <w:p w14:paraId="4EC20CCD" w14:textId="77777777" w:rsidR="009610EF" w:rsidRPr="009610EF" w:rsidRDefault="009610EF" w:rsidP="009610EF">
          <w:pPr>
            <w:spacing w:after="120" w:line="270" w:lineRule="exact"/>
            <w:jc w:val="left"/>
            <w:rPr>
              <w:rFonts w:eastAsia="Calibri" w:cs="Arial"/>
              <w:sz w:val="16"/>
              <w:szCs w:val="18"/>
              <w:lang w:val="en"/>
            </w:rPr>
          </w:pPr>
          <w:r w:rsidRPr="009610EF">
            <w:rPr>
              <w:rFonts w:eastAsia="Calibri" w:cs="Arial"/>
              <w:sz w:val="16"/>
              <w:szCs w:val="18"/>
              <w:lang w:val="en"/>
            </w:rPr>
            <w:t>Name: Sasan Bakhtiari</w:t>
          </w:r>
        </w:p>
        <w:p w14:paraId="0571E5B3" w14:textId="33C647B3" w:rsidR="009610EF" w:rsidRPr="009610EF" w:rsidRDefault="009610EF" w:rsidP="009610EF">
          <w:pPr>
            <w:spacing w:after="120" w:line="270" w:lineRule="exact"/>
            <w:jc w:val="left"/>
            <w:rPr>
              <w:rFonts w:eastAsia="Calibri" w:cs="Arial"/>
              <w:sz w:val="16"/>
              <w:szCs w:val="18"/>
              <w:lang w:val="en"/>
            </w:rPr>
          </w:pPr>
          <w:r w:rsidRPr="009610EF">
            <w:rPr>
              <w:rFonts w:eastAsia="Calibri" w:cs="Arial"/>
              <w:sz w:val="16"/>
              <w:szCs w:val="18"/>
              <w:lang w:val="en"/>
            </w:rPr>
            <w:t>Section: Firm Analysis</w:t>
          </w:r>
          <w:r w:rsidR="00627FE0">
            <w:rPr>
              <w:rFonts w:eastAsia="Calibri" w:cs="Arial"/>
              <w:sz w:val="16"/>
              <w:szCs w:val="18"/>
              <w:lang w:val="en"/>
            </w:rPr>
            <w:t xml:space="preserve"> </w:t>
          </w:r>
        </w:p>
        <w:p w14:paraId="7D85B39A" w14:textId="77777777" w:rsidR="009610EF" w:rsidRPr="009610EF" w:rsidRDefault="009610EF" w:rsidP="009610EF">
          <w:pPr>
            <w:spacing w:after="120" w:line="270" w:lineRule="exact"/>
            <w:jc w:val="left"/>
            <w:rPr>
              <w:rFonts w:eastAsia="Calibri" w:cs="Arial"/>
              <w:sz w:val="16"/>
              <w:szCs w:val="18"/>
              <w:lang w:val="en"/>
            </w:rPr>
          </w:pPr>
          <w:r w:rsidRPr="009610EF">
            <w:rPr>
              <w:rFonts w:eastAsia="Calibri" w:cs="Arial"/>
              <w:sz w:val="16"/>
              <w:szCs w:val="18"/>
              <w:lang w:val="en"/>
            </w:rPr>
            <w:t xml:space="preserve">Department of Industry, Science, Energy and Resources </w:t>
          </w:r>
        </w:p>
        <w:p w14:paraId="0D482843" w14:textId="77777777" w:rsidR="009610EF" w:rsidRPr="009610EF" w:rsidRDefault="009610EF" w:rsidP="009610EF">
          <w:pPr>
            <w:spacing w:after="120" w:line="270" w:lineRule="exact"/>
            <w:jc w:val="left"/>
            <w:rPr>
              <w:rFonts w:eastAsia="Calibri" w:cs="Arial"/>
              <w:sz w:val="16"/>
              <w:szCs w:val="18"/>
              <w:lang w:val="en"/>
            </w:rPr>
          </w:pPr>
          <w:r w:rsidRPr="009610EF">
            <w:rPr>
              <w:rFonts w:eastAsia="Calibri" w:cs="Arial"/>
              <w:sz w:val="16"/>
              <w:szCs w:val="18"/>
              <w:lang w:val="en"/>
            </w:rPr>
            <w:t>GPO Box 9839</w:t>
          </w:r>
        </w:p>
        <w:p w14:paraId="243D5BFF" w14:textId="77777777" w:rsidR="009610EF" w:rsidRPr="009610EF" w:rsidRDefault="009610EF" w:rsidP="009610EF">
          <w:pPr>
            <w:spacing w:after="120" w:line="270" w:lineRule="exact"/>
            <w:jc w:val="left"/>
            <w:rPr>
              <w:rFonts w:eastAsia="Calibri" w:cs="Arial"/>
              <w:sz w:val="16"/>
              <w:szCs w:val="18"/>
              <w:lang w:val="en"/>
            </w:rPr>
          </w:pPr>
          <w:r w:rsidRPr="009610EF">
            <w:rPr>
              <w:rFonts w:eastAsia="Calibri" w:cs="Arial"/>
              <w:sz w:val="16"/>
              <w:szCs w:val="18"/>
              <w:lang w:val="en"/>
            </w:rPr>
            <w:t>Canberra ACT 2601</w:t>
          </w:r>
        </w:p>
        <w:p w14:paraId="60FF0E51"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Phone : +61 2 9397 1639</w:t>
          </w:r>
        </w:p>
        <w:p w14:paraId="33D51A9C" w14:textId="77777777" w:rsidR="009610EF" w:rsidRPr="009610EF" w:rsidRDefault="009610EF" w:rsidP="009610EF">
          <w:pPr>
            <w:spacing w:after="140" w:line="270" w:lineRule="exact"/>
            <w:jc w:val="left"/>
            <w:rPr>
              <w:rFonts w:eastAsia="Calibri" w:cs="Times New Roman"/>
              <w:color w:val="005CAF"/>
              <w:szCs w:val="20"/>
              <w:lang w:val="en"/>
            </w:rPr>
          </w:pPr>
          <w:r w:rsidRPr="009610EF">
            <w:rPr>
              <w:rFonts w:eastAsia="Calibri" w:cs="Arial"/>
              <w:sz w:val="16"/>
              <w:szCs w:val="18"/>
              <w:lang w:val="en"/>
            </w:rPr>
            <w:t>Email: sasan.bakhtiari@industry.gov.au</w:t>
          </w:r>
        </w:p>
        <w:p w14:paraId="116A9CB4" w14:textId="77777777" w:rsidR="009610EF" w:rsidRPr="009610EF" w:rsidRDefault="009610EF" w:rsidP="009610EF">
          <w:pPr>
            <w:pBdr>
              <w:top w:val="single" w:sz="4" w:space="1" w:color="595A5B"/>
            </w:pBdr>
            <w:spacing w:before="360" w:after="120" w:line="240" w:lineRule="atLeast"/>
            <w:ind w:right="57"/>
            <w:jc w:val="left"/>
            <w:rPr>
              <w:rFonts w:eastAsia="Calibri" w:cs="Times New Roman"/>
              <w:color w:val="005CAF"/>
              <w:sz w:val="16"/>
              <w:szCs w:val="20"/>
              <w:lang w:val="en"/>
            </w:rPr>
          </w:pPr>
          <w:r w:rsidRPr="009610EF">
            <w:rPr>
              <w:rFonts w:eastAsia="Times New Roman" w:cs="Times New Roman"/>
              <w:color w:val="005CAF"/>
              <w:sz w:val="16"/>
              <w:szCs w:val="20"/>
              <w:lang w:val="en"/>
            </w:rPr>
            <w:t>Creative Commons Licence</w:t>
          </w:r>
        </w:p>
        <w:p w14:paraId="420A6A8D" w14:textId="77777777" w:rsidR="009610EF" w:rsidRPr="009610EF" w:rsidRDefault="009610EF" w:rsidP="009610EF">
          <w:pPr>
            <w:spacing w:after="120" w:line="240" w:lineRule="exact"/>
            <w:jc w:val="left"/>
            <w:rPr>
              <w:rFonts w:eastAsia="Calibri" w:cs="Arial"/>
              <w:color w:val="000000"/>
              <w:sz w:val="16"/>
              <w:szCs w:val="18"/>
              <w:lang w:val="en"/>
            </w:rPr>
          </w:pPr>
          <w:r w:rsidRPr="009610EF">
            <w:rPr>
              <w:rFonts w:eastAsia="Calibri" w:cs="Arial"/>
              <w:sz w:val="16"/>
              <w:szCs w:val="18"/>
              <w:lang w:val="en"/>
            </w:rPr>
            <w:t>© Commonwealth of Australia 2</w:t>
          </w:r>
          <w:r w:rsidRPr="009610EF">
            <w:rPr>
              <w:rFonts w:eastAsia="Calibri" w:cs="Arial"/>
              <w:color w:val="000000"/>
              <w:sz w:val="16"/>
              <w:szCs w:val="18"/>
              <w:lang w:val="en"/>
            </w:rPr>
            <w:t>020</w:t>
          </w:r>
        </w:p>
        <w:p w14:paraId="24A66FCD" w14:textId="77777777" w:rsidR="009610EF" w:rsidRPr="009610EF" w:rsidRDefault="009610EF" w:rsidP="009610EF">
          <w:pPr>
            <w:spacing w:after="120" w:line="240" w:lineRule="exact"/>
            <w:jc w:val="left"/>
            <w:rPr>
              <w:rFonts w:eastAsia="Calibri" w:cs="Arial"/>
              <w:sz w:val="16"/>
              <w:szCs w:val="18"/>
              <w:lang w:val="en"/>
            </w:rPr>
          </w:pPr>
          <w:r w:rsidRPr="009610EF">
            <w:rPr>
              <w:rFonts w:eastAsia="Calibri" w:cs="Arial"/>
              <w:noProof/>
              <w:sz w:val="16"/>
              <w:szCs w:val="18"/>
              <w:lang w:eastAsia="en-AU"/>
            </w:rPr>
            <w:drawing>
              <wp:anchor distT="0" distB="0" distL="114300" distR="114300" simplePos="0" relativeHeight="251664384" behindDoc="0" locked="0" layoutInCell="1" allowOverlap="1" wp14:anchorId="1322F185" wp14:editId="3E984126">
                <wp:simplePos x="0" y="0"/>
                <wp:positionH relativeFrom="column">
                  <wp:posOffset>1352550</wp:posOffset>
                </wp:positionH>
                <wp:positionV relativeFrom="paragraph">
                  <wp:posOffset>38100</wp:posOffset>
                </wp:positionV>
                <wp:extent cx="1219200" cy="419100"/>
                <wp:effectExtent l="0" t="0" r="0" b="0"/>
                <wp:wrapSquare wrapText="bothSides"/>
                <wp:docPr id="15" name="Picture 15"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9610EF">
            <w:rPr>
              <w:rFonts w:eastAsia="Calibri" w:cs="Arial"/>
              <w:sz w:val="16"/>
              <w:szCs w:val="18"/>
              <w:lang w:val="en"/>
            </w:rPr>
            <w:t xml:space="preserve">Creative Commons </w:t>
          </w:r>
          <w:r w:rsidRPr="009610EF">
            <w:rPr>
              <w:rFonts w:eastAsia="Calibri" w:cs="Arial"/>
              <w:sz w:val="16"/>
              <w:szCs w:val="18"/>
              <w:lang w:val="en"/>
            </w:rPr>
            <w:br/>
            <w:t>Attribution 4.0 International Licence</w:t>
          </w:r>
          <w:r w:rsidRPr="009610EF">
            <w:rPr>
              <w:rFonts w:eastAsia="Calibri" w:cs="Arial"/>
              <w:sz w:val="16"/>
              <w:szCs w:val="18"/>
              <w:lang w:val="en"/>
            </w:rPr>
            <w:br/>
            <w:t xml:space="preserve">CC BY 4.0 </w:t>
          </w:r>
        </w:p>
        <w:p w14:paraId="201BD761"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All material in this publication is licensed under a Creative Commons Attribution 4.0 International Licence, with the exception of:</w:t>
          </w:r>
        </w:p>
        <w:p w14:paraId="672257C9" w14:textId="77777777" w:rsidR="009610EF" w:rsidRPr="009610EF" w:rsidRDefault="009610EF" w:rsidP="009610EF">
          <w:pPr>
            <w:numPr>
              <w:ilvl w:val="0"/>
              <w:numId w:val="37"/>
            </w:numPr>
            <w:spacing w:after="0" w:line="264" w:lineRule="auto"/>
            <w:ind w:left="2874" w:hanging="357"/>
            <w:jc w:val="left"/>
            <w:rPr>
              <w:rFonts w:eastAsia="Calibri" w:cs="Arial"/>
              <w:sz w:val="16"/>
              <w:szCs w:val="18"/>
              <w:lang w:val="en"/>
            </w:rPr>
          </w:pPr>
          <w:r w:rsidRPr="009610EF">
            <w:rPr>
              <w:rFonts w:eastAsia="Calibri" w:cs="Arial"/>
              <w:sz w:val="16"/>
              <w:szCs w:val="18"/>
              <w:lang w:val="en"/>
            </w:rPr>
            <w:t>the Commonwealth Coat of Arms;</w:t>
          </w:r>
        </w:p>
        <w:p w14:paraId="2B8EB906" w14:textId="77777777" w:rsidR="009610EF" w:rsidRPr="009610EF" w:rsidRDefault="009610EF" w:rsidP="009610EF">
          <w:pPr>
            <w:numPr>
              <w:ilvl w:val="0"/>
              <w:numId w:val="37"/>
            </w:numPr>
            <w:spacing w:after="0" w:line="264" w:lineRule="auto"/>
            <w:ind w:left="2874" w:hanging="357"/>
            <w:jc w:val="left"/>
            <w:rPr>
              <w:rFonts w:eastAsia="Calibri" w:cs="Arial"/>
              <w:sz w:val="16"/>
              <w:szCs w:val="18"/>
              <w:lang w:val="en"/>
            </w:rPr>
          </w:pPr>
          <w:r w:rsidRPr="009610EF">
            <w:rPr>
              <w:rFonts w:eastAsia="Calibri" w:cs="Arial"/>
              <w:sz w:val="16"/>
              <w:szCs w:val="18"/>
              <w:lang w:val="en"/>
            </w:rPr>
            <w:t>content supplied by third parties;</w:t>
          </w:r>
        </w:p>
        <w:p w14:paraId="1D5CF073" w14:textId="77777777" w:rsidR="009610EF" w:rsidRPr="009610EF" w:rsidRDefault="009610EF" w:rsidP="009610EF">
          <w:pPr>
            <w:numPr>
              <w:ilvl w:val="0"/>
              <w:numId w:val="37"/>
            </w:numPr>
            <w:spacing w:after="0" w:line="264" w:lineRule="auto"/>
            <w:ind w:left="2874" w:hanging="357"/>
            <w:jc w:val="left"/>
            <w:rPr>
              <w:rFonts w:eastAsia="Calibri" w:cs="Arial"/>
              <w:sz w:val="16"/>
              <w:szCs w:val="18"/>
              <w:lang w:val="en"/>
            </w:rPr>
          </w:pPr>
          <w:r w:rsidRPr="009610EF">
            <w:rPr>
              <w:rFonts w:eastAsia="Calibri" w:cs="Arial"/>
              <w:sz w:val="16"/>
              <w:szCs w:val="18"/>
              <w:lang w:val="en"/>
            </w:rPr>
            <w:t>logos; and</w:t>
          </w:r>
        </w:p>
        <w:p w14:paraId="11813A61" w14:textId="77777777" w:rsidR="009610EF" w:rsidRPr="009610EF" w:rsidRDefault="009610EF" w:rsidP="009610EF">
          <w:pPr>
            <w:numPr>
              <w:ilvl w:val="0"/>
              <w:numId w:val="37"/>
            </w:numPr>
            <w:spacing w:after="120" w:line="264" w:lineRule="auto"/>
            <w:ind w:left="2874" w:hanging="357"/>
            <w:jc w:val="left"/>
            <w:rPr>
              <w:rFonts w:eastAsia="Calibri" w:cs="Arial"/>
              <w:sz w:val="16"/>
              <w:szCs w:val="18"/>
              <w:lang w:val="en"/>
            </w:rPr>
          </w:pPr>
          <w:r w:rsidRPr="009610EF">
            <w:rPr>
              <w:rFonts w:eastAsia="Calibri" w:cs="Arial"/>
              <w:sz w:val="16"/>
              <w:szCs w:val="18"/>
              <w:lang w:val="en"/>
            </w:rPr>
            <w:t>any material protected by trademark or otherwise noted in this publication.</w:t>
          </w:r>
        </w:p>
        <w:p w14:paraId="25A96379"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5" w:history="1">
            <w:r w:rsidRPr="009610EF">
              <w:rPr>
                <w:rFonts w:eastAsia="Calibri" w:cs="Arial"/>
                <w:color w:val="005CAF"/>
                <w:sz w:val="16"/>
                <w:szCs w:val="18"/>
                <w:lang w:val="en"/>
              </w:rPr>
              <w:t>https://creativecommons.org/licenses/by/4.0/</w:t>
            </w:r>
          </w:hyperlink>
        </w:p>
        <w:p w14:paraId="6E59D054"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Wherever a third party holds copyright in material contained in this publication, the copyright remains with that party. Their permission may be required to use the material. Please contact them directly.</w:t>
          </w:r>
        </w:p>
        <w:p w14:paraId="069A0946" w14:textId="77777777" w:rsidR="009610EF" w:rsidRPr="009610EF" w:rsidRDefault="009610EF" w:rsidP="009610EF">
          <w:pPr>
            <w:pBdr>
              <w:top w:val="single" w:sz="4" w:space="1" w:color="595A5B"/>
            </w:pBdr>
            <w:spacing w:before="360" w:after="120" w:line="240" w:lineRule="atLeast"/>
            <w:ind w:right="57"/>
            <w:jc w:val="left"/>
            <w:rPr>
              <w:rFonts w:eastAsia="Times New Roman" w:cs="Times New Roman"/>
              <w:color w:val="005CAF"/>
              <w:sz w:val="16"/>
              <w:szCs w:val="20"/>
              <w:lang w:val="en"/>
            </w:rPr>
          </w:pPr>
          <w:r w:rsidRPr="009610EF">
            <w:rPr>
              <w:rFonts w:eastAsia="Times New Roman" w:cs="Times New Roman"/>
              <w:color w:val="005CAF"/>
              <w:sz w:val="16"/>
              <w:szCs w:val="20"/>
              <w:lang w:val="en"/>
            </w:rPr>
            <w:t>Attribution</w:t>
          </w:r>
        </w:p>
        <w:p w14:paraId="5E62857D"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Content contained herein should be attributed as follows:</w:t>
          </w:r>
        </w:p>
        <w:p w14:paraId="04A7FC0F" w14:textId="7193F279"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Department of Industry, Science, Energy and Resou</w:t>
          </w:r>
          <w:r w:rsidR="00D17E0E">
            <w:rPr>
              <w:rFonts w:eastAsia="Calibri" w:cs="Arial"/>
              <w:sz w:val="16"/>
              <w:szCs w:val="18"/>
              <w:lang w:val="en"/>
            </w:rPr>
            <w:t>rces, Commonwealth of Australia,</w:t>
          </w:r>
          <w:r w:rsidRPr="009610EF">
            <w:rPr>
              <w:rFonts w:eastAsia="Calibri" w:cs="Arial"/>
              <w:sz w:val="16"/>
              <w:szCs w:val="18"/>
              <w:lang w:val="en"/>
            </w:rPr>
            <w:br/>
            <w:t>Market Power and Entrepreneurship Change: the Case for Australia. The Commonwealth of Australia does not necessarily endorse the content of this publication.</w:t>
          </w:r>
        </w:p>
        <w:p w14:paraId="3B7D714A"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 xml:space="preserve">Requests and inquiries concerning reproduction and rights should be addressed to </w:t>
          </w:r>
          <w:hyperlink r:id="rId16" w:history="1">
            <w:r w:rsidRPr="009610EF">
              <w:rPr>
                <w:rFonts w:eastAsia="Calibri" w:cs="Arial"/>
                <w:color w:val="005CAF"/>
                <w:sz w:val="16"/>
                <w:szCs w:val="18"/>
                <w:lang w:val="en"/>
              </w:rPr>
              <w:t>chiefeconomist@industry.gov.au</w:t>
            </w:r>
          </w:hyperlink>
          <w:r w:rsidRPr="009610EF">
            <w:rPr>
              <w:rFonts w:eastAsia="Calibri" w:cs="Arial"/>
              <w:sz w:val="16"/>
              <w:szCs w:val="18"/>
              <w:lang w:val="en"/>
            </w:rPr>
            <w:t>.</w:t>
          </w:r>
        </w:p>
        <w:p w14:paraId="566FF34E" w14:textId="77777777" w:rsidR="009610EF" w:rsidRPr="009610EF" w:rsidRDefault="009610EF" w:rsidP="009610EF">
          <w:pPr>
            <w:pBdr>
              <w:top w:val="single" w:sz="4" w:space="1" w:color="595A5B"/>
            </w:pBdr>
            <w:spacing w:before="360" w:after="120" w:line="240" w:lineRule="atLeast"/>
            <w:ind w:right="57"/>
            <w:jc w:val="left"/>
            <w:rPr>
              <w:rFonts w:eastAsia="Times New Roman" w:cs="Times New Roman"/>
              <w:color w:val="005CAF"/>
              <w:sz w:val="16"/>
              <w:szCs w:val="20"/>
              <w:lang w:val="en"/>
            </w:rPr>
          </w:pPr>
          <w:r w:rsidRPr="009610EF">
            <w:rPr>
              <w:rFonts w:eastAsia="Times New Roman" w:cs="Times New Roman"/>
              <w:color w:val="005CAF"/>
              <w:sz w:val="16"/>
              <w:szCs w:val="20"/>
              <w:lang w:val="en"/>
            </w:rPr>
            <w:t>Disclaimer</w:t>
          </w:r>
        </w:p>
        <w:p w14:paraId="1FD5E5DC"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The views expressed in this report are those of the author(s) and do not necessarily reflect those of the Australian Government or the Department of Industry, Innovation and Science.</w:t>
          </w:r>
        </w:p>
        <w:p w14:paraId="6BDFD953" w14:textId="77777777" w:rsidR="009610EF" w:rsidRPr="009610EF" w:rsidRDefault="009610EF" w:rsidP="009610EF">
          <w:pPr>
            <w:spacing w:after="140" w:line="270" w:lineRule="exact"/>
            <w:jc w:val="left"/>
            <w:rPr>
              <w:rFonts w:eastAsia="Calibri" w:cs="Arial"/>
              <w:sz w:val="16"/>
              <w:szCs w:val="18"/>
              <w:lang w:val="en"/>
            </w:rPr>
          </w:pPr>
          <w:r w:rsidRPr="009610EF">
            <w:rPr>
              <w:rFonts w:eastAsia="Calibri" w:cs="Arial"/>
              <w:sz w:val="16"/>
              <w:szCs w:val="18"/>
              <w:lang w:val="en"/>
            </w:rPr>
            <w:t>This publication is not legal or professional advice. The Commonwealth of Australia does not guarantee the accuracy or reliability of the information and data in the publication. Third parties rely upon this publication entirely at their own risk.</w:t>
          </w:r>
        </w:p>
        <w:p w14:paraId="44EF243B" w14:textId="3098B614" w:rsidR="009610EF" w:rsidRPr="009610EF" w:rsidRDefault="009610EF" w:rsidP="009610EF">
          <w:pPr>
            <w:spacing w:after="120" w:line="240" w:lineRule="exact"/>
            <w:jc w:val="left"/>
            <w:rPr>
              <w:rFonts w:eastAsia="Calibri" w:cs="Arial"/>
              <w:color w:val="005CAF"/>
              <w:sz w:val="16"/>
              <w:szCs w:val="18"/>
              <w:lang w:val="en"/>
            </w:rPr>
            <w:sectPr w:rsidR="009610EF" w:rsidRPr="009610EF" w:rsidSect="009610EF">
              <w:footerReference w:type="first" r:id="rId17"/>
              <w:pgSz w:w="11906" w:h="16838" w:code="9"/>
              <w:pgMar w:top="1440" w:right="1440" w:bottom="1440" w:left="1134" w:header="709" w:footer="709" w:gutter="0"/>
              <w:pgNumType w:start="0"/>
              <w:cols w:space="708"/>
              <w:titlePg/>
              <w:docGrid w:linePitch="360"/>
            </w:sectPr>
          </w:pPr>
          <w:r w:rsidRPr="009610EF">
            <w:rPr>
              <w:rFonts w:eastAsia="Calibri" w:cs="Arial"/>
              <w:sz w:val="16"/>
              <w:szCs w:val="18"/>
              <w:lang w:val="en"/>
            </w:rPr>
            <w:t xml:space="preserve">For more information on Office of the Chief Economist research papers please access the Department’s website at: </w:t>
          </w:r>
          <w:hyperlink r:id="rId18" w:history="1">
            <w:r w:rsidRPr="009610EF">
              <w:rPr>
                <w:rFonts w:eastAsia="Calibri" w:cs="Arial"/>
                <w:color w:val="005CAF"/>
                <w:sz w:val="16"/>
                <w:szCs w:val="18"/>
                <w:lang w:val="en"/>
              </w:rPr>
              <w:t>www.industry.gov.au/OCE</w:t>
            </w:r>
          </w:hyperlink>
        </w:p>
        <w:tbl>
          <w:tblPr>
            <w:tblpPr w:leftFromText="180" w:rightFromText="180" w:vertAnchor="text" w:horzAnchor="margin" w:tblpY="35"/>
            <w:tblW w:w="7007" w:type="dxa"/>
            <w:shd w:val="clear" w:color="auto" w:fill="DEE8F1"/>
            <w:tblLayout w:type="fixed"/>
            <w:tblLook w:val="04A0" w:firstRow="1" w:lastRow="0" w:firstColumn="1" w:lastColumn="0" w:noHBand="0" w:noVBand="1"/>
          </w:tblPr>
          <w:tblGrid>
            <w:gridCol w:w="7007"/>
          </w:tblGrid>
          <w:tr w:rsidR="009610EF" w14:paraId="202C1F31" w14:textId="77777777" w:rsidTr="009610EF">
            <w:tc>
              <w:tcPr>
                <w:tcW w:w="7007" w:type="dxa"/>
                <w:shd w:val="clear" w:color="auto" w:fill="DEE8F1"/>
              </w:tcPr>
              <w:p w14:paraId="74B0F297" w14:textId="77777777" w:rsidR="009610EF" w:rsidRPr="001835DD" w:rsidRDefault="009610EF" w:rsidP="009610EF">
                <w:pPr>
                  <w:pStyle w:val="Keypointsheader"/>
                  <w:pageBreakBefore w:val="0"/>
                </w:pPr>
                <w:r w:rsidRPr="00AC3DDE">
                  <w:lastRenderedPageBreak/>
                  <w:t>Key points</w:t>
                </w:r>
              </w:p>
              <w:p w14:paraId="435790C1" w14:textId="77777777" w:rsidR="009610EF" w:rsidRDefault="009610EF" w:rsidP="009610EF">
                <w:pPr>
                  <w:pStyle w:val="Keypointsbullet"/>
                  <w:ind w:left="317" w:right="155" w:hanging="252"/>
                </w:pPr>
                <w:r>
                  <w:t>The evidence shows that increasing market power in individual industries causes firm entry in that industry to drop.</w:t>
                </w:r>
              </w:p>
              <w:p w14:paraId="1159065F" w14:textId="77777777" w:rsidR="009610EF" w:rsidRDefault="009610EF" w:rsidP="009610EF">
                <w:pPr>
                  <w:pStyle w:val="Keypointsbullet"/>
                  <w:ind w:left="317" w:right="155" w:hanging="252"/>
                </w:pPr>
                <w:r>
                  <w:t>However, on aggregate level, the observed decline in entrepreneurship in Australia from 2002 to 2013 had very little to do with the increasing market power.</w:t>
                </w:r>
              </w:p>
              <w:p w14:paraId="1F561E37" w14:textId="77777777" w:rsidR="009610EF" w:rsidRDefault="009610EF" w:rsidP="009610EF">
                <w:pPr>
                  <w:pStyle w:val="Keypointsbullet"/>
                  <w:ind w:left="317" w:right="155" w:hanging="252"/>
                </w:pPr>
                <w:r>
                  <w:t>The reason is that market power mostly increased where firm entry was very low. Its overall effect in the aggregate statistics was negligible.</w:t>
                </w:r>
              </w:p>
              <w:p w14:paraId="45D1E432" w14:textId="77777777" w:rsidR="009610EF" w:rsidRDefault="009610EF" w:rsidP="009610EF">
                <w:pPr>
                  <w:pStyle w:val="Keypointsbullet"/>
                  <w:ind w:left="317" w:right="155" w:hanging="252"/>
                </w:pPr>
                <w:r>
                  <w:t>The decline in entrepreneurship seems to have been driven by a secular trend or by other factors such as credit tightening.</w:t>
                </w:r>
              </w:p>
            </w:tc>
          </w:tr>
        </w:tbl>
        <w:p w14:paraId="38031A5F" w14:textId="1FF1F5E2" w:rsidR="009610EF" w:rsidRDefault="009610EF" w:rsidP="009610EF">
          <w:pPr>
            <w:ind w:left="0"/>
          </w:pPr>
        </w:p>
        <w:p w14:paraId="20B1DA95" w14:textId="77777777" w:rsidR="009610EF" w:rsidRDefault="009610EF" w:rsidP="009610EF">
          <w:pPr>
            <w:pStyle w:val="Heading1"/>
          </w:pPr>
          <w:r>
            <w:t>Introduction</w:t>
          </w:r>
        </w:p>
        <w:p w14:paraId="621B3C27" w14:textId="472EF209" w:rsidR="009610EF" w:rsidRDefault="009610EF" w:rsidP="009610EF">
          <w:pPr>
            <w:spacing w:before="60" w:line="270" w:lineRule="exact"/>
            <w:ind w:left="0"/>
          </w:pPr>
          <w:r>
            <w:t>Across many countries and continents, the market concentration of industries has been increasing. The increasing concentration has been recorded in several countries belonging to the Organisation for Economic Cooperation and Development (OECD) (Guschanski &amp; Onaran, 2018), across Europe and North America (Bajgar et al., 2019), and especially in the United States (Autor et al., 2017; Shambaugh et al., 2018).</w:t>
          </w:r>
        </w:p>
        <w:p w14:paraId="49DF7C95" w14:textId="77777777" w:rsidR="009610EF" w:rsidRDefault="009610EF" w:rsidP="009610EF">
          <w:pPr>
            <w:spacing w:line="270" w:lineRule="exact"/>
            <w:ind w:left="0"/>
          </w:pPr>
          <w:r>
            <w:t>This trend is on the back of the evidence showing that entrepreneurship and business dynamism has also been on the decline in several countries including the United States (Decker et al., 2014), Canada (MacDonald, 2014), the United Kingdom (Ugur et al., 2016), and across most high-income countries (Naud</w:t>
          </w:r>
          <w:r>
            <w:rPr>
              <w:rFonts w:cs="Arial"/>
            </w:rPr>
            <w:t>é</w:t>
          </w:r>
          <w:r>
            <w:t>, 2019). Entrepreneurs, and young firms in general, contribute disproportionately to job creation in the economy (Haltiwanger et al., 2013; Bakhtiari, 2019a); therefore, a declining entrepreneurship especially raises concerns about a slowdown in employment growth.</w:t>
          </w:r>
        </w:p>
        <w:p w14:paraId="6D522269" w14:textId="77777777" w:rsidR="00EF258C" w:rsidRDefault="009610EF" w:rsidP="009610EF">
          <w:pPr>
            <w:ind w:left="0"/>
          </w:pPr>
          <w:r>
            <w:t>Australia has had a somewhat similar experience. Entrepreneurship in Australia has been on the decline over the decade following 2002 (Bakhtiari, 2019a). In tandem, the concentration of economic activity – measured by the Herfindahl–Hirschman Index (HHI) – has been increasing across some Australian industries (Bakhtiari, 2019b). The simultaneity of the two trends hints at the possibility that the increasing market power – or monopolistic power to be precise – of large firms is acting to the detriment of competition and firm entry across the industries. If confirmed, it could warrant a policy response to regulate markets in the interest of entrepreneurship. However, as the analysis will show, the evidence is inconclusive and does not call for drastic action</w:t>
          </w:r>
          <w:r w:rsidR="00EF258C">
            <w:t xml:space="preserve">. </w:t>
          </w:r>
        </w:p>
        <w:p w14:paraId="6D2B2F23" w14:textId="5544A439" w:rsidR="000526EF" w:rsidRDefault="00EF258C" w:rsidP="009610EF">
          <w:pPr>
            <w:ind w:left="0"/>
            <w:sectPr w:rsidR="000526EF" w:rsidSect="00EF258C">
              <w:pgSz w:w="11906" w:h="16838" w:code="9"/>
              <w:pgMar w:top="1440" w:right="1440" w:bottom="1440" w:left="3572" w:header="709" w:footer="709" w:gutter="0"/>
              <w:pgNumType w:start="1"/>
              <w:cols w:space="708"/>
              <w:titlePg/>
              <w:docGrid w:linePitch="360"/>
            </w:sectPr>
          </w:pPr>
          <w:r>
            <w:t>In this paper, I explore the case for market power as a driver of the entrepreneurship decline. The first challenge is forming a proper measure of industry-level market power. The indexes of market concentration – the HHI</w:t>
          </w:r>
          <w:r w:rsidRPr="00EF258C">
            <w:t xml:space="preserve"> </w:t>
          </w:r>
          <w:r>
            <w:t>specifically – are easy to construct from observable data, but are imperfect</w:t>
          </w:r>
        </w:p>
      </w:sdtContent>
    </w:sdt>
    <w:p w14:paraId="1FCB801F" w14:textId="019C8C87" w:rsidR="0002478E" w:rsidRDefault="0002478E" w:rsidP="0002478E">
      <w:pPr>
        <w:spacing w:line="270" w:lineRule="exact"/>
        <w:ind w:left="0"/>
      </w:pPr>
      <w:r>
        <w:lastRenderedPageBreak/>
        <w:t>indicators of market power. Another observable variable that holds information about market power is the number of incumbent firms. The premise is that where markets are concentrated</w:t>
      </w:r>
      <w:r w:rsidR="00D26DC7">
        <w:t>,</w:t>
      </w:r>
      <w:r>
        <w:t xml:space="preserve"> but the industry is populated by a large number of firms</w:t>
      </w:r>
      <w:r w:rsidR="00D26DC7">
        <w:t>,</w:t>
      </w:r>
      <w:r>
        <w:t xml:space="preserve"> the largest firms are not wielding much market power.</w:t>
      </w:r>
    </w:p>
    <w:p w14:paraId="5CFED78A" w14:textId="77777777" w:rsidR="0002478E" w:rsidRDefault="0002478E" w:rsidP="0002478E">
      <w:pPr>
        <w:spacing w:line="270" w:lineRule="exact"/>
        <w:ind w:left="0"/>
      </w:pPr>
      <w:r>
        <w:t xml:space="preserve">Using the two variables, I extract an index of market power as the principal component of the HHI and the log of firm population in the industry. I then explore the properties of the constructed index and show that they are consistent with what one would expect from an indicator of market power. For one, firm population monotonically falls with the index, whereas its relation with the HHI was piecewise and at points non-monotonic. </w:t>
      </w:r>
    </w:p>
    <w:p w14:paraId="379F9E67" w14:textId="77777777" w:rsidR="0002478E" w:rsidRDefault="0002478E" w:rsidP="0002478E">
      <w:pPr>
        <w:spacing w:line="270" w:lineRule="exact"/>
        <w:ind w:left="0"/>
      </w:pPr>
      <w:r>
        <w:t xml:space="preserve">The principal and the secondary component thus derived constitute the key variables in the analysis. A series of parametric tests in the form of negative binomial regressions show a falling number of firm entries with a higher level of market power (the principal component) even when controlling for other effects. </w:t>
      </w:r>
    </w:p>
    <w:p w14:paraId="018CA406" w14:textId="77777777" w:rsidR="0002478E" w:rsidRDefault="0002478E" w:rsidP="0002478E">
      <w:pPr>
        <w:spacing w:line="270" w:lineRule="exact"/>
        <w:ind w:left="0"/>
      </w:pPr>
      <w:r>
        <w:t xml:space="preserve">Once the negative relationship is established, I use a semi-parametric relationship to estimate changes in entrepreneurship due to changes in market power. In particular, this relation will be non-parametric in market power in order to include as much detail about the effect of market power in the estimates as possible. The methodology is that of Yatchew (1998) which helps to filter out additional effects, such as time effects common to all industries. Then, using the filtered data, I estimate the non-parametric relationship between firm entry and market power. This relation serves as the basis for studying the aggregate changes in entrepreneurship directly tracked to changes in market concentration, keeping all else fixed. </w:t>
      </w:r>
    </w:p>
    <w:p w14:paraId="0B7D1C0D" w14:textId="77777777" w:rsidR="0002478E" w:rsidRDefault="0002478E" w:rsidP="0002478E">
      <w:pPr>
        <w:spacing w:line="270" w:lineRule="exact"/>
        <w:ind w:left="0"/>
      </w:pPr>
      <w:r>
        <w:t>I especially focus on the period from 2007 to 2012, during which the Australian economy sees the steepest increase in market power matched with a steep fall in firm entry. However, the estimates from the semi-parametric model during this period suggest a slight increase in the number of entries, whereas the actual numbers point to a large drop. During other periods, the explanatory role of market power is more inconsistent with the actual changes observed in firm entry. The main reason for the discrepancies is that market power is mostly increasing among the already concentrated industries, with higher market powers, and falling or unchanged among the others (Bakhtiari, 2019b). The increase in the number of entries in the latter industries, keeping all else fixed, completely overshadows the drops predicted in industries with high market powers.</w:t>
      </w:r>
    </w:p>
    <w:p w14:paraId="59A9D618" w14:textId="6FDE6660" w:rsidR="0002478E" w:rsidRDefault="0002478E" w:rsidP="0002478E">
      <w:pPr>
        <w:pStyle w:val="BodyText"/>
      </w:pPr>
      <w:r>
        <w:t>The remainder of the paper is composed as follows: The next section describes the d</w:t>
      </w:r>
      <w:r w:rsidR="00342BC3">
        <w:t>ata used in the study. Section 3</w:t>
      </w:r>
      <w:r>
        <w:t xml:space="preserve"> details the construction of market power and a secondary index that constitute the key variables for the study. The properties of the two indexes are also demonstrated. The impact of market power on firm entry is estimated parametrically in Section 4 and </w:t>
      </w:r>
      <w:r w:rsidR="00342BC3">
        <w:t>semi-parametrically in Section 5</w:t>
      </w:r>
      <w:r>
        <w:t>. The semi-parametric estimation, as the more detailed approach, is then used to quantify the change in entrepreneurship caused by the changes in market power. The paper is concluded in Section 6.</w:t>
      </w:r>
    </w:p>
    <w:p w14:paraId="576DFC57" w14:textId="77777777" w:rsidR="0002478E" w:rsidRDefault="0002478E" w:rsidP="0002478E">
      <w:pPr>
        <w:pStyle w:val="Heading1"/>
      </w:pPr>
      <w:r>
        <w:lastRenderedPageBreak/>
        <w:t>Data</w:t>
      </w:r>
    </w:p>
    <w:p w14:paraId="3176876C" w14:textId="77777777" w:rsidR="009E66CF" w:rsidRDefault="009E66CF" w:rsidP="009E66CF">
      <w:pPr>
        <w:spacing w:before="60" w:line="270" w:lineRule="exact"/>
        <w:ind w:left="0"/>
      </w:pPr>
      <w:r>
        <w:t>The study relies on the Business Longitudinal Analysis Data Environment (BLADE) provided by the Australian Bureau of Statistics (ABS). Hansell &amp; Rafi (2018) describe the production and composition of the data in full details. The available version of the BLADE covers fiscal years 2002 to 2016, and the universe spans all firms that have been registered for the Goods and Services Tax (GST) at some point in time.</w:t>
      </w:r>
      <w:r w:rsidRPr="00536109">
        <w:rPr>
          <w:rStyle w:val="FootnoteReference"/>
        </w:rPr>
        <w:footnoteReference w:id="1"/>
      </w:r>
      <w:r>
        <w:t xml:space="preserve"> </w:t>
      </w:r>
    </w:p>
    <w:p w14:paraId="26E8B9B7" w14:textId="6652043D" w:rsidR="009E66CF" w:rsidRDefault="009E66CF" w:rsidP="009E66CF">
      <w:pPr>
        <w:spacing w:line="270" w:lineRule="exact"/>
        <w:ind w:left="0"/>
      </w:pPr>
      <w:r>
        <w:t>The unit of observation in the BLADE is Type-of-Activity-Unit (TAU)</w:t>
      </w:r>
      <w:r w:rsidR="00D26DC7">
        <w:t>,</w:t>
      </w:r>
      <w:r>
        <w:t xml:space="preserve"> which pertains to “a producing unit comprising one or more legal entities, sub-entities or branches of a legal entity that can report productive and employment activities via a minimum set of data items” (ABS Cat.No.1292.0). In particular, some firms hold multiple Australian Business Numbers (ABNs) or are part of a larger enterprise. These firms are termed as </w:t>
      </w:r>
      <w:r>
        <w:rPr>
          <w:i/>
          <w:iCs/>
        </w:rPr>
        <w:t>profiled</w:t>
      </w:r>
      <w:r>
        <w:t xml:space="preserve"> firms. The ABS assigns one unique TAU to such firms accounting for the collection of ABNs. For holding enterprises, a TAU covers the operation of each subsidiary firm under the same parenthood. Each TAU uniquely identifies a firm and is invariant over time for the firm.</w:t>
      </w:r>
    </w:p>
    <w:p w14:paraId="49295ED9" w14:textId="2552106A" w:rsidR="009E66CF" w:rsidRDefault="009E66CF" w:rsidP="009E66CF">
      <w:pPr>
        <w:spacing w:line="270" w:lineRule="exact"/>
        <w:ind w:left="0"/>
      </w:pPr>
      <w:r>
        <w:t xml:space="preserve">The data provides information on firms’ income statement and balance sheets (from Business Income Tax reports and Business Activity Statements), and also on wages and employment (from Pay-As-You-Go reports). Some of the variables in the BLADE that are </w:t>
      </w:r>
      <w:r w:rsidR="00D26DC7">
        <w:t xml:space="preserve">utilised </w:t>
      </w:r>
      <w:r>
        <w:t>in this study are the employment, turnover, export values, and the Australia and New Zealand Standard Industry Classification (ANZSIC).</w:t>
      </w:r>
    </w:p>
    <w:p w14:paraId="53287B9B" w14:textId="15FD233D" w:rsidR="009E66CF" w:rsidRDefault="009E66CF" w:rsidP="009E66CF">
      <w:pPr>
        <w:spacing w:before="120" w:line="270" w:lineRule="exact"/>
        <w:ind w:left="0"/>
      </w:pPr>
      <w:r>
        <w:t xml:space="preserve">The BLADE does not explicitly identify entry and exit of firms. Therefore, the definition of entrepreneurship using the BLADE poses certain challenges. I use the same definition as in Bakhtiari (2019a, Section 3). Specifically, entry of an entrepreneur is defined as the first ever appearance of a firm in the BLADE within the observed window of years. </w:t>
      </w:r>
    </w:p>
    <w:p w14:paraId="531ABBCE" w14:textId="77777777" w:rsidR="009E66CF" w:rsidRDefault="009E66CF" w:rsidP="009E66CF">
      <w:pPr>
        <w:spacing w:line="270" w:lineRule="exact"/>
        <w:ind w:left="0"/>
      </w:pPr>
      <w:r>
        <w:t>Some firms have time gaps in their data, either because they did not have to report or their data is missing. I take care not to count the re-entry of these firms after a period of invisibility as new entries. The ABS identifies some entering firms as belonging to a larger enterprise. I also do not consider these latter entries as entrepreneurs.</w:t>
      </w:r>
    </w:p>
    <w:p w14:paraId="43A3A727" w14:textId="77777777" w:rsidR="009E66CF" w:rsidRDefault="009E66CF" w:rsidP="009E66CF">
      <w:pPr>
        <w:spacing w:line="270" w:lineRule="exact"/>
        <w:ind w:left="0"/>
      </w:pPr>
      <w:r>
        <w:t>I am also dropping Financial Asset Investing (ANZSIC 6240) and Superannuation Funds (ANZSIC 6330) from the data, as entries and exits in these sub-sectors is mostly about investment portfolios maturing and being repackaged. Moreover, I drop sectors related to the operation of government as they are not meant to be competitive. These sectors are Public Administration and Safety (ANZSIC 751–772) which encompass the operation of federal, state and local governments, and that of the defense forces. I also drop Central Banking (ANZSIC 621) for the same reason.</w:t>
      </w:r>
    </w:p>
    <w:p w14:paraId="78504A6C" w14:textId="77777777" w:rsidR="009E66CF" w:rsidRDefault="009E66CF" w:rsidP="009E66CF">
      <w:pPr>
        <w:spacing w:line="270" w:lineRule="exact"/>
        <w:ind w:left="0"/>
      </w:pPr>
      <w:r>
        <w:lastRenderedPageBreak/>
        <w:t xml:space="preserve">Finally, I only include operational firms by dropping all firms reporting zero or missing turnover. </w:t>
      </w:r>
    </w:p>
    <w:p w14:paraId="3B440779" w14:textId="77777777" w:rsidR="009E66CF" w:rsidRDefault="009E66CF" w:rsidP="009E66CF">
      <w:pPr>
        <w:spacing w:line="270" w:lineRule="exact"/>
        <w:ind w:left="0"/>
      </w:pPr>
      <w:r>
        <w:t>In the end, I maintain close to two million firms a year from the BLADE (Figure </w:t>
      </w:r>
      <w:r w:rsidR="00892A61">
        <w:t>2.</w:t>
      </w:r>
      <w:r>
        <w:t>1). The number of firms in the data slowly grows during the first years until 2007, but is rather stable for the years that follow.</w:t>
      </w:r>
    </w:p>
    <w:p w14:paraId="0726AA19" w14:textId="12205E39" w:rsidR="00892A61" w:rsidRDefault="00892A61" w:rsidP="00892A61">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2</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9A27E4">
        <w:rPr>
          <w:noProof/>
        </w:rPr>
        <w:t>1</w:t>
      </w:r>
      <w:r w:rsidRPr="000618FB">
        <w:fldChar w:fldCharType="end"/>
      </w:r>
      <w:r>
        <w:t>: The count of firms in the analysis data by year.</w:t>
      </w:r>
    </w:p>
    <w:p w14:paraId="06AB5C41" w14:textId="679A88F7" w:rsidR="004C4343" w:rsidRPr="004C4343" w:rsidRDefault="004C4343" w:rsidP="004C4343">
      <w:pPr>
        <w:pStyle w:val="Placeholder"/>
      </w:pPr>
      <w:r>
        <w:rPr>
          <w:noProof/>
          <w:lang w:eastAsia="en-AU"/>
        </w:rPr>
        <w:drawing>
          <wp:inline distT="0" distB="0" distL="0" distR="0" wp14:anchorId="2E85663D" wp14:editId="5D0DC906">
            <wp:extent cx="4377690" cy="2586355"/>
            <wp:effectExtent l="0" t="0" r="3810" b="4445"/>
            <wp:docPr id="6" name="Picture 6" descr="The number of firms is about 1.7 millions in 2002, slowly rises over the years and reachers about two milli8ons in 2007 and stay much the same for the rest of the years."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s 2.1 to 3.3 [Recovered]_Figure 2.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77690" cy="2586355"/>
                    </a:xfrm>
                    <a:prstGeom prst="rect">
                      <a:avLst/>
                    </a:prstGeom>
                  </pic:spPr>
                </pic:pic>
              </a:graphicData>
            </a:graphic>
          </wp:inline>
        </w:drawing>
      </w:r>
    </w:p>
    <w:p w14:paraId="60F35776" w14:textId="5946A57D" w:rsidR="00225DC8" w:rsidRDefault="00892A61" w:rsidP="004C4343">
      <w:pPr>
        <w:pStyle w:val="Source"/>
      </w:pPr>
      <w:r>
        <w:t>Source: BLADE</w:t>
      </w:r>
    </w:p>
    <w:p w14:paraId="726F45DF" w14:textId="4D8CB8DB" w:rsidR="00225DC8" w:rsidRDefault="00225DC8" w:rsidP="00225DC8">
      <w:pPr>
        <w:spacing w:before="240" w:line="270" w:lineRule="exact"/>
        <w:ind w:left="0"/>
      </w:pPr>
      <w:r>
        <w:t xml:space="preserve">The firm entry rate for the industries in the analysis </w:t>
      </w:r>
      <w:r w:rsidR="004958C1">
        <w:t>sample is illustrated in Figure</w:t>
      </w:r>
      <w:r w:rsidR="00BE11E3">
        <w:t xml:space="preserve"> </w:t>
      </w:r>
      <w:r w:rsidR="004958C1">
        <w:t>2.2</w:t>
      </w:r>
      <w:r>
        <w:t xml:space="preserve">. </w:t>
      </w:r>
      <w:r w:rsidR="00D26DC7">
        <w:t xml:space="preserve">The entry </w:t>
      </w:r>
      <w:r>
        <w:t>rate is define as the number of new entries divided by the total number of firms expressed in percentage</w:t>
      </w:r>
      <w:r w:rsidR="00D26DC7">
        <w:t xml:space="preserve"> terms</w:t>
      </w:r>
      <w:r>
        <w:t xml:space="preserve">. These rates are plotted alongside the rates reported by the ABS Count of Businesses (Cat.No.8165). The entry rates from the two sources are somewhat different; they are </w:t>
      </w:r>
      <w:r w:rsidR="00D26DC7">
        <w:t xml:space="preserve">generally </w:t>
      </w:r>
      <w:r>
        <w:t xml:space="preserve">lower for the analysis sample from the BLADE owing to the application of the filters mentioned above. Still, the movements of the two series are very much in parallel. </w:t>
      </w:r>
    </w:p>
    <w:p w14:paraId="31D86D74" w14:textId="77777777" w:rsidR="00225DC8" w:rsidRDefault="00225DC8" w:rsidP="0002478E">
      <w:pPr>
        <w:pStyle w:val="BodyText"/>
      </w:pPr>
    </w:p>
    <w:p w14:paraId="489BFF05" w14:textId="05AD5BC8" w:rsidR="002C235C" w:rsidRDefault="002C235C" w:rsidP="005B2367">
      <w:pPr>
        <w:pStyle w:val="Caption"/>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2</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9A27E4">
        <w:rPr>
          <w:noProof/>
        </w:rPr>
        <w:t>2</w:t>
      </w:r>
      <w:r w:rsidRPr="000618FB">
        <w:fldChar w:fldCharType="end"/>
      </w:r>
      <w:r>
        <w:t>: The rate of firm entry as percentage of all firms.</w:t>
      </w:r>
    </w:p>
    <w:tbl>
      <w:tblPr>
        <w:tblStyle w:val="OCETable"/>
        <w:tblW w:w="4940" w:type="pct"/>
        <w:tblInd w:w="108" w:type="dxa"/>
        <w:tblLayout w:type="fixed"/>
        <w:tblLook w:val="04A0" w:firstRow="1" w:lastRow="0" w:firstColumn="1" w:lastColumn="0" w:noHBand="0" w:noVBand="1"/>
        <w:tblCaption w:val="Table contains figure 2.2"/>
        <w:tblDescription w:val="Table contains figure 2.2"/>
      </w:tblPr>
      <w:tblGrid>
        <w:gridCol w:w="6811"/>
      </w:tblGrid>
      <w:tr w:rsidR="002C235C" w14:paraId="638D7F10"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23934367" w14:textId="0528A918" w:rsidR="002C235C" w:rsidRDefault="002C235C" w:rsidP="003A4A21">
            <w:pPr>
              <w:pStyle w:val="PlaceholderWide"/>
              <w:jc w:val="left"/>
            </w:pPr>
            <w:r>
              <w:rPr>
                <w:noProof/>
                <w:lang w:eastAsia="en-AU"/>
              </w:rPr>
              <w:drawing>
                <wp:inline distT="0" distB="0" distL="0" distR="0" wp14:anchorId="03EBB399" wp14:editId="135F01D9">
                  <wp:extent cx="4320121" cy="2343150"/>
                  <wp:effectExtent l="0" t="0" r="4445" b="0"/>
                  <wp:docPr id="23" name="Picture 23" descr="The firm entry rate falls from 17 per cent in 2003 to about 11 per cent in 2013, then rises to about 15 per cent in 2016. The numbers reported by the ABS are slightly higher and also cover the year 2017, where the netry rate is about 16 per cent." title="Fig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es 2.1 to 3.3 [Recovered]_Figure 2.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2293" cy="2344328"/>
                          </a:xfrm>
                          <a:prstGeom prst="rect">
                            <a:avLst/>
                          </a:prstGeom>
                        </pic:spPr>
                      </pic:pic>
                    </a:graphicData>
                  </a:graphic>
                </wp:inline>
              </w:drawing>
            </w:r>
          </w:p>
        </w:tc>
      </w:tr>
    </w:tbl>
    <w:p w14:paraId="66BEE156" w14:textId="43EA131E" w:rsidR="004C4343" w:rsidRDefault="002C235C" w:rsidP="002C235C">
      <w:pPr>
        <w:pStyle w:val="Source"/>
      </w:pPr>
      <w:r>
        <w:t>Source: BLADE and ABS Cat.No.8165</w:t>
      </w:r>
    </w:p>
    <w:p w14:paraId="233EBD51" w14:textId="2A9C8652" w:rsidR="00B829C3" w:rsidRDefault="00B829C3" w:rsidP="00B829C3">
      <w:pPr>
        <w:spacing w:before="240" w:line="270" w:lineRule="exact"/>
        <w:ind w:left="0"/>
      </w:pPr>
      <w:r>
        <w:t>Bakhtiari (2019a) describes falling entrepreneurship during the decade following 2002. This trend is also evident in Figure 2.2 for both series, where the entry rate is falling for most parts. However, the trend switches direction after 2013 in both series and recovers some of the ground lost. Still, the firm entry rate in 2016 is below that in 2002, which is the starting year of the series.</w:t>
      </w:r>
    </w:p>
    <w:p w14:paraId="38F18A18" w14:textId="77777777" w:rsidR="004958C1" w:rsidRDefault="004958C1" w:rsidP="004958C1">
      <w:pPr>
        <w:pStyle w:val="BodyText"/>
        <w:rPr>
          <w:lang w:val="en"/>
        </w:rPr>
      </w:pPr>
    </w:p>
    <w:p w14:paraId="254B8101" w14:textId="77777777" w:rsidR="004958C1" w:rsidRDefault="002336D5" w:rsidP="00B829C3">
      <w:pPr>
        <w:pStyle w:val="Heading1"/>
        <w:rPr>
          <w:lang w:val="en"/>
        </w:rPr>
      </w:pPr>
      <w:r>
        <w:rPr>
          <w:lang w:val="en"/>
        </w:rPr>
        <w:t>Measuring market p</w:t>
      </w:r>
      <w:r w:rsidR="00B829C3">
        <w:rPr>
          <w:lang w:val="en"/>
        </w:rPr>
        <w:t>ower</w:t>
      </w:r>
    </w:p>
    <w:p w14:paraId="5CA0C560" w14:textId="77777777" w:rsidR="00B829C3" w:rsidRDefault="002336D5" w:rsidP="00B829C3">
      <w:pPr>
        <w:pStyle w:val="Heading2"/>
        <w:rPr>
          <w:lang w:val="en"/>
        </w:rPr>
      </w:pPr>
      <w:r>
        <w:rPr>
          <w:lang w:val="en"/>
        </w:rPr>
        <w:t>Market c</w:t>
      </w:r>
      <w:r w:rsidR="00B829C3">
        <w:rPr>
          <w:lang w:val="en"/>
        </w:rPr>
        <w:t>onc</w:t>
      </w:r>
      <w:r>
        <w:rPr>
          <w:lang w:val="en"/>
        </w:rPr>
        <w:t>entration to m</w:t>
      </w:r>
      <w:r w:rsidR="00B829C3">
        <w:rPr>
          <w:lang w:val="en"/>
        </w:rPr>
        <w:t>ar</w:t>
      </w:r>
      <w:r>
        <w:rPr>
          <w:lang w:val="en"/>
        </w:rPr>
        <w:t>ket p</w:t>
      </w:r>
      <w:r w:rsidR="00B829C3">
        <w:rPr>
          <w:lang w:val="en"/>
        </w:rPr>
        <w:t>ower</w:t>
      </w:r>
    </w:p>
    <w:p w14:paraId="1EC0CEB1" w14:textId="77777777" w:rsidR="001360E8" w:rsidRDefault="001360E8" w:rsidP="001360E8">
      <w:pPr>
        <w:spacing w:before="60" w:line="270" w:lineRule="exact"/>
        <w:ind w:left="0"/>
      </w:pPr>
      <w:r>
        <w:t xml:space="preserve">Most often, market power and competition in an industry are measured by the concentration of its market. A common measure of market concentration is the HHI and has the advantage that it can easily be constructed using information that are readily observable in most surveys or administrative records. Formally, the HHI is formed as </w:t>
      </w:r>
    </w:p>
    <w:p w14:paraId="65C61578" w14:textId="77777777" w:rsidR="001360E8" w:rsidRDefault="001360E8" w:rsidP="001360E8">
      <w:pPr>
        <w:pStyle w:val="equationNum"/>
        <w:tabs>
          <w:tab w:val="center" w:pos="4019"/>
          <w:tab w:val="right" w:pos="8038"/>
        </w:tabs>
        <w:spacing w:line="380" w:lineRule="exact"/>
      </w:pPr>
      <w:r>
        <w:tab/>
      </w:r>
      <m:oMath>
        <m:sSub>
          <m:sSubPr>
            <m:ctrlPr>
              <w:rPr>
                <w:rFonts w:ascii="Cambria Math" w:hAnsi="Cambria Math"/>
                <w:i/>
              </w:rPr>
            </m:ctrlPr>
          </m:sSubPr>
          <m:e>
            <m:r>
              <w:rPr>
                <w:rFonts w:ascii="Cambria Math" w:hAnsi="Cambria Math"/>
              </w:rPr>
              <m:t>HHI</m:t>
            </m:r>
          </m:e>
          <m:sub>
            <m:r>
              <w:rPr>
                <w:rFonts w:ascii="Cambria Math" w:hAnsi="Cambria Math"/>
              </w:rPr>
              <m:t>it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s</m:t>
                </m:r>
              </m:e>
              <m:sub>
                <m:r>
                  <w:rPr>
                    <w:rFonts w:ascii="Cambria Math" w:hAnsi="Cambria Math"/>
                  </w:rPr>
                  <m:t>jit</m:t>
                </m:r>
              </m:sub>
              <m:sup>
                <m:r>
                  <w:rPr>
                    <w:rFonts w:ascii="Cambria Math" w:hAnsi="Cambria Math"/>
                  </w:rPr>
                  <m:t>2</m:t>
                </m:r>
              </m:sup>
            </m:sSubSup>
          </m:e>
        </m:nary>
      </m:oMath>
      <w:r>
        <w:tab/>
        <w:t>(</w:t>
      </w:r>
      <w:bookmarkStart w:id="1" w:name="BMeq_H"/>
      <w:r>
        <w:t>1</w:t>
      </w:r>
      <w:bookmarkEnd w:id="1"/>
      <w:r>
        <w:t>)</w:t>
      </w:r>
    </w:p>
    <w:p w14:paraId="33837A86" w14:textId="77777777" w:rsidR="001360E8" w:rsidRDefault="001360E8" w:rsidP="001360E8">
      <w:pPr>
        <w:spacing w:line="280" w:lineRule="exact"/>
        <w:ind w:left="0"/>
      </w:pPr>
      <w:r>
        <w:t>In (</w:t>
      </w:r>
      <w:r w:rsidR="009A27E4">
        <w:fldChar w:fldCharType="begin"/>
      </w:r>
      <w:r w:rsidR="009A27E4">
        <w:instrText xml:space="preserve">REF BMeq_H \* MERGEFORMAT </w:instrText>
      </w:r>
      <w:r w:rsidR="009A27E4">
        <w:fldChar w:fldCharType="separate"/>
      </w:r>
      <w:r w:rsidR="009A27E4">
        <w:t>1</w:t>
      </w:r>
      <w:r w:rsidR="009A27E4">
        <w:fldChar w:fldCharType="end"/>
      </w:r>
      <w:r>
        <w:t xml:space="preserve">), </w:t>
      </w:r>
      <m:oMath>
        <m:sSub>
          <m:sSubPr>
            <m:ctrlPr>
              <w:rPr>
                <w:rFonts w:ascii="Cambria Math" w:hAnsi="Cambria Math"/>
                <w:i/>
              </w:rPr>
            </m:ctrlPr>
          </m:sSubPr>
          <m:e>
            <m:r>
              <w:rPr>
                <w:rFonts w:ascii="Cambria Math" w:hAnsi="Cambria Math"/>
              </w:rPr>
              <m:t>s</m:t>
            </m:r>
          </m:e>
          <m:sub>
            <m:r>
              <w:rPr>
                <w:rFonts w:ascii="Cambria Math" w:hAnsi="Cambria Math"/>
              </w:rPr>
              <m:t>jit</m:t>
            </m:r>
          </m:sub>
        </m:sSub>
      </m:oMath>
      <w:r>
        <w:t xml:space="preserve"> is the share of turnover by firm </w:t>
      </w:r>
      <w:r>
        <w:rPr>
          <w:i/>
          <w:iCs/>
        </w:rPr>
        <w:t>j</w:t>
      </w:r>
      <w:r>
        <w:t xml:space="preserve"> from the total in industry </w:t>
      </w:r>
      <w:r>
        <w:rPr>
          <w:i/>
          <w:iCs/>
        </w:rPr>
        <w:t>i</w:t>
      </w:r>
      <w:r>
        <w:t xml:space="preserve"> at time </w:t>
      </w:r>
      <w:r>
        <w:rPr>
          <w:i/>
          <w:iCs/>
        </w:rPr>
        <w:t>t</w:t>
      </w:r>
      <w:r>
        <w:t xml:space="preserve">. An industry is defined as a 3-digit ANZSIC. However, at least as early as Lerner (1934), it has been debated whether market concentration, </w:t>
      </w:r>
      <w:r>
        <w:rPr>
          <w:i/>
          <w:iCs/>
        </w:rPr>
        <w:t>per se</w:t>
      </w:r>
      <w:r>
        <w:t>, is a sufficient statistic for market power (also see Donismoni et al., 1984). The partial disconnect between the HHI and market power is in fact evident in the data. Figure </w:t>
      </w:r>
      <w:r w:rsidR="00CD536C">
        <w:t>3.1</w:t>
      </w:r>
      <w:r>
        <w:t xml:space="preserve"> shows the average number of incumbent firms (</w:t>
      </w:r>
      <w:r>
        <w:rPr>
          <w:i/>
          <w:iCs/>
        </w:rPr>
        <w:t>N</w:t>
      </w:r>
      <w:r>
        <w:t>) as a function of the HHI by applying a kernel regression. Each point in the plot corresponds to the HHI of an observation, where an observation is an industry–year. The denser parts of the plot, hence, represent the denser parts of the data.</w:t>
      </w:r>
    </w:p>
    <w:p w14:paraId="48BC37FF" w14:textId="77777777" w:rsidR="00B829C3" w:rsidRDefault="00B829C3" w:rsidP="00B829C3">
      <w:pPr>
        <w:pStyle w:val="BodyText"/>
        <w:rPr>
          <w:lang w:val="en"/>
        </w:rPr>
      </w:pPr>
    </w:p>
    <w:p w14:paraId="3790D11E" w14:textId="30DCB67A" w:rsidR="00396329" w:rsidRPr="00396329" w:rsidRDefault="00390DA0" w:rsidP="00396329">
      <w:pPr>
        <w:pStyle w:val="Caption"/>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9A27E4">
        <w:rPr>
          <w:noProof/>
        </w:rPr>
        <w:t>1</w:t>
      </w:r>
      <w:r w:rsidRPr="000618FB">
        <w:fldChar w:fldCharType="end"/>
      </w:r>
      <w:r>
        <w:t>: The average number of incumbent firms as a function of the industry’s HHI.</w:t>
      </w:r>
    </w:p>
    <w:tbl>
      <w:tblPr>
        <w:tblStyle w:val="OCETable"/>
        <w:tblW w:w="4940" w:type="pct"/>
        <w:tblInd w:w="108" w:type="dxa"/>
        <w:tblLayout w:type="fixed"/>
        <w:tblLook w:val="04A0" w:firstRow="1" w:lastRow="0" w:firstColumn="1" w:lastColumn="0" w:noHBand="0" w:noVBand="1"/>
        <w:tblCaption w:val="Table contains figure 3.1"/>
        <w:tblDescription w:val="Table contains figure 3.1"/>
      </w:tblPr>
      <w:tblGrid>
        <w:gridCol w:w="6811"/>
      </w:tblGrid>
      <w:tr w:rsidR="00396329" w14:paraId="5FB81003"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78188520" w14:textId="05D37235" w:rsidR="00396329" w:rsidRDefault="00396329" w:rsidP="00396329">
            <w:pPr>
              <w:pStyle w:val="PlaceholderWide"/>
              <w:tabs>
                <w:tab w:val="left" w:pos="1733"/>
                <w:tab w:val="center" w:pos="3297"/>
              </w:tabs>
            </w:pPr>
            <w:r>
              <w:rPr>
                <w:noProof/>
                <w:lang w:eastAsia="en-AU"/>
              </w:rPr>
              <w:drawing>
                <wp:inline distT="0" distB="0" distL="0" distR="0" wp14:anchorId="2EEB37E3" wp14:editId="49F76163">
                  <wp:extent cx="3121158" cy="2246381"/>
                  <wp:effectExtent l="0" t="0" r="3175" b="1905"/>
                  <wp:docPr id="24" name="Picture 24" descr="The average number of firms falls steeply as HHI increases from zero to almost 0.1. After that it stays low but goes up ad down as HHI increases." title="Fig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es 2.1 to 3.3 [Recovered]_Figure 3.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1158" cy="2246381"/>
                          </a:xfrm>
                          <a:prstGeom prst="rect">
                            <a:avLst/>
                          </a:prstGeom>
                        </pic:spPr>
                      </pic:pic>
                    </a:graphicData>
                  </a:graphic>
                </wp:inline>
              </w:drawing>
            </w:r>
          </w:p>
        </w:tc>
      </w:tr>
    </w:tbl>
    <w:p w14:paraId="07922414" w14:textId="77777777" w:rsidR="00390DA0" w:rsidRPr="00C62F3A" w:rsidRDefault="00390DA0" w:rsidP="006653F0">
      <w:pPr>
        <w:pStyle w:val="Note"/>
      </w:pPr>
      <w:r>
        <w:t>Notes: A kernel regression and a bandwidth of 0.05 is used. Industries with the HHI higher than 0.8 are censored for confidentiality protection.</w:t>
      </w:r>
    </w:p>
    <w:p w14:paraId="0C7EBBE1" w14:textId="77777777" w:rsidR="00390DA0" w:rsidRDefault="00390DA0" w:rsidP="006653F0">
      <w:pPr>
        <w:pStyle w:val="Source"/>
      </w:pPr>
      <w:r>
        <w:t>Source: Department of Industry, Innovation and Science (2019)</w:t>
      </w:r>
    </w:p>
    <w:p w14:paraId="45F8E3E8" w14:textId="77777777" w:rsidR="00676F31" w:rsidRDefault="00676F31" w:rsidP="00676F31">
      <w:pPr>
        <w:spacing w:before="240" w:line="270" w:lineRule="exact"/>
        <w:ind w:left="0"/>
      </w:pPr>
      <w:r>
        <w:t>In this picture, firm population is falling monotonically with the HHI as long as the HHI is smaller than 0.1. When the HHI is larger than 0.1, however, the monotonicity is not as strong. In particular, there are industries with quite concentrated markets that are also inhabited by a large number of firms. This situation does not fully conform to a position of dominance where large firms are controlling the market.</w:t>
      </w:r>
    </w:p>
    <w:p w14:paraId="784C1FE8" w14:textId="77777777" w:rsidR="00676F31" w:rsidRDefault="00676F31" w:rsidP="00676F31">
      <w:pPr>
        <w:spacing w:line="270" w:lineRule="exact"/>
        <w:ind w:left="0"/>
      </w:pPr>
      <w:r>
        <w:t>Understanding that the HHI and firm population in an industry, jointly, are a better indication of market power, I propose to use both variables to construct an index of market power that mimics the essence of high concentration and low firm population. The premise is where the market is concentrated but the industry is also populated by a large number of firms, the largest firms are not wielding much market power. This situation is possible, for instance, where the supply elasticity of the fringe competition is high (Donismoni et al., 1984). In such cases, the index of market power should assign a lower rank to these industries compared to a similar industry with the same concentration but few incumbent firms.</w:t>
      </w:r>
    </w:p>
    <w:p w14:paraId="1B710550" w14:textId="0795B481" w:rsidR="00676F31" w:rsidRDefault="00676F31" w:rsidP="00676F31">
      <w:pPr>
        <w:spacing w:line="270" w:lineRule="exact"/>
        <w:ind w:left="0"/>
      </w:pPr>
      <w:r>
        <w:t xml:space="preserve">I need to </w:t>
      </w:r>
      <w:r w:rsidR="007A07A1">
        <w:t xml:space="preserve">emphasise </w:t>
      </w:r>
      <w:r>
        <w:t xml:space="preserve">that market power here refers to the monopolistic or horizontal power of a firm to influence other firms in the same industry. Another source of market power is monopsonistic or vertical power, where a dominant client increases its markup by pushing down on the supply price of the input. The latter is out of focus in this study. </w:t>
      </w:r>
    </w:p>
    <w:p w14:paraId="59E5959E" w14:textId="77777777" w:rsidR="00CD536C" w:rsidRDefault="00676F31" w:rsidP="00676F31">
      <w:pPr>
        <w:pStyle w:val="BodyText"/>
      </w:pPr>
      <w:r>
        <w:t>The second point is that with this definition, natural monopolies, where there are large natural barriers to entry, are going to be branded as wielding market power. In that sense, the computed market power is accounting for any type of monopolistic power, whether acquired or natural.</w:t>
      </w:r>
    </w:p>
    <w:p w14:paraId="57A9BA25" w14:textId="77777777" w:rsidR="00676F31" w:rsidRDefault="00676F31" w:rsidP="00676F31">
      <w:pPr>
        <w:pStyle w:val="BodyText"/>
      </w:pPr>
    </w:p>
    <w:p w14:paraId="2556FEED" w14:textId="77777777" w:rsidR="00676F31" w:rsidRDefault="00676F31" w:rsidP="00676F31">
      <w:pPr>
        <w:pStyle w:val="Heading2"/>
        <w:rPr>
          <w:lang w:val="en"/>
        </w:rPr>
      </w:pPr>
      <w:r>
        <w:rPr>
          <w:lang w:val="en"/>
        </w:rPr>
        <w:lastRenderedPageBreak/>
        <w:t>Index of Market Power</w:t>
      </w:r>
    </w:p>
    <w:p w14:paraId="157E89A4" w14:textId="77777777" w:rsidR="00676F31" w:rsidRDefault="00676F31" w:rsidP="00676F31">
      <w:pPr>
        <w:spacing w:before="60" w:line="270" w:lineRule="exact"/>
        <w:ind w:left="0"/>
      </w:pPr>
      <w:r>
        <w:t xml:space="preserve">In the description provided, the interconnection between the HHI and firm population determines the market power. It happens that the principal component computed from the HHI and the log of firm population exhibits properties that closely mimic that of the market power. For this reason, I will refer to the principal component as the </w:t>
      </w:r>
      <w:r>
        <w:rPr>
          <w:i/>
          <w:iCs/>
        </w:rPr>
        <w:t>Market Power</w:t>
      </w:r>
      <w:r>
        <w:t xml:space="preserve"> index henceforth. </w:t>
      </w:r>
    </w:p>
    <w:p w14:paraId="32730D41" w14:textId="77777777" w:rsidR="00676F31" w:rsidRDefault="00676F31" w:rsidP="00676F31">
      <w:pPr>
        <w:spacing w:line="270" w:lineRule="exact"/>
        <w:ind w:left="0"/>
      </w:pPr>
      <w:r>
        <w:t>Table </w:t>
      </w:r>
      <w:r w:rsidR="00FB53F2">
        <w:t>3.1</w:t>
      </w:r>
      <w:r>
        <w:t xml:space="preserve"> reports a series of descriptive statistics for Market Power and also for the other industry-level key variables. One of these variables is the number of incumbent firms (</w:t>
      </w:r>
      <w:r>
        <w:rPr>
          <w:i/>
          <w:iCs/>
        </w:rPr>
        <w:t>N</w:t>
      </w:r>
      <w:r>
        <w:t>) and the other is the number of firm entries (</w:t>
      </w:r>
      <w:r>
        <w:rPr>
          <w:i/>
          <w:iCs/>
        </w:rPr>
        <w:t>E</w:t>
      </w:r>
      <w:r>
        <w:t xml:space="preserve">). The Market Power index (the principal component) is capturing about 75 per cent of the total variations in HHI and </w:t>
      </w:r>
      <w:r w:rsidRPr="005F6E46">
        <w:rPr>
          <w:rFonts w:ascii="Times New Roman" w:hAnsi="Times New Roman" w:cs="Times New Roman"/>
          <w:i/>
          <w:sz w:val="24"/>
          <w:szCs w:val="24"/>
        </w:rPr>
        <w:t>log</w:t>
      </w:r>
      <w:r>
        <w:t>(</w:t>
      </w:r>
      <w:r>
        <w:rPr>
          <w:i/>
          <w:iCs/>
        </w:rPr>
        <w:t>N</w:t>
      </w:r>
      <w:r>
        <w:t>).</w:t>
      </w:r>
    </w:p>
    <w:p w14:paraId="02D044B1" w14:textId="77777777" w:rsidR="00676F31" w:rsidRDefault="00676F31" w:rsidP="00676F31">
      <w:pPr>
        <w:spacing w:line="270" w:lineRule="exact"/>
        <w:ind w:left="0"/>
      </w:pPr>
    </w:p>
    <w:p w14:paraId="0AE7F81F" w14:textId="77777777" w:rsidR="00676F31" w:rsidRDefault="00676F31" w:rsidP="006653F0">
      <w:pPr>
        <w:pStyle w:val="Caption"/>
      </w:pPr>
      <w:r w:rsidRPr="000618FB">
        <w:t xml:space="preserve">Table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1</w:t>
      </w:r>
      <w:r>
        <w:rPr>
          <w:noProof/>
        </w:rPr>
        <w:fldChar w:fldCharType="end"/>
      </w:r>
      <w:r w:rsidRPr="000618FB">
        <w:t xml:space="preserve">: </w:t>
      </w:r>
      <w:r>
        <w:t>Descriptive statistics for the key and constructed variables.</w:t>
      </w:r>
    </w:p>
    <w:tbl>
      <w:tblPr>
        <w:tblStyle w:val="OCETable"/>
        <w:tblW w:w="4729" w:type="pct"/>
        <w:tblLook w:val="04A0" w:firstRow="1" w:lastRow="0" w:firstColumn="1" w:lastColumn="0" w:noHBand="0" w:noVBand="1"/>
        <w:tblCaption w:val="Table 3.1"/>
        <w:tblDescription w:val="HHI varies between nera zero to 0.227 at 90th percentile. The number of firms in the most concentrated markets is in the hundreds, whereas it i stens of thousands in the least concentrated ones. Entry is only a handful in most concentrated industries and a few thousands in the least concentrated ones. Market Power index varies from -1.3 at the 10th percentile to 1.5 at the 90th percentile."/>
      </w:tblPr>
      <w:tblGrid>
        <w:gridCol w:w="1562"/>
        <w:gridCol w:w="1275"/>
        <w:gridCol w:w="1133"/>
        <w:gridCol w:w="1134"/>
        <w:gridCol w:w="1416"/>
      </w:tblGrid>
      <w:tr w:rsidR="00676F31" w14:paraId="77E3E998"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1197" w:type="pct"/>
          </w:tcPr>
          <w:p w14:paraId="00266B20" w14:textId="77777777" w:rsidR="00676F31" w:rsidRDefault="00676F31" w:rsidP="00676F31">
            <w:pPr>
              <w:pStyle w:val="Tableheadertext"/>
            </w:pPr>
            <w:r>
              <w:t xml:space="preserve"> Statistic</w:t>
            </w:r>
          </w:p>
        </w:tc>
        <w:tc>
          <w:tcPr>
            <w:tcW w:w="978" w:type="pct"/>
            <w:vAlign w:val="center"/>
          </w:tcPr>
          <w:p w14:paraId="5CE85506" w14:textId="77777777" w:rsidR="00676F31" w:rsidRDefault="00676F31" w:rsidP="0032565E">
            <w:pPr>
              <w:pStyle w:val="Tableheadertext"/>
              <w:jc w:val="right"/>
            </w:pPr>
            <w:r>
              <w:rPr>
                <w:i/>
                <w:iCs/>
              </w:rPr>
              <w:t>HHI</w:t>
            </w:r>
          </w:p>
        </w:tc>
        <w:tc>
          <w:tcPr>
            <w:tcW w:w="869" w:type="pct"/>
            <w:vAlign w:val="center"/>
          </w:tcPr>
          <w:p w14:paraId="5812B0C8" w14:textId="77777777" w:rsidR="00676F31" w:rsidRDefault="00676F31" w:rsidP="0032565E">
            <w:pPr>
              <w:pStyle w:val="Tableheadertext"/>
              <w:jc w:val="right"/>
            </w:pPr>
            <w:r>
              <w:rPr>
                <w:i/>
                <w:iCs/>
              </w:rPr>
              <w:t>N</w:t>
            </w:r>
          </w:p>
        </w:tc>
        <w:tc>
          <w:tcPr>
            <w:tcW w:w="870" w:type="pct"/>
            <w:vAlign w:val="center"/>
          </w:tcPr>
          <w:p w14:paraId="6014D5AD" w14:textId="77777777" w:rsidR="00676F31" w:rsidRDefault="00676F31" w:rsidP="0032565E">
            <w:pPr>
              <w:pStyle w:val="Tableheadertext"/>
              <w:jc w:val="right"/>
            </w:pPr>
            <w:r>
              <w:rPr>
                <w:i/>
                <w:iCs/>
              </w:rPr>
              <w:t>E</w:t>
            </w:r>
          </w:p>
        </w:tc>
        <w:tc>
          <w:tcPr>
            <w:tcW w:w="1087" w:type="pct"/>
            <w:vAlign w:val="center"/>
          </w:tcPr>
          <w:p w14:paraId="1A5632B4" w14:textId="77777777" w:rsidR="00676F31" w:rsidRDefault="00676F31" w:rsidP="0032565E">
            <w:pPr>
              <w:pStyle w:val="Tableheadertext"/>
              <w:jc w:val="right"/>
            </w:pPr>
            <w:r>
              <w:t>Market Power</w:t>
            </w:r>
          </w:p>
        </w:tc>
      </w:tr>
      <w:tr w:rsidR="00676F31" w14:paraId="3E8D5ABE" w14:textId="77777777" w:rsidTr="0032565E">
        <w:trPr>
          <w:cnfStyle w:val="000000100000" w:firstRow="0" w:lastRow="0" w:firstColumn="0" w:lastColumn="0" w:oddVBand="0" w:evenVBand="0" w:oddHBand="1" w:evenHBand="0" w:firstRowFirstColumn="0" w:firstRowLastColumn="0" w:lastRowFirstColumn="0" w:lastRowLastColumn="0"/>
        </w:trPr>
        <w:tc>
          <w:tcPr>
            <w:tcW w:w="1197" w:type="pct"/>
          </w:tcPr>
          <w:p w14:paraId="7D8573FC" w14:textId="77777777" w:rsidR="00676F31" w:rsidRDefault="00676F31" w:rsidP="00676F31">
            <w:pPr>
              <w:pStyle w:val="Tablebodytext"/>
            </w:pPr>
            <w:r>
              <w:t xml:space="preserve"> Mean</w:t>
            </w:r>
          </w:p>
        </w:tc>
        <w:tc>
          <w:tcPr>
            <w:tcW w:w="978" w:type="pct"/>
            <w:vAlign w:val="center"/>
          </w:tcPr>
          <w:p w14:paraId="03BF8FD9" w14:textId="77777777" w:rsidR="00676F31" w:rsidRDefault="00676F31" w:rsidP="0032565E">
            <w:pPr>
              <w:pStyle w:val="Tablebodytext"/>
              <w:jc w:val="right"/>
            </w:pPr>
            <w:r>
              <w:t>0.087</w:t>
            </w:r>
          </w:p>
        </w:tc>
        <w:tc>
          <w:tcPr>
            <w:tcW w:w="869" w:type="pct"/>
            <w:vAlign w:val="center"/>
          </w:tcPr>
          <w:p w14:paraId="66FE30B3" w14:textId="77777777" w:rsidR="00676F31" w:rsidRDefault="00676F31" w:rsidP="0032565E">
            <w:pPr>
              <w:pStyle w:val="Tablebodytext"/>
              <w:jc w:val="right"/>
            </w:pPr>
            <w:r>
              <w:t>9,760.4</w:t>
            </w:r>
          </w:p>
        </w:tc>
        <w:tc>
          <w:tcPr>
            <w:tcW w:w="870" w:type="pct"/>
            <w:vAlign w:val="center"/>
          </w:tcPr>
          <w:p w14:paraId="409F3E0F" w14:textId="77777777" w:rsidR="00676F31" w:rsidRDefault="00676F31" w:rsidP="0032565E">
            <w:pPr>
              <w:pStyle w:val="Tablebodytext"/>
              <w:jc w:val="right"/>
            </w:pPr>
            <w:r>
              <w:t>1,301.1</w:t>
            </w:r>
          </w:p>
        </w:tc>
        <w:tc>
          <w:tcPr>
            <w:tcW w:w="1087" w:type="pct"/>
            <w:vAlign w:val="center"/>
          </w:tcPr>
          <w:p w14:paraId="381CA908" w14:textId="77777777" w:rsidR="00676F31" w:rsidRDefault="00676F31" w:rsidP="0032565E">
            <w:pPr>
              <w:pStyle w:val="Tablebodytext"/>
              <w:jc w:val="right"/>
            </w:pPr>
            <w:r>
              <w:t>0</w:t>
            </w:r>
          </w:p>
        </w:tc>
      </w:tr>
      <w:tr w:rsidR="00676F31" w14:paraId="6666E47A" w14:textId="77777777" w:rsidTr="0032565E">
        <w:trPr>
          <w:cnfStyle w:val="000000010000" w:firstRow="0" w:lastRow="0" w:firstColumn="0" w:lastColumn="0" w:oddVBand="0" w:evenVBand="0" w:oddHBand="0" w:evenHBand="1" w:firstRowFirstColumn="0" w:firstRowLastColumn="0" w:lastRowFirstColumn="0" w:lastRowLastColumn="0"/>
        </w:trPr>
        <w:tc>
          <w:tcPr>
            <w:tcW w:w="1197" w:type="pct"/>
          </w:tcPr>
          <w:p w14:paraId="4FDF05C3" w14:textId="77777777" w:rsidR="00676F31" w:rsidRDefault="00676F31" w:rsidP="00676F31">
            <w:pPr>
              <w:pStyle w:val="Tablebodytext"/>
            </w:pPr>
            <w:r>
              <w:t>Std.Dev.</w:t>
            </w:r>
          </w:p>
        </w:tc>
        <w:tc>
          <w:tcPr>
            <w:tcW w:w="978" w:type="pct"/>
            <w:vAlign w:val="center"/>
          </w:tcPr>
          <w:p w14:paraId="39ECE268" w14:textId="77777777" w:rsidR="00676F31" w:rsidRDefault="00676F31" w:rsidP="0032565E">
            <w:pPr>
              <w:pStyle w:val="Tablebodytext"/>
              <w:jc w:val="right"/>
            </w:pPr>
            <w:r>
              <w:t>0.134</w:t>
            </w:r>
          </w:p>
        </w:tc>
        <w:tc>
          <w:tcPr>
            <w:tcW w:w="869" w:type="pct"/>
            <w:vAlign w:val="center"/>
          </w:tcPr>
          <w:p w14:paraId="4FB67E15" w14:textId="77777777" w:rsidR="00676F31" w:rsidRDefault="00676F31" w:rsidP="0032565E">
            <w:pPr>
              <w:pStyle w:val="Tablebodytext"/>
              <w:jc w:val="right"/>
            </w:pPr>
            <w:r>
              <w:t>19,438.7</w:t>
            </w:r>
          </w:p>
        </w:tc>
        <w:tc>
          <w:tcPr>
            <w:tcW w:w="870" w:type="pct"/>
            <w:vAlign w:val="center"/>
          </w:tcPr>
          <w:p w14:paraId="270FBE5A" w14:textId="77777777" w:rsidR="00676F31" w:rsidRDefault="00676F31" w:rsidP="0032565E">
            <w:pPr>
              <w:pStyle w:val="Tablebodytext"/>
              <w:jc w:val="right"/>
            </w:pPr>
            <w:r>
              <w:t>2,645.6</w:t>
            </w:r>
          </w:p>
        </w:tc>
        <w:tc>
          <w:tcPr>
            <w:tcW w:w="1087" w:type="pct"/>
            <w:vAlign w:val="center"/>
          </w:tcPr>
          <w:p w14:paraId="22064A8E" w14:textId="77777777" w:rsidR="00676F31" w:rsidRDefault="00676F31" w:rsidP="0032565E">
            <w:pPr>
              <w:pStyle w:val="Tablebodytext"/>
              <w:jc w:val="right"/>
            </w:pPr>
            <w:r>
              <w:t>1.222</w:t>
            </w:r>
          </w:p>
        </w:tc>
      </w:tr>
      <w:tr w:rsidR="00676F31" w14:paraId="71D7ADD7" w14:textId="77777777" w:rsidTr="0032565E">
        <w:trPr>
          <w:cnfStyle w:val="000000100000" w:firstRow="0" w:lastRow="0" w:firstColumn="0" w:lastColumn="0" w:oddVBand="0" w:evenVBand="0" w:oddHBand="1" w:evenHBand="0" w:firstRowFirstColumn="0" w:firstRowLastColumn="0" w:lastRowFirstColumn="0" w:lastRowLastColumn="0"/>
        </w:trPr>
        <w:tc>
          <w:tcPr>
            <w:tcW w:w="1197" w:type="pct"/>
          </w:tcPr>
          <w:p w14:paraId="145813AF" w14:textId="77777777" w:rsidR="00676F31" w:rsidRDefault="00676F31" w:rsidP="00676F31">
            <w:pPr>
              <w:pStyle w:val="Tablebodytext"/>
            </w:pPr>
            <w:r>
              <w:t>10th Pctl.</w:t>
            </w:r>
          </w:p>
        </w:tc>
        <w:tc>
          <w:tcPr>
            <w:tcW w:w="978" w:type="pct"/>
            <w:vAlign w:val="center"/>
          </w:tcPr>
          <w:p w14:paraId="11F7E19D" w14:textId="77777777" w:rsidR="00676F31" w:rsidRDefault="00676F31" w:rsidP="0032565E">
            <w:pPr>
              <w:pStyle w:val="Tablebodytext"/>
              <w:jc w:val="right"/>
            </w:pPr>
            <w:r>
              <w:t>0.003</w:t>
            </w:r>
          </w:p>
        </w:tc>
        <w:tc>
          <w:tcPr>
            <w:tcW w:w="869" w:type="pct"/>
            <w:vAlign w:val="center"/>
          </w:tcPr>
          <w:p w14:paraId="6D9710FC" w14:textId="77777777" w:rsidR="00676F31" w:rsidRDefault="00676F31" w:rsidP="0032565E">
            <w:pPr>
              <w:pStyle w:val="Tablebodytext"/>
              <w:jc w:val="right"/>
            </w:pPr>
            <w:r>
              <w:t>245</w:t>
            </w:r>
          </w:p>
        </w:tc>
        <w:tc>
          <w:tcPr>
            <w:tcW w:w="870" w:type="pct"/>
            <w:vAlign w:val="center"/>
          </w:tcPr>
          <w:p w14:paraId="5773824A" w14:textId="77777777" w:rsidR="00676F31" w:rsidRDefault="00676F31" w:rsidP="0032565E">
            <w:pPr>
              <w:pStyle w:val="Tablebodytext"/>
              <w:jc w:val="right"/>
            </w:pPr>
            <w:r>
              <w:t>7</w:t>
            </w:r>
          </w:p>
        </w:tc>
        <w:tc>
          <w:tcPr>
            <w:tcW w:w="1087" w:type="pct"/>
            <w:vAlign w:val="center"/>
          </w:tcPr>
          <w:p w14:paraId="055A3CB5" w14:textId="77777777" w:rsidR="00676F31" w:rsidRDefault="00676F31" w:rsidP="0032565E">
            <w:pPr>
              <w:pStyle w:val="Tablebodytext"/>
              <w:jc w:val="right"/>
            </w:pPr>
            <w:r>
              <w:t>-1.304</w:t>
            </w:r>
          </w:p>
        </w:tc>
      </w:tr>
      <w:tr w:rsidR="00676F31" w14:paraId="03A40AB4" w14:textId="77777777" w:rsidTr="0032565E">
        <w:trPr>
          <w:cnfStyle w:val="000000010000" w:firstRow="0" w:lastRow="0" w:firstColumn="0" w:lastColumn="0" w:oddVBand="0" w:evenVBand="0" w:oddHBand="0" w:evenHBand="1" w:firstRowFirstColumn="0" w:firstRowLastColumn="0" w:lastRowFirstColumn="0" w:lastRowLastColumn="0"/>
        </w:trPr>
        <w:tc>
          <w:tcPr>
            <w:tcW w:w="1197" w:type="pct"/>
          </w:tcPr>
          <w:p w14:paraId="7A34F2E2" w14:textId="77777777" w:rsidR="00676F31" w:rsidRDefault="00676F31" w:rsidP="00676F31">
            <w:pPr>
              <w:pStyle w:val="Tablebodytext"/>
            </w:pPr>
            <w:r>
              <w:t>1st Qrtl.</w:t>
            </w:r>
          </w:p>
        </w:tc>
        <w:tc>
          <w:tcPr>
            <w:tcW w:w="978" w:type="pct"/>
            <w:vAlign w:val="center"/>
          </w:tcPr>
          <w:p w14:paraId="5C56C9F3" w14:textId="77777777" w:rsidR="00676F31" w:rsidRDefault="00676F31" w:rsidP="0032565E">
            <w:pPr>
              <w:pStyle w:val="Tablebodytext"/>
              <w:jc w:val="right"/>
            </w:pPr>
            <w:r>
              <w:t>0.009</w:t>
            </w:r>
          </w:p>
        </w:tc>
        <w:tc>
          <w:tcPr>
            <w:tcW w:w="869" w:type="pct"/>
            <w:vAlign w:val="center"/>
          </w:tcPr>
          <w:p w14:paraId="088E673E" w14:textId="77777777" w:rsidR="00676F31" w:rsidRDefault="00676F31" w:rsidP="0032565E">
            <w:pPr>
              <w:pStyle w:val="Tablebodytext"/>
              <w:jc w:val="right"/>
            </w:pPr>
            <w:r>
              <w:t>641</w:t>
            </w:r>
          </w:p>
        </w:tc>
        <w:tc>
          <w:tcPr>
            <w:tcW w:w="870" w:type="pct"/>
            <w:vAlign w:val="center"/>
          </w:tcPr>
          <w:p w14:paraId="5A1B6194" w14:textId="77777777" w:rsidR="00676F31" w:rsidRDefault="00676F31" w:rsidP="0032565E">
            <w:pPr>
              <w:pStyle w:val="Tablebodytext"/>
              <w:jc w:val="right"/>
            </w:pPr>
            <w:r>
              <w:t>44</w:t>
            </w:r>
          </w:p>
        </w:tc>
        <w:tc>
          <w:tcPr>
            <w:tcW w:w="1087" w:type="pct"/>
            <w:vAlign w:val="center"/>
          </w:tcPr>
          <w:p w14:paraId="677B6379" w14:textId="77777777" w:rsidR="00676F31" w:rsidRDefault="00676F31" w:rsidP="0032565E">
            <w:pPr>
              <w:pStyle w:val="Tablebodytext"/>
              <w:jc w:val="right"/>
            </w:pPr>
            <w:r>
              <w:t>-0.868</w:t>
            </w:r>
          </w:p>
        </w:tc>
      </w:tr>
      <w:tr w:rsidR="00676F31" w14:paraId="4EF2EF70" w14:textId="77777777" w:rsidTr="0032565E">
        <w:trPr>
          <w:cnfStyle w:val="000000100000" w:firstRow="0" w:lastRow="0" w:firstColumn="0" w:lastColumn="0" w:oddVBand="0" w:evenVBand="0" w:oddHBand="1" w:evenHBand="0" w:firstRowFirstColumn="0" w:firstRowLastColumn="0" w:lastRowFirstColumn="0" w:lastRowLastColumn="0"/>
        </w:trPr>
        <w:tc>
          <w:tcPr>
            <w:tcW w:w="1197" w:type="pct"/>
          </w:tcPr>
          <w:p w14:paraId="473B4487" w14:textId="77777777" w:rsidR="00676F31" w:rsidRDefault="00676F31" w:rsidP="00676F31">
            <w:pPr>
              <w:pStyle w:val="Tablebodytext"/>
            </w:pPr>
            <w:r>
              <w:t>Median</w:t>
            </w:r>
          </w:p>
        </w:tc>
        <w:tc>
          <w:tcPr>
            <w:tcW w:w="978" w:type="pct"/>
            <w:vAlign w:val="center"/>
          </w:tcPr>
          <w:p w14:paraId="47C0BE2B" w14:textId="77777777" w:rsidR="00676F31" w:rsidRDefault="00676F31" w:rsidP="0032565E">
            <w:pPr>
              <w:pStyle w:val="Tablebodytext"/>
              <w:jc w:val="right"/>
            </w:pPr>
            <w:r>
              <w:t>0.036</w:t>
            </w:r>
          </w:p>
        </w:tc>
        <w:tc>
          <w:tcPr>
            <w:tcW w:w="869" w:type="pct"/>
            <w:vAlign w:val="center"/>
          </w:tcPr>
          <w:p w14:paraId="484C4A44" w14:textId="77777777" w:rsidR="00676F31" w:rsidRDefault="00676F31" w:rsidP="0032565E">
            <w:pPr>
              <w:pStyle w:val="Tablebodytext"/>
              <w:jc w:val="right"/>
            </w:pPr>
            <w:r>
              <w:t>2,615</w:t>
            </w:r>
          </w:p>
        </w:tc>
        <w:tc>
          <w:tcPr>
            <w:tcW w:w="870" w:type="pct"/>
            <w:vAlign w:val="center"/>
          </w:tcPr>
          <w:p w14:paraId="31C9F9F5" w14:textId="77777777" w:rsidR="00676F31" w:rsidRDefault="00676F31" w:rsidP="0032565E">
            <w:pPr>
              <w:pStyle w:val="Tablebodytext"/>
              <w:jc w:val="right"/>
            </w:pPr>
            <w:r>
              <w:t>253</w:t>
            </w:r>
          </w:p>
        </w:tc>
        <w:tc>
          <w:tcPr>
            <w:tcW w:w="1087" w:type="pct"/>
            <w:vAlign w:val="center"/>
          </w:tcPr>
          <w:p w14:paraId="2C86EB05" w14:textId="77777777" w:rsidR="00676F31" w:rsidRDefault="00676F31" w:rsidP="0032565E">
            <w:pPr>
              <w:pStyle w:val="Tablebodytext"/>
              <w:jc w:val="right"/>
            </w:pPr>
            <w:r>
              <w:t>-0.182</w:t>
            </w:r>
          </w:p>
        </w:tc>
      </w:tr>
      <w:tr w:rsidR="00676F31" w14:paraId="37E57DA8" w14:textId="77777777" w:rsidTr="0032565E">
        <w:trPr>
          <w:cnfStyle w:val="000000010000" w:firstRow="0" w:lastRow="0" w:firstColumn="0" w:lastColumn="0" w:oddVBand="0" w:evenVBand="0" w:oddHBand="0" w:evenHBand="1" w:firstRowFirstColumn="0" w:firstRowLastColumn="0" w:lastRowFirstColumn="0" w:lastRowLastColumn="0"/>
        </w:trPr>
        <w:tc>
          <w:tcPr>
            <w:tcW w:w="1197" w:type="pct"/>
          </w:tcPr>
          <w:p w14:paraId="58D8869C" w14:textId="77777777" w:rsidR="00676F31" w:rsidRDefault="00676F31" w:rsidP="00676F31">
            <w:pPr>
              <w:pStyle w:val="Tablebodytext"/>
            </w:pPr>
            <w:r>
              <w:t>3rd Qrtl.</w:t>
            </w:r>
          </w:p>
        </w:tc>
        <w:tc>
          <w:tcPr>
            <w:tcW w:w="978" w:type="pct"/>
            <w:vAlign w:val="center"/>
          </w:tcPr>
          <w:p w14:paraId="05B0F03B" w14:textId="77777777" w:rsidR="00676F31" w:rsidRDefault="00676F31" w:rsidP="0032565E">
            <w:pPr>
              <w:pStyle w:val="Tablebodytext"/>
              <w:jc w:val="right"/>
            </w:pPr>
            <w:r>
              <w:t>0.102</w:t>
            </w:r>
          </w:p>
        </w:tc>
        <w:tc>
          <w:tcPr>
            <w:tcW w:w="869" w:type="pct"/>
            <w:vAlign w:val="center"/>
          </w:tcPr>
          <w:p w14:paraId="6FFCCDF0" w14:textId="77777777" w:rsidR="00676F31" w:rsidRDefault="00676F31" w:rsidP="0032565E">
            <w:pPr>
              <w:pStyle w:val="Tablebodytext"/>
              <w:jc w:val="right"/>
            </w:pPr>
            <w:r>
              <w:t>9,339</w:t>
            </w:r>
          </w:p>
        </w:tc>
        <w:tc>
          <w:tcPr>
            <w:tcW w:w="870" w:type="pct"/>
            <w:vAlign w:val="center"/>
          </w:tcPr>
          <w:p w14:paraId="50756D78" w14:textId="77777777" w:rsidR="00676F31" w:rsidRDefault="00676F31" w:rsidP="0032565E">
            <w:pPr>
              <w:pStyle w:val="Tablebodytext"/>
              <w:jc w:val="right"/>
            </w:pPr>
            <w:r>
              <w:t>1,050</w:t>
            </w:r>
          </w:p>
        </w:tc>
        <w:tc>
          <w:tcPr>
            <w:tcW w:w="1087" w:type="pct"/>
            <w:vAlign w:val="center"/>
          </w:tcPr>
          <w:p w14:paraId="43F5630B" w14:textId="77777777" w:rsidR="00676F31" w:rsidRDefault="00676F31" w:rsidP="0032565E">
            <w:pPr>
              <w:pStyle w:val="Tablebodytext"/>
              <w:jc w:val="right"/>
            </w:pPr>
            <w:r>
              <w:t>0.669</w:t>
            </w:r>
          </w:p>
        </w:tc>
      </w:tr>
      <w:tr w:rsidR="00676F31" w14:paraId="1757D134" w14:textId="77777777" w:rsidTr="0032565E">
        <w:trPr>
          <w:cnfStyle w:val="000000100000" w:firstRow="0" w:lastRow="0" w:firstColumn="0" w:lastColumn="0" w:oddVBand="0" w:evenVBand="0" w:oddHBand="1" w:evenHBand="0" w:firstRowFirstColumn="0" w:firstRowLastColumn="0" w:lastRowFirstColumn="0" w:lastRowLastColumn="0"/>
        </w:trPr>
        <w:tc>
          <w:tcPr>
            <w:tcW w:w="1197" w:type="pct"/>
          </w:tcPr>
          <w:p w14:paraId="7A1255A4" w14:textId="77777777" w:rsidR="00676F31" w:rsidRDefault="00676F31" w:rsidP="00676F31">
            <w:pPr>
              <w:pStyle w:val="Tablebodytext"/>
            </w:pPr>
            <w:r>
              <w:t>90th Pctl.</w:t>
            </w:r>
          </w:p>
        </w:tc>
        <w:tc>
          <w:tcPr>
            <w:tcW w:w="978" w:type="pct"/>
            <w:vAlign w:val="center"/>
          </w:tcPr>
          <w:p w14:paraId="2C6C7CF3" w14:textId="77777777" w:rsidR="00676F31" w:rsidRDefault="00676F31" w:rsidP="0032565E">
            <w:pPr>
              <w:pStyle w:val="Tablebodytext"/>
              <w:jc w:val="right"/>
            </w:pPr>
            <w:r>
              <w:t>0.227</w:t>
            </w:r>
          </w:p>
        </w:tc>
        <w:tc>
          <w:tcPr>
            <w:tcW w:w="869" w:type="pct"/>
            <w:vAlign w:val="center"/>
          </w:tcPr>
          <w:p w14:paraId="5902403B" w14:textId="77777777" w:rsidR="00676F31" w:rsidRDefault="00676F31" w:rsidP="0032565E">
            <w:pPr>
              <w:pStyle w:val="Tablebodytext"/>
              <w:jc w:val="right"/>
            </w:pPr>
            <w:r>
              <w:t>27,120</w:t>
            </w:r>
          </w:p>
        </w:tc>
        <w:tc>
          <w:tcPr>
            <w:tcW w:w="870" w:type="pct"/>
            <w:vAlign w:val="center"/>
          </w:tcPr>
          <w:p w14:paraId="4666FBFD" w14:textId="77777777" w:rsidR="00676F31" w:rsidRDefault="00676F31" w:rsidP="0032565E">
            <w:pPr>
              <w:pStyle w:val="Tablebodytext"/>
              <w:jc w:val="right"/>
            </w:pPr>
            <w:r>
              <w:t>4,191</w:t>
            </w:r>
          </w:p>
        </w:tc>
        <w:tc>
          <w:tcPr>
            <w:tcW w:w="1087" w:type="pct"/>
            <w:vAlign w:val="center"/>
          </w:tcPr>
          <w:p w14:paraId="77DDE99B" w14:textId="77777777" w:rsidR="00676F31" w:rsidRDefault="00676F31" w:rsidP="0032565E">
            <w:pPr>
              <w:pStyle w:val="Tablebodytext"/>
              <w:jc w:val="right"/>
            </w:pPr>
            <w:r>
              <w:t>1.487</w:t>
            </w:r>
          </w:p>
        </w:tc>
      </w:tr>
      <w:tr w:rsidR="00676F31" w14:paraId="588C1A6E" w14:textId="77777777" w:rsidTr="0032565E">
        <w:trPr>
          <w:gridAfter w:val="1"/>
          <w:cnfStyle w:val="000000010000" w:firstRow="0" w:lastRow="0" w:firstColumn="0" w:lastColumn="0" w:oddVBand="0" w:evenVBand="0" w:oddHBand="0" w:evenHBand="1" w:firstRowFirstColumn="0" w:firstRowLastColumn="0" w:lastRowFirstColumn="0" w:lastRowLastColumn="0"/>
          <w:wAfter w:w="1087" w:type="pct"/>
        </w:trPr>
        <w:tc>
          <w:tcPr>
            <w:tcW w:w="1197" w:type="pct"/>
          </w:tcPr>
          <w:p w14:paraId="1F016EF7" w14:textId="77777777" w:rsidR="00676F31" w:rsidRDefault="00676F31" w:rsidP="00676F31">
            <w:pPr>
              <w:pStyle w:val="Tablebodytext"/>
            </w:pPr>
            <w:r>
              <w:t xml:space="preserve"> #Obs</w:t>
            </w:r>
          </w:p>
        </w:tc>
        <w:tc>
          <w:tcPr>
            <w:tcW w:w="2716" w:type="pct"/>
            <w:gridSpan w:val="3"/>
            <w:vAlign w:val="center"/>
          </w:tcPr>
          <w:p w14:paraId="150AC09E" w14:textId="77777777" w:rsidR="00676F31" w:rsidRDefault="00676F31" w:rsidP="0032565E">
            <w:pPr>
              <w:pStyle w:val="Tablebodytext"/>
              <w:jc w:val="right"/>
            </w:pPr>
            <w:r>
              <w:t>3,045</w:t>
            </w:r>
          </w:p>
        </w:tc>
      </w:tr>
    </w:tbl>
    <w:p w14:paraId="11DECE2C" w14:textId="77777777" w:rsidR="00676F31" w:rsidRDefault="00676F31" w:rsidP="006653F0">
      <w:pPr>
        <w:pStyle w:val="Source"/>
      </w:pPr>
      <w:r>
        <w:t>Source: Department of Industry, Innovation and Science (2019)</w:t>
      </w:r>
    </w:p>
    <w:p w14:paraId="2B982A27" w14:textId="77777777" w:rsidR="00300F58" w:rsidRDefault="00300F58" w:rsidP="00300F58">
      <w:pPr>
        <w:spacing w:before="240" w:line="270" w:lineRule="exact"/>
        <w:ind w:left="0"/>
      </w:pPr>
      <w:r>
        <w:t xml:space="preserve">The simple statistics for the HHI confirm that most industries in Australia are not dominated by large firms. Moreover, most industries are populated by a number of firms ranging from hundreds to thousands. The number of incumbent firms is equally matched by a fair number of firm entries in each year. </w:t>
      </w:r>
    </w:p>
    <w:p w14:paraId="0795EE8A" w14:textId="77777777" w:rsidR="00300F58" w:rsidRDefault="00300F58" w:rsidP="00300F58">
      <w:pPr>
        <w:spacing w:line="270" w:lineRule="exact"/>
        <w:ind w:left="0"/>
      </w:pPr>
      <w:r>
        <w:t>The Market Power index, by construction, is centred around zero. The index also shows substantial variation across industries.</w:t>
      </w:r>
    </w:p>
    <w:p w14:paraId="1DECEBD7" w14:textId="77777777" w:rsidR="00743877" w:rsidRDefault="00300F58" w:rsidP="00300F58">
      <w:pPr>
        <w:pStyle w:val="BodyText"/>
      </w:pPr>
      <w:r>
        <w:t>The way these variables relate to each other is, however, not apparent from the numbers in Table </w:t>
      </w:r>
      <w:r w:rsidR="00E366B6">
        <w:t>3.1</w:t>
      </w:r>
      <w:r>
        <w:t>. Some inference can be made from the correlation coefficients that are reported in Table </w:t>
      </w:r>
      <w:r w:rsidR="0036252B">
        <w:t>3.2</w:t>
      </w:r>
      <w:r>
        <w:t>.</w:t>
      </w:r>
    </w:p>
    <w:p w14:paraId="25206A6D" w14:textId="77777777" w:rsidR="003B59F8" w:rsidRDefault="003B59F8" w:rsidP="00300F58">
      <w:pPr>
        <w:pStyle w:val="BodyText"/>
      </w:pPr>
    </w:p>
    <w:p w14:paraId="679FB0D6" w14:textId="77777777" w:rsidR="003B59F8" w:rsidRDefault="003B59F8" w:rsidP="006653F0">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2</w:t>
      </w:r>
      <w:r>
        <w:rPr>
          <w:noProof/>
        </w:rPr>
        <w:fldChar w:fldCharType="end"/>
      </w:r>
      <w:r>
        <w:t>: Correlation coefficients between the key variables.</w:t>
      </w:r>
    </w:p>
    <w:tbl>
      <w:tblPr>
        <w:tblStyle w:val="OCETable"/>
        <w:tblW w:w="4446" w:type="pct"/>
        <w:tblInd w:w="426" w:type="dxa"/>
        <w:tblLook w:val="04A0" w:firstRow="1" w:lastRow="0" w:firstColumn="1" w:lastColumn="0" w:noHBand="0" w:noVBand="1"/>
        <w:tblCaption w:val="Table 3.2"/>
        <w:tblDescription w:val="HHI has negative correlatins with N and E. It correlates positively, though weakly, with Export Inetnsity. Correlation between HHI and market power index is 0.896. Market power also correlates negative with N and E anbd positively with export intensity, and the correlations are stronger"/>
      </w:tblPr>
      <w:tblGrid>
        <w:gridCol w:w="1702"/>
        <w:gridCol w:w="1107"/>
        <w:gridCol w:w="1107"/>
        <w:gridCol w:w="1107"/>
        <w:gridCol w:w="1107"/>
      </w:tblGrid>
      <w:tr w:rsidR="003B59F8" w14:paraId="246CAB27"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1388" w:type="pct"/>
          </w:tcPr>
          <w:p w14:paraId="744FE864" w14:textId="77777777" w:rsidR="003B59F8" w:rsidRDefault="003B59F8" w:rsidP="003B59F8">
            <w:pPr>
              <w:pStyle w:val="Tableheadertext"/>
            </w:pPr>
          </w:p>
        </w:tc>
        <w:tc>
          <w:tcPr>
            <w:tcW w:w="903" w:type="pct"/>
            <w:vAlign w:val="center"/>
          </w:tcPr>
          <w:p w14:paraId="38933EB0" w14:textId="55ED53CA" w:rsidR="003B59F8" w:rsidRDefault="003B59F8" w:rsidP="0032565E">
            <w:pPr>
              <w:pStyle w:val="Tableheadertext"/>
              <w:jc w:val="right"/>
            </w:pPr>
            <w:r>
              <w:rPr>
                <w:i/>
                <w:iCs/>
              </w:rPr>
              <w:t>H</w:t>
            </w:r>
            <w:r w:rsidR="000E08AE">
              <w:rPr>
                <w:i/>
                <w:iCs/>
              </w:rPr>
              <w:t>HI</w:t>
            </w:r>
          </w:p>
        </w:tc>
        <w:tc>
          <w:tcPr>
            <w:tcW w:w="903" w:type="pct"/>
            <w:vAlign w:val="center"/>
          </w:tcPr>
          <w:p w14:paraId="03D8B13F" w14:textId="77777777" w:rsidR="003B59F8" w:rsidRDefault="003B59F8" w:rsidP="0032565E">
            <w:pPr>
              <w:pStyle w:val="Tableheadertext"/>
              <w:jc w:val="right"/>
            </w:pPr>
            <w:r>
              <w:rPr>
                <w:i/>
                <w:iCs/>
              </w:rPr>
              <w:t>N</w:t>
            </w:r>
          </w:p>
        </w:tc>
        <w:tc>
          <w:tcPr>
            <w:tcW w:w="903" w:type="pct"/>
            <w:vAlign w:val="center"/>
          </w:tcPr>
          <w:p w14:paraId="2B14600E" w14:textId="77777777" w:rsidR="003B59F8" w:rsidRDefault="003B59F8" w:rsidP="0032565E">
            <w:pPr>
              <w:pStyle w:val="Tableheadertext"/>
              <w:jc w:val="right"/>
            </w:pPr>
            <w:r>
              <w:rPr>
                <w:i/>
                <w:iCs/>
              </w:rPr>
              <w:t>E</w:t>
            </w:r>
          </w:p>
        </w:tc>
        <w:tc>
          <w:tcPr>
            <w:tcW w:w="903" w:type="pct"/>
            <w:vAlign w:val="center"/>
          </w:tcPr>
          <w:p w14:paraId="47B5CC55" w14:textId="77777777" w:rsidR="003B59F8" w:rsidRDefault="003B59F8" w:rsidP="0032565E">
            <w:pPr>
              <w:pStyle w:val="Tableheadertext"/>
              <w:jc w:val="right"/>
            </w:pPr>
            <w:r>
              <w:rPr>
                <w:i/>
                <w:iCs/>
              </w:rPr>
              <w:t>ExpInt</w:t>
            </w:r>
          </w:p>
        </w:tc>
      </w:tr>
      <w:tr w:rsidR="003B59F8" w14:paraId="760E2CB0" w14:textId="77777777" w:rsidTr="0032565E">
        <w:trPr>
          <w:cnfStyle w:val="000000100000" w:firstRow="0" w:lastRow="0" w:firstColumn="0" w:lastColumn="0" w:oddVBand="0" w:evenVBand="0" w:oddHBand="1" w:evenHBand="0" w:firstRowFirstColumn="0" w:firstRowLastColumn="0" w:lastRowFirstColumn="0" w:lastRowLastColumn="0"/>
        </w:trPr>
        <w:tc>
          <w:tcPr>
            <w:tcW w:w="1388" w:type="pct"/>
          </w:tcPr>
          <w:p w14:paraId="77EEBB93" w14:textId="77777777" w:rsidR="003B59F8" w:rsidRDefault="003B59F8" w:rsidP="003B59F8">
            <w:pPr>
              <w:pStyle w:val="Tablebodytext"/>
            </w:pPr>
            <w:r>
              <w:t xml:space="preserve"> </w:t>
            </w:r>
            <w:r>
              <w:rPr>
                <w:i/>
                <w:iCs/>
              </w:rPr>
              <w:t>N</w:t>
            </w:r>
          </w:p>
        </w:tc>
        <w:tc>
          <w:tcPr>
            <w:tcW w:w="903" w:type="pct"/>
            <w:vAlign w:val="center"/>
          </w:tcPr>
          <w:p w14:paraId="1C9EF063" w14:textId="77777777" w:rsidR="003B59F8" w:rsidRDefault="003B59F8" w:rsidP="0032565E">
            <w:pPr>
              <w:pStyle w:val="Tablebodytext"/>
              <w:jc w:val="right"/>
            </w:pPr>
            <w:r>
              <w:t>-0.226</w:t>
            </w:r>
          </w:p>
        </w:tc>
        <w:tc>
          <w:tcPr>
            <w:tcW w:w="903" w:type="pct"/>
            <w:vAlign w:val="center"/>
          </w:tcPr>
          <w:p w14:paraId="1878D4B8" w14:textId="77777777" w:rsidR="003B59F8" w:rsidRDefault="003B59F8" w:rsidP="0032565E">
            <w:pPr>
              <w:pStyle w:val="Tablebodytext"/>
              <w:jc w:val="right"/>
            </w:pPr>
          </w:p>
        </w:tc>
        <w:tc>
          <w:tcPr>
            <w:tcW w:w="903" w:type="pct"/>
            <w:vAlign w:val="center"/>
          </w:tcPr>
          <w:p w14:paraId="6E8546A5" w14:textId="77777777" w:rsidR="003B59F8" w:rsidRDefault="003B59F8" w:rsidP="0032565E">
            <w:pPr>
              <w:pStyle w:val="Tablebodytext"/>
              <w:jc w:val="right"/>
            </w:pPr>
          </w:p>
        </w:tc>
        <w:tc>
          <w:tcPr>
            <w:tcW w:w="903" w:type="pct"/>
            <w:vAlign w:val="center"/>
          </w:tcPr>
          <w:p w14:paraId="09F423CD" w14:textId="77777777" w:rsidR="003B59F8" w:rsidRDefault="003B59F8" w:rsidP="0032565E">
            <w:pPr>
              <w:pStyle w:val="Tablebodytext"/>
              <w:jc w:val="right"/>
            </w:pPr>
          </w:p>
        </w:tc>
      </w:tr>
      <w:tr w:rsidR="003B59F8" w14:paraId="4234BDCF" w14:textId="77777777" w:rsidTr="0032565E">
        <w:trPr>
          <w:gridAfter w:val="1"/>
          <w:cnfStyle w:val="000000010000" w:firstRow="0" w:lastRow="0" w:firstColumn="0" w:lastColumn="0" w:oddVBand="0" w:evenVBand="0" w:oddHBand="0" w:evenHBand="1" w:firstRowFirstColumn="0" w:firstRowLastColumn="0" w:lastRowFirstColumn="0" w:lastRowLastColumn="0"/>
          <w:wAfter w:w="903" w:type="pct"/>
        </w:trPr>
        <w:tc>
          <w:tcPr>
            <w:tcW w:w="1388" w:type="pct"/>
          </w:tcPr>
          <w:p w14:paraId="18D54524" w14:textId="77777777" w:rsidR="003B59F8" w:rsidRDefault="003B59F8" w:rsidP="003B59F8">
            <w:pPr>
              <w:pStyle w:val="Tablebodytext"/>
            </w:pPr>
            <w:r>
              <w:rPr>
                <w:i/>
                <w:iCs/>
              </w:rPr>
              <w:t>E</w:t>
            </w:r>
          </w:p>
        </w:tc>
        <w:tc>
          <w:tcPr>
            <w:tcW w:w="903" w:type="pct"/>
            <w:vAlign w:val="center"/>
          </w:tcPr>
          <w:p w14:paraId="48CA2A74" w14:textId="77777777" w:rsidR="003B59F8" w:rsidRDefault="003B59F8" w:rsidP="0032565E">
            <w:pPr>
              <w:pStyle w:val="Tablebodytext"/>
              <w:jc w:val="right"/>
            </w:pPr>
            <w:r>
              <w:t>-0.220</w:t>
            </w:r>
          </w:p>
        </w:tc>
        <w:tc>
          <w:tcPr>
            <w:tcW w:w="903" w:type="pct"/>
            <w:vAlign w:val="center"/>
          </w:tcPr>
          <w:p w14:paraId="0ECB7CB6" w14:textId="77777777" w:rsidR="003B59F8" w:rsidRDefault="003B59F8" w:rsidP="0032565E">
            <w:pPr>
              <w:pStyle w:val="Tablebodytext"/>
              <w:jc w:val="right"/>
            </w:pPr>
            <w:r>
              <w:t>0.885</w:t>
            </w:r>
          </w:p>
        </w:tc>
        <w:tc>
          <w:tcPr>
            <w:tcW w:w="903" w:type="pct"/>
            <w:vAlign w:val="center"/>
          </w:tcPr>
          <w:p w14:paraId="2F7BFA0E" w14:textId="77777777" w:rsidR="003B59F8" w:rsidRDefault="003B59F8" w:rsidP="0032565E">
            <w:pPr>
              <w:pStyle w:val="Tablebodytext"/>
              <w:jc w:val="right"/>
            </w:pPr>
          </w:p>
        </w:tc>
      </w:tr>
      <w:tr w:rsidR="003B59F8" w14:paraId="08012520" w14:textId="77777777" w:rsidTr="0032565E">
        <w:trPr>
          <w:cnfStyle w:val="000000100000" w:firstRow="0" w:lastRow="0" w:firstColumn="0" w:lastColumn="0" w:oddVBand="0" w:evenVBand="0" w:oddHBand="1" w:evenHBand="0" w:firstRowFirstColumn="0" w:firstRowLastColumn="0" w:lastRowFirstColumn="0" w:lastRowLastColumn="0"/>
        </w:trPr>
        <w:tc>
          <w:tcPr>
            <w:tcW w:w="1388" w:type="pct"/>
          </w:tcPr>
          <w:p w14:paraId="7C62760D" w14:textId="77777777" w:rsidR="003B59F8" w:rsidRDefault="003B59F8" w:rsidP="003B59F8">
            <w:pPr>
              <w:pStyle w:val="Tablebodytext"/>
            </w:pPr>
            <w:r>
              <w:rPr>
                <w:i/>
                <w:iCs/>
              </w:rPr>
              <w:t>ExpInt</w:t>
            </w:r>
          </w:p>
        </w:tc>
        <w:tc>
          <w:tcPr>
            <w:tcW w:w="903" w:type="pct"/>
            <w:vAlign w:val="center"/>
          </w:tcPr>
          <w:p w14:paraId="6857D857" w14:textId="77777777" w:rsidR="003B59F8" w:rsidRDefault="003B59F8" w:rsidP="0032565E">
            <w:pPr>
              <w:pStyle w:val="Tablebodytext"/>
              <w:jc w:val="right"/>
            </w:pPr>
            <w:r>
              <w:t>0.047</w:t>
            </w:r>
          </w:p>
        </w:tc>
        <w:tc>
          <w:tcPr>
            <w:tcW w:w="903" w:type="pct"/>
            <w:vAlign w:val="center"/>
          </w:tcPr>
          <w:p w14:paraId="0D13791F" w14:textId="77777777" w:rsidR="003B59F8" w:rsidRDefault="003B59F8" w:rsidP="0032565E">
            <w:pPr>
              <w:pStyle w:val="Tablebodytext"/>
              <w:jc w:val="right"/>
            </w:pPr>
            <w:r>
              <w:t>-0.176</w:t>
            </w:r>
          </w:p>
        </w:tc>
        <w:tc>
          <w:tcPr>
            <w:tcW w:w="903" w:type="pct"/>
            <w:vAlign w:val="center"/>
          </w:tcPr>
          <w:p w14:paraId="3F1A42E0" w14:textId="77777777" w:rsidR="003B59F8" w:rsidRDefault="003B59F8" w:rsidP="0032565E">
            <w:pPr>
              <w:pStyle w:val="Tablebodytext"/>
              <w:jc w:val="right"/>
            </w:pPr>
            <w:r>
              <w:t>-0.174</w:t>
            </w:r>
          </w:p>
        </w:tc>
        <w:tc>
          <w:tcPr>
            <w:tcW w:w="903" w:type="pct"/>
            <w:vAlign w:val="center"/>
          </w:tcPr>
          <w:p w14:paraId="6D845015" w14:textId="77777777" w:rsidR="003B59F8" w:rsidRDefault="003B59F8" w:rsidP="0032565E">
            <w:pPr>
              <w:pStyle w:val="Tablebodytext"/>
              <w:jc w:val="right"/>
            </w:pPr>
          </w:p>
        </w:tc>
      </w:tr>
      <w:tr w:rsidR="003B59F8" w14:paraId="6C43F7AD" w14:textId="77777777" w:rsidTr="0032565E">
        <w:trPr>
          <w:cnfStyle w:val="000000010000" w:firstRow="0" w:lastRow="0" w:firstColumn="0" w:lastColumn="0" w:oddVBand="0" w:evenVBand="0" w:oddHBand="0" w:evenHBand="1" w:firstRowFirstColumn="0" w:firstRowLastColumn="0" w:lastRowFirstColumn="0" w:lastRowLastColumn="0"/>
        </w:trPr>
        <w:tc>
          <w:tcPr>
            <w:tcW w:w="1388" w:type="pct"/>
          </w:tcPr>
          <w:p w14:paraId="2EF9FAE4" w14:textId="77777777" w:rsidR="003B59F8" w:rsidRDefault="003B59F8" w:rsidP="003B59F8">
            <w:pPr>
              <w:pStyle w:val="Tablebodytext"/>
            </w:pPr>
            <w:r>
              <w:t>Market Power</w:t>
            </w:r>
          </w:p>
        </w:tc>
        <w:tc>
          <w:tcPr>
            <w:tcW w:w="903" w:type="pct"/>
            <w:vAlign w:val="center"/>
          </w:tcPr>
          <w:p w14:paraId="471AD47E" w14:textId="77777777" w:rsidR="003B59F8" w:rsidRDefault="003B59F8" w:rsidP="0032565E">
            <w:pPr>
              <w:pStyle w:val="Tablebodytext"/>
              <w:jc w:val="right"/>
            </w:pPr>
            <w:r>
              <w:t>0.864</w:t>
            </w:r>
          </w:p>
        </w:tc>
        <w:tc>
          <w:tcPr>
            <w:tcW w:w="903" w:type="pct"/>
            <w:vAlign w:val="center"/>
          </w:tcPr>
          <w:p w14:paraId="6B56D38B" w14:textId="77777777" w:rsidR="003B59F8" w:rsidRDefault="003B59F8" w:rsidP="0032565E">
            <w:pPr>
              <w:pStyle w:val="Tablebodytext"/>
              <w:jc w:val="right"/>
            </w:pPr>
            <w:r>
              <w:t>-0.519</w:t>
            </w:r>
          </w:p>
        </w:tc>
        <w:tc>
          <w:tcPr>
            <w:tcW w:w="903" w:type="pct"/>
            <w:vAlign w:val="center"/>
          </w:tcPr>
          <w:p w14:paraId="7CFE594E" w14:textId="77777777" w:rsidR="003B59F8" w:rsidRDefault="003B59F8" w:rsidP="0032565E">
            <w:pPr>
              <w:pStyle w:val="Tablebodytext"/>
              <w:jc w:val="right"/>
            </w:pPr>
            <w:r>
              <w:t>-0.505</w:t>
            </w:r>
          </w:p>
        </w:tc>
        <w:tc>
          <w:tcPr>
            <w:tcW w:w="903" w:type="pct"/>
            <w:vAlign w:val="center"/>
          </w:tcPr>
          <w:p w14:paraId="44B4EF0F" w14:textId="77777777" w:rsidR="003B59F8" w:rsidRDefault="003B59F8" w:rsidP="0032565E">
            <w:pPr>
              <w:pStyle w:val="Tablebodytext"/>
              <w:jc w:val="right"/>
            </w:pPr>
            <w:r>
              <w:t>0.159</w:t>
            </w:r>
          </w:p>
        </w:tc>
      </w:tr>
    </w:tbl>
    <w:p w14:paraId="068190E7" w14:textId="77777777" w:rsidR="003B59F8" w:rsidRDefault="003B59F8" w:rsidP="00300F58">
      <w:pPr>
        <w:pStyle w:val="BodyText"/>
        <w:rPr>
          <w:lang w:val="en"/>
        </w:rPr>
      </w:pPr>
    </w:p>
    <w:p w14:paraId="33A09482" w14:textId="77777777" w:rsidR="003B59F8" w:rsidRDefault="003B59F8" w:rsidP="006653F0">
      <w:pPr>
        <w:pStyle w:val="Source"/>
      </w:pPr>
      <w:r>
        <w:t>Source: Department of Industry, Innovation and Science (2019)</w:t>
      </w:r>
    </w:p>
    <w:p w14:paraId="4226B0FB" w14:textId="71CD9395" w:rsidR="0036252B" w:rsidRDefault="0036252B" w:rsidP="0036252B">
      <w:pPr>
        <w:spacing w:before="240" w:line="270" w:lineRule="exact"/>
        <w:ind w:left="0"/>
      </w:pPr>
      <w:r>
        <w:t xml:space="preserve">The correlation coefficients with the export intensity of industries </w:t>
      </w:r>
      <w:r w:rsidR="007A07A1">
        <w:t xml:space="preserve">(ExpInt) </w:t>
      </w:r>
      <w:r>
        <w:t>are additionally reported in Table 3.2, where export intensity is defined as the total amount of exports in an industry in a year as the proportion of its total income. De Loecker &amp; Warzynski (2012) find a strong association between market power and exporting activity, where exporting firms are wielding higher market powers. Inspecting the correlations with export intensity could particularly test the properties of Market Power along this line.</w:t>
      </w:r>
    </w:p>
    <w:p w14:paraId="616067B2" w14:textId="77777777" w:rsidR="0036252B" w:rsidRDefault="0036252B" w:rsidP="0036252B">
      <w:pPr>
        <w:spacing w:line="270" w:lineRule="exact"/>
        <w:ind w:left="0"/>
      </w:pPr>
      <w:r>
        <w:t xml:space="preserve">Foremost, Market Power is positively correlated with the HHI but has a negative correlation with </w:t>
      </w:r>
      <w:r>
        <w:rPr>
          <w:i/>
          <w:iCs/>
        </w:rPr>
        <w:t>N</w:t>
      </w:r>
      <w:r>
        <w:t>. That is, the index is the highest where markets are concentrated and barely populated by firms. Besides, the constructed Market Power index correlates positively with export intensity, another indicator of industries where market power reigns.</w:t>
      </w:r>
    </w:p>
    <w:p w14:paraId="4A7701B0" w14:textId="77777777" w:rsidR="0036252B" w:rsidRDefault="0036252B" w:rsidP="0036252B">
      <w:pPr>
        <w:spacing w:line="270" w:lineRule="exact"/>
        <w:ind w:left="0"/>
      </w:pPr>
      <w:r>
        <w:t>The HHI shows similar properties, too, except that the magnitude of correlations is weaker than those observed for Market Power.</w:t>
      </w:r>
    </w:p>
    <w:p w14:paraId="5288979A" w14:textId="77777777" w:rsidR="0036252B" w:rsidRDefault="0036252B" w:rsidP="0036252B">
      <w:pPr>
        <w:pStyle w:val="BodyText"/>
      </w:pPr>
      <w:r>
        <w:t>As another sign that the constructed Market Power index is properly sorting the data, I illustrate the relationship between Market Power and firm population in Figure </w:t>
      </w:r>
      <w:r w:rsidR="00FA108D">
        <w:t>3.2</w:t>
      </w:r>
      <w:r>
        <w:t xml:space="preserve"> using a kernel regression. Again, each point in the plot corresponds to the Market Power of an observation</w:t>
      </w:r>
      <w:r w:rsidR="0056014D">
        <w:t>.</w:t>
      </w:r>
    </w:p>
    <w:p w14:paraId="508BA21D" w14:textId="5097DA94" w:rsidR="00396329" w:rsidRPr="00396329" w:rsidRDefault="007814D8" w:rsidP="00396329">
      <w:pPr>
        <w:pStyle w:val="Caption"/>
      </w:pPr>
      <w:r>
        <w:lastRenderedPageBreak/>
        <w:t>Figure</w:t>
      </w:r>
      <w:r w:rsidR="0056014D" w:rsidRPr="000618FB">
        <w:t xml:space="preserve"> </w:t>
      </w:r>
      <w:r w:rsidR="0056014D">
        <w:rPr>
          <w:noProof/>
        </w:rPr>
        <w:fldChar w:fldCharType="begin"/>
      </w:r>
      <w:r w:rsidR="0056014D">
        <w:rPr>
          <w:noProof/>
        </w:rPr>
        <w:instrText xml:space="preserve"> STYLEREF 1 \s </w:instrText>
      </w:r>
      <w:r w:rsidR="0056014D">
        <w:rPr>
          <w:noProof/>
        </w:rPr>
        <w:fldChar w:fldCharType="separate"/>
      </w:r>
      <w:r w:rsidR="009A27E4">
        <w:rPr>
          <w:noProof/>
        </w:rPr>
        <w:t>3</w:t>
      </w:r>
      <w:r w:rsidR="0056014D">
        <w:rPr>
          <w:noProof/>
        </w:rPr>
        <w:fldChar w:fldCharType="end"/>
      </w:r>
      <w:r w:rsidR="0056014D" w:rsidRPr="000618FB">
        <w:t>.</w:t>
      </w:r>
      <w:r w:rsidR="00FA108D">
        <w:rPr>
          <w:noProof/>
        </w:rPr>
        <w:t>2</w:t>
      </w:r>
      <w:r w:rsidR="0056014D" w:rsidRPr="000618FB">
        <w:t xml:space="preserve">: </w:t>
      </w:r>
      <w:r w:rsidR="0056014D">
        <w:t>The average number of firms as a function of Market Power.</w:t>
      </w:r>
    </w:p>
    <w:tbl>
      <w:tblPr>
        <w:tblStyle w:val="OCETable"/>
        <w:tblW w:w="4940" w:type="pct"/>
        <w:tblInd w:w="108" w:type="dxa"/>
        <w:tblLayout w:type="fixed"/>
        <w:tblLook w:val="04A0" w:firstRow="1" w:lastRow="0" w:firstColumn="1" w:lastColumn="0" w:noHBand="0" w:noVBand="1"/>
        <w:tblCaption w:val="Table contains figure 3.2"/>
        <w:tblDescription w:val="Table contains figure 3.2"/>
      </w:tblPr>
      <w:tblGrid>
        <w:gridCol w:w="6811"/>
      </w:tblGrid>
      <w:tr w:rsidR="00396329" w14:paraId="5333A610"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2A3876D6" w14:textId="0DC137AB" w:rsidR="00396329" w:rsidRDefault="00396329" w:rsidP="00396329">
            <w:pPr>
              <w:pStyle w:val="PlaceholderWide"/>
            </w:pPr>
            <w:r>
              <w:rPr>
                <w:noProof/>
                <w:lang w:eastAsia="en-AU"/>
              </w:rPr>
              <w:drawing>
                <wp:inline distT="0" distB="0" distL="0" distR="0" wp14:anchorId="48815ACF" wp14:editId="314F774F">
                  <wp:extent cx="3352807" cy="2548133"/>
                  <wp:effectExtent l="0" t="0" r="0" b="5080"/>
                  <wp:docPr id="25" name="Picture 25" descr="The average number of firms falls monotonically with increasing Market Power index. The average number of firms is very small for indexe values above zero." title="Fig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es 2.1 to 3.3 [Recovered]_Figure 3.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52807" cy="2548133"/>
                          </a:xfrm>
                          <a:prstGeom prst="rect">
                            <a:avLst/>
                          </a:prstGeom>
                        </pic:spPr>
                      </pic:pic>
                    </a:graphicData>
                  </a:graphic>
                </wp:inline>
              </w:drawing>
            </w:r>
          </w:p>
        </w:tc>
      </w:tr>
    </w:tbl>
    <w:p w14:paraId="41A2D4DC" w14:textId="77777777" w:rsidR="00396329" w:rsidRPr="00396329" w:rsidRDefault="00396329" w:rsidP="00396329">
      <w:pPr>
        <w:pStyle w:val="Placeholder"/>
      </w:pPr>
    </w:p>
    <w:p w14:paraId="66F017B7" w14:textId="5E5D6992" w:rsidR="0056014D" w:rsidRPr="00C62F3A" w:rsidRDefault="0056014D" w:rsidP="006653F0">
      <w:pPr>
        <w:pStyle w:val="Note"/>
      </w:pPr>
      <w:r>
        <w:t>Notes: A kernel regression with a Gaussian kernel and a bandwidth of 0.1 is used.</w:t>
      </w:r>
    </w:p>
    <w:p w14:paraId="33308F35" w14:textId="3056A82F" w:rsidR="00FA108D" w:rsidRDefault="0056014D" w:rsidP="00396329">
      <w:pPr>
        <w:pStyle w:val="Source"/>
      </w:pPr>
      <w:r>
        <w:t>Source: Department of Industry</w:t>
      </w:r>
      <w:r w:rsidR="00396329">
        <w:t>, Innovation and Science (2019)</w:t>
      </w:r>
    </w:p>
    <w:p w14:paraId="68F2B360" w14:textId="78F4E4C7" w:rsidR="00FA108D" w:rsidRDefault="00FA108D" w:rsidP="00FA108D">
      <w:pPr>
        <w:spacing w:before="240" w:line="270" w:lineRule="exact"/>
        <w:ind w:left="0"/>
      </w:pPr>
      <w:r>
        <w:t>As one can see, the relationship in this picture is practically monotonic. There is no sign of the non-monotonicities observed in the upper tail of the relation in Figure </w:t>
      </w:r>
      <w:r w:rsidR="002176C2">
        <w:t>3.1</w:t>
      </w:r>
      <w:r>
        <w:t>. Market Power effectively reorders observations to eliminate those non-monotonicities.</w:t>
      </w:r>
    </w:p>
    <w:p w14:paraId="41D862E2" w14:textId="6333658B" w:rsidR="00FA108D" w:rsidRDefault="00FA108D" w:rsidP="00FA108D">
      <w:pPr>
        <w:spacing w:line="270" w:lineRule="exact"/>
        <w:ind w:left="0"/>
      </w:pPr>
      <w:r>
        <w:t>For some specifics, in Table </w:t>
      </w:r>
      <w:r w:rsidR="00734A30">
        <w:t>3.3</w:t>
      </w:r>
      <w:r>
        <w:t>, I report a few industries that have the lowest and the highest values for the derived index of Market Power. As the table shows, those industries with the highest Market Power are both concentrated and have a very small firm population.</w:t>
      </w:r>
    </w:p>
    <w:p w14:paraId="25565F5B" w14:textId="77777777" w:rsidR="005410C5" w:rsidRDefault="005410C5" w:rsidP="00FA108D">
      <w:pPr>
        <w:spacing w:line="270" w:lineRule="exact"/>
        <w:ind w:left="0"/>
      </w:pPr>
    </w:p>
    <w:p w14:paraId="7D94E512" w14:textId="77777777" w:rsidR="00650295" w:rsidRDefault="00650295" w:rsidP="00FA108D">
      <w:pPr>
        <w:spacing w:line="270" w:lineRule="exact"/>
        <w:ind w:left="0"/>
      </w:pPr>
    </w:p>
    <w:p w14:paraId="5424DA86" w14:textId="77777777" w:rsidR="00650295" w:rsidRDefault="00650295" w:rsidP="00FA108D">
      <w:pPr>
        <w:spacing w:line="270" w:lineRule="exact"/>
        <w:ind w:left="0"/>
      </w:pPr>
    </w:p>
    <w:p w14:paraId="24E0319B" w14:textId="77777777" w:rsidR="00650295" w:rsidRDefault="00650295" w:rsidP="006653F0">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3</w:t>
      </w:r>
      <w:r>
        <w:rPr>
          <w:noProof/>
        </w:rPr>
        <w:fldChar w:fldCharType="end"/>
      </w:r>
      <w:r>
        <w:t>: Industries with lowest and highest Market Power.</w:t>
      </w:r>
    </w:p>
    <w:tbl>
      <w:tblPr>
        <w:tblStyle w:val="OCETable"/>
        <w:tblW w:w="6250" w:type="pct"/>
        <w:tblInd w:w="-1877" w:type="dxa"/>
        <w:tblLook w:val="04A0" w:firstRow="1" w:lastRow="0" w:firstColumn="1" w:lastColumn="0" w:noHBand="0" w:noVBand="1"/>
        <w:tblCaption w:val="Table 3.3"/>
        <w:tblDescription w:val="Industries with the lowest market power generally have very large firm population along with very low Herfindahl indexes. Industry with the highest market power is electricity transmission followed by iron and steel forging, rail transport, and educational support services. "/>
      </w:tblPr>
      <w:tblGrid>
        <w:gridCol w:w="886"/>
        <w:gridCol w:w="917"/>
        <w:gridCol w:w="2201"/>
        <w:gridCol w:w="989"/>
        <w:gridCol w:w="667"/>
        <w:gridCol w:w="867"/>
        <w:gridCol w:w="767"/>
        <w:gridCol w:w="117"/>
        <w:gridCol w:w="1207"/>
      </w:tblGrid>
      <w:tr w:rsidR="00650295" w14:paraId="075CB3E8"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514" w:type="pct"/>
          </w:tcPr>
          <w:p w14:paraId="47DBC280" w14:textId="77777777" w:rsidR="00650295" w:rsidRDefault="00650295" w:rsidP="00650295">
            <w:pPr>
              <w:pStyle w:val="Tableheadertext"/>
              <w:jc w:val="center"/>
            </w:pPr>
            <w:r>
              <w:t>ANZSIC</w:t>
            </w:r>
          </w:p>
        </w:tc>
        <w:tc>
          <w:tcPr>
            <w:tcW w:w="532" w:type="pct"/>
          </w:tcPr>
          <w:p w14:paraId="54C1955F" w14:textId="77777777" w:rsidR="00650295" w:rsidRDefault="00650295" w:rsidP="00650295">
            <w:pPr>
              <w:pStyle w:val="Tableheadertext"/>
              <w:jc w:val="center"/>
            </w:pPr>
            <w:r>
              <w:t>Division</w:t>
            </w:r>
          </w:p>
        </w:tc>
        <w:tc>
          <w:tcPr>
            <w:tcW w:w="1277" w:type="pct"/>
          </w:tcPr>
          <w:p w14:paraId="218C346E" w14:textId="77777777" w:rsidR="00650295" w:rsidRDefault="00650295" w:rsidP="00650295">
            <w:pPr>
              <w:pStyle w:val="Tableheadertext"/>
            </w:pPr>
            <w:r>
              <w:t>Description</w:t>
            </w:r>
          </w:p>
        </w:tc>
        <w:tc>
          <w:tcPr>
            <w:tcW w:w="574" w:type="pct"/>
          </w:tcPr>
          <w:p w14:paraId="1AC42E6A" w14:textId="77777777" w:rsidR="00650295" w:rsidRDefault="00650295" w:rsidP="00650295">
            <w:pPr>
              <w:pStyle w:val="Tableheadertext"/>
              <w:jc w:val="center"/>
            </w:pPr>
            <w:r>
              <w:t>Market Power</w:t>
            </w:r>
          </w:p>
        </w:tc>
        <w:tc>
          <w:tcPr>
            <w:tcW w:w="387" w:type="pct"/>
          </w:tcPr>
          <w:p w14:paraId="733552CD" w14:textId="77777777" w:rsidR="00650295" w:rsidRDefault="00650295" w:rsidP="00650295">
            <w:pPr>
              <w:pStyle w:val="Tableheadertext"/>
              <w:jc w:val="center"/>
            </w:pPr>
            <w:r>
              <w:t>HHI</w:t>
            </w:r>
          </w:p>
        </w:tc>
        <w:tc>
          <w:tcPr>
            <w:tcW w:w="503" w:type="pct"/>
          </w:tcPr>
          <w:p w14:paraId="5FB66873" w14:textId="77777777" w:rsidR="00650295" w:rsidRDefault="00650295" w:rsidP="00650295">
            <w:pPr>
              <w:pStyle w:val="Tableheadertext"/>
              <w:jc w:val="center"/>
            </w:pPr>
            <m:oMathPara>
              <m:oMath>
                <m:r>
                  <m:rPr>
                    <m:sty m:val="bi"/>
                  </m:rPr>
                  <w:rPr>
                    <w:rFonts w:ascii="Cambria Math" w:hAnsi="Cambria Math"/>
                  </w:rPr>
                  <m:t>N</m:t>
                </m:r>
              </m:oMath>
            </m:oMathPara>
          </w:p>
        </w:tc>
        <w:tc>
          <w:tcPr>
            <w:tcW w:w="513" w:type="pct"/>
            <w:gridSpan w:val="2"/>
          </w:tcPr>
          <w:p w14:paraId="73D1E5DB" w14:textId="77777777" w:rsidR="00650295" w:rsidRDefault="00650295" w:rsidP="00650295">
            <w:pPr>
              <w:pStyle w:val="Tableheadertext"/>
              <w:jc w:val="center"/>
            </w:pPr>
            <m:oMathPara>
              <m:oMath>
                <m:r>
                  <m:rPr>
                    <m:sty m:val="bi"/>
                  </m:rPr>
                  <w:rPr>
                    <w:rFonts w:ascii="Cambria Math" w:hAnsi="Cambria Math"/>
                  </w:rPr>
                  <m:t>E</m:t>
                </m:r>
              </m:oMath>
            </m:oMathPara>
          </w:p>
        </w:tc>
        <w:tc>
          <w:tcPr>
            <w:tcW w:w="700" w:type="pct"/>
          </w:tcPr>
          <w:p w14:paraId="566BF9D8" w14:textId="77777777" w:rsidR="00650295" w:rsidRDefault="00650295" w:rsidP="00650295">
            <w:pPr>
              <w:pStyle w:val="Tableheadertext"/>
              <w:jc w:val="center"/>
            </w:pPr>
            <w:r>
              <w:t>Secondary</w:t>
            </w:r>
          </w:p>
        </w:tc>
      </w:tr>
      <w:tr w:rsidR="002171EA" w14:paraId="4AB15947" w14:textId="77777777" w:rsidTr="002171EA">
        <w:trPr>
          <w:cnfStyle w:val="000000100000" w:firstRow="0" w:lastRow="0" w:firstColumn="0" w:lastColumn="0" w:oddVBand="0" w:evenVBand="0" w:oddHBand="1" w:evenHBand="0" w:firstRowFirstColumn="0" w:firstRowLastColumn="0" w:lastRowFirstColumn="0" w:lastRowLastColumn="0"/>
        </w:trPr>
        <w:tc>
          <w:tcPr>
            <w:tcW w:w="5000" w:type="pct"/>
            <w:gridSpan w:val="9"/>
          </w:tcPr>
          <w:p w14:paraId="0A6E75FE" w14:textId="77777777" w:rsidR="002171EA" w:rsidRPr="002171EA" w:rsidRDefault="002171EA" w:rsidP="002171EA">
            <w:pPr>
              <w:pStyle w:val="Tablebodytext"/>
              <w:rPr>
                <w:b/>
              </w:rPr>
            </w:pPr>
            <w:r w:rsidRPr="002171EA">
              <w:rPr>
                <w:b/>
              </w:rPr>
              <w:t>Panel A</w:t>
            </w:r>
            <w:r>
              <w:rPr>
                <w:b/>
              </w:rPr>
              <w:t>: Lowest Market Power</w:t>
            </w:r>
          </w:p>
        </w:tc>
      </w:tr>
      <w:tr w:rsidR="002171EA" w14:paraId="27B96E13"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vAlign w:val="center"/>
          </w:tcPr>
          <w:p w14:paraId="10BAE7FD" w14:textId="77777777" w:rsidR="00650295" w:rsidRDefault="00650295" w:rsidP="0032565E">
            <w:pPr>
              <w:pStyle w:val="Tablebodytext"/>
            </w:pPr>
            <w:r>
              <w:t>671</w:t>
            </w:r>
          </w:p>
        </w:tc>
        <w:tc>
          <w:tcPr>
            <w:tcW w:w="532" w:type="pct"/>
            <w:vAlign w:val="center"/>
          </w:tcPr>
          <w:p w14:paraId="6D629DAA" w14:textId="77777777" w:rsidR="00650295" w:rsidRDefault="00650295" w:rsidP="0032565E">
            <w:pPr>
              <w:pStyle w:val="Tablebodytext"/>
            </w:pPr>
            <w:r>
              <w:t>L</w:t>
            </w:r>
          </w:p>
        </w:tc>
        <w:tc>
          <w:tcPr>
            <w:tcW w:w="1277" w:type="pct"/>
          </w:tcPr>
          <w:p w14:paraId="7B476AE8" w14:textId="77777777" w:rsidR="00650295" w:rsidRDefault="00650295" w:rsidP="00650295">
            <w:pPr>
              <w:pStyle w:val="Tablebodytext"/>
            </w:pPr>
            <w:r>
              <w:t>Property Operators</w:t>
            </w:r>
          </w:p>
        </w:tc>
        <w:tc>
          <w:tcPr>
            <w:tcW w:w="574" w:type="pct"/>
            <w:vAlign w:val="center"/>
          </w:tcPr>
          <w:p w14:paraId="7DDD32B3" w14:textId="77777777" w:rsidR="00650295" w:rsidRDefault="00650295" w:rsidP="0032565E">
            <w:pPr>
              <w:pStyle w:val="Tablebodytext"/>
              <w:jc w:val="right"/>
            </w:pPr>
            <w:r>
              <w:t>-1.989</w:t>
            </w:r>
          </w:p>
        </w:tc>
        <w:tc>
          <w:tcPr>
            <w:tcW w:w="387" w:type="pct"/>
            <w:vAlign w:val="center"/>
          </w:tcPr>
          <w:p w14:paraId="29EEF6F0" w14:textId="77777777" w:rsidR="00650295" w:rsidRDefault="00650295" w:rsidP="0032565E">
            <w:pPr>
              <w:pStyle w:val="Tablebodytext"/>
              <w:jc w:val="right"/>
            </w:pPr>
            <w:r>
              <w:t>0.011</w:t>
            </w:r>
          </w:p>
        </w:tc>
        <w:tc>
          <w:tcPr>
            <w:tcW w:w="503" w:type="pct"/>
            <w:vAlign w:val="center"/>
          </w:tcPr>
          <w:p w14:paraId="4F841D0B" w14:textId="77777777" w:rsidR="00650295" w:rsidRDefault="00650295" w:rsidP="0032565E">
            <w:pPr>
              <w:pStyle w:val="Tablebodytext"/>
              <w:jc w:val="right"/>
            </w:pPr>
            <w:r>
              <w:t>152,584</w:t>
            </w:r>
          </w:p>
        </w:tc>
        <w:tc>
          <w:tcPr>
            <w:tcW w:w="445" w:type="pct"/>
            <w:vAlign w:val="center"/>
          </w:tcPr>
          <w:p w14:paraId="1A5B1041" w14:textId="77777777" w:rsidR="00650295" w:rsidRDefault="00650295" w:rsidP="0032565E">
            <w:pPr>
              <w:pStyle w:val="Tablebodytext"/>
              <w:jc w:val="right"/>
            </w:pPr>
            <w:r>
              <w:t>15,708</w:t>
            </w:r>
          </w:p>
        </w:tc>
        <w:tc>
          <w:tcPr>
            <w:tcW w:w="768" w:type="pct"/>
            <w:gridSpan w:val="2"/>
            <w:vAlign w:val="center"/>
          </w:tcPr>
          <w:p w14:paraId="328B5E9D" w14:textId="77777777" w:rsidR="00650295" w:rsidRDefault="00650295" w:rsidP="0032565E">
            <w:pPr>
              <w:pStyle w:val="Tablebodytext"/>
              <w:jc w:val="right"/>
            </w:pPr>
            <w:r>
              <w:t>1.193</w:t>
            </w:r>
          </w:p>
        </w:tc>
      </w:tr>
      <w:tr w:rsidR="002171EA" w14:paraId="048C392C" w14:textId="77777777" w:rsidTr="0032565E">
        <w:trPr>
          <w:cnfStyle w:val="000000100000" w:firstRow="0" w:lastRow="0" w:firstColumn="0" w:lastColumn="0" w:oddVBand="0" w:evenVBand="0" w:oddHBand="1" w:evenHBand="0" w:firstRowFirstColumn="0" w:firstRowLastColumn="0" w:lastRowFirstColumn="0" w:lastRowLastColumn="0"/>
        </w:trPr>
        <w:tc>
          <w:tcPr>
            <w:tcW w:w="514" w:type="pct"/>
            <w:vAlign w:val="center"/>
          </w:tcPr>
          <w:p w14:paraId="0FC09BDB" w14:textId="77777777" w:rsidR="00650295" w:rsidRDefault="00650295" w:rsidP="0032565E">
            <w:pPr>
              <w:pStyle w:val="Tablebodytext"/>
            </w:pPr>
            <w:r>
              <w:t>14</w:t>
            </w:r>
          </w:p>
        </w:tc>
        <w:tc>
          <w:tcPr>
            <w:tcW w:w="532" w:type="pct"/>
            <w:vAlign w:val="center"/>
          </w:tcPr>
          <w:p w14:paraId="6B27E8F0" w14:textId="77777777" w:rsidR="00650295" w:rsidRDefault="00650295" w:rsidP="0032565E">
            <w:pPr>
              <w:pStyle w:val="Tablebodytext"/>
            </w:pPr>
            <w:r>
              <w:t>A</w:t>
            </w:r>
          </w:p>
        </w:tc>
        <w:tc>
          <w:tcPr>
            <w:tcW w:w="1277" w:type="pct"/>
          </w:tcPr>
          <w:p w14:paraId="75202ADB" w14:textId="29702432" w:rsidR="00650295" w:rsidRDefault="00650295" w:rsidP="00650295">
            <w:pPr>
              <w:pStyle w:val="Tablebodytext"/>
            </w:pPr>
            <w:r>
              <w:t xml:space="preserve">Cattle and Grain </w:t>
            </w:r>
            <w:r w:rsidR="002176C2">
              <w:t>F</w:t>
            </w:r>
            <w:r>
              <w:t>arming</w:t>
            </w:r>
          </w:p>
        </w:tc>
        <w:tc>
          <w:tcPr>
            <w:tcW w:w="574" w:type="pct"/>
            <w:vAlign w:val="center"/>
          </w:tcPr>
          <w:p w14:paraId="6E191482" w14:textId="77777777" w:rsidR="00650295" w:rsidRDefault="00650295" w:rsidP="0032565E">
            <w:pPr>
              <w:pStyle w:val="Tablebodytext"/>
              <w:jc w:val="right"/>
            </w:pPr>
            <w:r>
              <w:t>-1.875</w:t>
            </w:r>
          </w:p>
        </w:tc>
        <w:tc>
          <w:tcPr>
            <w:tcW w:w="387" w:type="pct"/>
            <w:vAlign w:val="center"/>
          </w:tcPr>
          <w:p w14:paraId="5334B04B" w14:textId="77777777" w:rsidR="00650295" w:rsidRDefault="00650295" w:rsidP="0032565E">
            <w:pPr>
              <w:pStyle w:val="Tablebodytext"/>
              <w:jc w:val="right"/>
            </w:pPr>
            <w:r>
              <w:t>0.011</w:t>
            </w:r>
          </w:p>
        </w:tc>
        <w:tc>
          <w:tcPr>
            <w:tcW w:w="503" w:type="pct"/>
            <w:vAlign w:val="center"/>
          </w:tcPr>
          <w:p w14:paraId="275C0AD5" w14:textId="77777777" w:rsidR="00650295" w:rsidRDefault="00650295" w:rsidP="0032565E">
            <w:pPr>
              <w:pStyle w:val="Tablebodytext"/>
              <w:jc w:val="right"/>
            </w:pPr>
            <w:r>
              <w:t>112,058</w:t>
            </w:r>
          </w:p>
        </w:tc>
        <w:tc>
          <w:tcPr>
            <w:tcW w:w="445" w:type="pct"/>
            <w:vAlign w:val="center"/>
          </w:tcPr>
          <w:p w14:paraId="11186233" w14:textId="77777777" w:rsidR="00650295" w:rsidRDefault="00650295" w:rsidP="0032565E">
            <w:pPr>
              <w:pStyle w:val="Tablebodytext"/>
              <w:jc w:val="right"/>
            </w:pPr>
            <w:r>
              <w:t>5,679</w:t>
            </w:r>
          </w:p>
        </w:tc>
        <w:tc>
          <w:tcPr>
            <w:tcW w:w="768" w:type="pct"/>
            <w:gridSpan w:val="2"/>
            <w:vAlign w:val="center"/>
          </w:tcPr>
          <w:p w14:paraId="6F7C09AE" w14:textId="77777777" w:rsidR="00650295" w:rsidRDefault="00650295" w:rsidP="0032565E">
            <w:pPr>
              <w:pStyle w:val="Tablebodytext"/>
              <w:jc w:val="right"/>
            </w:pPr>
            <w:r>
              <w:t>1.073</w:t>
            </w:r>
          </w:p>
        </w:tc>
      </w:tr>
      <w:tr w:rsidR="002171EA" w14:paraId="014A6CC5"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vAlign w:val="center"/>
          </w:tcPr>
          <w:p w14:paraId="127A0243" w14:textId="77777777" w:rsidR="00650295" w:rsidRDefault="00650295" w:rsidP="0032565E">
            <w:pPr>
              <w:pStyle w:val="Tablebodytext"/>
            </w:pPr>
            <w:r>
              <w:t>324</w:t>
            </w:r>
          </w:p>
        </w:tc>
        <w:tc>
          <w:tcPr>
            <w:tcW w:w="532" w:type="pct"/>
            <w:vAlign w:val="center"/>
          </w:tcPr>
          <w:p w14:paraId="6DB57D6F" w14:textId="77777777" w:rsidR="00650295" w:rsidRDefault="00650295" w:rsidP="0032565E">
            <w:pPr>
              <w:pStyle w:val="Tablebodytext"/>
            </w:pPr>
            <w:r>
              <w:t>E</w:t>
            </w:r>
          </w:p>
        </w:tc>
        <w:tc>
          <w:tcPr>
            <w:tcW w:w="1277" w:type="pct"/>
          </w:tcPr>
          <w:p w14:paraId="6699F4E5" w14:textId="77777777" w:rsidR="00650295" w:rsidRDefault="00650295" w:rsidP="00650295">
            <w:pPr>
              <w:pStyle w:val="Tablebodytext"/>
            </w:pPr>
            <w:r>
              <w:t>Building Completion Services</w:t>
            </w:r>
          </w:p>
        </w:tc>
        <w:tc>
          <w:tcPr>
            <w:tcW w:w="574" w:type="pct"/>
            <w:vAlign w:val="center"/>
          </w:tcPr>
          <w:p w14:paraId="3B54F2D9" w14:textId="77777777" w:rsidR="00650295" w:rsidRDefault="00650295" w:rsidP="0032565E">
            <w:pPr>
              <w:pStyle w:val="Tablebodytext"/>
              <w:jc w:val="right"/>
            </w:pPr>
            <w:r>
              <w:t>-1.856</w:t>
            </w:r>
          </w:p>
        </w:tc>
        <w:tc>
          <w:tcPr>
            <w:tcW w:w="387" w:type="pct"/>
            <w:vAlign w:val="center"/>
          </w:tcPr>
          <w:p w14:paraId="44F539C3" w14:textId="77777777" w:rsidR="00650295" w:rsidRDefault="00650295" w:rsidP="0032565E">
            <w:pPr>
              <w:pStyle w:val="Tablebodytext"/>
              <w:jc w:val="right"/>
            </w:pPr>
            <w:r>
              <w:t>0.009</w:t>
            </w:r>
          </w:p>
        </w:tc>
        <w:tc>
          <w:tcPr>
            <w:tcW w:w="503" w:type="pct"/>
            <w:vAlign w:val="center"/>
          </w:tcPr>
          <w:p w14:paraId="0EB5B9E5" w14:textId="77777777" w:rsidR="00650295" w:rsidRDefault="00650295" w:rsidP="0032565E">
            <w:pPr>
              <w:pStyle w:val="Tablebodytext"/>
              <w:jc w:val="right"/>
            </w:pPr>
            <w:r>
              <w:t>104,243</w:t>
            </w:r>
          </w:p>
        </w:tc>
        <w:tc>
          <w:tcPr>
            <w:tcW w:w="445" w:type="pct"/>
            <w:vAlign w:val="center"/>
          </w:tcPr>
          <w:p w14:paraId="6CA947AD" w14:textId="77777777" w:rsidR="00650295" w:rsidRDefault="00650295" w:rsidP="0032565E">
            <w:pPr>
              <w:pStyle w:val="Tablebodytext"/>
              <w:jc w:val="right"/>
            </w:pPr>
            <w:r>
              <w:t>14,416</w:t>
            </w:r>
          </w:p>
        </w:tc>
        <w:tc>
          <w:tcPr>
            <w:tcW w:w="768" w:type="pct"/>
            <w:gridSpan w:val="2"/>
            <w:vAlign w:val="center"/>
          </w:tcPr>
          <w:p w14:paraId="352FAE9C" w14:textId="77777777" w:rsidR="00650295" w:rsidRDefault="00650295" w:rsidP="0032565E">
            <w:pPr>
              <w:pStyle w:val="Tablebodytext"/>
              <w:jc w:val="right"/>
            </w:pPr>
            <w:r>
              <w:t>1.036</w:t>
            </w:r>
          </w:p>
        </w:tc>
      </w:tr>
      <w:tr w:rsidR="002171EA" w14:paraId="7E88ED37" w14:textId="77777777" w:rsidTr="0032565E">
        <w:trPr>
          <w:cnfStyle w:val="000000100000" w:firstRow="0" w:lastRow="0" w:firstColumn="0" w:lastColumn="0" w:oddVBand="0" w:evenVBand="0" w:oddHBand="1" w:evenHBand="0" w:firstRowFirstColumn="0" w:firstRowLastColumn="0" w:lastRowFirstColumn="0" w:lastRowLastColumn="0"/>
        </w:trPr>
        <w:tc>
          <w:tcPr>
            <w:tcW w:w="514" w:type="pct"/>
            <w:vAlign w:val="center"/>
          </w:tcPr>
          <w:p w14:paraId="1F3B69BB" w14:textId="77777777" w:rsidR="00650295" w:rsidRDefault="00650295" w:rsidP="0032565E">
            <w:pPr>
              <w:pStyle w:val="Tablebodytext"/>
            </w:pPr>
            <w:r>
              <w:t>323</w:t>
            </w:r>
          </w:p>
        </w:tc>
        <w:tc>
          <w:tcPr>
            <w:tcW w:w="532" w:type="pct"/>
            <w:vAlign w:val="center"/>
          </w:tcPr>
          <w:p w14:paraId="4553EC33" w14:textId="77777777" w:rsidR="00650295" w:rsidRDefault="00650295" w:rsidP="0032565E">
            <w:pPr>
              <w:pStyle w:val="Tablebodytext"/>
            </w:pPr>
            <w:r>
              <w:t>E</w:t>
            </w:r>
          </w:p>
        </w:tc>
        <w:tc>
          <w:tcPr>
            <w:tcW w:w="1277" w:type="pct"/>
          </w:tcPr>
          <w:p w14:paraId="3F992786" w14:textId="77777777" w:rsidR="00650295" w:rsidRDefault="00650295" w:rsidP="00650295">
            <w:pPr>
              <w:pStyle w:val="Tablebodytext"/>
            </w:pPr>
            <w:r>
              <w:t>Building Installation Services</w:t>
            </w:r>
          </w:p>
        </w:tc>
        <w:tc>
          <w:tcPr>
            <w:tcW w:w="574" w:type="pct"/>
            <w:vAlign w:val="center"/>
          </w:tcPr>
          <w:p w14:paraId="718E0A4E" w14:textId="77777777" w:rsidR="00650295" w:rsidRDefault="00650295" w:rsidP="0032565E">
            <w:pPr>
              <w:pStyle w:val="Tablebodytext"/>
              <w:jc w:val="right"/>
            </w:pPr>
            <w:r>
              <w:t>-1.757</w:t>
            </w:r>
          </w:p>
        </w:tc>
        <w:tc>
          <w:tcPr>
            <w:tcW w:w="387" w:type="pct"/>
            <w:vAlign w:val="center"/>
          </w:tcPr>
          <w:p w14:paraId="712E4F3D" w14:textId="77777777" w:rsidR="00650295" w:rsidRDefault="00650295" w:rsidP="0032565E">
            <w:pPr>
              <w:pStyle w:val="Tablebodytext"/>
              <w:jc w:val="right"/>
            </w:pPr>
            <w:r>
              <w:t>0.001</w:t>
            </w:r>
          </w:p>
        </w:tc>
        <w:tc>
          <w:tcPr>
            <w:tcW w:w="503" w:type="pct"/>
            <w:vAlign w:val="center"/>
          </w:tcPr>
          <w:p w14:paraId="18A2CF93" w14:textId="77777777" w:rsidR="00650295" w:rsidRDefault="00650295" w:rsidP="0032565E">
            <w:pPr>
              <w:pStyle w:val="Tablebodytext"/>
              <w:jc w:val="right"/>
            </w:pPr>
            <w:r>
              <w:t>72,797</w:t>
            </w:r>
          </w:p>
        </w:tc>
        <w:tc>
          <w:tcPr>
            <w:tcW w:w="445" w:type="pct"/>
            <w:vAlign w:val="center"/>
          </w:tcPr>
          <w:p w14:paraId="3901E9FC" w14:textId="77777777" w:rsidR="00650295" w:rsidRDefault="00650295" w:rsidP="0032565E">
            <w:pPr>
              <w:pStyle w:val="Tablebodytext"/>
              <w:jc w:val="right"/>
            </w:pPr>
            <w:r>
              <w:t>9,003</w:t>
            </w:r>
          </w:p>
        </w:tc>
        <w:tc>
          <w:tcPr>
            <w:tcW w:w="768" w:type="pct"/>
            <w:gridSpan w:val="2"/>
            <w:vAlign w:val="center"/>
          </w:tcPr>
          <w:p w14:paraId="197A2923" w14:textId="77777777" w:rsidR="00650295" w:rsidRDefault="00650295" w:rsidP="0032565E">
            <w:pPr>
              <w:pStyle w:val="Tablebodytext"/>
              <w:jc w:val="right"/>
            </w:pPr>
            <w:r>
              <w:t>0.858</w:t>
            </w:r>
          </w:p>
        </w:tc>
      </w:tr>
      <w:tr w:rsidR="002171EA" w14:paraId="71FC535F"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tcBorders>
              <w:bottom w:val="single" w:sz="4" w:space="0" w:color="auto"/>
            </w:tcBorders>
            <w:vAlign w:val="center"/>
          </w:tcPr>
          <w:p w14:paraId="66015E73" w14:textId="77777777" w:rsidR="00650295" w:rsidRDefault="00650295" w:rsidP="0032565E">
            <w:pPr>
              <w:pStyle w:val="Tablebodytext"/>
            </w:pPr>
            <w:r>
              <w:t>692</w:t>
            </w:r>
          </w:p>
        </w:tc>
        <w:tc>
          <w:tcPr>
            <w:tcW w:w="532" w:type="pct"/>
            <w:tcBorders>
              <w:bottom w:val="single" w:sz="4" w:space="0" w:color="auto"/>
            </w:tcBorders>
            <w:vAlign w:val="center"/>
          </w:tcPr>
          <w:p w14:paraId="5D914B33" w14:textId="77777777" w:rsidR="00650295" w:rsidRDefault="00650295" w:rsidP="0032565E">
            <w:pPr>
              <w:pStyle w:val="Tablebodytext"/>
            </w:pPr>
            <w:r>
              <w:t>M</w:t>
            </w:r>
          </w:p>
        </w:tc>
        <w:tc>
          <w:tcPr>
            <w:tcW w:w="1277" w:type="pct"/>
            <w:tcBorders>
              <w:bottom w:val="single" w:sz="4" w:space="0" w:color="auto"/>
            </w:tcBorders>
          </w:tcPr>
          <w:p w14:paraId="29FED32C" w14:textId="77777777" w:rsidR="00650295" w:rsidRDefault="00650295" w:rsidP="00650295">
            <w:pPr>
              <w:pStyle w:val="Tablebodytext"/>
            </w:pPr>
            <w:r>
              <w:t>Architectural and Engineering Serv.</w:t>
            </w:r>
          </w:p>
        </w:tc>
        <w:tc>
          <w:tcPr>
            <w:tcW w:w="574" w:type="pct"/>
            <w:tcBorders>
              <w:bottom w:val="single" w:sz="4" w:space="0" w:color="auto"/>
            </w:tcBorders>
            <w:vAlign w:val="center"/>
          </w:tcPr>
          <w:p w14:paraId="2FF80B30" w14:textId="77777777" w:rsidR="00650295" w:rsidRDefault="00650295" w:rsidP="0032565E">
            <w:pPr>
              <w:pStyle w:val="Tablebodytext"/>
              <w:jc w:val="right"/>
            </w:pPr>
            <w:r>
              <w:t>-1.714</w:t>
            </w:r>
          </w:p>
        </w:tc>
        <w:tc>
          <w:tcPr>
            <w:tcW w:w="387" w:type="pct"/>
            <w:tcBorders>
              <w:bottom w:val="single" w:sz="4" w:space="0" w:color="auto"/>
            </w:tcBorders>
            <w:vAlign w:val="center"/>
          </w:tcPr>
          <w:p w14:paraId="59D1FFDC" w14:textId="77777777" w:rsidR="00650295" w:rsidRDefault="00650295" w:rsidP="0032565E">
            <w:pPr>
              <w:pStyle w:val="Tablebodytext"/>
              <w:jc w:val="right"/>
            </w:pPr>
            <w:r>
              <w:t>0.003</w:t>
            </w:r>
          </w:p>
        </w:tc>
        <w:tc>
          <w:tcPr>
            <w:tcW w:w="503" w:type="pct"/>
            <w:tcBorders>
              <w:bottom w:val="single" w:sz="4" w:space="0" w:color="auto"/>
            </w:tcBorders>
            <w:vAlign w:val="center"/>
          </w:tcPr>
          <w:p w14:paraId="68518970" w14:textId="77777777" w:rsidR="00650295" w:rsidRDefault="00650295" w:rsidP="0032565E">
            <w:pPr>
              <w:pStyle w:val="Tablebodytext"/>
              <w:jc w:val="right"/>
            </w:pPr>
            <w:r>
              <w:t>66,743</w:t>
            </w:r>
          </w:p>
        </w:tc>
        <w:tc>
          <w:tcPr>
            <w:tcW w:w="445" w:type="pct"/>
            <w:tcBorders>
              <w:bottom w:val="single" w:sz="4" w:space="0" w:color="auto"/>
            </w:tcBorders>
            <w:vAlign w:val="center"/>
          </w:tcPr>
          <w:p w14:paraId="1B128AD2" w14:textId="77777777" w:rsidR="00650295" w:rsidRDefault="00650295" w:rsidP="0032565E">
            <w:pPr>
              <w:pStyle w:val="Tablebodytext"/>
              <w:jc w:val="right"/>
            </w:pPr>
            <w:r>
              <w:t>8,701</w:t>
            </w:r>
          </w:p>
        </w:tc>
        <w:tc>
          <w:tcPr>
            <w:tcW w:w="768" w:type="pct"/>
            <w:gridSpan w:val="2"/>
            <w:tcBorders>
              <w:bottom w:val="single" w:sz="4" w:space="0" w:color="auto"/>
            </w:tcBorders>
            <w:vAlign w:val="center"/>
          </w:tcPr>
          <w:p w14:paraId="31645ACE" w14:textId="77777777" w:rsidR="00650295" w:rsidRDefault="00650295" w:rsidP="0032565E">
            <w:pPr>
              <w:pStyle w:val="Tablebodytext"/>
              <w:jc w:val="right"/>
            </w:pPr>
            <w:r>
              <w:t>0.837</w:t>
            </w:r>
          </w:p>
        </w:tc>
      </w:tr>
      <w:tr w:rsidR="002171EA" w14:paraId="304E63C9" w14:textId="77777777" w:rsidTr="0032565E">
        <w:trPr>
          <w:cnfStyle w:val="000000100000" w:firstRow="0" w:lastRow="0" w:firstColumn="0" w:lastColumn="0" w:oddVBand="0" w:evenVBand="0" w:oddHBand="1" w:evenHBand="0" w:firstRowFirstColumn="0" w:firstRowLastColumn="0" w:lastRowFirstColumn="0" w:lastRowLastColumn="0"/>
        </w:trPr>
        <w:tc>
          <w:tcPr>
            <w:tcW w:w="5000" w:type="pct"/>
            <w:gridSpan w:val="9"/>
            <w:tcBorders>
              <w:top w:val="single" w:sz="4" w:space="0" w:color="auto"/>
            </w:tcBorders>
            <w:vAlign w:val="center"/>
          </w:tcPr>
          <w:p w14:paraId="781748BD" w14:textId="77777777" w:rsidR="002171EA" w:rsidRPr="002171EA" w:rsidRDefault="002171EA" w:rsidP="0032565E">
            <w:pPr>
              <w:pStyle w:val="Tablebodytext"/>
              <w:rPr>
                <w:b/>
              </w:rPr>
            </w:pPr>
            <w:r w:rsidRPr="002171EA">
              <w:rPr>
                <w:b/>
              </w:rPr>
              <w:t>Panel B</w:t>
            </w:r>
            <w:r>
              <w:rPr>
                <w:b/>
              </w:rPr>
              <w:t>: Highest Market Power</w:t>
            </w:r>
          </w:p>
        </w:tc>
      </w:tr>
      <w:tr w:rsidR="002171EA" w14:paraId="738D6DF4"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vAlign w:val="center"/>
          </w:tcPr>
          <w:p w14:paraId="4A56E9DD" w14:textId="77777777" w:rsidR="00650295" w:rsidRDefault="00650295" w:rsidP="0032565E">
            <w:pPr>
              <w:pStyle w:val="Tablebodytext"/>
            </w:pPr>
            <w:r>
              <w:t>ANZSIC</w:t>
            </w:r>
          </w:p>
        </w:tc>
        <w:tc>
          <w:tcPr>
            <w:tcW w:w="532" w:type="pct"/>
            <w:vAlign w:val="center"/>
          </w:tcPr>
          <w:p w14:paraId="0356A6F2" w14:textId="77777777" w:rsidR="00650295" w:rsidRDefault="00650295" w:rsidP="0032565E">
            <w:pPr>
              <w:pStyle w:val="Tablebodytext"/>
            </w:pPr>
            <w:r>
              <w:t>Division</w:t>
            </w:r>
          </w:p>
        </w:tc>
        <w:tc>
          <w:tcPr>
            <w:tcW w:w="1277" w:type="pct"/>
          </w:tcPr>
          <w:p w14:paraId="2E4F355B" w14:textId="77777777" w:rsidR="00650295" w:rsidRDefault="00650295" w:rsidP="00650295">
            <w:pPr>
              <w:pStyle w:val="Tablebodytext"/>
            </w:pPr>
            <w:r>
              <w:t>Description</w:t>
            </w:r>
          </w:p>
        </w:tc>
        <w:tc>
          <w:tcPr>
            <w:tcW w:w="574" w:type="pct"/>
            <w:vAlign w:val="center"/>
          </w:tcPr>
          <w:p w14:paraId="2FBEBAAD" w14:textId="77777777" w:rsidR="00650295" w:rsidRDefault="00650295" w:rsidP="0032565E">
            <w:pPr>
              <w:pStyle w:val="Tablebodytext"/>
              <w:jc w:val="right"/>
            </w:pPr>
            <w:r>
              <w:t>Market Power</w:t>
            </w:r>
          </w:p>
        </w:tc>
        <w:tc>
          <w:tcPr>
            <w:tcW w:w="387" w:type="pct"/>
            <w:vAlign w:val="center"/>
          </w:tcPr>
          <w:p w14:paraId="430C57CA" w14:textId="77777777" w:rsidR="00650295" w:rsidRDefault="00650295" w:rsidP="0032565E">
            <w:pPr>
              <w:pStyle w:val="Tablebodytext"/>
              <w:jc w:val="right"/>
            </w:pPr>
            <w:r>
              <w:t>HHI</w:t>
            </w:r>
          </w:p>
        </w:tc>
        <w:tc>
          <w:tcPr>
            <w:tcW w:w="503" w:type="pct"/>
            <w:vAlign w:val="center"/>
          </w:tcPr>
          <w:p w14:paraId="4B90AB29" w14:textId="77777777" w:rsidR="00650295" w:rsidRDefault="00650295" w:rsidP="0032565E">
            <w:pPr>
              <w:pStyle w:val="Tablebodytext"/>
              <w:jc w:val="right"/>
            </w:pPr>
            <m:oMathPara>
              <m:oMath>
                <m:r>
                  <w:rPr>
                    <w:rFonts w:ascii="Cambria Math" w:hAnsi="Cambria Math"/>
                  </w:rPr>
                  <m:t>N</m:t>
                </m:r>
              </m:oMath>
            </m:oMathPara>
          </w:p>
        </w:tc>
        <w:tc>
          <w:tcPr>
            <w:tcW w:w="445" w:type="pct"/>
            <w:vAlign w:val="center"/>
          </w:tcPr>
          <w:p w14:paraId="08032861" w14:textId="77777777" w:rsidR="00650295" w:rsidRDefault="00650295" w:rsidP="0032565E">
            <w:pPr>
              <w:pStyle w:val="Tablebodytext"/>
              <w:jc w:val="right"/>
            </w:pPr>
            <m:oMathPara>
              <m:oMath>
                <m:r>
                  <w:rPr>
                    <w:rFonts w:ascii="Cambria Math" w:hAnsi="Cambria Math"/>
                  </w:rPr>
                  <m:t>E</m:t>
                </m:r>
              </m:oMath>
            </m:oMathPara>
          </w:p>
        </w:tc>
        <w:tc>
          <w:tcPr>
            <w:tcW w:w="768" w:type="pct"/>
            <w:gridSpan w:val="2"/>
            <w:vAlign w:val="center"/>
          </w:tcPr>
          <w:p w14:paraId="7C30B49A" w14:textId="77777777" w:rsidR="00650295" w:rsidRDefault="00650295" w:rsidP="0032565E">
            <w:pPr>
              <w:pStyle w:val="Tablebodytext"/>
              <w:jc w:val="right"/>
            </w:pPr>
            <w:r>
              <w:t>Secondary</w:t>
            </w:r>
          </w:p>
        </w:tc>
      </w:tr>
      <w:tr w:rsidR="002171EA" w14:paraId="2C52814C" w14:textId="77777777" w:rsidTr="0032565E">
        <w:trPr>
          <w:cnfStyle w:val="000000100000" w:firstRow="0" w:lastRow="0" w:firstColumn="0" w:lastColumn="0" w:oddVBand="0" w:evenVBand="0" w:oddHBand="1" w:evenHBand="0" w:firstRowFirstColumn="0" w:firstRowLastColumn="0" w:lastRowFirstColumn="0" w:lastRowLastColumn="0"/>
        </w:trPr>
        <w:tc>
          <w:tcPr>
            <w:tcW w:w="514" w:type="pct"/>
            <w:vAlign w:val="center"/>
          </w:tcPr>
          <w:p w14:paraId="13C02D25" w14:textId="77777777" w:rsidR="00650295" w:rsidRDefault="00650295" w:rsidP="0032565E">
            <w:pPr>
              <w:pStyle w:val="Tablebodytext"/>
            </w:pPr>
            <w:r>
              <w:t>189</w:t>
            </w:r>
          </w:p>
        </w:tc>
        <w:tc>
          <w:tcPr>
            <w:tcW w:w="532" w:type="pct"/>
            <w:vAlign w:val="center"/>
          </w:tcPr>
          <w:p w14:paraId="4E908F86" w14:textId="77777777" w:rsidR="00650295" w:rsidRDefault="00650295" w:rsidP="0032565E">
            <w:pPr>
              <w:pStyle w:val="Tablebodytext"/>
            </w:pPr>
            <w:r>
              <w:t>C</w:t>
            </w:r>
          </w:p>
        </w:tc>
        <w:tc>
          <w:tcPr>
            <w:tcW w:w="1277" w:type="pct"/>
          </w:tcPr>
          <w:p w14:paraId="1ADEF288" w14:textId="77777777" w:rsidR="00650295" w:rsidRDefault="00650295" w:rsidP="00650295">
            <w:pPr>
              <w:pStyle w:val="Tablebodytext"/>
            </w:pPr>
            <w:r>
              <w:t>Other Basic Chemical Products</w:t>
            </w:r>
          </w:p>
        </w:tc>
        <w:tc>
          <w:tcPr>
            <w:tcW w:w="574" w:type="pct"/>
            <w:vAlign w:val="center"/>
          </w:tcPr>
          <w:p w14:paraId="760AFFA1" w14:textId="77777777" w:rsidR="00650295" w:rsidRDefault="00650295" w:rsidP="0032565E">
            <w:pPr>
              <w:pStyle w:val="Tablebodytext"/>
              <w:jc w:val="right"/>
            </w:pPr>
            <w:r>
              <w:t>2.468</w:t>
            </w:r>
          </w:p>
        </w:tc>
        <w:tc>
          <w:tcPr>
            <w:tcW w:w="387" w:type="pct"/>
            <w:vAlign w:val="center"/>
          </w:tcPr>
          <w:p w14:paraId="1EFDB47C" w14:textId="77777777" w:rsidR="00650295" w:rsidRDefault="00650295" w:rsidP="0032565E">
            <w:pPr>
              <w:pStyle w:val="Tablebodytext"/>
              <w:jc w:val="right"/>
            </w:pPr>
            <w:r>
              <w:t>0.350</w:t>
            </w:r>
          </w:p>
        </w:tc>
        <w:tc>
          <w:tcPr>
            <w:tcW w:w="503" w:type="pct"/>
            <w:vAlign w:val="center"/>
          </w:tcPr>
          <w:p w14:paraId="0601A93B" w14:textId="77777777" w:rsidR="00650295" w:rsidRDefault="00650295" w:rsidP="0032565E">
            <w:pPr>
              <w:pStyle w:val="Tablebodytext"/>
              <w:jc w:val="right"/>
            </w:pPr>
            <w:r>
              <w:t>145</w:t>
            </w:r>
          </w:p>
        </w:tc>
        <w:tc>
          <w:tcPr>
            <w:tcW w:w="445" w:type="pct"/>
            <w:vAlign w:val="center"/>
          </w:tcPr>
          <w:p w14:paraId="08C5E80C" w14:textId="77777777" w:rsidR="00650295" w:rsidRDefault="00650295" w:rsidP="0032565E">
            <w:pPr>
              <w:pStyle w:val="Tablebodytext"/>
              <w:jc w:val="right"/>
            </w:pPr>
            <w:r>
              <w:t>16</w:t>
            </w:r>
          </w:p>
        </w:tc>
        <w:tc>
          <w:tcPr>
            <w:tcW w:w="768" w:type="pct"/>
            <w:gridSpan w:val="2"/>
            <w:vAlign w:val="center"/>
          </w:tcPr>
          <w:p w14:paraId="2B63BCE6" w14:textId="77777777" w:rsidR="00650295" w:rsidRDefault="00650295" w:rsidP="0032565E">
            <w:pPr>
              <w:pStyle w:val="Tablebodytext"/>
              <w:jc w:val="right"/>
            </w:pPr>
            <w:r>
              <w:t>0.303</w:t>
            </w:r>
          </w:p>
        </w:tc>
      </w:tr>
      <w:tr w:rsidR="002171EA" w14:paraId="51DDCDD2"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vAlign w:val="center"/>
          </w:tcPr>
          <w:p w14:paraId="74370DDC" w14:textId="77777777" w:rsidR="00650295" w:rsidRDefault="00650295" w:rsidP="0032565E">
            <w:pPr>
              <w:pStyle w:val="Tablebodytext"/>
            </w:pPr>
            <w:r>
              <w:t>822</w:t>
            </w:r>
          </w:p>
        </w:tc>
        <w:tc>
          <w:tcPr>
            <w:tcW w:w="532" w:type="pct"/>
            <w:vAlign w:val="center"/>
          </w:tcPr>
          <w:p w14:paraId="7F1B952C" w14:textId="77777777" w:rsidR="00650295" w:rsidRDefault="00650295" w:rsidP="0032565E">
            <w:pPr>
              <w:pStyle w:val="Tablebodytext"/>
            </w:pPr>
            <w:r>
              <w:t>P</w:t>
            </w:r>
          </w:p>
        </w:tc>
        <w:tc>
          <w:tcPr>
            <w:tcW w:w="1277" w:type="pct"/>
          </w:tcPr>
          <w:p w14:paraId="6036BAAF" w14:textId="77777777" w:rsidR="00650295" w:rsidRDefault="00650295" w:rsidP="00650295">
            <w:pPr>
              <w:pStyle w:val="Tablebodytext"/>
            </w:pPr>
            <w:r>
              <w:t>Educational Support Services</w:t>
            </w:r>
          </w:p>
        </w:tc>
        <w:tc>
          <w:tcPr>
            <w:tcW w:w="574" w:type="pct"/>
            <w:vAlign w:val="center"/>
          </w:tcPr>
          <w:p w14:paraId="2EA4B599" w14:textId="77777777" w:rsidR="00650295" w:rsidRDefault="00650295" w:rsidP="0032565E">
            <w:pPr>
              <w:pStyle w:val="Tablebodytext"/>
              <w:jc w:val="right"/>
            </w:pPr>
            <w:r>
              <w:t>2.498</w:t>
            </w:r>
          </w:p>
        </w:tc>
        <w:tc>
          <w:tcPr>
            <w:tcW w:w="387" w:type="pct"/>
            <w:vAlign w:val="center"/>
          </w:tcPr>
          <w:p w14:paraId="7FD7893E" w14:textId="77777777" w:rsidR="00650295" w:rsidRDefault="00650295" w:rsidP="0032565E">
            <w:pPr>
              <w:pStyle w:val="Tablebodytext"/>
              <w:jc w:val="right"/>
            </w:pPr>
            <w:r>
              <w:t>0.491</w:t>
            </w:r>
          </w:p>
        </w:tc>
        <w:tc>
          <w:tcPr>
            <w:tcW w:w="503" w:type="pct"/>
            <w:vAlign w:val="center"/>
          </w:tcPr>
          <w:p w14:paraId="0AB9077D" w14:textId="77777777" w:rsidR="00650295" w:rsidRDefault="00650295" w:rsidP="0032565E">
            <w:pPr>
              <w:pStyle w:val="Tablebodytext"/>
              <w:jc w:val="right"/>
            </w:pPr>
            <w:r>
              <w:t>930</w:t>
            </w:r>
          </w:p>
        </w:tc>
        <w:tc>
          <w:tcPr>
            <w:tcW w:w="445" w:type="pct"/>
            <w:vAlign w:val="center"/>
          </w:tcPr>
          <w:p w14:paraId="7760F28A" w14:textId="77777777" w:rsidR="00650295" w:rsidRDefault="00650295" w:rsidP="0032565E">
            <w:pPr>
              <w:pStyle w:val="Tablebodytext"/>
              <w:jc w:val="right"/>
            </w:pPr>
            <w:r>
              <w:t>193</w:t>
            </w:r>
          </w:p>
        </w:tc>
        <w:tc>
          <w:tcPr>
            <w:tcW w:w="768" w:type="pct"/>
            <w:gridSpan w:val="2"/>
            <w:vAlign w:val="center"/>
          </w:tcPr>
          <w:p w14:paraId="5D4597CF" w14:textId="77777777" w:rsidR="00650295" w:rsidRDefault="00650295" w:rsidP="0032565E">
            <w:pPr>
              <w:pStyle w:val="Tablebodytext"/>
              <w:jc w:val="right"/>
            </w:pPr>
            <w:r>
              <w:t>1.758</w:t>
            </w:r>
          </w:p>
        </w:tc>
      </w:tr>
      <w:tr w:rsidR="002171EA" w14:paraId="0870F912" w14:textId="77777777" w:rsidTr="0032565E">
        <w:trPr>
          <w:cnfStyle w:val="000000100000" w:firstRow="0" w:lastRow="0" w:firstColumn="0" w:lastColumn="0" w:oddVBand="0" w:evenVBand="0" w:oddHBand="1" w:evenHBand="0" w:firstRowFirstColumn="0" w:firstRowLastColumn="0" w:lastRowFirstColumn="0" w:lastRowLastColumn="0"/>
        </w:trPr>
        <w:tc>
          <w:tcPr>
            <w:tcW w:w="514" w:type="pct"/>
            <w:vAlign w:val="center"/>
          </w:tcPr>
          <w:p w14:paraId="452DC12A" w14:textId="77777777" w:rsidR="00650295" w:rsidRDefault="00650295" w:rsidP="0032565E">
            <w:pPr>
              <w:pStyle w:val="Tablebodytext"/>
            </w:pPr>
            <w:r>
              <w:t>472</w:t>
            </w:r>
          </w:p>
        </w:tc>
        <w:tc>
          <w:tcPr>
            <w:tcW w:w="532" w:type="pct"/>
            <w:vAlign w:val="center"/>
          </w:tcPr>
          <w:p w14:paraId="075833DD" w14:textId="77777777" w:rsidR="00650295" w:rsidRDefault="00650295" w:rsidP="0032565E">
            <w:pPr>
              <w:pStyle w:val="Tablebodytext"/>
            </w:pPr>
            <w:r>
              <w:t>I</w:t>
            </w:r>
          </w:p>
        </w:tc>
        <w:tc>
          <w:tcPr>
            <w:tcW w:w="1277" w:type="pct"/>
          </w:tcPr>
          <w:p w14:paraId="5DCA6353" w14:textId="77777777" w:rsidR="00650295" w:rsidRDefault="00650295" w:rsidP="00650295">
            <w:pPr>
              <w:pStyle w:val="Tablebodytext"/>
            </w:pPr>
            <w:r>
              <w:t>Rail Passenger Transport</w:t>
            </w:r>
          </w:p>
        </w:tc>
        <w:tc>
          <w:tcPr>
            <w:tcW w:w="574" w:type="pct"/>
            <w:vAlign w:val="center"/>
          </w:tcPr>
          <w:p w14:paraId="38515047" w14:textId="77777777" w:rsidR="00650295" w:rsidRDefault="00650295" w:rsidP="0032565E">
            <w:pPr>
              <w:pStyle w:val="Tablebodytext"/>
              <w:jc w:val="right"/>
            </w:pPr>
            <w:r>
              <w:t>2.615</w:t>
            </w:r>
          </w:p>
        </w:tc>
        <w:tc>
          <w:tcPr>
            <w:tcW w:w="387" w:type="pct"/>
            <w:vAlign w:val="center"/>
          </w:tcPr>
          <w:p w14:paraId="22818791" w14:textId="77777777" w:rsidR="00650295" w:rsidRDefault="00650295" w:rsidP="0032565E">
            <w:pPr>
              <w:pStyle w:val="Tablebodytext"/>
              <w:jc w:val="right"/>
            </w:pPr>
            <w:r>
              <w:t>0.304</w:t>
            </w:r>
          </w:p>
        </w:tc>
        <w:tc>
          <w:tcPr>
            <w:tcW w:w="503" w:type="pct"/>
            <w:vAlign w:val="center"/>
          </w:tcPr>
          <w:p w14:paraId="5E3A7BFF" w14:textId="77777777" w:rsidR="00650295" w:rsidRDefault="00650295" w:rsidP="0032565E">
            <w:pPr>
              <w:pStyle w:val="Tablebodytext"/>
              <w:jc w:val="right"/>
            </w:pPr>
            <w:r>
              <w:t>54</w:t>
            </w:r>
          </w:p>
        </w:tc>
        <w:tc>
          <w:tcPr>
            <w:tcW w:w="445" w:type="pct"/>
            <w:vAlign w:val="center"/>
          </w:tcPr>
          <w:p w14:paraId="04B3D9EE" w14:textId="77777777" w:rsidR="00650295" w:rsidRDefault="00650295" w:rsidP="0032565E">
            <w:pPr>
              <w:pStyle w:val="Tablebodytext"/>
              <w:jc w:val="right"/>
            </w:pPr>
            <w:r>
              <w:t>2</w:t>
            </w:r>
          </w:p>
        </w:tc>
        <w:tc>
          <w:tcPr>
            <w:tcW w:w="768" w:type="pct"/>
            <w:gridSpan w:val="2"/>
            <w:vAlign w:val="center"/>
          </w:tcPr>
          <w:p w14:paraId="02BC2F58" w14:textId="77777777" w:rsidR="00650295" w:rsidRDefault="00650295" w:rsidP="0032565E">
            <w:pPr>
              <w:pStyle w:val="Tablebodytext"/>
              <w:jc w:val="right"/>
            </w:pPr>
            <w:r>
              <w:t>-0.328</w:t>
            </w:r>
          </w:p>
        </w:tc>
      </w:tr>
      <w:tr w:rsidR="002171EA" w14:paraId="2C64B0DB" w14:textId="77777777" w:rsidTr="0032565E">
        <w:trPr>
          <w:cnfStyle w:val="000000010000" w:firstRow="0" w:lastRow="0" w:firstColumn="0" w:lastColumn="0" w:oddVBand="0" w:evenVBand="0" w:oddHBand="0" w:evenHBand="1" w:firstRowFirstColumn="0" w:firstRowLastColumn="0" w:lastRowFirstColumn="0" w:lastRowLastColumn="0"/>
        </w:trPr>
        <w:tc>
          <w:tcPr>
            <w:tcW w:w="514" w:type="pct"/>
            <w:vAlign w:val="center"/>
          </w:tcPr>
          <w:p w14:paraId="710FE08F" w14:textId="77777777" w:rsidR="00650295" w:rsidRDefault="00650295" w:rsidP="0032565E">
            <w:pPr>
              <w:pStyle w:val="Tablebodytext"/>
            </w:pPr>
            <w:r>
              <w:t>221</w:t>
            </w:r>
          </w:p>
        </w:tc>
        <w:tc>
          <w:tcPr>
            <w:tcW w:w="532" w:type="pct"/>
            <w:vAlign w:val="center"/>
          </w:tcPr>
          <w:p w14:paraId="0926C78D" w14:textId="77777777" w:rsidR="00650295" w:rsidRDefault="00650295" w:rsidP="0032565E">
            <w:pPr>
              <w:pStyle w:val="Tablebodytext"/>
            </w:pPr>
            <w:r>
              <w:t>C</w:t>
            </w:r>
          </w:p>
        </w:tc>
        <w:tc>
          <w:tcPr>
            <w:tcW w:w="1277" w:type="pct"/>
          </w:tcPr>
          <w:p w14:paraId="2FC22F49" w14:textId="77777777" w:rsidR="00650295" w:rsidRDefault="00650295" w:rsidP="00650295">
            <w:pPr>
              <w:pStyle w:val="Tablebodytext"/>
            </w:pPr>
            <w:r>
              <w:t>Iron and Steel Forging</w:t>
            </w:r>
          </w:p>
        </w:tc>
        <w:tc>
          <w:tcPr>
            <w:tcW w:w="574" w:type="pct"/>
            <w:vAlign w:val="center"/>
          </w:tcPr>
          <w:p w14:paraId="479CCCCD" w14:textId="77777777" w:rsidR="00650295" w:rsidRDefault="00650295" w:rsidP="0032565E">
            <w:pPr>
              <w:pStyle w:val="Tablebodytext"/>
              <w:jc w:val="right"/>
            </w:pPr>
            <w:r>
              <w:t>3.012</w:t>
            </w:r>
          </w:p>
        </w:tc>
        <w:tc>
          <w:tcPr>
            <w:tcW w:w="387" w:type="pct"/>
            <w:vAlign w:val="center"/>
          </w:tcPr>
          <w:p w14:paraId="6569A0AC" w14:textId="77777777" w:rsidR="00650295" w:rsidRDefault="00650295" w:rsidP="0032565E">
            <w:pPr>
              <w:pStyle w:val="Tablebodytext"/>
              <w:jc w:val="right"/>
            </w:pPr>
            <w:r>
              <w:t>0.435</w:t>
            </w:r>
          </w:p>
        </w:tc>
        <w:tc>
          <w:tcPr>
            <w:tcW w:w="503" w:type="pct"/>
            <w:vAlign w:val="center"/>
          </w:tcPr>
          <w:p w14:paraId="2045DC46" w14:textId="77777777" w:rsidR="00650295" w:rsidRDefault="00650295" w:rsidP="0032565E">
            <w:pPr>
              <w:pStyle w:val="Tablebodytext"/>
              <w:jc w:val="right"/>
            </w:pPr>
            <w:r>
              <w:t>114</w:t>
            </w:r>
          </w:p>
        </w:tc>
        <w:tc>
          <w:tcPr>
            <w:tcW w:w="445" w:type="pct"/>
            <w:vAlign w:val="center"/>
          </w:tcPr>
          <w:p w14:paraId="33203196" w14:textId="77777777" w:rsidR="00650295" w:rsidRDefault="00650295" w:rsidP="0032565E">
            <w:pPr>
              <w:pStyle w:val="Tablebodytext"/>
              <w:jc w:val="right"/>
            </w:pPr>
            <w:r>
              <w:t>12</w:t>
            </w:r>
          </w:p>
        </w:tc>
        <w:tc>
          <w:tcPr>
            <w:tcW w:w="768" w:type="pct"/>
            <w:gridSpan w:val="2"/>
            <w:vAlign w:val="center"/>
          </w:tcPr>
          <w:p w14:paraId="751B1E42" w14:textId="77777777" w:rsidR="00650295" w:rsidRDefault="00650295" w:rsidP="0032565E">
            <w:pPr>
              <w:pStyle w:val="Tablebodytext"/>
              <w:jc w:val="right"/>
            </w:pPr>
            <w:r>
              <w:t>0.653</w:t>
            </w:r>
          </w:p>
        </w:tc>
      </w:tr>
      <w:tr w:rsidR="002171EA" w14:paraId="04034A66" w14:textId="77777777" w:rsidTr="0032565E">
        <w:trPr>
          <w:cnfStyle w:val="000000100000" w:firstRow="0" w:lastRow="0" w:firstColumn="0" w:lastColumn="0" w:oddVBand="0" w:evenVBand="0" w:oddHBand="1" w:evenHBand="0" w:firstRowFirstColumn="0" w:firstRowLastColumn="0" w:lastRowFirstColumn="0" w:lastRowLastColumn="0"/>
        </w:trPr>
        <w:tc>
          <w:tcPr>
            <w:tcW w:w="514" w:type="pct"/>
            <w:vAlign w:val="center"/>
          </w:tcPr>
          <w:p w14:paraId="2DE1842C" w14:textId="77777777" w:rsidR="00650295" w:rsidRDefault="00650295" w:rsidP="0032565E">
            <w:pPr>
              <w:pStyle w:val="Tablebodytext"/>
            </w:pPr>
            <w:r>
              <w:t>262</w:t>
            </w:r>
          </w:p>
        </w:tc>
        <w:tc>
          <w:tcPr>
            <w:tcW w:w="532" w:type="pct"/>
            <w:vAlign w:val="center"/>
          </w:tcPr>
          <w:p w14:paraId="3F9851D1" w14:textId="77777777" w:rsidR="00650295" w:rsidRDefault="00650295" w:rsidP="0032565E">
            <w:pPr>
              <w:pStyle w:val="Tablebodytext"/>
            </w:pPr>
            <w:r>
              <w:t>D</w:t>
            </w:r>
          </w:p>
        </w:tc>
        <w:tc>
          <w:tcPr>
            <w:tcW w:w="1277" w:type="pct"/>
          </w:tcPr>
          <w:p w14:paraId="5187A3DA" w14:textId="77777777" w:rsidR="00650295" w:rsidRDefault="00650295" w:rsidP="00650295">
            <w:pPr>
              <w:pStyle w:val="Tablebodytext"/>
            </w:pPr>
            <w:r>
              <w:t>Electricity Transmission</w:t>
            </w:r>
          </w:p>
        </w:tc>
        <w:tc>
          <w:tcPr>
            <w:tcW w:w="574" w:type="pct"/>
            <w:vAlign w:val="center"/>
          </w:tcPr>
          <w:p w14:paraId="5BA5D5BC" w14:textId="77777777" w:rsidR="00650295" w:rsidRDefault="00650295" w:rsidP="0032565E">
            <w:pPr>
              <w:pStyle w:val="Tablebodytext"/>
              <w:jc w:val="right"/>
            </w:pPr>
            <w:r>
              <w:t>4.214</w:t>
            </w:r>
          </w:p>
        </w:tc>
        <w:tc>
          <w:tcPr>
            <w:tcW w:w="387" w:type="pct"/>
            <w:vAlign w:val="center"/>
          </w:tcPr>
          <w:p w14:paraId="04056A96" w14:textId="77777777" w:rsidR="00650295" w:rsidRDefault="00650295" w:rsidP="0032565E">
            <w:pPr>
              <w:pStyle w:val="Tablebodytext"/>
              <w:jc w:val="right"/>
            </w:pPr>
            <w:r>
              <w:t>0.568</w:t>
            </w:r>
          </w:p>
        </w:tc>
        <w:tc>
          <w:tcPr>
            <w:tcW w:w="503" w:type="pct"/>
            <w:vAlign w:val="center"/>
          </w:tcPr>
          <w:p w14:paraId="5ED6B570" w14:textId="77777777" w:rsidR="00650295" w:rsidRDefault="00650295" w:rsidP="0032565E">
            <w:pPr>
              <w:pStyle w:val="Tablebodytext"/>
              <w:jc w:val="right"/>
            </w:pPr>
            <w:r>
              <w:t>31</w:t>
            </w:r>
          </w:p>
        </w:tc>
        <w:tc>
          <w:tcPr>
            <w:tcW w:w="445" w:type="pct"/>
            <w:vAlign w:val="center"/>
          </w:tcPr>
          <w:p w14:paraId="6DFB6553" w14:textId="77777777" w:rsidR="00650295" w:rsidRDefault="00650295" w:rsidP="0032565E">
            <w:pPr>
              <w:pStyle w:val="Tablebodytext"/>
              <w:jc w:val="right"/>
            </w:pPr>
            <w:r>
              <w:t>4</w:t>
            </w:r>
          </w:p>
        </w:tc>
        <w:tc>
          <w:tcPr>
            <w:tcW w:w="768" w:type="pct"/>
            <w:gridSpan w:val="2"/>
            <w:vAlign w:val="center"/>
          </w:tcPr>
          <w:p w14:paraId="606B009C" w14:textId="77777777" w:rsidR="00650295" w:rsidRDefault="00650295" w:rsidP="0032565E">
            <w:pPr>
              <w:pStyle w:val="Tablebodytext"/>
              <w:jc w:val="right"/>
            </w:pPr>
            <w:r>
              <w:t>0.853</w:t>
            </w:r>
          </w:p>
        </w:tc>
      </w:tr>
    </w:tbl>
    <w:p w14:paraId="0D49E9D9" w14:textId="77777777" w:rsidR="00650295" w:rsidRPr="00C62F3A" w:rsidRDefault="00650295" w:rsidP="006653F0">
      <w:pPr>
        <w:pStyle w:val="Note"/>
      </w:pPr>
      <w:r>
        <w:t>Notes: Industries with fewer than 10 firms are dropped for confidentiality protection.</w:t>
      </w:r>
    </w:p>
    <w:p w14:paraId="679CE58C" w14:textId="77777777" w:rsidR="00650295" w:rsidRDefault="00650295" w:rsidP="006653F0">
      <w:pPr>
        <w:pStyle w:val="Source"/>
      </w:pPr>
      <w:r>
        <w:t>Source: Department of Industry, Innovation and Science (2019)</w:t>
      </w:r>
    </w:p>
    <w:p w14:paraId="091F2326" w14:textId="1A66317B" w:rsidR="002171EA" w:rsidRDefault="002171EA" w:rsidP="002171EA">
      <w:pPr>
        <w:spacing w:line="270" w:lineRule="exact"/>
        <w:ind w:left="0"/>
      </w:pPr>
      <w:r>
        <w:t>For comparison, Table A1 in the appendix lists industries with the highest HHI. Industries in Table A1 that have very concentrated markets but also a large population of firms are absent from panel (B) of Table 3.3; Market Power is assigning a lower score to these industries for not having the power to curb a build</w:t>
      </w:r>
      <w:r w:rsidR="0081463C">
        <w:t>-</w:t>
      </w:r>
      <w:r>
        <w:t>up of firm population.</w:t>
      </w:r>
    </w:p>
    <w:p w14:paraId="0A9422E1" w14:textId="77777777" w:rsidR="00FA108D" w:rsidRDefault="005A5BEC" w:rsidP="005A5BEC">
      <w:pPr>
        <w:pStyle w:val="Heading2"/>
        <w:rPr>
          <w:lang w:val="en"/>
        </w:rPr>
      </w:pPr>
      <w:r>
        <w:rPr>
          <w:lang w:val="en"/>
        </w:rPr>
        <w:t>The Secondary Index</w:t>
      </w:r>
    </w:p>
    <w:p w14:paraId="700ABC72" w14:textId="77777777" w:rsidR="005A5BEC" w:rsidRDefault="005A5BEC" w:rsidP="005A5BEC">
      <w:pPr>
        <w:spacing w:before="60" w:line="270" w:lineRule="exact"/>
        <w:ind w:left="0"/>
      </w:pPr>
      <w:r>
        <w:t>The derivation process for Market Power also involves the creation of a secondary component that embodies the remaining variations not captured by the principal component. A set of descriptive statistics for this index is listed in Table </w:t>
      </w:r>
      <w:r w:rsidR="005C1A75">
        <w:t>3.4</w:t>
      </w:r>
      <w:r>
        <w:t>.</w:t>
      </w:r>
    </w:p>
    <w:p w14:paraId="66EC4FC8" w14:textId="77777777" w:rsidR="005A5BEC" w:rsidRDefault="005A5BEC" w:rsidP="005A5BEC">
      <w:pPr>
        <w:spacing w:before="60" w:line="270" w:lineRule="exact"/>
        <w:ind w:left="0"/>
      </w:pPr>
    </w:p>
    <w:p w14:paraId="12BD9AEE" w14:textId="77777777" w:rsidR="005A5BEC" w:rsidRDefault="005A5BEC" w:rsidP="005A5BEC">
      <w:pPr>
        <w:spacing w:before="60" w:line="270" w:lineRule="exact"/>
        <w:ind w:left="0"/>
      </w:pPr>
    </w:p>
    <w:p w14:paraId="0EED45D3" w14:textId="77777777" w:rsidR="005A5BEC" w:rsidRDefault="005A5BEC" w:rsidP="005A5BEC">
      <w:pPr>
        <w:spacing w:before="60" w:line="270" w:lineRule="exact"/>
        <w:ind w:left="0"/>
      </w:pPr>
    </w:p>
    <w:p w14:paraId="3F9C6D52" w14:textId="77777777" w:rsidR="005A5BEC" w:rsidRDefault="005A5BEC" w:rsidP="005A5BEC">
      <w:pPr>
        <w:spacing w:before="60" w:line="270" w:lineRule="exact"/>
        <w:ind w:left="0"/>
      </w:pPr>
    </w:p>
    <w:p w14:paraId="6F1AA912" w14:textId="77777777" w:rsidR="005A5BEC" w:rsidRDefault="005A5BEC" w:rsidP="006653F0">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4</w:t>
      </w:r>
      <w:r>
        <w:rPr>
          <w:noProof/>
        </w:rPr>
        <w:fldChar w:fldCharType="end"/>
      </w:r>
      <w:r w:rsidRPr="000618FB">
        <w:t xml:space="preserve">: </w:t>
      </w:r>
      <w:r>
        <w:t>Descriptive statistics for the Secondary Index.</w:t>
      </w:r>
    </w:p>
    <w:tbl>
      <w:tblPr>
        <w:tblStyle w:val="OCETable"/>
        <w:tblW w:w="5000" w:type="pct"/>
        <w:tblLook w:val="04A0" w:firstRow="1" w:lastRow="0" w:firstColumn="1" w:lastColumn="0" w:noHBand="0" w:noVBand="1"/>
        <w:tblCaption w:val="Table 3.4"/>
        <w:tblDescription w:val="The secondary index varies from negative to positive values and has posotive correlation with Herfindahl index and firm population. It s correlation with export intensity is negative. It is uncorrelated with market power by construction."/>
      </w:tblPr>
      <w:tblGrid>
        <w:gridCol w:w="1731"/>
        <w:gridCol w:w="667"/>
        <w:gridCol w:w="907"/>
        <w:gridCol w:w="1113"/>
        <w:gridCol w:w="1111"/>
        <w:gridCol w:w="1365"/>
      </w:tblGrid>
      <w:tr w:rsidR="005A5BEC" w14:paraId="3FFACB98"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3204" w:type="pct"/>
            <w:gridSpan w:val="4"/>
          </w:tcPr>
          <w:p w14:paraId="6CD4FFE9" w14:textId="77777777" w:rsidR="005A5BEC" w:rsidRDefault="005A5BEC" w:rsidP="005A5BEC">
            <w:pPr>
              <w:pStyle w:val="Tableheadertext"/>
            </w:pPr>
            <w:r>
              <w:t>Panel A: Descriptive Statistics</w:t>
            </w:r>
          </w:p>
        </w:tc>
        <w:tc>
          <w:tcPr>
            <w:tcW w:w="806" w:type="pct"/>
          </w:tcPr>
          <w:p w14:paraId="426A8EE5" w14:textId="77777777" w:rsidR="005A5BEC" w:rsidRDefault="005A5BEC" w:rsidP="005A5BEC">
            <w:pPr>
              <w:pStyle w:val="Tableheadertext"/>
            </w:pPr>
          </w:p>
        </w:tc>
        <w:tc>
          <w:tcPr>
            <w:tcW w:w="990" w:type="pct"/>
          </w:tcPr>
          <w:p w14:paraId="0CF8CDC6" w14:textId="77777777" w:rsidR="005A5BEC" w:rsidRDefault="005A5BEC" w:rsidP="005A5BEC">
            <w:pPr>
              <w:pStyle w:val="Tableheadertext"/>
            </w:pPr>
          </w:p>
        </w:tc>
      </w:tr>
      <w:tr w:rsidR="005A5BEC" w14:paraId="3AD3843D" w14:textId="77777777" w:rsidTr="0032565E">
        <w:trPr>
          <w:cnfStyle w:val="000000100000" w:firstRow="0" w:lastRow="0" w:firstColumn="0" w:lastColumn="0" w:oddVBand="0" w:evenVBand="0" w:oddHBand="1" w:evenHBand="0" w:firstRowFirstColumn="0" w:firstRowLastColumn="0" w:lastRowFirstColumn="0" w:lastRowLastColumn="0"/>
        </w:trPr>
        <w:tc>
          <w:tcPr>
            <w:tcW w:w="1255" w:type="pct"/>
          </w:tcPr>
          <w:p w14:paraId="13615592" w14:textId="77777777" w:rsidR="005A5BEC" w:rsidRDefault="005A5BEC" w:rsidP="005A5BEC">
            <w:pPr>
              <w:pStyle w:val="Tablebodytext"/>
            </w:pPr>
          </w:p>
        </w:tc>
        <w:tc>
          <w:tcPr>
            <w:tcW w:w="484" w:type="pct"/>
            <w:vAlign w:val="center"/>
          </w:tcPr>
          <w:p w14:paraId="181C833B" w14:textId="77777777" w:rsidR="005A5BEC" w:rsidRDefault="005A5BEC" w:rsidP="0032565E">
            <w:pPr>
              <w:pStyle w:val="Tablebodytext"/>
              <w:jc w:val="right"/>
            </w:pPr>
            <w:r>
              <w:t>Mean</w:t>
            </w:r>
          </w:p>
        </w:tc>
        <w:tc>
          <w:tcPr>
            <w:tcW w:w="658" w:type="pct"/>
            <w:vAlign w:val="center"/>
          </w:tcPr>
          <w:p w14:paraId="18E322F6" w14:textId="77777777" w:rsidR="005A5BEC" w:rsidRDefault="005A5BEC" w:rsidP="0032565E">
            <w:pPr>
              <w:pStyle w:val="Tablebodytext"/>
              <w:jc w:val="right"/>
            </w:pPr>
            <w:r>
              <w:t>Std.Dev.</w:t>
            </w:r>
          </w:p>
        </w:tc>
        <w:tc>
          <w:tcPr>
            <w:tcW w:w="807" w:type="pct"/>
            <w:vAlign w:val="center"/>
          </w:tcPr>
          <w:p w14:paraId="5CC0F781" w14:textId="77777777" w:rsidR="005A5BEC" w:rsidRDefault="005A5BEC" w:rsidP="0032565E">
            <w:pPr>
              <w:pStyle w:val="Tablebodytext"/>
              <w:jc w:val="right"/>
            </w:pPr>
            <w:r>
              <w:t>10th Pctl.</w:t>
            </w:r>
          </w:p>
        </w:tc>
        <w:tc>
          <w:tcPr>
            <w:tcW w:w="806" w:type="pct"/>
            <w:vAlign w:val="center"/>
          </w:tcPr>
          <w:p w14:paraId="71E3FC48" w14:textId="77777777" w:rsidR="005A5BEC" w:rsidRDefault="005A5BEC" w:rsidP="0032565E">
            <w:pPr>
              <w:pStyle w:val="Tablebodytext"/>
              <w:jc w:val="right"/>
            </w:pPr>
            <w:r>
              <w:t>1st Qrtl.</w:t>
            </w:r>
          </w:p>
        </w:tc>
        <w:tc>
          <w:tcPr>
            <w:tcW w:w="990" w:type="pct"/>
            <w:vAlign w:val="center"/>
          </w:tcPr>
          <w:p w14:paraId="52524FFD" w14:textId="77777777" w:rsidR="005A5BEC" w:rsidRDefault="005A5BEC" w:rsidP="0032565E">
            <w:pPr>
              <w:pStyle w:val="Tablebodytext"/>
              <w:jc w:val="right"/>
            </w:pPr>
            <w:r>
              <w:t>Median</w:t>
            </w:r>
          </w:p>
        </w:tc>
      </w:tr>
      <w:tr w:rsidR="005A5BEC" w14:paraId="55F3C163" w14:textId="77777777" w:rsidTr="0032565E">
        <w:trPr>
          <w:cnfStyle w:val="000000010000" w:firstRow="0" w:lastRow="0" w:firstColumn="0" w:lastColumn="0" w:oddVBand="0" w:evenVBand="0" w:oddHBand="0" w:evenHBand="1" w:firstRowFirstColumn="0" w:firstRowLastColumn="0" w:lastRowFirstColumn="0" w:lastRowLastColumn="0"/>
        </w:trPr>
        <w:tc>
          <w:tcPr>
            <w:tcW w:w="1255" w:type="pct"/>
          </w:tcPr>
          <w:p w14:paraId="5F84DE24" w14:textId="77777777" w:rsidR="005A5BEC" w:rsidRDefault="005A5BEC" w:rsidP="005A5BEC">
            <w:pPr>
              <w:pStyle w:val="Tablebodytext"/>
            </w:pPr>
            <w:r>
              <w:t xml:space="preserve"> Secondary</w:t>
            </w:r>
          </w:p>
        </w:tc>
        <w:tc>
          <w:tcPr>
            <w:tcW w:w="484" w:type="pct"/>
            <w:vAlign w:val="center"/>
          </w:tcPr>
          <w:p w14:paraId="074AFDF2" w14:textId="77777777" w:rsidR="005A5BEC" w:rsidRDefault="005A5BEC" w:rsidP="0032565E">
            <w:pPr>
              <w:pStyle w:val="Tablebodytext"/>
              <w:jc w:val="right"/>
            </w:pPr>
            <w:r>
              <w:t>0</w:t>
            </w:r>
          </w:p>
        </w:tc>
        <w:tc>
          <w:tcPr>
            <w:tcW w:w="658" w:type="pct"/>
            <w:vAlign w:val="center"/>
          </w:tcPr>
          <w:p w14:paraId="62FCF1D9" w14:textId="77777777" w:rsidR="005A5BEC" w:rsidRDefault="005A5BEC" w:rsidP="0032565E">
            <w:pPr>
              <w:pStyle w:val="Tablebodytext"/>
              <w:jc w:val="right"/>
            </w:pPr>
            <w:r>
              <w:t>0.712</w:t>
            </w:r>
          </w:p>
        </w:tc>
        <w:tc>
          <w:tcPr>
            <w:tcW w:w="807" w:type="pct"/>
            <w:vAlign w:val="center"/>
          </w:tcPr>
          <w:p w14:paraId="1CD6EFDF" w14:textId="77777777" w:rsidR="005A5BEC" w:rsidRDefault="005A5BEC" w:rsidP="0032565E">
            <w:pPr>
              <w:pStyle w:val="Tablebodytext"/>
              <w:jc w:val="right"/>
            </w:pPr>
            <w:r>
              <w:t>-0.744</w:t>
            </w:r>
          </w:p>
        </w:tc>
        <w:tc>
          <w:tcPr>
            <w:tcW w:w="806" w:type="pct"/>
            <w:vAlign w:val="center"/>
          </w:tcPr>
          <w:p w14:paraId="7CBCEFE9" w14:textId="77777777" w:rsidR="005A5BEC" w:rsidRDefault="005A5BEC" w:rsidP="0032565E">
            <w:pPr>
              <w:pStyle w:val="Tablebodytext"/>
              <w:jc w:val="right"/>
            </w:pPr>
            <w:r>
              <w:t>-0.422</w:t>
            </w:r>
          </w:p>
        </w:tc>
        <w:tc>
          <w:tcPr>
            <w:tcW w:w="990" w:type="pct"/>
            <w:vAlign w:val="center"/>
          </w:tcPr>
          <w:p w14:paraId="774CBCCB" w14:textId="77777777" w:rsidR="005A5BEC" w:rsidRDefault="005A5BEC" w:rsidP="0032565E">
            <w:pPr>
              <w:pStyle w:val="Tablebodytext"/>
              <w:jc w:val="right"/>
            </w:pPr>
            <w:r>
              <w:t>-0.080</w:t>
            </w:r>
          </w:p>
        </w:tc>
      </w:tr>
      <w:tr w:rsidR="005A5BEC" w14:paraId="5704C436" w14:textId="77777777" w:rsidTr="0032565E">
        <w:trPr>
          <w:cnfStyle w:val="000000100000" w:firstRow="0" w:lastRow="0" w:firstColumn="0" w:lastColumn="0" w:oddVBand="0" w:evenVBand="0" w:oddHBand="1" w:evenHBand="0" w:firstRowFirstColumn="0" w:firstRowLastColumn="0" w:lastRowFirstColumn="0" w:lastRowLastColumn="0"/>
        </w:trPr>
        <w:tc>
          <w:tcPr>
            <w:tcW w:w="1255" w:type="pct"/>
          </w:tcPr>
          <w:p w14:paraId="034EE6BC" w14:textId="77777777" w:rsidR="005A5BEC" w:rsidRDefault="005A5BEC" w:rsidP="005A5BEC">
            <w:pPr>
              <w:pStyle w:val="Tablebodytext"/>
            </w:pPr>
          </w:p>
        </w:tc>
        <w:tc>
          <w:tcPr>
            <w:tcW w:w="484" w:type="pct"/>
            <w:vAlign w:val="center"/>
          </w:tcPr>
          <w:p w14:paraId="04F65FC4" w14:textId="77777777" w:rsidR="005A5BEC" w:rsidRDefault="005A5BEC" w:rsidP="0032565E">
            <w:pPr>
              <w:pStyle w:val="Tablebodytext"/>
              <w:jc w:val="right"/>
            </w:pPr>
          </w:p>
        </w:tc>
        <w:tc>
          <w:tcPr>
            <w:tcW w:w="658" w:type="pct"/>
            <w:vAlign w:val="center"/>
          </w:tcPr>
          <w:p w14:paraId="7AC48EC9" w14:textId="77777777" w:rsidR="005A5BEC" w:rsidRDefault="005A5BEC" w:rsidP="0032565E">
            <w:pPr>
              <w:pStyle w:val="Tablebodytext"/>
              <w:jc w:val="right"/>
            </w:pPr>
          </w:p>
        </w:tc>
        <w:tc>
          <w:tcPr>
            <w:tcW w:w="807" w:type="pct"/>
            <w:vAlign w:val="center"/>
          </w:tcPr>
          <w:p w14:paraId="61A6A8C6" w14:textId="77777777" w:rsidR="005A5BEC" w:rsidRDefault="005A5BEC" w:rsidP="0032565E">
            <w:pPr>
              <w:pStyle w:val="Tablebodytext"/>
              <w:jc w:val="right"/>
            </w:pPr>
            <w:r>
              <w:t>3rd Qrtl.</w:t>
            </w:r>
          </w:p>
        </w:tc>
        <w:tc>
          <w:tcPr>
            <w:tcW w:w="806" w:type="pct"/>
            <w:vAlign w:val="center"/>
          </w:tcPr>
          <w:p w14:paraId="51A596E9" w14:textId="77777777" w:rsidR="005A5BEC" w:rsidRDefault="005A5BEC" w:rsidP="0032565E">
            <w:pPr>
              <w:pStyle w:val="Tablebodytext"/>
              <w:jc w:val="right"/>
            </w:pPr>
            <w:r>
              <w:t>90th Pctl.</w:t>
            </w:r>
          </w:p>
        </w:tc>
        <w:tc>
          <w:tcPr>
            <w:tcW w:w="990" w:type="pct"/>
            <w:vAlign w:val="center"/>
          </w:tcPr>
          <w:p w14:paraId="589B4076" w14:textId="77777777" w:rsidR="005A5BEC" w:rsidRDefault="005A5BEC" w:rsidP="0032565E">
            <w:pPr>
              <w:pStyle w:val="Tablebodytext"/>
              <w:jc w:val="right"/>
            </w:pPr>
            <w:r>
              <w:t>#Obs</w:t>
            </w:r>
          </w:p>
        </w:tc>
      </w:tr>
      <w:tr w:rsidR="005A5BEC" w14:paraId="3DBBAF1C" w14:textId="77777777" w:rsidTr="0032565E">
        <w:trPr>
          <w:cnfStyle w:val="000000010000" w:firstRow="0" w:lastRow="0" w:firstColumn="0" w:lastColumn="0" w:oddVBand="0" w:evenVBand="0" w:oddHBand="0" w:evenHBand="1" w:firstRowFirstColumn="0" w:firstRowLastColumn="0" w:lastRowFirstColumn="0" w:lastRowLastColumn="0"/>
        </w:trPr>
        <w:tc>
          <w:tcPr>
            <w:tcW w:w="1255" w:type="pct"/>
          </w:tcPr>
          <w:p w14:paraId="6CE8212F" w14:textId="77777777" w:rsidR="005A5BEC" w:rsidRDefault="005A5BEC" w:rsidP="005A5BEC">
            <w:pPr>
              <w:pStyle w:val="Tablebodytext"/>
            </w:pPr>
          </w:p>
        </w:tc>
        <w:tc>
          <w:tcPr>
            <w:tcW w:w="484" w:type="pct"/>
            <w:vAlign w:val="center"/>
          </w:tcPr>
          <w:p w14:paraId="204DF28D" w14:textId="77777777" w:rsidR="005A5BEC" w:rsidRDefault="005A5BEC" w:rsidP="0032565E">
            <w:pPr>
              <w:pStyle w:val="Tablebodytext"/>
              <w:jc w:val="right"/>
            </w:pPr>
          </w:p>
        </w:tc>
        <w:tc>
          <w:tcPr>
            <w:tcW w:w="658" w:type="pct"/>
            <w:vAlign w:val="center"/>
          </w:tcPr>
          <w:p w14:paraId="695EC30B" w14:textId="77777777" w:rsidR="005A5BEC" w:rsidRDefault="005A5BEC" w:rsidP="0032565E">
            <w:pPr>
              <w:pStyle w:val="Tablebodytext"/>
              <w:jc w:val="right"/>
            </w:pPr>
          </w:p>
        </w:tc>
        <w:tc>
          <w:tcPr>
            <w:tcW w:w="807" w:type="pct"/>
            <w:vAlign w:val="center"/>
          </w:tcPr>
          <w:p w14:paraId="736D6332" w14:textId="77777777" w:rsidR="005A5BEC" w:rsidRDefault="005A5BEC" w:rsidP="0032565E">
            <w:pPr>
              <w:pStyle w:val="Tablebodytext"/>
              <w:jc w:val="right"/>
            </w:pPr>
            <w:r>
              <w:t>0.301</w:t>
            </w:r>
          </w:p>
        </w:tc>
        <w:tc>
          <w:tcPr>
            <w:tcW w:w="806" w:type="pct"/>
            <w:vAlign w:val="center"/>
          </w:tcPr>
          <w:p w14:paraId="46836C13" w14:textId="77777777" w:rsidR="005A5BEC" w:rsidRDefault="005A5BEC" w:rsidP="0032565E">
            <w:pPr>
              <w:pStyle w:val="Tablebodytext"/>
              <w:jc w:val="right"/>
            </w:pPr>
            <w:r>
              <w:t>0.793</w:t>
            </w:r>
          </w:p>
        </w:tc>
        <w:tc>
          <w:tcPr>
            <w:tcW w:w="990" w:type="pct"/>
            <w:vAlign w:val="center"/>
          </w:tcPr>
          <w:p w14:paraId="3AD5F8EF" w14:textId="77777777" w:rsidR="005A5BEC" w:rsidRDefault="005A5BEC" w:rsidP="0032565E">
            <w:pPr>
              <w:pStyle w:val="Tablebodytext"/>
              <w:jc w:val="right"/>
            </w:pPr>
            <w:r>
              <w:t>3,045</w:t>
            </w:r>
          </w:p>
        </w:tc>
      </w:tr>
      <w:tr w:rsidR="005A5BEC" w14:paraId="636E4E6B" w14:textId="77777777" w:rsidTr="0032565E">
        <w:trPr>
          <w:cnfStyle w:val="000000100000" w:firstRow="0" w:lastRow="0" w:firstColumn="0" w:lastColumn="0" w:oddVBand="0" w:evenVBand="0" w:oddHBand="1" w:evenHBand="0" w:firstRowFirstColumn="0" w:firstRowLastColumn="0" w:lastRowFirstColumn="0" w:lastRowLastColumn="0"/>
        </w:trPr>
        <w:tc>
          <w:tcPr>
            <w:tcW w:w="1255" w:type="pct"/>
          </w:tcPr>
          <w:p w14:paraId="6439872F" w14:textId="77777777" w:rsidR="005A5BEC" w:rsidRDefault="005A5BEC" w:rsidP="005A5BEC">
            <w:pPr>
              <w:pStyle w:val="Tablebodytext"/>
            </w:pPr>
          </w:p>
        </w:tc>
        <w:tc>
          <w:tcPr>
            <w:tcW w:w="484" w:type="pct"/>
            <w:vAlign w:val="center"/>
          </w:tcPr>
          <w:p w14:paraId="0E03F0E4" w14:textId="77777777" w:rsidR="005A5BEC" w:rsidRDefault="005A5BEC" w:rsidP="0032565E">
            <w:pPr>
              <w:pStyle w:val="Tablebodytext"/>
              <w:jc w:val="right"/>
            </w:pPr>
          </w:p>
        </w:tc>
        <w:tc>
          <w:tcPr>
            <w:tcW w:w="658" w:type="pct"/>
            <w:vAlign w:val="center"/>
          </w:tcPr>
          <w:p w14:paraId="483D1400" w14:textId="77777777" w:rsidR="005A5BEC" w:rsidRDefault="005A5BEC" w:rsidP="0032565E">
            <w:pPr>
              <w:pStyle w:val="Tablebodytext"/>
              <w:jc w:val="right"/>
            </w:pPr>
          </w:p>
        </w:tc>
        <w:tc>
          <w:tcPr>
            <w:tcW w:w="807" w:type="pct"/>
            <w:vAlign w:val="center"/>
          </w:tcPr>
          <w:p w14:paraId="6A350E2D" w14:textId="77777777" w:rsidR="005A5BEC" w:rsidRDefault="005A5BEC" w:rsidP="0032565E">
            <w:pPr>
              <w:pStyle w:val="Tablebodytext"/>
              <w:jc w:val="right"/>
            </w:pPr>
          </w:p>
        </w:tc>
        <w:tc>
          <w:tcPr>
            <w:tcW w:w="806" w:type="pct"/>
            <w:vAlign w:val="center"/>
          </w:tcPr>
          <w:p w14:paraId="106DCDCF" w14:textId="77777777" w:rsidR="005A5BEC" w:rsidRDefault="005A5BEC" w:rsidP="0032565E">
            <w:pPr>
              <w:pStyle w:val="Tablebodytext"/>
              <w:jc w:val="right"/>
            </w:pPr>
          </w:p>
        </w:tc>
        <w:tc>
          <w:tcPr>
            <w:tcW w:w="990" w:type="pct"/>
            <w:vAlign w:val="center"/>
          </w:tcPr>
          <w:p w14:paraId="5F7D4288" w14:textId="77777777" w:rsidR="005A5BEC" w:rsidRDefault="005A5BEC" w:rsidP="0032565E">
            <w:pPr>
              <w:pStyle w:val="Tablebodytext"/>
              <w:jc w:val="right"/>
            </w:pPr>
          </w:p>
        </w:tc>
      </w:tr>
      <w:tr w:rsidR="005A5BEC" w14:paraId="0734CC1E" w14:textId="77777777" w:rsidTr="0032565E">
        <w:trPr>
          <w:cnfStyle w:val="000000010000" w:firstRow="0" w:lastRow="0" w:firstColumn="0" w:lastColumn="0" w:oddVBand="0" w:evenVBand="0" w:oddHBand="0" w:evenHBand="1" w:firstRowFirstColumn="0" w:firstRowLastColumn="0" w:lastRowFirstColumn="0" w:lastRowLastColumn="0"/>
        </w:trPr>
        <w:tc>
          <w:tcPr>
            <w:tcW w:w="3204" w:type="pct"/>
            <w:gridSpan w:val="4"/>
            <w:shd w:val="clear" w:color="auto" w:fill="005CAF"/>
            <w:vAlign w:val="center"/>
          </w:tcPr>
          <w:p w14:paraId="19C3581C" w14:textId="77777777" w:rsidR="005A5BEC" w:rsidRDefault="005A5BEC" w:rsidP="0032565E">
            <w:pPr>
              <w:pStyle w:val="Tableheadertext"/>
              <w:jc w:val="right"/>
            </w:pPr>
            <w:r>
              <w:t>Panel B: Correlations</w:t>
            </w:r>
          </w:p>
        </w:tc>
        <w:tc>
          <w:tcPr>
            <w:tcW w:w="806" w:type="pct"/>
            <w:shd w:val="clear" w:color="auto" w:fill="005CAF"/>
            <w:vAlign w:val="center"/>
          </w:tcPr>
          <w:p w14:paraId="7617D999" w14:textId="77777777" w:rsidR="005A5BEC" w:rsidRDefault="005A5BEC" w:rsidP="0032565E">
            <w:pPr>
              <w:pStyle w:val="Tableheadertext"/>
              <w:jc w:val="right"/>
            </w:pPr>
          </w:p>
        </w:tc>
        <w:tc>
          <w:tcPr>
            <w:tcW w:w="990" w:type="pct"/>
            <w:shd w:val="clear" w:color="auto" w:fill="005CAF"/>
            <w:vAlign w:val="center"/>
          </w:tcPr>
          <w:p w14:paraId="0C03C1F7" w14:textId="77777777" w:rsidR="005A5BEC" w:rsidRDefault="005A5BEC" w:rsidP="0032565E">
            <w:pPr>
              <w:pStyle w:val="Tableheadertext"/>
              <w:jc w:val="right"/>
            </w:pPr>
          </w:p>
        </w:tc>
      </w:tr>
      <w:tr w:rsidR="005A5BEC" w14:paraId="2BA4FD23" w14:textId="77777777" w:rsidTr="0032565E">
        <w:trPr>
          <w:cnfStyle w:val="000000100000" w:firstRow="0" w:lastRow="0" w:firstColumn="0" w:lastColumn="0" w:oddVBand="0" w:evenVBand="0" w:oddHBand="1" w:evenHBand="0" w:firstRowFirstColumn="0" w:firstRowLastColumn="0" w:lastRowFirstColumn="0" w:lastRowLastColumn="0"/>
        </w:trPr>
        <w:tc>
          <w:tcPr>
            <w:tcW w:w="1255" w:type="pct"/>
          </w:tcPr>
          <w:p w14:paraId="0F8754E5" w14:textId="77777777" w:rsidR="005A5BEC" w:rsidRDefault="005A5BEC" w:rsidP="005A5BEC">
            <w:pPr>
              <w:pStyle w:val="Tablebodytext"/>
            </w:pPr>
          </w:p>
        </w:tc>
        <w:tc>
          <w:tcPr>
            <w:tcW w:w="484" w:type="pct"/>
            <w:vAlign w:val="center"/>
          </w:tcPr>
          <w:p w14:paraId="55D09F4B" w14:textId="77777777" w:rsidR="005A5BEC" w:rsidRDefault="005A5BEC" w:rsidP="0032565E">
            <w:pPr>
              <w:pStyle w:val="Tablebodytext"/>
              <w:jc w:val="right"/>
            </w:pPr>
            <w:r>
              <w:rPr>
                <w:i/>
                <w:iCs/>
              </w:rPr>
              <w:t>H</w:t>
            </w:r>
          </w:p>
        </w:tc>
        <w:tc>
          <w:tcPr>
            <w:tcW w:w="658" w:type="pct"/>
            <w:vAlign w:val="center"/>
          </w:tcPr>
          <w:p w14:paraId="3F7BF2BD" w14:textId="77777777" w:rsidR="005A5BEC" w:rsidRDefault="005A5BEC" w:rsidP="0032565E">
            <w:pPr>
              <w:pStyle w:val="Tablebodytext"/>
              <w:jc w:val="right"/>
            </w:pPr>
            <w:r>
              <w:rPr>
                <w:i/>
                <w:iCs/>
              </w:rPr>
              <w:t>N</w:t>
            </w:r>
          </w:p>
        </w:tc>
        <w:tc>
          <w:tcPr>
            <w:tcW w:w="807" w:type="pct"/>
            <w:vAlign w:val="center"/>
          </w:tcPr>
          <w:p w14:paraId="111C051E" w14:textId="77777777" w:rsidR="005A5BEC" w:rsidRDefault="005A5BEC" w:rsidP="0032565E">
            <w:pPr>
              <w:pStyle w:val="Tablebodytext"/>
              <w:jc w:val="right"/>
            </w:pPr>
            <w:r>
              <w:rPr>
                <w:i/>
                <w:iCs/>
              </w:rPr>
              <w:t>E</w:t>
            </w:r>
          </w:p>
        </w:tc>
        <w:tc>
          <w:tcPr>
            <w:tcW w:w="806" w:type="pct"/>
            <w:vAlign w:val="center"/>
          </w:tcPr>
          <w:p w14:paraId="7AFD1C2C" w14:textId="77777777" w:rsidR="005A5BEC" w:rsidRDefault="005A5BEC" w:rsidP="0032565E">
            <w:pPr>
              <w:pStyle w:val="Tablebodytext"/>
              <w:jc w:val="right"/>
            </w:pPr>
            <w:r>
              <w:rPr>
                <w:i/>
                <w:iCs/>
              </w:rPr>
              <w:t>ExpInt</w:t>
            </w:r>
          </w:p>
        </w:tc>
        <w:tc>
          <w:tcPr>
            <w:tcW w:w="990" w:type="pct"/>
            <w:vAlign w:val="center"/>
          </w:tcPr>
          <w:p w14:paraId="5B2EC0BD" w14:textId="77777777" w:rsidR="005A5BEC" w:rsidRDefault="005A5BEC" w:rsidP="0032565E">
            <w:pPr>
              <w:pStyle w:val="Tablebodytext"/>
              <w:jc w:val="right"/>
            </w:pPr>
            <w:r>
              <w:t>Market Power</w:t>
            </w:r>
          </w:p>
        </w:tc>
      </w:tr>
      <w:tr w:rsidR="005A5BEC" w14:paraId="34F83068" w14:textId="77777777" w:rsidTr="0032565E">
        <w:trPr>
          <w:cnfStyle w:val="000000010000" w:firstRow="0" w:lastRow="0" w:firstColumn="0" w:lastColumn="0" w:oddVBand="0" w:evenVBand="0" w:oddHBand="0" w:evenHBand="1" w:firstRowFirstColumn="0" w:firstRowLastColumn="0" w:lastRowFirstColumn="0" w:lastRowLastColumn="0"/>
        </w:trPr>
        <w:tc>
          <w:tcPr>
            <w:tcW w:w="1255" w:type="pct"/>
          </w:tcPr>
          <w:p w14:paraId="738FDF75" w14:textId="77777777" w:rsidR="005A5BEC" w:rsidRDefault="005A5BEC" w:rsidP="005A5BEC">
            <w:pPr>
              <w:pStyle w:val="Tablebodytext"/>
            </w:pPr>
            <w:r>
              <w:t xml:space="preserve"> Secondary</w:t>
            </w:r>
          </w:p>
        </w:tc>
        <w:tc>
          <w:tcPr>
            <w:tcW w:w="484" w:type="pct"/>
            <w:vAlign w:val="center"/>
          </w:tcPr>
          <w:p w14:paraId="717C9119" w14:textId="77777777" w:rsidR="005A5BEC" w:rsidRDefault="005A5BEC" w:rsidP="0032565E">
            <w:pPr>
              <w:pStyle w:val="Tablebodytext"/>
              <w:jc w:val="right"/>
            </w:pPr>
            <w:r>
              <w:t>0.504</w:t>
            </w:r>
          </w:p>
        </w:tc>
        <w:tc>
          <w:tcPr>
            <w:tcW w:w="658" w:type="pct"/>
            <w:vAlign w:val="center"/>
          </w:tcPr>
          <w:p w14:paraId="52D76730" w14:textId="77777777" w:rsidR="005A5BEC" w:rsidRDefault="005A5BEC" w:rsidP="0032565E">
            <w:pPr>
              <w:pStyle w:val="Tablebodytext"/>
              <w:jc w:val="right"/>
            </w:pPr>
            <w:r>
              <w:t>0.442</w:t>
            </w:r>
          </w:p>
        </w:tc>
        <w:tc>
          <w:tcPr>
            <w:tcW w:w="807" w:type="pct"/>
            <w:vAlign w:val="center"/>
          </w:tcPr>
          <w:p w14:paraId="2C9E8710" w14:textId="77777777" w:rsidR="005A5BEC" w:rsidRDefault="005A5BEC" w:rsidP="0032565E">
            <w:pPr>
              <w:pStyle w:val="Tablebodytext"/>
              <w:jc w:val="right"/>
            </w:pPr>
            <w:r>
              <w:t>0.430</w:t>
            </w:r>
          </w:p>
        </w:tc>
        <w:tc>
          <w:tcPr>
            <w:tcW w:w="806" w:type="pct"/>
            <w:vAlign w:val="center"/>
          </w:tcPr>
          <w:p w14:paraId="58B0367F" w14:textId="77777777" w:rsidR="005A5BEC" w:rsidRDefault="005A5BEC" w:rsidP="0032565E">
            <w:pPr>
              <w:pStyle w:val="Tablebodytext"/>
              <w:jc w:val="right"/>
            </w:pPr>
            <w:r>
              <w:t>-0.179</w:t>
            </w:r>
          </w:p>
        </w:tc>
        <w:tc>
          <w:tcPr>
            <w:tcW w:w="990" w:type="pct"/>
            <w:vAlign w:val="center"/>
          </w:tcPr>
          <w:p w14:paraId="7B277D20" w14:textId="77777777" w:rsidR="005A5BEC" w:rsidRDefault="005A5BEC" w:rsidP="0032565E">
            <w:pPr>
              <w:pStyle w:val="Tablebodytext"/>
              <w:jc w:val="right"/>
            </w:pPr>
            <w:r>
              <w:t>0</w:t>
            </w:r>
          </w:p>
        </w:tc>
      </w:tr>
    </w:tbl>
    <w:p w14:paraId="3065E252" w14:textId="77777777" w:rsidR="005A5BEC" w:rsidRDefault="005A5BEC" w:rsidP="006653F0">
      <w:pPr>
        <w:pStyle w:val="Source"/>
      </w:pPr>
      <w:r>
        <w:t>Source: Department of Industry, Innovation and Science (2019)</w:t>
      </w:r>
    </w:p>
    <w:p w14:paraId="007167C8" w14:textId="77777777" w:rsidR="005C1A75" w:rsidRPr="0032565E" w:rsidRDefault="005C1A75" w:rsidP="005C1A75">
      <w:pPr>
        <w:spacing w:before="240" w:line="270" w:lineRule="exact"/>
        <w:ind w:left="0"/>
      </w:pPr>
      <w:r>
        <w:t xml:space="preserve">From the statistics, it appears that the Secondary index has some properties of its own. The correlation coefficients, in particular, reveal that this index is positively correlated with both the HHI and firm population. In essence, it represents those industries that are concentrated but still populated by a large number of firms. </w:t>
      </w:r>
    </w:p>
    <w:p w14:paraId="19A71902" w14:textId="77777777" w:rsidR="005C1A75" w:rsidRDefault="005C1A75" w:rsidP="005C1A75">
      <w:pPr>
        <w:spacing w:line="270" w:lineRule="exact"/>
        <w:ind w:left="0"/>
      </w:pPr>
      <w:r>
        <w:t>Figure </w:t>
      </w:r>
      <w:r w:rsidR="000F6F40">
        <w:t>3.3</w:t>
      </w:r>
      <w:r>
        <w:t xml:space="preserve"> shows the average number of firms as a function of the Secondary index using a kernel regression. Each point in the plot represents the Secondary index of an observation in the data. The relationship is mostly monotonic and increasing: a higher Secondary index corresponds to a larger firm population. Only for a handful of observations with very concentrated markets, the number of firms falls with the index.</w:t>
      </w:r>
    </w:p>
    <w:p w14:paraId="07583357" w14:textId="40AEC4E8" w:rsidR="005C1A75" w:rsidRDefault="005C1A75" w:rsidP="006653F0">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sidR="000F6F40">
        <w:t>3</w:t>
      </w:r>
      <w:r w:rsidR="003A6A81">
        <w:t>: The average number of firms as a function of the Secondary Index.</w:t>
      </w:r>
    </w:p>
    <w:tbl>
      <w:tblPr>
        <w:tblStyle w:val="OCETable"/>
        <w:tblW w:w="4940" w:type="pct"/>
        <w:tblInd w:w="108" w:type="dxa"/>
        <w:tblLayout w:type="fixed"/>
        <w:tblLook w:val="04A0" w:firstRow="1" w:lastRow="0" w:firstColumn="1" w:lastColumn="0" w:noHBand="0" w:noVBand="1"/>
        <w:tblCaption w:val="Table contains figure 3.3"/>
        <w:tblDescription w:val="Table contains figure 3.3"/>
      </w:tblPr>
      <w:tblGrid>
        <w:gridCol w:w="6811"/>
      </w:tblGrid>
      <w:tr w:rsidR="00396329" w14:paraId="258B8856"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130AEF50" w14:textId="3C1EAF26" w:rsidR="00396329" w:rsidRDefault="00396329" w:rsidP="00396329">
            <w:pPr>
              <w:pStyle w:val="PlaceholderWide"/>
            </w:pPr>
            <w:r>
              <w:rPr>
                <w:noProof/>
                <w:lang w:eastAsia="en-AU"/>
              </w:rPr>
              <w:drawing>
                <wp:inline distT="0" distB="0" distL="0" distR="0" wp14:anchorId="003213A2" wp14:editId="04B926FA">
                  <wp:extent cx="3352807" cy="2176276"/>
                  <wp:effectExtent l="0" t="0" r="0" b="0"/>
                  <wp:docPr id="26" name="Picture 26" descr="The average number of firms increases with secondary index up the index value of one. Above index value of one it falls ." title="Fig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es 2.1 to 3.3 [Recovered]_Figure 3.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52807" cy="2176276"/>
                          </a:xfrm>
                          <a:prstGeom prst="rect">
                            <a:avLst/>
                          </a:prstGeom>
                        </pic:spPr>
                      </pic:pic>
                    </a:graphicData>
                  </a:graphic>
                </wp:inline>
              </w:drawing>
            </w:r>
          </w:p>
        </w:tc>
      </w:tr>
    </w:tbl>
    <w:p w14:paraId="7F76A819" w14:textId="02A37B41" w:rsidR="00396329" w:rsidRDefault="00396329" w:rsidP="00396329">
      <w:pPr>
        <w:pStyle w:val="Placeholder"/>
      </w:pPr>
    </w:p>
    <w:p w14:paraId="5DB65071" w14:textId="77777777" w:rsidR="003A6A81" w:rsidRPr="00C62F3A" w:rsidRDefault="003A6A81" w:rsidP="006653F0">
      <w:pPr>
        <w:pStyle w:val="Note"/>
      </w:pPr>
      <w:r>
        <w:t>Notes: A kernel regression with a Gaussian kernel and a bandwidth of 0.1 is used. Observations in top percentile are dropped for confidentiality protection.</w:t>
      </w:r>
    </w:p>
    <w:p w14:paraId="3638F5F7" w14:textId="77777777" w:rsidR="003A6A81" w:rsidRDefault="003A6A81" w:rsidP="006653F0">
      <w:pPr>
        <w:pStyle w:val="Source"/>
      </w:pPr>
      <w:r>
        <w:t>Source: Department of Industry, Innovation and Science (2019)</w:t>
      </w:r>
    </w:p>
    <w:p w14:paraId="4240C252" w14:textId="77777777" w:rsidR="007814D8" w:rsidRDefault="007814D8" w:rsidP="007814D8">
      <w:pPr>
        <w:spacing w:before="240" w:line="270" w:lineRule="exact"/>
        <w:ind w:left="0"/>
      </w:pPr>
      <w:r>
        <w:t xml:space="preserve">Overall, the index appears to have elements representing the attractiveness of an industry to firms. Such attractiveness could, for example, stem from low </w:t>
      </w:r>
      <w:r>
        <w:lastRenderedPageBreak/>
        <w:t>entry barriers or the size and the profitability of the market. As a result, more firms will enter, and the firm population of the industry could grow even in the face of dominating contender.</w:t>
      </w:r>
    </w:p>
    <w:p w14:paraId="496BA977" w14:textId="77777777" w:rsidR="005C1A75" w:rsidRDefault="002E4E76" w:rsidP="00C80904">
      <w:pPr>
        <w:pStyle w:val="Heading2"/>
        <w:rPr>
          <w:lang w:val="en"/>
        </w:rPr>
      </w:pPr>
      <w:r>
        <w:rPr>
          <w:lang w:val="en"/>
        </w:rPr>
        <w:t>Time t</w:t>
      </w:r>
      <w:r w:rsidR="00C80904">
        <w:rPr>
          <w:lang w:val="en"/>
        </w:rPr>
        <w:t>rends</w:t>
      </w:r>
    </w:p>
    <w:p w14:paraId="425126BA" w14:textId="74DFC711" w:rsidR="00C80904" w:rsidRDefault="00C80904" w:rsidP="00C80904">
      <w:pPr>
        <w:spacing w:before="60" w:line="270" w:lineRule="exact"/>
        <w:ind w:left="0"/>
      </w:pPr>
      <w:r>
        <w:t>The HHI has not stayed the same in Australia over the years. The changes that took place from 2002 to 2016 are illustrated in Figure </w:t>
      </w:r>
      <w:r w:rsidR="008978D1">
        <w:t>3.4</w:t>
      </w:r>
      <w:r>
        <w:t>(a), where the coordinates of every point is the HHI of 3-digit industries in 2002 then in 2016. As the plot shows, despite staying almost the same for most industries, the HHI has also changed, either increased or decreased, in several others.</w:t>
      </w:r>
    </w:p>
    <w:p w14:paraId="3E478802" w14:textId="77777777" w:rsidR="00C80904" w:rsidRDefault="00C80904" w:rsidP="006653F0">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sidR="008978D1">
        <w:t>4</w:t>
      </w:r>
      <w:r>
        <w:t>: The index value in 2016 versus the value in 2002 by industry</w:t>
      </w:r>
      <w:r>
        <w:rPr>
          <w:rFonts w:cs="Arial"/>
        </w:rPr>
        <w:t>‒</w:t>
      </w:r>
      <w:r>
        <w:t>year.</w:t>
      </w:r>
    </w:p>
    <w:p w14:paraId="5CD5F3AE" w14:textId="77777777" w:rsidR="00396329" w:rsidRDefault="00C80904" w:rsidP="00C80904">
      <w:pPr>
        <w:pStyle w:val="BodyText"/>
        <w:rPr>
          <w:b/>
          <w:lang w:val="en"/>
        </w:rPr>
      </w:pPr>
      <w:r w:rsidRPr="00C80904">
        <w:rPr>
          <w:b/>
          <w:lang w:val="en"/>
        </w:rPr>
        <w:t>(a)</w:t>
      </w:r>
    </w:p>
    <w:tbl>
      <w:tblPr>
        <w:tblStyle w:val="OCETable"/>
        <w:tblW w:w="4940" w:type="pct"/>
        <w:tblInd w:w="108" w:type="dxa"/>
        <w:tblLayout w:type="fixed"/>
        <w:tblLook w:val="04A0" w:firstRow="1" w:lastRow="0" w:firstColumn="1" w:lastColumn="0" w:noHBand="0" w:noVBand="1"/>
        <w:tblCaption w:val="Table contains figure 3.4a"/>
        <w:tblDescription w:val="Table contains figure 3.4a"/>
      </w:tblPr>
      <w:tblGrid>
        <w:gridCol w:w="6811"/>
      </w:tblGrid>
      <w:tr w:rsidR="00396329" w14:paraId="3F2EABDD"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6301F54" w14:textId="60BF6BA2" w:rsidR="00396329" w:rsidRDefault="00396329" w:rsidP="005B2367">
            <w:pPr>
              <w:pStyle w:val="PlaceholderWide"/>
            </w:pPr>
            <w:r>
              <w:rPr>
                <w:noProof/>
                <w:lang w:eastAsia="en-AU"/>
              </w:rPr>
              <w:drawing>
                <wp:inline distT="0" distB="0" distL="0" distR="0" wp14:anchorId="2A910144" wp14:editId="627E67EE">
                  <wp:extent cx="2819406" cy="2697485"/>
                  <wp:effectExtent l="0" t="0" r="0" b="7620"/>
                  <wp:docPr id="27" name="Picture 27" descr="HHI in 2002 is on x-axis and HHI in 2016 is on y-axis. The points are scattered both above and below the 45 degree line. The deviations from 45 degree line increase with HHI." title="Figure 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es 2.1 to 3.3 [Recovered]_Figure 3.4b-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19406" cy="2697485"/>
                          </a:xfrm>
                          <a:prstGeom prst="rect">
                            <a:avLst/>
                          </a:prstGeom>
                        </pic:spPr>
                      </pic:pic>
                    </a:graphicData>
                  </a:graphic>
                </wp:inline>
              </w:drawing>
            </w:r>
          </w:p>
        </w:tc>
      </w:tr>
    </w:tbl>
    <w:p w14:paraId="593997C8" w14:textId="2966EFF4" w:rsidR="00C80904" w:rsidRPr="00C80904" w:rsidRDefault="00C80904" w:rsidP="00C80904">
      <w:pPr>
        <w:pStyle w:val="BodyText"/>
        <w:rPr>
          <w:noProof/>
          <w:lang w:eastAsia="en-AU"/>
        </w:rPr>
      </w:pPr>
    </w:p>
    <w:p w14:paraId="1180B272" w14:textId="205A1001" w:rsidR="00C80904" w:rsidRPr="003A6C83" w:rsidRDefault="00C80904" w:rsidP="00C80904">
      <w:pPr>
        <w:pStyle w:val="BodyText"/>
        <w:rPr>
          <w:b/>
          <w:lang w:val="en"/>
        </w:rPr>
      </w:pPr>
      <w:r w:rsidRPr="003A6C83">
        <w:rPr>
          <w:b/>
          <w:lang w:val="en"/>
        </w:rPr>
        <w:t>(b)</w:t>
      </w:r>
    </w:p>
    <w:tbl>
      <w:tblPr>
        <w:tblStyle w:val="OCETable"/>
        <w:tblW w:w="4940" w:type="pct"/>
        <w:tblInd w:w="108" w:type="dxa"/>
        <w:tblLayout w:type="fixed"/>
        <w:tblLook w:val="04A0" w:firstRow="1" w:lastRow="0" w:firstColumn="1" w:lastColumn="0" w:noHBand="0" w:noVBand="1"/>
        <w:tblCaption w:val="Table contains figure 3.4b"/>
        <w:tblDescription w:val="Table contains figure 3.4b"/>
      </w:tblPr>
      <w:tblGrid>
        <w:gridCol w:w="6811"/>
      </w:tblGrid>
      <w:tr w:rsidR="00396329" w14:paraId="630D9DC0"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01B39FFF" w14:textId="325DB5C5" w:rsidR="00396329" w:rsidRDefault="00396329" w:rsidP="00396329">
            <w:pPr>
              <w:pStyle w:val="PlaceholderWide"/>
            </w:pPr>
            <w:r>
              <w:rPr>
                <w:noProof/>
                <w:lang w:eastAsia="en-AU"/>
              </w:rPr>
              <w:drawing>
                <wp:inline distT="0" distB="0" distL="0" distR="0" wp14:anchorId="50132068" wp14:editId="35F967A4">
                  <wp:extent cx="2691389" cy="2529845"/>
                  <wp:effectExtent l="0" t="0" r="0" b="3810"/>
                  <wp:docPr id="28" name="Picture 28" descr="Market power index in 2002 is on x-axis and market power index in 2016 is on y-axis. The points are scattered both above and below the 45 degree line, but the deviations are smaller than tose with HHI. The deviations from 45 degree line increase with market power index." title="Figure 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es 2.1 to 3.3 [Recovered]_Figure 3.4b-8.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91389" cy="2529845"/>
                          </a:xfrm>
                          <a:prstGeom prst="rect">
                            <a:avLst/>
                          </a:prstGeom>
                        </pic:spPr>
                      </pic:pic>
                    </a:graphicData>
                  </a:graphic>
                </wp:inline>
              </w:drawing>
            </w:r>
          </w:p>
        </w:tc>
      </w:tr>
    </w:tbl>
    <w:p w14:paraId="114A6A47" w14:textId="73914071" w:rsidR="00C80904" w:rsidRDefault="00C80904" w:rsidP="00C80904">
      <w:pPr>
        <w:pStyle w:val="BodyText"/>
        <w:rPr>
          <w:lang w:val="en"/>
        </w:rPr>
      </w:pPr>
    </w:p>
    <w:p w14:paraId="11B3743F" w14:textId="6D8C9A1B" w:rsidR="007A0BD0" w:rsidRPr="006C5A9D" w:rsidRDefault="00C80904" w:rsidP="00C80904">
      <w:pPr>
        <w:pStyle w:val="BodyText"/>
        <w:rPr>
          <w:b/>
          <w:lang w:val="en"/>
        </w:rPr>
      </w:pPr>
      <w:r w:rsidRPr="006C5A9D">
        <w:rPr>
          <w:b/>
          <w:lang w:val="en"/>
        </w:rPr>
        <w:lastRenderedPageBreak/>
        <w:t>(c)</w:t>
      </w:r>
    </w:p>
    <w:tbl>
      <w:tblPr>
        <w:tblStyle w:val="OCETable"/>
        <w:tblW w:w="4940" w:type="pct"/>
        <w:tblInd w:w="108" w:type="dxa"/>
        <w:tblLayout w:type="fixed"/>
        <w:tblLook w:val="04A0" w:firstRow="1" w:lastRow="0" w:firstColumn="1" w:lastColumn="0" w:noHBand="0" w:noVBand="1"/>
        <w:tblCaption w:val="Table contains figure 3.4c"/>
        <w:tblDescription w:val="Table contains figure 3.4c"/>
      </w:tblPr>
      <w:tblGrid>
        <w:gridCol w:w="6811"/>
      </w:tblGrid>
      <w:tr w:rsidR="00396329" w14:paraId="4632DD0C"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F2B2B8F" w14:textId="7B31F6DF" w:rsidR="00396329" w:rsidRDefault="00396329" w:rsidP="00396329">
            <w:pPr>
              <w:pStyle w:val="PlaceholderWide"/>
            </w:pPr>
            <w:r>
              <w:rPr>
                <w:noProof/>
                <w:lang w:eastAsia="en-AU"/>
              </w:rPr>
              <w:drawing>
                <wp:inline distT="0" distB="0" distL="0" distR="0" wp14:anchorId="46D8C1CC" wp14:editId="4F1A33D1">
                  <wp:extent cx="2667005" cy="2517653"/>
                  <wp:effectExtent l="0" t="0" r="0" b="0"/>
                  <wp:docPr id="29" name="Picture 29" descr="Secondary index in 2002 is on x-axis and secondary index in 2016 is on y-axis. The points are scattered mostly above the 45 degree line, but rather close to it. There are still a few points both above and below the 45 degree line that have large deviations from the line." title="Figure 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es 2.1 to 3.3 [Recovered]-Figure 3.4c.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67005" cy="2517653"/>
                          </a:xfrm>
                          <a:prstGeom prst="rect">
                            <a:avLst/>
                          </a:prstGeom>
                        </pic:spPr>
                      </pic:pic>
                    </a:graphicData>
                  </a:graphic>
                </wp:inline>
              </w:drawing>
            </w:r>
          </w:p>
        </w:tc>
      </w:tr>
    </w:tbl>
    <w:p w14:paraId="5CC63A36" w14:textId="3E2E35EE" w:rsidR="00A30A2F" w:rsidRDefault="00A30A2F" w:rsidP="00C80904">
      <w:pPr>
        <w:pStyle w:val="BodyText"/>
        <w:rPr>
          <w:lang w:val="en"/>
        </w:rPr>
      </w:pPr>
    </w:p>
    <w:p w14:paraId="3D0792E3" w14:textId="77777777" w:rsidR="00C80904" w:rsidRPr="00C62F3A" w:rsidRDefault="00C80904" w:rsidP="006653F0">
      <w:pPr>
        <w:pStyle w:val="Note"/>
      </w:pPr>
      <w:r>
        <w:t>Notes: In (a), industries with the HHI above 0.8 are dropped for confidentiality protection.</w:t>
      </w:r>
    </w:p>
    <w:p w14:paraId="669AD725" w14:textId="77777777" w:rsidR="00C80904" w:rsidRDefault="00C80904" w:rsidP="006653F0">
      <w:pPr>
        <w:pStyle w:val="Source"/>
      </w:pPr>
      <w:r>
        <w:t>Source: Department of Industry, Innovation and Science.</w:t>
      </w:r>
    </w:p>
    <w:p w14:paraId="5D3C9EA0" w14:textId="77777777" w:rsidR="008978D1" w:rsidRDefault="008978D1" w:rsidP="008978D1">
      <w:pPr>
        <w:spacing w:before="240" w:line="270" w:lineRule="exact"/>
        <w:ind w:left="0"/>
      </w:pPr>
      <w:r>
        <w:t>Panels (b) and (c) in Figure 3.4 illustrate the same trend but for Market Power and Secondary indexes. These two indexes also show some change at industry level. However, they are more stable in the sense that the industries, especially with Market Power, are more clustered along the 45 degree line than with the HHI.</w:t>
      </w:r>
    </w:p>
    <w:p w14:paraId="799E4773" w14:textId="2B3D978E" w:rsidR="008978D1" w:rsidRDefault="008978D1" w:rsidP="008978D1">
      <w:pPr>
        <w:spacing w:line="270" w:lineRule="exact"/>
        <w:ind w:left="0"/>
      </w:pPr>
      <w:r>
        <w:t>The other interesting observation from panel (b) of Figure 3.4 is that, when it comes to the changes in market power, most of the action is taking place for industries who</w:t>
      </w:r>
      <w:r w:rsidR="00335A6B">
        <w:t>’</w:t>
      </w:r>
      <w:r>
        <w:t>s Market Power are above the value zero. For most industries whose Market Power are below zero, Market Power appears to be dropping over the years but not by a great amount. As will become clear in the next sections, this observation bears important implications for whether the changes in market power are the driving force behind declining entrepreneurship.</w:t>
      </w:r>
    </w:p>
    <w:p w14:paraId="4827F320" w14:textId="6DF5977A" w:rsidR="008978D1" w:rsidRDefault="008978D1" w:rsidP="008978D1">
      <w:pPr>
        <w:spacing w:line="270" w:lineRule="exact"/>
        <w:ind w:left="0"/>
      </w:pPr>
      <w:r>
        <w:t>In more details, Bakhtiari (2019b) shows that the average HHI across industries falls prior to 2007 and then starts increasing up to 2012 and stays rather steady since. These movements are depicted in Figure </w:t>
      </w:r>
      <w:r w:rsidR="00245F48">
        <w:t>3.5</w:t>
      </w:r>
      <w:r>
        <w:t xml:space="preserve"> alongside those for Market Power and Secondary indexes. All indexes are transformed to start from zero and have a maximum magnitude of one, so that the co-movements of the series can be more easily detected.</w:t>
      </w:r>
    </w:p>
    <w:p w14:paraId="3FA6DF47" w14:textId="77777777" w:rsidR="00C80904" w:rsidRDefault="00C80904" w:rsidP="00C80904">
      <w:pPr>
        <w:pStyle w:val="BodyText"/>
        <w:rPr>
          <w:lang w:val="en"/>
        </w:rPr>
      </w:pPr>
    </w:p>
    <w:p w14:paraId="7FD079A9" w14:textId="7FAFA6DD" w:rsidR="008978D1" w:rsidRDefault="008978D1" w:rsidP="006653F0">
      <w:pPr>
        <w:pStyle w:val="Caption"/>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3</w:t>
      </w:r>
      <w:r>
        <w:rPr>
          <w:noProof/>
        </w:rPr>
        <w:fldChar w:fldCharType="end"/>
      </w:r>
      <w:r w:rsidRPr="000618FB">
        <w:t>.</w:t>
      </w:r>
      <w:r w:rsidR="00245F48">
        <w:t>5</w:t>
      </w:r>
      <w:r>
        <w:t>: The time trend of the HHI, Market Power, and the Secondary Index.</w:t>
      </w:r>
    </w:p>
    <w:tbl>
      <w:tblPr>
        <w:tblStyle w:val="OCETable"/>
        <w:tblW w:w="4940" w:type="pct"/>
        <w:tblInd w:w="108" w:type="dxa"/>
        <w:tblLayout w:type="fixed"/>
        <w:tblLook w:val="04A0" w:firstRow="1" w:lastRow="0" w:firstColumn="1" w:lastColumn="0" w:noHBand="0" w:noVBand="1"/>
        <w:tblCaption w:val="Table contains figure 3.5"/>
        <w:tblDescription w:val="Table contains figure 3.5"/>
      </w:tblPr>
      <w:tblGrid>
        <w:gridCol w:w="6811"/>
      </w:tblGrid>
      <w:tr w:rsidR="007D293D" w14:paraId="048B8ED4"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1439B2C3" w14:textId="1ADCC6FE" w:rsidR="007D293D" w:rsidRDefault="007D293D" w:rsidP="005B2367">
            <w:pPr>
              <w:pStyle w:val="PlaceholderWide"/>
            </w:pPr>
            <w:r>
              <w:rPr>
                <w:noProof/>
                <w:lang w:eastAsia="en-AU"/>
              </w:rPr>
              <w:drawing>
                <wp:inline distT="0" distB="0" distL="0" distR="0" wp14:anchorId="22CAAC0F" wp14:editId="08EADF7C">
                  <wp:extent cx="4187825" cy="2349500"/>
                  <wp:effectExtent l="0" t="0" r="3175" b="0"/>
                  <wp:docPr id="31" name="Picture 31" descr="HHI falls a bit from 2002 to 2005, but then increases rather steeply from 2005 to 2012. After that there is no celar trend. Market pwoer index follows very much the same trend as HHI. Secondary index rises all the way from 2002 to 2012 but has no clear trend afterwards." title="Fig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3_5 - Figure 5.4b [Recovered]_Figure 3.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87825" cy="2349500"/>
                          </a:xfrm>
                          <a:prstGeom prst="rect">
                            <a:avLst/>
                          </a:prstGeom>
                        </pic:spPr>
                      </pic:pic>
                    </a:graphicData>
                  </a:graphic>
                </wp:inline>
              </w:drawing>
            </w:r>
          </w:p>
        </w:tc>
      </w:tr>
    </w:tbl>
    <w:p w14:paraId="0562B762" w14:textId="77777777" w:rsidR="006C5A9D" w:rsidRPr="00C62F3A" w:rsidRDefault="006C5A9D" w:rsidP="006C5A9D">
      <w:pPr>
        <w:pStyle w:val="Note"/>
      </w:pPr>
      <w:r>
        <w:t>Notes: Time series are transformed to start from zero and have a maximum magnitude of one.</w:t>
      </w:r>
    </w:p>
    <w:p w14:paraId="248E0BDB" w14:textId="29DDB4B3" w:rsidR="00245F48" w:rsidRDefault="008978D1" w:rsidP="007D293D">
      <w:pPr>
        <w:pStyle w:val="Source"/>
      </w:pPr>
      <w:r>
        <w:t>Source: Department of Industry, Innovation and Science (2019)</w:t>
      </w:r>
    </w:p>
    <w:p w14:paraId="78698D66" w14:textId="77777777" w:rsidR="000213F0" w:rsidRDefault="000213F0" w:rsidP="000213F0">
      <w:pPr>
        <w:spacing w:before="240" w:line="270" w:lineRule="exact"/>
        <w:ind w:left="0"/>
      </w:pPr>
      <w:r>
        <w:t xml:space="preserve">Some elements of the observed trend in the HHI is reflected in time movements of Market Power and Secondary indexes. Market power behaves very much in line with the changes in the HHI: it mostly falls prior to 2007, then rises up until 2012, and then has a rather flat trend. </w:t>
      </w:r>
    </w:p>
    <w:p w14:paraId="04626EC8" w14:textId="77777777" w:rsidR="000213F0" w:rsidRDefault="000213F0" w:rsidP="000213F0">
      <w:pPr>
        <w:spacing w:line="270" w:lineRule="exact"/>
        <w:ind w:left="0"/>
      </w:pPr>
      <w:r>
        <w:t>The Secondary index is increasing over the early years up until 2012. After 2012, the index lacks any specific direction.</w:t>
      </w:r>
    </w:p>
    <w:p w14:paraId="4F409159" w14:textId="77777777" w:rsidR="00245F48" w:rsidRDefault="00245F48" w:rsidP="00245F48">
      <w:pPr>
        <w:pStyle w:val="BodyText"/>
        <w:rPr>
          <w:lang w:val="en"/>
        </w:rPr>
      </w:pPr>
    </w:p>
    <w:p w14:paraId="7B14E0FD" w14:textId="77777777" w:rsidR="000213F0" w:rsidRDefault="002E4E76" w:rsidP="000213F0">
      <w:pPr>
        <w:pStyle w:val="Heading1"/>
        <w:rPr>
          <w:lang w:val="en"/>
        </w:rPr>
      </w:pPr>
      <w:r>
        <w:rPr>
          <w:lang w:val="en"/>
        </w:rPr>
        <w:t>Firm entry: parametric a</w:t>
      </w:r>
      <w:r w:rsidR="000213F0">
        <w:rPr>
          <w:lang w:val="en"/>
        </w:rPr>
        <w:t>pproach</w:t>
      </w:r>
    </w:p>
    <w:p w14:paraId="6B084C0F" w14:textId="0ED560C0" w:rsidR="00AD3CF2" w:rsidRDefault="00AD3CF2" w:rsidP="00AD3CF2">
      <w:pPr>
        <w:spacing w:before="60" w:line="270" w:lineRule="exact"/>
        <w:ind w:left="0"/>
      </w:pPr>
      <w:r>
        <w:t>From a theoretical point of view, where large firms have market power, they will use their power to curb the entry of potential rival firms. As a result, firm entry should fall with increasing market power. On its face, the correlations from Table </w:t>
      </w:r>
      <w:r w:rsidR="00A975E0">
        <w:t>3.2</w:t>
      </w:r>
      <w:r>
        <w:t xml:space="preserve"> do point out that firm entry falls with market power (and also with the HHI). </w:t>
      </w:r>
    </w:p>
    <w:p w14:paraId="385AC8EC" w14:textId="77777777" w:rsidR="00AD3CF2" w:rsidRDefault="00AD3CF2" w:rsidP="00AD3CF2">
      <w:pPr>
        <w:spacing w:line="270" w:lineRule="exact"/>
        <w:ind w:left="0"/>
      </w:pPr>
      <w:r>
        <w:t>A more detailed indication is evident from Figure </w:t>
      </w:r>
      <w:r w:rsidR="00FF394C">
        <w:t>4.1</w:t>
      </w:r>
      <w:r>
        <w:t>. In this picture, I estimate the average number of firm entries as a function of Market Power using kernel regression. Again, each point in the plot corresponds to the Market Power of an observation.</w:t>
      </w:r>
    </w:p>
    <w:p w14:paraId="0DDAC7C0" w14:textId="225F3E0F" w:rsidR="00E20B23" w:rsidRDefault="00E20B23" w:rsidP="006653F0">
      <w:pPr>
        <w:pStyle w:val="Caption"/>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4</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9A27E4">
        <w:rPr>
          <w:noProof/>
        </w:rPr>
        <w:t>1</w:t>
      </w:r>
      <w:r w:rsidRPr="000618FB">
        <w:fldChar w:fldCharType="end"/>
      </w:r>
      <w:r>
        <w:t>: Average number of firm entries as a function of Market Power.</w:t>
      </w:r>
    </w:p>
    <w:tbl>
      <w:tblPr>
        <w:tblStyle w:val="OCETable"/>
        <w:tblW w:w="4940" w:type="pct"/>
        <w:tblInd w:w="108" w:type="dxa"/>
        <w:tblLayout w:type="fixed"/>
        <w:tblLook w:val="04A0" w:firstRow="1" w:lastRow="0" w:firstColumn="1" w:lastColumn="0" w:noHBand="0" w:noVBand="1"/>
        <w:tblCaption w:val="Table contains figure 4.1"/>
        <w:tblDescription w:val="Table contains figure 4.1"/>
      </w:tblPr>
      <w:tblGrid>
        <w:gridCol w:w="6811"/>
      </w:tblGrid>
      <w:tr w:rsidR="007D293D" w14:paraId="4992DEF1"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23C7F871" w14:textId="0CCB6C1D" w:rsidR="007D293D" w:rsidRDefault="007D293D" w:rsidP="005B2367">
            <w:pPr>
              <w:pStyle w:val="PlaceholderWide"/>
            </w:pPr>
            <w:r>
              <w:rPr>
                <w:noProof/>
                <w:lang w:eastAsia="en-AU"/>
              </w:rPr>
              <w:drawing>
                <wp:inline distT="0" distB="0" distL="0" distR="0" wp14:anchorId="72FF3D12" wp14:editId="3449AB83">
                  <wp:extent cx="2712726" cy="2295149"/>
                  <wp:effectExtent l="0" t="0" r="0" b="0"/>
                  <wp:docPr id="34" name="Picture 34" descr="Average number bof firm entries falls steeply with increasing market power index. For index values larger than zero, firm entry is almost zero." title="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3_5 - Figure 5.4b [Recovered]_Figure 4.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12726" cy="2295149"/>
                          </a:xfrm>
                          <a:prstGeom prst="rect">
                            <a:avLst/>
                          </a:prstGeom>
                        </pic:spPr>
                      </pic:pic>
                    </a:graphicData>
                  </a:graphic>
                </wp:inline>
              </w:drawing>
            </w:r>
          </w:p>
        </w:tc>
      </w:tr>
    </w:tbl>
    <w:p w14:paraId="6A12CE9D" w14:textId="77777777" w:rsidR="007D293D" w:rsidRPr="007D293D" w:rsidRDefault="007D293D" w:rsidP="007D293D">
      <w:pPr>
        <w:pStyle w:val="Placeholder"/>
      </w:pPr>
    </w:p>
    <w:p w14:paraId="1D2DC534" w14:textId="77777777" w:rsidR="00E20B23" w:rsidRPr="00C62F3A" w:rsidRDefault="00E20B23" w:rsidP="006653F0">
      <w:pPr>
        <w:pStyle w:val="Note"/>
      </w:pPr>
      <w:r>
        <w:t>Notes: A kernel regression with a Gaussian kernel and a bandwidth of 0.1 is used.</w:t>
      </w:r>
    </w:p>
    <w:p w14:paraId="7FF3150F" w14:textId="77777777" w:rsidR="00E20B23" w:rsidRDefault="00E20B23" w:rsidP="006653F0">
      <w:pPr>
        <w:pStyle w:val="Source"/>
      </w:pPr>
      <w:r>
        <w:t>Source: Department of Industry, Innovation and Science (2019)</w:t>
      </w:r>
    </w:p>
    <w:p w14:paraId="2B7BD0FE" w14:textId="6D130C54" w:rsidR="00B044C4" w:rsidRDefault="00B044C4" w:rsidP="00B044C4">
      <w:pPr>
        <w:spacing w:before="240" w:line="270" w:lineRule="exact"/>
        <w:ind w:left="0"/>
      </w:pPr>
      <w:r>
        <w:t xml:space="preserve">As the figure shows, the number of firm entries falls steeply with Market Power </w:t>
      </w:r>
      <w:r w:rsidR="002869BE">
        <w:t>for values from -2 towards zero</w:t>
      </w:r>
      <w:r>
        <w:t>. When Market Power is about zero, the number of firm entries hits the bottom; thereafter, the number of firm entries practically remains close to zero.</w:t>
      </w:r>
    </w:p>
    <w:p w14:paraId="480D7385" w14:textId="4A0D43E6" w:rsidR="00B044C4" w:rsidRDefault="00B044C4" w:rsidP="00B044C4">
      <w:pPr>
        <w:spacing w:line="270" w:lineRule="exact"/>
        <w:ind w:left="0"/>
      </w:pPr>
      <w:r>
        <w:t>For a more rigorous statistical analysis of the relation, I apply a Negative Binomial Regression (NBR). In the NBR specification, the expected number of firm entries is mode</w:t>
      </w:r>
      <w:r w:rsidR="00EF7ECF">
        <w:t>l</w:t>
      </w:r>
      <w:r w:rsidR="003A57B8">
        <w:t>l</w:t>
      </w:r>
      <w:r>
        <w:t xml:space="preserve">ed as: </w:t>
      </w:r>
    </w:p>
    <w:p w14:paraId="47158796" w14:textId="77777777" w:rsidR="00B044C4" w:rsidRDefault="00B044C4" w:rsidP="00B044C4">
      <w:pPr>
        <w:pStyle w:val="equationNum"/>
        <w:tabs>
          <w:tab w:val="center" w:pos="4019"/>
          <w:tab w:val="right" w:pos="8038"/>
        </w:tabs>
        <w:spacing w:line="480" w:lineRule="auto"/>
      </w:pPr>
      <w:r>
        <w:tab/>
      </w:r>
      <w:r>
        <w:fldChar w:fldCharType="begin"/>
      </w:r>
      <w:r>
        <w:instrText xml:space="preserve"> EQ </w:instrText>
      </w:r>
      <w:r>
        <w:rPr>
          <w:i/>
          <w:iCs/>
        </w:rPr>
        <w:instrText>E</w:instrText>
      </w:r>
      <w:r>
        <w:instrText>[</w:instrText>
      </w:r>
      <w:r>
        <w:rPr>
          <w:i/>
          <w:iCs/>
        </w:rPr>
        <w:instrText>E</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)]=exp(</w:instrText>
      </w:r>
      <w:r>
        <w:rPr>
          <w:i/>
          <w:iCs/>
        </w:rPr>
        <w:instrText>a</w:instrText>
      </w:r>
      <w:r>
        <w:instrText>\s\do5(</w:instrText>
      </w:r>
      <w:r>
        <w:rPr>
          <w:sz w:val="16"/>
          <w:szCs w:val="16"/>
        </w:rPr>
        <w:instrText>0</w:instrText>
      </w:r>
      <w:r>
        <w:instrText>)+</w:instrText>
      </w:r>
      <w:r>
        <w:rPr>
          <w:i/>
          <w:iCs/>
        </w:rPr>
        <w:instrText>a</w:instrText>
      </w:r>
      <w:r>
        <w:instrText>\s\do5(</w:instrText>
      </w:r>
      <w:r>
        <w:rPr>
          <w:sz w:val="16"/>
          <w:szCs w:val="16"/>
        </w:rPr>
        <w:instrText>1</w:instrText>
      </w:r>
      <w:r>
        <w:instrText>)</w:instrText>
      </w:r>
      <w:r>
        <w:rPr>
          <w:i/>
          <w:iCs/>
        </w:rPr>
        <w:instrText>MarketPower</w:instrText>
      </w:r>
      <w:r>
        <w:instrText>\s\do5(</w:instrText>
      </w:r>
      <w:r>
        <w:rPr>
          <w:i/>
          <w:iCs/>
          <w:sz w:val="16"/>
          <w:szCs w:val="16"/>
        </w:rPr>
        <w:instrText>it</w:instrText>
      </w:r>
      <w:r>
        <w:instrText>)+</w:instrText>
      </w:r>
      <w:r>
        <w:rPr>
          <w:i/>
          <w:iCs/>
        </w:rPr>
        <w:instrText>a</w:instrText>
      </w:r>
      <w:r>
        <w:instrText>\s\do5(</w:instrText>
      </w:r>
      <w:r>
        <w:rPr>
          <w:sz w:val="16"/>
          <w:szCs w:val="16"/>
        </w:rPr>
        <w:instrText>2</w:instrText>
      </w:r>
      <w:r>
        <w:instrText>)</w:instrText>
      </w:r>
      <w:r>
        <w:rPr>
          <w:i/>
          <w:iCs/>
        </w:rPr>
        <w:instrText>Secondary</w:instrText>
      </w:r>
      <w:r>
        <w:instrText>\s\do5(</w:instrText>
      </w:r>
      <w:r>
        <w:rPr>
          <w:i/>
          <w:iCs/>
          <w:sz w:val="16"/>
          <w:szCs w:val="16"/>
        </w:rPr>
        <w:instrText>it</w:instrText>
      </w:r>
      <w:r>
        <w:instrText>)+τ\s\do5(</w:instrText>
      </w:r>
      <w:r>
        <w:rPr>
          <w:i/>
          <w:iCs/>
          <w:sz w:val="16"/>
          <w:szCs w:val="16"/>
        </w:rPr>
        <w:instrText>t</w:instrText>
      </w:r>
      <w:r>
        <w:instrText>))\,</w:instrText>
      </w:r>
      <w:r>
        <w:fldChar w:fldCharType="end"/>
      </w:r>
      <w:r>
        <w:t>(</w:t>
      </w:r>
      <w:bookmarkStart w:id="2" w:name="BMeq_entry"/>
      <w:r>
        <w:t>2</w:t>
      </w:r>
      <w:bookmarkEnd w:id="2"/>
      <w:r>
        <w:t>)</w:t>
      </w:r>
    </w:p>
    <w:p w14:paraId="1FFF7044" w14:textId="77777777" w:rsidR="00B044C4" w:rsidRDefault="00B044C4" w:rsidP="00B044C4">
      <w:pPr>
        <w:spacing w:line="270" w:lineRule="exact"/>
        <w:ind w:left="0"/>
      </w:pPr>
      <w:r>
        <w:t xml:space="preserve">In the specification above, the key covariates are Market Power and Secondary indexes. The economy-wide effects are absorbed by the set of year dummies, </w:t>
      </w:r>
      <w:r>
        <w:fldChar w:fldCharType="begin"/>
      </w:r>
      <w:r>
        <w:instrText xml:space="preserve"> EQ τ\s\do5(</w:instrText>
      </w:r>
      <w:r>
        <w:rPr>
          <w:i/>
          <w:iCs/>
          <w:sz w:val="16"/>
          <w:szCs w:val="16"/>
        </w:rPr>
        <w:instrText>t</w:instrText>
      </w:r>
      <w:r>
        <w:instrText>)</w:instrText>
      </w:r>
      <w:r>
        <w:fldChar w:fldCharType="end"/>
      </w:r>
      <w:r>
        <w:t>. The estimated results appear in Table </w:t>
      </w:r>
      <w:r w:rsidR="0034004B">
        <w:t>4.1</w:t>
      </w:r>
      <w:r>
        <w:t>.</w:t>
      </w:r>
    </w:p>
    <w:p w14:paraId="2582B453" w14:textId="77777777" w:rsidR="00E20B23" w:rsidRDefault="00E20B23" w:rsidP="000213F0">
      <w:pPr>
        <w:pStyle w:val="BodyText"/>
        <w:rPr>
          <w:lang w:val="en"/>
        </w:rPr>
      </w:pPr>
    </w:p>
    <w:p w14:paraId="224CA2E7" w14:textId="77777777" w:rsidR="00B044C4" w:rsidRDefault="00B044C4" w:rsidP="000213F0">
      <w:pPr>
        <w:pStyle w:val="BodyText"/>
        <w:rPr>
          <w:lang w:val="en"/>
        </w:rPr>
      </w:pPr>
    </w:p>
    <w:p w14:paraId="71124E15" w14:textId="77777777" w:rsidR="00B044C4" w:rsidRDefault="00B044C4" w:rsidP="000213F0">
      <w:pPr>
        <w:pStyle w:val="BodyText"/>
        <w:rPr>
          <w:lang w:val="en"/>
        </w:rPr>
      </w:pPr>
    </w:p>
    <w:p w14:paraId="664A777C" w14:textId="77777777" w:rsidR="00B044C4" w:rsidRDefault="00B044C4" w:rsidP="000213F0">
      <w:pPr>
        <w:pStyle w:val="BodyText"/>
        <w:rPr>
          <w:lang w:val="en"/>
        </w:rPr>
      </w:pPr>
    </w:p>
    <w:p w14:paraId="51D6B3A0" w14:textId="77777777" w:rsidR="00B044C4" w:rsidRDefault="00B044C4" w:rsidP="000213F0">
      <w:pPr>
        <w:pStyle w:val="BodyText"/>
        <w:rPr>
          <w:lang w:val="en"/>
        </w:rPr>
      </w:pPr>
    </w:p>
    <w:p w14:paraId="34B5EA53" w14:textId="77777777" w:rsidR="00B044C4" w:rsidRDefault="00B044C4" w:rsidP="000213F0">
      <w:pPr>
        <w:pStyle w:val="BodyText"/>
        <w:rPr>
          <w:lang w:val="en"/>
        </w:rPr>
      </w:pPr>
    </w:p>
    <w:p w14:paraId="41EB4CE4" w14:textId="77777777" w:rsidR="00B044C4" w:rsidRDefault="00B044C4" w:rsidP="000213F0">
      <w:pPr>
        <w:pStyle w:val="BodyText"/>
        <w:rPr>
          <w:lang w:val="en"/>
        </w:rPr>
      </w:pPr>
    </w:p>
    <w:p w14:paraId="7AF19F64" w14:textId="77777777" w:rsidR="00B044C4" w:rsidRDefault="00B044C4" w:rsidP="000213F0">
      <w:pPr>
        <w:pStyle w:val="BodyText"/>
        <w:rPr>
          <w:lang w:val="en"/>
        </w:rPr>
      </w:pPr>
    </w:p>
    <w:p w14:paraId="227CB3FE" w14:textId="77777777" w:rsidR="00B044C4" w:rsidRDefault="00B044C4" w:rsidP="000213F0">
      <w:pPr>
        <w:pStyle w:val="BodyText"/>
        <w:rPr>
          <w:lang w:val="en"/>
        </w:rPr>
      </w:pPr>
    </w:p>
    <w:p w14:paraId="2511EA12" w14:textId="77777777" w:rsidR="00B044C4" w:rsidRDefault="00B044C4" w:rsidP="000213F0">
      <w:pPr>
        <w:pStyle w:val="BodyText"/>
        <w:rPr>
          <w:lang w:val="en"/>
        </w:rPr>
      </w:pPr>
    </w:p>
    <w:p w14:paraId="3B4D835D" w14:textId="77777777" w:rsidR="00B044C4" w:rsidRDefault="00B044C4" w:rsidP="006653F0">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9A27E4">
        <w:rPr>
          <w:noProof/>
        </w:rPr>
        <w:t>4</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1</w:t>
      </w:r>
      <w:r>
        <w:rPr>
          <w:noProof/>
        </w:rPr>
        <w:fldChar w:fldCharType="end"/>
      </w:r>
      <w:r w:rsidRPr="000618FB">
        <w:t xml:space="preserve">: </w:t>
      </w:r>
      <w:r>
        <w:t>Negative binomial regression models of firm entry as a function of market power.</w:t>
      </w:r>
    </w:p>
    <w:tbl>
      <w:tblPr>
        <w:tblStyle w:val="OCETable"/>
        <w:tblW w:w="5000" w:type="pct"/>
        <w:tblLook w:val="04A0" w:firstRow="1" w:lastRow="0" w:firstColumn="1" w:lastColumn="0" w:noHBand="0" w:noVBand="1"/>
        <w:tblCaption w:val="Table 4.1"/>
        <w:tblDescription w:val="All coefficients estimated for market power are negative and statistically significant. All coefficients for secodnary index are positive and statistically significant. In the last two columns, the coefficients for change in market power are negative and statistically significant. The coefficient estimated for teh quadratic market power term is almost zero and statistically insignificant."/>
      </w:tblPr>
      <w:tblGrid>
        <w:gridCol w:w="2707"/>
        <w:gridCol w:w="1395"/>
        <w:gridCol w:w="1395"/>
        <w:gridCol w:w="1397"/>
      </w:tblGrid>
      <w:tr w:rsidR="00B044C4" w14:paraId="170DBDB1"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1963" w:type="pct"/>
          </w:tcPr>
          <w:p w14:paraId="27B563EC" w14:textId="77777777" w:rsidR="00B044C4" w:rsidRDefault="00B044C4" w:rsidP="00B044C4">
            <w:pPr>
              <w:pStyle w:val="Tableheadertext"/>
            </w:pPr>
          </w:p>
        </w:tc>
        <w:tc>
          <w:tcPr>
            <w:tcW w:w="3037" w:type="pct"/>
            <w:gridSpan w:val="3"/>
          </w:tcPr>
          <w:p w14:paraId="74C7261B" w14:textId="77777777" w:rsidR="00B044C4" w:rsidRDefault="00B044C4" w:rsidP="00B044C4">
            <w:pPr>
              <w:pStyle w:val="Tableheadertext"/>
            </w:pPr>
            <w:r>
              <w:t>Dependent: Number of firm entries</w:t>
            </w:r>
          </w:p>
        </w:tc>
      </w:tr>
      <w:tr w:rsidR="00B044C4" w14:paraId="71F50AAA"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Pr>
          <w:p w14:paraId="0532E7BA" w14:textId="77777777" w:rsidR="00B044C4" w:rsidRDefault="00B044C4" w:rsidP="00B044C4">
            <w:pPr>
              <w:pStyle w:val="Tablebodytext"/>
            </w:pPr>
            <w:r>
              <w:t>Variable</w:t>
            </w:r>
          </w:p>
        </w:tc>
        <w:tc>
          <w:tcPr>
            <w:tcW w:w="1012" w:type="pct"/>
          </w:tcPr>
          <w:p w14:paraId="0CF0756F" w14:textId="77777777" w:rsidR="00B044C4" w:rsidRDefault="00B044C4" w:rsidP="00B044C4">
            <w:pPr>
              <w:pStyle w:val="Tablebodytext"/>
            </w:pPr>
            <w:r>
              <w:t>(1)</w:t>
            </w:r>
          </w:p>
        </w:tc>
        <w:tc>
          <w:tcPr>
            <w:tcW w:w="1012" w:type="pct"/>
          </w:tcPr>
          <w:p w14:paraId="7FD5D2E6" w14:textId="77777777" w:rsidR="00B044C4" w:rsidRDefault="00B044C4" w:rsidP="00B044C4">
            <w:pPr>
              <w:pStyle w:val="Tablebodytext"/>
            </w:pPr>
            <w:r>
              <w:t>(2)</w:t>
            </w:r>
          </w:p>
        </w:tc>
        <w:tc>
          <w:tcPr>
            <w:tcW w:w="1013" w:type="pct"/>
          </w:tcPr>
          <w:p w14:paraId="4908CEDF" w14:textId="77777777" w:rsidR="00B044C4" w:rsidRDefault="00B044C4" w:rsidP="00B044C4">
            <w:pPr>
              <w:pStyle w:val="Tablebodytext"/>
            </w:pPr>
            <w:r>
              <w:t>(3)</w:t>
            </w:r>
          </w:p>
        </w:tc>
      </w:tr>
      <w:tr w:rsidR="00B044C4" w14:paraId="677A1570"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Pr>
          <w:p w14:paraId="60A70ACD" w14:textId="77777777" w:rsidR="00B044C4" w:rsidRDefault="00B044C4" w:rsidP="00B044C4">
            <w:pPr>
              <w:pStyle w:val="Tablebodytext"/>
            </w:pPr>
            <w:r>
              <w:t xml:space="preserve"> Market Power</w:t>
            </w:r>
            <w:r>
              <w:fldChar w:fldCharType="begin"/>
            </w:r>
            <w:r>
              <w:instrText xml:space="preserve"> EQ \s\do5(</w:instrText>
            </w:r>
            <w:r>
              <w:rPr>
                <w:i/>
                <w:iCs/>
                <w:sz w:val="16"/>
                <w:szCs w:val="16"/>
              </w:rPr>
              <w:instrText>t</w:instrText>
            </w:r>
            <w:r>
              <w:instrText>)</w:instrText>
            </w:r>
            <w:r>
              <w:fldChar w:fldCharType="end"/>
            </w:r>
          </w:p>
        </w:tc>
        <w:tc>
          <w:tcPr>
            <w:tcW w:w="1012" w:type="pct"/>
          </w:tcPr>
          <w:p w14:paraId="03563BCF" w14:textId="77777777" w:rsidR="00B044C4" w:rsidRDefault="00B044C4" w:rsidP="00B044C4">
            <w:pPr>
              <w:pStyle w:val="Tablebodytext"/>
            </w:pPr>
            <w:r>
              <w:t>−1.310</w:t>
            </w:r>
            <w:r>
              <w:fldChar w:fldCharType="begin"/>
            </w:r>
            <w:r>
              <w:instrText xml:space="preserve"> EQ \s\up5(</w:instrText>
            </w:r>
            <w:r>
              <w:rPr>
                <w:sz w:val="16"/>
                <w:szCs w:val="16"/>
              </w:rPr>
              <w:instrText>***</w:instrText>
            </w:r>
            <w:r>
              <w:instrText>)</w:instrText>
            </w:r>
            <w:r>
              <w:fldChar w:fldCharType="end"/>
            </w:r>
          </w:p>
        </w:tc>
        <w:tc>
          <w:tcPr>
            <w:tcW w:w="1012" w:type="pct"/>
          </w:tcPr>
          <w:p w14:paraId="1E4125CE" w14:textId="77777777" w:rsidR="00B044C4" w:rsidRDefault="00B044C4" w:rsidP="00B044C4">
            <w:pPr>
              <w:pStyle w:val="Tablebodytext"/>
            </w:pPr>
            <w:r>
              <w:t>−1.306</w:t>
            </w:r>
            <w:r>
              <w:fldChar w:fldCharType="begin"/>
            </w:r>
            <w:r>
              <w:instrText xml:space="preserve"> EQ \s\up5(</w:instrText>
            </w:r>
            <w:r>
              <w:rPr>
                <w:sz w:val="16"/>
                <w:szCs w:val="16"/>
              </w:rPr>
              <w:instrText>***</w:instrText>
            </w:r>
            <w:r>
              <w:instrText>)</w:instrText>
            </w:r>
            <w:r>
              <w:fldChar w:fldCharType="end"/>
            </w:r>
          </w:p>
        </w:tc>
        <w:tc>
          <w:tcPr>
            <w:tcW w:w="1013" w:type="pct"/>
          </w:tcPr>
          <w:p w14:paraId="44540CC1" w14:textId="77777777" w:rsidR="00B044C4" w:rsidRDefault="00B044C4" w:rsidP="00B044C4">
            <w:pPr>
              <w:pStyle w:val="Tablebodytext"/>
            </w:pPr>
            <w:r>
              <w:t>−1.288</w:t>
            </w:r>
            <w:r>
              <w:fldChar w:fldCharType="begin"/>
            </w:r>
            <w:r>
              <w:instrText xml:space="preserve"> EQ \s\up5(</w:instrText>
            </w:r>
            <w:r>
              <w:rPr>
                <w:sz w:val="16"/>
                <w:szCs w:val="16"/>
              </w:rPr>
              <w:instrText>***</w:instrText>
            </w:r>
            <w:r>
              <w:instrText>)</w:instrText>
            </w:r>
            <w:r>
              <w:fldChar w:fldCharType="end"/>
            </w:r>
          </w:p>
        </w:tc>
      </w:tr>
      <w:tr w:rsidR="00B044C4" w14:paraId="277EEE85"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Pr>
          <w:p w14:paraId="519554E9" w14:textId="77777777" w:rsidR="00B044C4" w:rsidRDefault="00B044C4" w:rsidP="00B044C4">
            <w:pPr>
              <w:pStyle w:val="Tablebodytext"/>
            </w:pPr>
          </w:p>
        </w:tc>
        <w:tc>
          <w:tcPr>
            <w:tcW w:w="1012" w:type="pct"/>
          </w:tcPr>
          <w:p w14:paraId="68E745B6" w14:textId="77777777" w:rsidR="00B044C4" w:rsidRDefault="00B044C4" w:rsidP="00B044C4">
            <w:pPr>
              <w:pStyle w:val="Tablebodytext"/>
            </w:pPr>
            <w:r>
              <w:t>(0.009)</w:t>
            </w:r>
          </w:p>
        </w:tc>
        <w:tc>
          <w:tcPr>
            <w:tcW w:w="1012" w:type="pct"/>
          </w:tcPr>
          <w:p w14:paraId="0B6A3382" w14:textId="77777777" w:rsidR="00B044C4" w:rsidRDefault="00B044C4" w:rsidP="00B044C4">
            <w:pPr>
              <w:pStyle w:val="Tablebodytext"/>
            </w:pPr>
            <w:r>
              <w:t>(0.009)</w:t>
            </w:r>
          </w:p>
        </w:tc>
        <w:tc>
          <w:tcPr>
            <w:tcW w:w="1013" w:type="pct"/>
          </w:tcPr>
          <w:p w14:paraId="0446B448" w14:textId="77777777" w:rsidR="00B044C4" w:rsidRDefault="00B044C4" w:rsidP="00B044C4">
            <w:pPr>
              <w:pStyle w:val="Tablebodytext"/>
            </w:pPr>
            <w:r>
              <w:t>(0.020)</w:t>
            </w:r>
          </w:p>
        </w:tc>
      </w:tr>
      <w:tr w:rsidR="00B044C4" w14:paraId="3E56C3E4"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Pr>
          <w:p w14:paraId="4B913F47" w14:textId="77777777" w:rsidR="00B044C4" w:rsidRDefault="00B044C4" w:rsidP="00B044C4">
            <w:pPr>
              <w:pStyle w:val="Tablebodytext"/>
            </w:pPr>
            <w:r>
              <w:t>Secondary</w:t>
            </w:r>
            <w:r>
              <w:fldChar w:fldCharType="begin"/>
            </w:r>
            <w:r>
              <w:instrText xml:space="preserve"> EQ \s\do5(</w:instrText>
            </w:r>
            <w:r>
              <w:rPr>
                <w:i/>
                <w:iCs/>
                <w:sz w:val="16"/>
                <w:szCs w:val="16"/>
              </w:rPr>
              <w:instrText>t</w:instrText>
            </w:r>
            <w:r>
              <w:instrText>)</w:instrText>
            </w:r>
            <w:r>
              <w:fldChar w:fldCharType="end"/>
            </w:r>
          </w:p>
        </w:tc>
        <w:tc>
          <w:tcPr>
            <w:tcW w:w="1012" w:type="pct"/>
          </w:tcPr>
          <w:p w14:paraId="1E357444" w14:textId="77777777" w:rsidR="00B044C4" w:rsidRDefault="00B044C4" w:rsidP="00B044C4">
            <w:pPr>
              <w:pStyle w:val="Tablebodytext"/>
            </w:pPr>
            <w:r>
              <w:t>1.397</w:t>
            </w:r>
            <w:r>
              <w:fldChar w:fldCharType="begin"/>
            </w:r>
            <w:r>
              <w:instrText xml:space="preserve"> EQ \s\up5(</w:instrText>
            </w:r>
            <w:r>
              <w:rPr>
                <w:sz w:val="16"/>
                <w:szCs w:val="16"/>
              </w:rPr>
              <w:instrText>***</w:instrText>
            </w:r>
            <w:r>
              <w:instrText>)</w:instrText>
            </w:r>
            <w:r>
              <w:fldChar w:fldCharType="end"/>
            </w:r>
          </w:p>
        </w:tc>
        <w:tc>
          <w:tcPr>
            <w:tcW w:w="1012" w:type="pct"/>
          </w:tcPr>
          <w:p w14:paraId="03BA16A5" w14:textId="77777777" w:rsidR="00B044C4" w:rsidRDefault="00B044C4" w:rsidP="00B044C4">
            <w:pPr>
              <w:pStyle w:val="Tablebodytext"/>
            </w:pPr>
            <w:r>
              <w:t>1.419</w:t>
            </w:r>
            <w:r>
              <w:fldChar w:fldCharType="begin"/>
            </w:r>
            <w:r>
              <w:instrText xml:space="preserve"> EQ \s\up5(</w:instrText>
            </w:r>
            <w:r>
              <w:rPr>
                <w:sz w:val="16"/>
                <w:szCs w:val="16"/>
              </w:rPr>
              <w:instrText>***</w:instrText>
            </w:r>
            <w:r>
              <w:instrText>)</w:instrText>
            </w:r>
            <w:r>
              <w:fldChar w:fldCharType="end"/>
            </w:r>
          </w:p>
        </w:tc>
        <w:tc>
          <w:tcPr>
            <w:tcW w:w="1013" w:type="pct"/>
          </w:tcPr>
          <w:p w14:paraId="1503656D" w14:textId="77777777" w:rsidR="00B044C4" w:rsidRDefault="00B044C4" w:rsidP="00B044C4">
            <w:pPr>
              <w:pStyle w:val="Tablebodytext"/>
            </w:pPr>
            <w:r>
              <w:t>1.426</w:t>
            </w:r>
            <w:r>
              <w:fldChar w:fldCharType="begin"/>
            </w:r>
            <w:r>
              <w:instrText xml:space="preserve"> EQ \s\up5(</w:instrText>
            </w:r>
            <w:r>
              <w:rPr>
                <w:sz w:val="16"/>
                <w:szCs w:val="16"/>
              </w:rPr>
              <w:instrText>***</w:instrText>
            </w:r>
            <w:r>
              <w:instrText>)</w:instrText>
            </w:r>
            <w:r>
              <w:fldChar w:fldCharType="end"/>
            </w:r>
          </w:p>
        </w:tc>
      </w:tr>
      <w:tr w:rsidR="00B044C4" w14:paraId="1C8D4936"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Pr>
          <w:p w14:paraId="21A5CBA2" w14:textId="77777777" w:rsidR="00B044C4" w:rsidRDefault="00B044C4" w:rsidP="00B044C4">
            <w:pPr>
              <w:pStyle w:val="Tablebodytext"/>
            </w:pPr>
          </w:p>
        </w:tc>
        <w:tc>
          <w:tcPr>
            <w:tcW w:w="1012" w:type="pct"/>
          </w:tcPr>
          <w:p w14:paraId="7081DC77" w14:textId="77777777" w:rsidR="00B044C4" w:rsidRDefault="00B044C4" w:rsidP="00B044C4">
            <w:pPr>
              <w:pStyle w:val="Tablebodytext"/>
            </w:pPr>
            <w:r>
              <w:t>(0.014)</w:t>
            </w:r>
          </w:p>
        </w:tc>
        <w:tc>
          <w:tcPr>
            <w:tcW w:w="1012" w:type="pct"/>
          </w:tcPr>
          <w:p w14:paraId="40F3C089" w14:textId="77777777" w:rsidR="00B044C4" w:rsidRDefault="00B044C4" w:rsidP="00B044C4">
            <w:pPr>
              <w:pStyle w:val="Tablebodytext"/>
            </w:pPr>
            <w:r>
              <w:t>(0.015)</w:t>
            </w:r>
          </w:p>
        </w:tc>
        <w:tc>
          <w:tcPr>
            <w:tcW w:w="1013" w:type="pct"/>
          </w:tcPr>
          <w:p w14:paraId="622E129F" w14:textId="77777777" w:rsidR="00B044C4" w:rsidRDefault="00B044C4" w:rsidP="00B044C4">
            <w:pPr>
              <w:pStyle w:val="Tablebodytext"/>
            </w:pPr>
            <w:r>
              <w:t>(0.017)</w:t>
            </w:r>
          </w:p>
        </w:tc>
      </w:tr>
      <w:tr w:rsidR="00B044C4" w14:paraId="5B78F196"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Pr>
          <w:p w14:paraId="733E6239" w14:textId="77777777" w:rsidR="00B044C4" w:rsidRDefault="00B044C4" w:rsidP="00B044C4">
            <w:pPr>
              <w:pStyle w:val="Tablebodytext"/>
            </w:pPr>
            <w:r>
              <w:t>ΔMarket Power</w:t>
            </w:r>
            <w:r>
              <w:fldChar w:fldCharType="begin"/>
            </w:r>
            <w:r>
              <w:instrText xml:space="preserve"> EQ \s\do5(</w:instrText>
            </w:r>
            <w:r>
              <w:rPr>
                <w:i/>
                <w:iCs/>
                <w:sz w:val="16"/>
                <w:szCs w:val="16"/>
              </w:rPr>
              <w:instrText>t</w:instrText>
            </w:r>
            <w:r>
              <w:instrText>)</w:instrText>
            </w:r>
            <w:r>
              <w:fldChar w:fldCharType="end"/>
            </w:r>
          </w:p>
        </w:tc>
        <w:tc>
          <w:tcPr>
            <w:tcW w:w="1012" w:type="pct"/>
          </w:tcPr>
          <w:p w14:paraId="3B4B1B18" w14:textId="77777777" w:rsidR="00B044C4" w:rsidRDefault="00B044C4" w:rsidP="00B044C4">
            <w:pPr>
              <w:pStyle w:val="Tablebodytext"/>
            </w:pPr>
          </w:p>
        </w:tc>
        <w:tc>
          <w:tcPr>
            <w:tcW w:w="1012" w:type="pct"/>
          </w:tcPr>
          <w:p w14:paraId="4B5B4142" w14:textId="77777777" w:rsidR="00B044C4" w:rsidRDefault="00B044C4" w:rsidP="00B044C4">
            <w:pPr>
              <w:pStyle w:val="Tablebodytext"/>
            </w:pPr>
            <w:r>
              <w:t>−0.114</w:t>
            </w:r>
            <w:r>
              <w:fldChar w:fldCharType="begin"/>
            </w:r>
            <w:r>
              <w:instrText xml:space="preserve"> EQ \s\up5(</w:instrText>
            </w:r>
            <w:r>
              <w:rPr>
                <w:sz w:val="16"/>
                <w:szCs w:val="16"/>
              </w:rPr>
              <w:instrText>***</w:instrText>
            </w:r>
            <w:r>
              <w:instrText>)</w:instrText>
            </w:r>
            <w:r>
              <w:fldChar w:fldCharType="end"/>
            </w:r>
          </w:p>
        </w:tc>
        <w:tc>
          <w:tcPr>
            <w:tcW w:w="1013" w:type="pct"/>
          </w:tcPr>
          <w:p w14:paraId="06E35D24" w14:textId="77777777" w:rsidR="00B044C4" w:rsidRDefault="00B044C4" w:rsidP="00B044C4">
            <w:pPr>
              <w:pStyle w:val="Tablebodytext"/>
            </w:pPr>
            <w:r>
              <w:t>−0.116</w:t>
            </w:r>
            <w:r>
              <w:fldChar w:fldCharType="begin"/>
            </w:r>
            <w:r>
              <w:instrText xml:space="preserve"> EQ \s\up5(</w:instrText>
            </w:r>
            <w:r>
              <w:rPr>
                <w:sz w:val="16"/>
                <w:szCs w:val="16"/>
              </w:rPr>
              <w:instrText>***</w:instrText>
            </w:r>
            <w:r>
              <w:instrText>)</w:instrText>
            </w:r>
            <w:r>
              <w:fldChar w:fldCharType="end"/>
            </w:r>
          </w:p>
        </w:tc>
      </w:tr>
      <w:tr w:rsidR="00B044C4" w14:paraId="33E8FB72"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Pr>
          <w:p w14:paraId="49D8FA95" w14:textId="77777777" w:rsidR="00B044C4" w:rsidRDefault="00B044C4" w:rsidP="00B044C4">
            <w:pPr>
              <w:pStyle w:val="Tablebodytext"/>
            </w:pPr>
          </w:p>
        </w:tc>
        <w:tc>
          <w:tcPr>
            <w:tcW w:w="1012" w:type="pct"/>
          </w:tcPr>
          <w:p w14:paraId="2411FFF8" w14:textId="77777777" w:rsidR="00B044C4" w:rsidRDefault="00B044C4" w:rsidP="00B044C4">
            <w:pPr>
              <w:pStyle w:val="Tablebodytext"/>
            </w:pPr>
          </w:p>
        </w:tc>
        <w:tc>
          <w:tcPr>
            <w:tcW w:w="1012" w:type="pct"/>
          </w:tcPr>
          <w:p w14:paraId="61959EC4" w14:textId="77777777" w:rsidR="00B044C4" w:rsidRDefault="00B044C4" w:rsidP="00B044C4">
            <w:pPr>
              <w:pStyle w:val="Tablebodytext"/>
            </w:pPr>
            <w:r>
              <w:t>(0.033)</w:t>
            </w:r>
          </w:p>
        </w:tc>
        <w:tc>
          <w:tcPr>
            <w:tcW w:w="1013" w:type="pct"/>
          </w:tcPr>
          <w:p w14:paraId="43F89E98" w14:textId="77777777" w:rsidR="00B044C4" w:rsidRDefault="00B044C4" w:rsidP="00B044C4">
            <w:pPr>
              <w:pStyle w:val="Tablebodytext"/>
            </w:pPr>
            <w:r>
              <w:t>(0.033)</w:t>
            </w:r>
          </w:p>
        </w:tc>
      </w:tr>
      <w:tr w:rsidR="00B044C4" w14:paraId="5290DF56"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Pr>
          <w:p w14:paraId="0C03102C" w14:textId="25BEAB07" w:rsidR="00B044C4" w:rsidRDefault="007B02A3" w:rsidP="00B044C4">
            <w:pPr>
              <w:pStyle w:val="Tablebodytext"/>
            </w:pPr>
            <w:r>
              <w:t>Market Power×|Market Power|</w:t>
            </w:r>
          </w:p>
        </w:tc>
        <w:tc>
          <w:tcPr>
            <w:tcW w:w="1012" w:type="pct"/>
          </w:tcPr>
          <w:p w14:paraId="6C900D99" w14:textId="77777777" w:rsidR="00B044C4" w:rsidRDefault="00B044C4" w:rsidP="00B044C4">
            <w:pPr>
              <w:pStyle w:val="Tablebodytext"/>
            </w:pPr>
          </w:p>
        </w:tc>
        <w:tc>
          <w:tcPr>
            <w:tcW w:w="1012" w:type="pct"/>
          </w:tcPr>
          <w:p w14:paraId="6D668776" w14:textId="77777777" w:rsidR="00B044C4" w:rsidRDefault="00B044C4" w:rsidP="00B044C4">
            <w:pPr>
              <w:pStyle w:val="Tablebodytext"/>
            </w:pPr>
          </w:p>
        </w:tc>
        <w:tc>
          <w:tcPr>
            <w:tcW w:w="1013" w:type="pct"/>
          </w:tcPr>
          <w:p w14:paraId="1167B4D4" w14:textId="77777777" w:rsidR="00B044C4" w:rsidRDefault="00B044C4" w:rsidP="00B044C4">
            <w:pPr>
              <w:pStyle w:val="Tablebodytext"/>
            </w:pPr>
            <w:r>
              <w:t>−0.009</w:t>
            </w:r>
          </w:p>
        </w:tc>
      </w:tr>
      <w:tr w:rsidR="00B044C4" w14:paraId="4A3C4BD7"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Borders>
              <w:bottom w:val="single" w:sz="4" w:space="0" w:color="auto"/>
            </w:tcBorders>
          </w:tcPr>
          <w:p w14:paraId="1AD4DA89" w14:textId="77777777" w:rsidR="00B044C4" w:rsidRDefault="00B044C4" w:rsidP="00B044C4">
            <w:pPr>
              <w:pStyle w:val="Tablebodytext"/>
            </w:pPr>
          </w:p>
        </w:tc>
        <w:tc>
          <w:tcPr>
            <w:tcW w:w="1012" w:type="pct"/>
            <w:tcBorders>
              <w:bottom w:val="single" w:sz="4" w:space="0" w:color="auto"/>
            </w:tcBorders>
          </w:tcPr>
          <w:p w14:paraId="72D069A5" w14:textId="77777777" w:rsidR="00B044C4" w:rsidRDefault="00B044C4" w:rsidP="00B044C4">
            <w:pPr>
              <w:pStyle w:val="Tablebodytext"/>
            </w:pPr>
          </w:p>
        </w:tc>
        <w:tc>
          <w:tcPr>
            <w:tcW w:w="1012" w:type="pct"/>
            <w:tcBorders>
              <w:bottom w:val="single" w:sz="4" w:space="0" w:color="auto"/>
            </w:tcBorders>
          </w:tcPr>
          <w:p w14:paraId="4071E1C4" w14:textId="77777777" w:rsidR="00B044C4" w:rsidRDefault="00B044C4" w:rsidP="00B044C4">
            <w:pPr>
              <w:pStyle w:val="Tablebodytext"/>
            </w:pPr>
          </w:p>
        </w:tc>
        <w:tc>
          <w:tcPr>
            <w:tcW w:w="1013" w:type="pct"/>
            <w:tcBorders>
              <w:bottom w:val="single" w:sz="4" w:space="0" w:color="auto"/>
            </w:tcBorders>
          </w:tcPr>
          <w:p w14:paraId="6BEEFBBC" w14:textId="77777777" w:rsidR="00B044C4" w:rsidRDefault="00B044C4" w:rsidP="00B044C4">
            <w:pPr>
              <w:pStyle w:val="Tablebodytext"/>
            </w:pPr>
            <w:r>
              <w:t>(0.009)</w:t>
            </w:r>
          </w:p>
        </w:tc>
      </w:tr>
      <w:tr w:rsidR="00B044C4" w14:paraId="0D3699AC"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Borders>
              <w:top w:val="single" w:sz="4" w:space="0" w:color="auto"/>
            </w:tcBorders>
          </w:tcPr>
          <w:p w14:paraId="06364A5B" w14:textId="77777777" w:rsidR="00B044C4" w:rsidRDefault="00B044C4" w:rsidP="00B044C4">
            <w:pPr>
              <w:pStyle w:val="Tablebodytext"/>
            </w:pPr>
            <w:r>
              <w:t xml:space="preserve"> Log Likelihood</w:t>
            </w:r>
          </w:p>
        </w:tc>
        <w:tc>
          <w:tcPr>
            <w:tcW w:w="1012" w:type="pct"/>
            <w:tcBorders>
              <w:top w:val="single" w:sz="4" w:space="0" w:color="auto"/>
            </w:tcBorders>
          </w:tcPr>
          <w:p w14:paraId="6BCF30F7" w14:textId="77777777" w:rsidR="00B044C4" w:rsidRDefault="00B044C4" w:rsidP="00B044C4">
            <w:pPr>
              <w:pStyle w:val="Tablebodytext"/>
            </w:pPr>
            <w:r>
              <w:t>-18,361.3</w:t>
            </w:r>
          </w:p>
        </w:tc>
        <w:tc>
          <w:tcPr>
            <w:tcW w:w="1012" w:type="pct"/>
            <w:tcBorders>
              <w:top w:val="single" w:sz="4" w:space="0" w:color="auto"/>
            </w:tcBorders>
          </w:tcPr>
          <w:p w14:paraId="06965E82" w14:textId="77777777" w:rsidR="00B044C4" w:rsidRDefault="00B044C4" w:rsidP="00B044C4">
            <w:pPr>
              <w:pStyle w:val="Tablebodytext"/>
            </w:pPr>
            <w:r>
              <w:t>-17,008.1</w:t>
            </w:r>
          </w:p>
        </w:tc>
        <w:tc>
          <w:tcPr>
            <w:tcW w:w="1013" w:type="pct"/>
            <w:tcBorders>
              <w:top w:val="single" w:sz="4" w:space="0" w:color="auto"/>
            </w:tcBorders>
          </w:tcPr>
          <w:p w14:paraId="51B44E8F" w14:textId="77777777" w:rsidR="00B044C4" w:rsidRDefault="00B044C4" w:rsidP="00B044C4">
            <w:pPr>
              <w:pStyle w:val="Tablebodytext"/>
            </w:pPr>
            <w:r>
              <w:t>-17,007.6</w:t>
            </w:r>
          </w:p>
        </w:tc>
      </w:tr>
      <w:tr w:rsidR="00B044C4" w14:paraId="33924B78" w14:textId="77777777" w:rsidTr="00B044C4">
        <w:trPr>
          <w:cnfStyle w:val="000000100000" w:firstRow="0" w:lastRow="0" w:firstColumn="0" w:lastColumn="0" w:oddVBand="0" w:evenVBand="0" w:oddHBand="1" w:evenHBand="0" w:firstRowFirstColumn="0" w:firstRowLastColumn="0" w:lastRowFirstColumn="0" w:lastRowLastColumn="0"/>
        </w:trPr>
        <w:tc>
          <w:tcPr>
            <w:tcW w:w="1963" w:type="pct"/>
          </w:tcPr>
          <w:p w14:paraId="02B2072C" w14:textId="77777777" w:rsidR="00B044C4" w:rsidRDefault="00B044C4" w:rsidP="00B044C4">
            <w:pPr>
              <w:pStyle w:val="Tablebodytext"/>
            </w:pPr>
            <w:r>
              <w:t xml:space="preserve">Wald </w:t>
            </w:r>
            <w:r>
              <w:fldChar w:fldCharType="begin"/>
            </w:r>
            <w:r>
              <w:instrText xml:space="preserve"> EQ χ\s\up5(</w:instrText>
            </w:r>
            <w:r>
              <w:rPr>
                <w:sz w:val="16"/>
                <w:szCs w:val="16"/>
              </w:rPr>
              <w:instrText>2</w:instrText>
            </w:r>
            <w:r>
              <w:instrText>)</w:instrText>
            </w:r>
            <w:r>
              <w:fldChar w:fldCharType="end"/>
            </w:r>
          </w:p>
        </w:tc>
        <w:tc>
          <w:tcPr>
            <w:tcW w:w="1012" w:type="pct"/>
          </w:tcPr>
          <w:p w14:paraId="02C9D27E" w14:textId="77777777" w:rsidR="00B044C4" w:rsidRDefault="00B044C4" w:rsidP="00B044C4">
            <w:pPr>
              <w:pStyle w:val="Tablebodytext"/>
            </w:pPr>
            <w:r>
              <w:t>4.10</w:t>
            </w:r>
            <w:r>
              <w:fldChar w:fldCharType="begin"/>
            </w:r>
            <w:r>
              <w:instrText xml:space="preserve"> EQ ×10\s\up5(</w:instrText>
            </w:r>
            <w:r>
              <w:rPr>
                <w:sz w:val="16"/>
                <w:szCs w:val="16"/>
              </w:rPr>
              <w:instrText>5</w:instrText>
            </w:r>
            <w:r>
              <w:instrText>)</w:instrText>
            </w:r>
            <w:r>
              <w:fldChar w:fldCharType="end"/>
            </w:r>
          </w:p>
        </w:tc>
        <w:tc>
          <w:tcPr>
            <w:tcW w:w="1012" w:type="pct"/>
          </w:tcPr>
          <w:p w14:paraId="139CE566" w14:textId="77777777" w:rsidR="00B044C4" w:rsidRDefault="00B044C4" w:rsidP="00B044C4">
            <w:pPr>
              <w:pStyle w:val="Tablebodytext"/>
            </w:pPr>
            <w:r>
              <w:t>3.78</w:t>
            </w:r>
            <w:r>
              <w:fldChar w:fldCharType="begin"/>
            </w:r>
            <w:r>
              <w:instrText xml:space="preserve"> EQ ×10\s\up5(</w:instrText>
            </w:r>
            <w:r>
              <w:rPr>
                <w:sz w:val="16"/>
                <w:szCs w:val="16"/>
              </w:rPr>
              <w:instrText>5</w:instrText>
            </w:r>
            <w:r>
              <w:instrText>)</w:instrText>
            </w:r>
            <w:r>
              <w:fldChar w:fldCharType="end"/>
            </w:r>
          </w:p>
        </w:tc>
        <w:tc>
          <w:tcPr>
            <w:tcW w:w="1013" w:type="pct"/>
          </w:tcPr>
          <w:p w14:paraId="05193852" w14:textId="77777777" w:rsidR="00B044C4" w:rsidRDefault="00B044C4" w:rsidP="00B044C4">
            <w:pPr>
              <w:pStyle w:val="Tablebodytext"/>
            </w:pPr>
            <w:r>
              <w:t>3.78</w:t>
            </w:r>
            <w:r>
              <w:fldChar w:fldCharType="begin"/>
            </w:r>
            <w:r>
              <w:instrText xml:space="preserve"> EQ ×10\s\up5(</w:instrText>
            </w:r>
            <w:r>
              <w:rPr>
                <w:sz w:val="16"/>
                <w:szCs w:val="16"/>
              </w:rPr>
              <w:instrText>5</w:instrText>
            </w:r>
            <w:r>
              <w:instrText>)</w:instrText>
            </w:r>
            <w:r>
              <w:fldChar w:fldCharType="end"/>
            </w:r>
          </w:p>
        </w:tc>
      </w:tr>
      <w:tr w:rsidR="00B044C4" w14:paraId="6F9FF4C2" w14:textId="77777777" w:rsidTr="00B044C4">
        <w:trPr>
          <w:cnfStyle w:val="000000010000" w:firstRow="0" w:lastRow="0" w:firstColumn="0" w:lastColumn="0" w:oddVBand="0" w:evenVBand="0" w:oddHBand="0" w:evenHBand="1" w:firstRowFirstColumn="0" w:firstRowLastColumn="0" w:lastRowFirstColumn="0" w:lastRowLastColumn="0"/>
        </w:trPr>
        <w:tc>
          <w:tcPr>
            <w:tcW w:w="1963" w:type="pct"/>
          </w:tcPr>
          <w:p w14:paraId="0E660C4A" w14:textId="77777777" w:rsidR="00B044C4" w:rsidRDefault="00B044C4" w:rsidP="00B044C4">
            <w:pPr>
              <w:pStyle w:val="Tablebodytext"/>
            </w:pPr>
            <w:r>
              <w:t>#Obs</w:t>
            </w:r>
          </w:p>
        </w:tc>
        <w:tc>
          <w:tcPr>
            <w:tcW w:w="1012" w:type="pct"/>
          </w:tcPr>
          <w:p w14:paraId="7BF21E0A" w14:textId="77777777" w:rsidR="00B044C4" w:rsidRDefault="00B044C4" w:rsidP="00B044C4">
            <w:pPr>
              <w:pStyle w:val="Tablebodytext"/>
            </w:pPr>
            <w:r>
              <w:t>2,842</w:t>
            </w:r>
          </w:p>
        </w:tc>
        <w:tc>
          <w:tcPr>
            <w:tcW w:w="1012" w:type="pct"/>
          </w:tcPr>
          <w:p w14:paraId="12775774" w14:textId="77777777" w:rsidR="00B044C4" w:rsidRDefault="00B044C4" w:rsidP="00B044C4">
            <w:pPr>
              <w:pStyle w:val="Tablebodytext"/>
            </w:pPr>
            <w:r>
              <w:t>2,639</w:t>
            </w:r>
          </w:p>
        </w:tc>
        <w:tc>
          <w:tcPr>
            <w:tcW w:w="1013" w:type="pct"/>
          </w:tcPr>
          <w:p w14:paraId="0762AD53" w14:textId="77777777" w:rsidR="00B044C4" w:rsidRDefault="00B044C4" w:rsidP="00B044C4">
            <w:pPr>
              <w:pStyle w:val="Tablebodytext"/>
            </w:pPr>
            <w:r>
              <w:t>2,639</w:t>
            </w:r>
          </w:p>
        </w:tc>
      </w:tr>
    </w:tbl>
    <w:p w14:paraId="667DABBD" w14:textId="77777777" w:rsidR="00B044C4" w:rsidRPr="00C62F3A" w:rsidRDefault="00B044C4" w:rsidP="006653F0">
      <w:pPr>
        <w:pStyle w:val="Note"/>
      </w:pPr>
      <w:r>
        <w:t>Notes: Numbers in parenthesis are standard deviation. *** indicates significance at 1 per cent level. Unit of observation is industry–year</w:t>
      </w:r>
    </w:p>
    <w:p w14:paraId="7E3255D6" w14:textId="77777777" w:rsidR="00B044C4" w:rsidRDefault="00B044C4" w:rsidP="006653F0">
      <w:pPr>
        <w:pStyle w:val="Source"/>
      </w:pPr>
      <w:r>
        <w:t>Source: Department of Industry, Innovation and Science (2019)</w:t>
      </w:r>
    </w:p>
    <w:p w14:paraId="6C13ED53" w14:textId="2A0BA703" w:rsidR="0034004B" w:rsidRDefault="0034004B" w:rsidP="0034004B">
      <w:pPr>
        <w:spacing w:line="270" w:lineRule="exact"/>
        <w:ind w:left="0"/>
      </w:pPr>
      <w:r>
        <w:t>In column (1) of the table, a higher Market Power pushes down the average number of firm entries. The model is predicting that for every 0.1 point increase in Market Power – rather a small increase compared to the full range of the index – the average number of firm entries falls by about 14 per cent.</w:t>
      </w:r>
      <w:r w:rsidRPr="00536109">
        <w:rPr>
          <w:rStyle w:val="FootnoteReference"/>
        </w:rPr>
        <w:footnoteReference w:id="2"/>
      </w:r>
      <w:r w:rsidR="00CD7F0F">
        <w:t xml:space="preserve"> </w:t>
      </w:r>
      <w:r>
        <w:t>On the other hand, a higher Secondary value – already interpreted as industry’s attractiveness to potential entrepreneurs – coincides with a higher number of firm entries. Both effects are statistically significant.</w:t>
      </w:r>
    </w:p>
    <w:p w14:paraId="19C7F129" w14:textId="77777777" w:rsidR="0034004B" w:rsidRDefault="0034004B" w:rsidP="0034004B">
      <w:pPr>
        <w:spacing w:line="270" w:lineRule="exact"/>
        <w:ind w:left="0"/>
      </w:pPr>
      <w:r>
        <w:t xml:space="preserve">In column (2), I add the year-on-year change in Market Power to investigate the more immediate impact of a change in Market Power on firm entry, where differencing is defined as </w:t>
      </w:r>
    </w:p>
    <w:p w14:paraId="267B6AFE" w14:textId="77777777" w:rsidR="0034004B" w:rsidRDefault="0034004B" w:rsidP="0034004B">
      <w:pPr>
        <w:pStyle w:val="equationNum"/>
        <w:tabs>
          <w:tab w:val="center" w:pos="4019"/>
          <w:tab w:val="right" w:pos="8038"/>
        </w:tabs>
        <w:spacing w:line="480" w:lineRule="auto"/>
        <w:jc w:val="center"/>
      </w:pPr>
      <w:r>
        <w:fldChar w:fldCharType="begin"/>
      </w:r>
      <w:r>
        <w:instrText xml:space="preserve"> EQ Δ</w:instrText>
      </w:r>
      <w:r>
        <w:rPr>
          <w:i/>
          <w:iCs/>
        </w:rPr>
        <w:instrText>Market</w:instrText>
      </w:r>
      <w:r>
        <w:instrText xml:space="preserve"> </w:instrText>
      </w:r>
      <w:r>
        <w:rPr>
          <w:i/>
          <w:iCs/>
        </w:rPr>
        <w:instrText>Power</w:instrText>
      </w:r>
      <w:r>
        <w:instrText>\s\do5(</w:instrText>
      </w:r>
      <w:r>
        <w:rPr>
          <w:i/>
          <w:iCs/>
          <w:sz w:val="16"/>
          <w:szCs w:val="16"/>
        </w:rPr>
        <w:instrText>it</w:instrText>
      </w:r>
      <w:r>
        <w:instrText>)=</w:instrText>
      </w:r>
      <w:r>
        <w:rPr>
          <w:i/>
          <w:iCs/>
        </w:rPr>
        <w:instrText>Market</w:instrText>
      </w:r>
      <w:r>
        <w:instrText xml:space="preserve"> </w:instrText>
      </w:r>
      <w:r>
        <w:rPr>
          <w:i/>
          <w:iCs/>
        </w:rPr>
        <w:instrText>Power</w:instrText>
      </w:r>
      <w:r>
        <w:instrText>\s\do5(</w:instrText>
      </w:r>
      <w:r>
        <w:rPr>
          <w:i/>
          <w:iCs/>
          <w:sz w:val="16"/>
          <w:szCs w:val="16"/>
        </w:rPr>
        <w:instrText>it</w:instrText>
      </w:r>
      <w:r>
        <w:instrText>)−</w:instrText>
      </w:r>
      <w:r>
        <w:rPr>
          <w:i/>
          <w:iCs/>
        </w:rPr>
        <w:instrText>Market</w:instrText>
      </w:r>
      <w:r>
        <w:instrText xml:space="preserve"> </w:instrText>
      </w:r>
      <w:r>
        <w:rPr>
          <w:i/>
          <w:iCs/>
        </w:rPr>
        <w:instrText>Power</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w:instrText>
      </w:r>
      <w:r>
        <w:fldChar w:fldCharType="end"/>
      </w:r>
      <w:r>
        <w:t xml:space="preserve">   (</w:t>
      </w:r>
      <w:bookmarkStart w:id="3" w:name="BMeq_dM"/>
      <w:r>
        <w:t>3</w:t>
      </w:r>
      <w:bookmarkEnd w:id="3"/>
      <w:r>
        <w:t>)</w:t>
      </w:r>
    </w:p>
    <w:p w14:paraId="67C4557B" w14:textId="77777777" w:rsidR="0034004B" w:rsidRDefault="0034004B" w:rsidP="0034004B">
      <w:pPr>
        <w:spacing w:line="270" w:lineRule="exact"/>
        <w:ind w:left="0"/>
      </w:pPr>
      <w:r>
        <w:t xml:space="preserve">This effect is meant to test whether increasing market power in an industry has any effect on the number of firm entries in the same industry. I refrain from </w:t>
      </w:r>
      <w:r>
        <w:lastRenderedPageBreak/>
        <w:t xml:space="preserve">including the change in Secondary index, as it almost perfectly correlates with the change in Market Power. </w:t>
      </w:r>
    </w:p>
    <w:p w14:paraId="72104D43" w14:textId="77777777" w:rsidR="0034004B" w:rsidRDefault="0034004B" w:rsidP="0034004B">
      <w:pPr>
        <w:spacing w:line="270" w:lineRule="exact"/>
        <w:ind w:left="0"/>
      </w:pPr>
      <w:r>
        <w:t xml:space="preserve">The estimated coefficient shows that an increase in Market Power of an industry also has a negative and statistically significant effect on the average number of firm entries in that industry. This evidence on top of the previous findings further cements the detrimental effect of Market Power on firm entry. </w:t>
      </w:r>
    </w:p>
    <w:p w14:paraId="7670EDA9" w14:textId="77777777" w:rsidR="0034004B" w:rsidRDefault="0034004B" w:rsidP="0034004B">
      <w:pPr>
        <w:spacing w:line="270" w:lineRule="exact"/>
        <w:ind w:left="0"/>
      </w:pPr>
      <w:r>
        <w:t>In column (3), I add a quadratic term for Market Power to test whether a more detailed parametric model of Market Power is warranted. Note the peculiar way the quadratic term is added; it is because Market Power can assume both positive and negative values, and this quadratic term is preserving the sign. The estimated coefficient for the quadratic term is very small in magnitude and statistically insignificant. A likelihood ratio test between columns (2) and (3) also confirms that the quadratic term is adding very little to the quality of the estimates.</w:t>
      </w:r>
    </w:p>
    <w:p w14:paraId="655A6301" w14:textId="77777777" w:rsidR="0034004B" w:rsidRDefault="0034004B" w:rsidP="0034004B">
      <w:pPr>
        <w:spacing w:line="270" w:lineRule="exact"/>
        <w:ind w:left="0"/>
      </w:pPr>
      <w:r>
        <w:t>The parametric models estimated so far show that Market Power acts against firm entry. Moreover, the effect spreads fast: increasing Market Power in an industry causes firm entry to drop in that industry over the following year. In the next section, I will use a semi-parametric approach to make quantitative predictions about the scale of the drop.</w:t>
      </w:r>
    </w:p>
    <w:p w14:paraId="57950BE2" w14:textId="77777777" w:rsidR="0034004B" w:rsidRDefault="0034004B" w:rsidP="0034004B">
      <w:pPr>
        <w:pStyle w:val="BodyText"/>
        <w:rPr>
          <w:lang w:val="en"/>
        </w:rPr>
      </w:pPr>
    </w:p>
    <w:p w14:paraId="0BF5B3DF" w14:textId="77777777" w:rsidR="0034004B" w:rsidRDefault="0034004B" w:rsidP="0034004B">
      <w:pPr>
        <w:pStyle w:val="Heading1"/>
        <w:rPr>
          <w:lang w:val="en"/>
        </w:rPr>
      </w:pPr>
      <w:r>
        <w:rPr>
          <w:lang w:val="en"/>
        </w:rPr>
        <w:t>From market power to entrepreneurship decline</w:t>
      </w:r>
    </w:p>
    <w:p w14:paraId="6C023286" w14:textId="77777777" w:rsidR="006971C7" w:rsidRDefault="006971C7" w:rsidP="006971C7">
      <w:pPr>
        <w:spacing w:before="60" w:line="270" w:lineRule="exact"/>
        <w:ind w:left="0"/>
      </w:pPr>
      <w:r>
        <w:t>The number of firm entries in the analysis sample falls from 316,000 in 2003 to about 301,000 in 2016, a drop of almost 15,000 firm entries. In the interim, the Market Power index shows a period of sharp increase (Figure 3.5). In this section, I mainly address the question of whether Market Power played a major role in the observed decline of firm entry and how much of the drop in entrepreneurship can be directly associated with the increasing market power.</w:t>
      </w:r>
    </w:p>
    <w:p w14:paraId="2B592795" w14:textId="77777777" w:rsidR="006971C7" w:rsidRDefault="006971C7" w:rsidP="006971C7">
      <w:pPr>
        <w:spacing w:line="270" w:lineRule="exact"/>
        <w:ind w:left="0"/>
      </w:pPr>
      <w:r>
        <w:t xml:space="preserve">Figure 5.1 illustrates the general idea. If an industry has a Market Power of </w:t>
      </w:r>
      <w:r>
        <w:rPr>
          <w:i/>
        </w:rPr>
        <w:t>MP</w:t>
      </w:r>
      <w:r>
        <w:rPr>
          <w:vertAlign w:val="subscript"/>
        </w:rPr>
        <w:t>1</w:t>
      </w:r>
      <w:r>
        <w:t xml:space="preserve"> in 2003, for instance, and a Market Power of </w:t>
      </w:r>
      <w:r>
        <w:rPr>
          <w:i/>
        </w:rPr>
        <w:t>MP</w:t>
      </w:r>
      <w:r>
        <w:rPr>
          <w:vertAlign w:val="subscript"/>
        </w:rPr>
        <w:t>2</w:t>
      </w:r>
      <w:r>
        <w:t xml:space="preserve"> in 2016, then using the relationship it is possible to deduce that firm entry should fall by </w:t>
      </w:r>
      <w:r>
        <w:rPr>
          <w:i/>
        </w:rPr>
        <w:t>E</w:t>
      </w:r>
      <w:r>
        <w:rPr>
          <w:vertAlign w:val="subscript"/>
        </w:rPr>
        <w:t>2</w:t>
      </w:r>
      <w:r>
        <w:t>-</w:t>
      </w:r>
      <w:r w:rsidRPr="006971C7">
        <w:rPr>
          <w:i/>
        </w:rPr>
        <w:t>E</w:t>
      </w:r>
      <w:r>
        <w:rPr>
          <w:vertAlign w:val="subscript"/>
        </w:rPr>
        <w:t>1</w:t>
      </w:r>
      <w:r>
        <w:t xml:space="preserve"> over the period. The industry-level changes can then be aggregated to yield the total change in firm entry of the economy associated with the changes in Market Power alone. </w:t>
      </w:r>
    </w:p>
    <w:p w14:paraId="16503DFF" w14:textId="1C41F31B" w:rsidR="007D293D" w:rsidRDefault="007D293D">
      <w:pPr>
        <w:spacing w:after="200" w:line="276" w:lineRule="auto"/>
        <w:ind w:left="0"/>
        <w:jc w:val="left"/>
        <w:rPr>
          <w:rFonts w:asciiTheme="minorHAnsi" w:hAnsiTheme="minorHAnsi"/>
          <w:lang w:val="en"/>
        </w:rPr>
      </w:pPr>
      <w:r>
        <w:rPr>
          <w:lang w:val="en"/>
        </w:rPr>
        <w:br w:type="page"/>
      </w:r>
    </w:p>
    <w:p w14:paraId="38CBEC23" w14:textId="3F459AB5" w:rsidR="004814D1" w:rsidRDefault="00876CED" w:rsidP="004814D1">
      <w:pPr>
        <w:pStyle w:val="Caption"/>
      </w:pPr>
      <w:r>
        <w:lastRenderedPageBreak/>
        <w:t>Figure</w:t>
      </w:r>
      <w:r w:rsidR="004814D1" w:rsidRPr="000618FB">
        <w:t xml:space="preserve"> </w:t>
      </w:r>
      <w:r w:rsidR="004814D1">
        <w:rPr>
          <w:noProof/>
        </w:rPr>
        <w:fldChar w:fldCharType="begin"/>
      </w:r>
      <w:r w:rsidR="004814D1">
        <w:rPr>
          <w:noProof/>
        </w:rPr>
        <w:instrText xml:space="preserve"> STYLEREF 1 \s </w:instrText>
      </w:r>
      <w:r w:rsidR="004814D1">
        <w:rPr>
          <w:noProof/>
        </w:rPr>
        <w:fldChar w:fldCharType="separate"/>
      </w:r>
      <w:r w:rsidR="009A27E4">
        <w:rPr>
          <w:noProof/>
        </w:rPr>
        <w:t>5</w:t>
      </w:r>
      <w:r w:rsidR="004814D1">
        <w:rPr>
          <w:noProof/>
        </w:rPr>
        <w:fldChar w:fldCharType="end"/>
      </w:r>
      <w:r w:rsidR="004814D1" w:rsidRPr="000618FB">
        <w:t>.</w:t>
      </w:r>
      <w:r w:rsidR="004814D1">
        <w:rPr>
          <w:noProof/>
        </w:rPr>
        <w:fldChar w:fldCharType="begin"/>
      </w:r>
      <w:r w:rsidR="004814D1">
        <w:rPr>
          <w:noProof/>
        </w:rPr>
        <w:instrText xml:space="preserve"> SEQ Table \* ARABIC \s 1 </w:instrText>
      </w:r>
      <w:r w:rsidR="004814D1">
        <w:rPr>
          <w:noProof/>
        </w:rPr>
        <w:fldChar w:fldCharType="separate"/>
      </w:r>
      <w:r w:rsidR="009A27E4">
        <w:rPr>
          <w:noProof/>
        </w:rPr>
        <w:t>1</w:t>
      </w:r>
      <w:r w:rsidR="004814D1">
        <w:rPr>
          <w:noProof/>
        </w:rPr>
        <w:fldChar w:fldCharType="end"/>
      </w:r>
      <w:r w:rsidR="004814D1" w:rsidRPr="000618FB">
        <w:t xml:space="preserve">: </w:t>
      </w:r>
      <w:r w:rsidR="004814D1">
        <w:t>Estimating the change in the number of entries as a result of change in Market Power index using the non-parametric relationship.</w:t>
      </w:r>
    </w:p>
    <w:tbl>
      <w:tblPr>
        <w:tblStyle w:val="OCETable"/>
        <w:tblW w:w="4940" w:type="pct"/>
        <w:tblInd w:w="108" w:type="dxa"/>
        <w:tblLayout w:type="fixed"/>
        <w:tblLook w:val="04A0" w:firstRow="1" w:lastRow="0" w:firstColumn="1" w:lastColumn="0" w:noHBand="0" w:noVBand="1"/>
        <w:tblCaption w:val="Table contains figure 5.1"/>
        <w:tblDescription w:val="Table contains figure 5.1"/>
      </w:tblPr>
      <w:tblGrid>
        <w:gridCol w:w="6811"/>
      </w:tblGrid>
      <w:tr w:rsidR="007D293D" w14:paraId="75488775"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24C0033A" w14:textId="4F4DA728" w:rsidR="007D293D" w:rsidRDefault="007D293D" w:rsidP="007D293D">
            <w:pPr>
              <w:pStyle w:val="PlaceholderWide"/>
              <w:tabs>
                <w:tab w:val="left" w:pos="500"/>
                <w:tab w:val="center" w:pos="3297"/>
              </w:tabs>
            </w:pPr>
            <w:r>
              <w:rPr>
                <w:noProof/>
                <w:lang w:eastAsia="en-AU"/>
              </w:rPr>
              <w:drawing>
                <wp:inline distT="0" distB="0" distL="0" distR="0" wp14:anchorId="1A6F6DD6" wp14:editId="39424C2F">
                  <wp:extent cx="3069342" cy="2362205"/>
                  <wp:effectExtent l="0" t="0" r="0" b="0"/>
                  <wp:docPr id="36" name="Picture 36" descr="A hypothetical downward curve that describes the negative relation between market power and firm entry. As market power increases from MP1 to MP2, firm entry will fall from E1 to E2." title="Fig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3_5 - Figure 5.4b [Recovered]_Figure 5.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69342" cy="2362205"/>
                          </a:xfrm>
                          <a:prstGeom prst="rect">
                            <a:avLst/>
                          </a:prstGeom>
                        </pic:spPr>
                      </pic:pic>
                    </a:graphicData>
                  </a:graphic>
                </wp:inline>
              </w:drawing>
            </w:r>
            <w:r>
              <w:tab/>
            </w:r>
          </w:p>
        </w:tc>
      </w:tr>
    </w:tbl>
    <w:p w14:paraId="022EBAA2" w14:textId="77777777" w:rsidR="004814D1" w:rsidRDefault="004814D1" w:rsidP="004814D1">
      <w:pPr>
        <w:pStyle w:val="Source"/>
      </w:pPr>
      <w:r>
        <w:t>Source: Department of Industry, Innovation and Science (2019)</w:t>
      </w:r>
    </w:p>
    <w:p w14:paraId="529C96F4" w14:textId="77777777" w:rsidR="00906F21" w:rsidRDefault="00906F21" w:rsidP="00906F21">
      <w:pPr>
        <w:spacing w:before="240" w:line="270" w:lineRule="exact"/>
        <w:ind w:left="0"/>
      </w:pPr>
      <w:r>
        <w:t>The non-parametric relationship in Figure 4.1 sets a starting point. However, as Table 4.1 shows, average firm entry is also affected by the Secondary and time effects. These effects need to be factored out of the relationship so that what remains is basically the direct effect of Market Power on firm entry.</w:t>
      </w:r>
    </w:p>
    <w:p w14:paraId="5C57EF72" w14:textId="77777777" w:rsidR="00906F21" w:rsidRDefault="00906F21" w:rsidP="00906F21">
      <w:pPr>
        <w:spacing w:line="270" w:lineRule="exact"/>
        <w:ind w:left="0"/>
      </w:pPr>
      <w:r>
        <w:t xml:space="preserve">For this purpose, I apply the two-step methodology of Yatchew (1998). Let the number of firm entries in a 3-digit industry be governed by the following semi-parametric model: </w:t>
      </w:r>
    </w:p>
    <w:p w14:paraId="3489DC54" w14:textId="77777777" w:rsidR="00906F21" w:rsidRDefault="009A27E4" w:rsidP="00906F21">
      <w:pPr>
        <w:spacing w:line="560" w:lineRule="exact"/>
        <w:ind w:left="0"/>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+1,k',</m:t>
            </m:r>
          </m:sub>
        </m:sSub>
        <m:r>
          <w:rPr>
            <w:rFonts w:ascii="Cambria Math" w:hAnsi="Cambria Math"/>
          </w:rPr>
          <m:t>=G(</m:t>
        </m:r>
        <m:sSub>
          <m:sSubPr>
            <m:ctrlPr>
              <w:rPr>
                <w:rFonts w:ascii="Cambria Math" w:hAnsi="Cambria Math"/>
              </w:rPr>
            </m:ctrlPr>
          </m:sSubPr>
          <m:e>
            <m:r>
              <w:rPr>
                <w:rFonts w:ascii="Cambria Math" w:hAnsi="Cambria Math"/>
              </w:rPr>
              <m:t>Market Power</m:t>
            </m:r>
          </m:e>
          <m:sub>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)×exp</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A</m:t>
                </m:r>
              </m:sub>
            </m:sSub>
            <m:sSub>
              <m:sSubPr>
                <m:ctrlPr>
                  <w:rPr>
                    <w:rFonts w:ascii="Cambria Math" w:hAnsi="Cambria Math"/>
                    <w:i/>
                  </w:rPr>
                </m:ctrlPr>
              </m:sSubPr>
              <m:e>
                <m:r>
                  <w:rPr>
                    <w:rFonts w:ascii="Cambria Math" w:hAnsi="Cambria Math"/>
                  </w:rPr>
                  <m:t>Secondary</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s=2002</m:t>
                </m:r>
              </m:sub>
              <m:sup>
                <m:r>
                  <w:rPr>
                    <w:rFonts w:ascii="Cambria Math" w:hAnsi="Cambria Math"/>
                  </w:rPr>
                  <m:t>2015</m:t>
                </m:r>
              </m:sup>
              <m:e>
                <m:sSub>
                  <m:sSubPr>
                    <m:ctrlPr>
                      <w:rPr>
                        <w:rFonts w:ascii="Cambria Math" w:hAnsi="Cambria Math"/>
                        <w:i/>
                      </w:rPr>
                    </m:ctrlPr>
                  </m:sSubPr>
                  <m:e>
                    <m:r>
                      <w:rPr>
                        <w:rFonts w:ascii="Cambria Math" w:hAnsi="Cambria Math"/>
                      </w:rPr>
                      <m:t>α</m:t>
                    </m:r>
                  </m:e>
                  <m:sub>
                    <m:r>
                      <w:rPr>
                        <w:rFonts w:ascii="Cambria Math" w:hAnsi="Cambria Math"/>
                      </w:rPr>
                      <m:t>s</m:t>
                    </m:r>
                  </m:sub>
                </m:sSub>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,s</m:t>
                    </m:r>
                  </m:sub>
                </m:sSub>
              </m:e>
            </m:nary>
          </m:e>
        </m:d>
      </m:oMath>
      <w:r w:rsidR="006653F0">
        <w:rPr>
          <w:rFonts w:eastAsiaTheme="minorEastAsia"/>
        </w:rPr>
        <w:t xml:space="preserve">     (4)</w:t>
      </w:r>
    </w:p>
    <w:p w14:paraId="13007D74" w14:textId="77777777" w:rsidR="006653F0" w:rsidRDefault="006653F0" w:rsidP="006653F0">
      <w:pPr>
        <w:spacing w:line="270" w:lineRule="exact"/>
        <w:ind w:left="0"/>
      </w:pPr>
      <w:r>
        <w:t xml:space="preserve">where </w:t>
      </w:r>
      <w:r>
        <w:rPr>
          <w:i/>
          <w:iCs/>
        </w:rPr>
        <w:t>k</w:t>
      </w:r>
      <w:r>
        <w:rPr>
          <w:iCs/>
        </w:rPr>
        <w:t>’</w:t>
      </w:r>
      <w:r>
        <w:t xml:space="preserve"> indexes industry-year observations in no particular order. </w:t>
      </w:r>
      <w:r>
        <w:rPr>
          <w:i/>
        </w:rPr>
        <w:t>E</w:t>
      </w:r>
      <w:r>
        <w:rPr>
          <w:vertAlign w:val="subscript"/>
        </w:rPr>
        <w:t>+1,k’</w:t>
      </w:r>
      <w:r>
        <w:t xml:space="preserve"> is the number of firm entry for an observation over the following year (in </w:t>
      </w:r>
      <w:r>
        <w:rPr>
          <w:i/>
          <w:iCs/>
        </w:rPr>
        <w:t>t</w:t>
      </w:r>
      <w:r>
        <w:t xml:space="preserve">+1 as before but for the same industry). In this model, </w:t>
      </w:r>
      <w:r w:rsidRPr="006653F0">
        <w:rPr>
          <w:i/>
        </w:rPr>
        <w:t>T</w:t>
      </w:r>
      <w:r>
        <w:rPr>
          <w:i/>
          <w:vertAlign w:val="subscript"/>
        </w:rPr>
        <w:t>k</w:t>
      </w:r>
      <w:r>
        <w:rPr>
          <w:vertAlign w:val="subscript"/>
        </w:rPr>
        <w:t>’,</w:t>
      </w:r>
      <w:r>
        <w:rPr>
          <w:i/>
          <w:vertAlign w:val="subscript"/>
        </w:rPr>
        <w:t>s</w:t>
      </w:r>
      <w:r>
        <w:t xml:space="preserve"> </w:t>
      </w:r>
      <w:r w:rsidRPr="006653F0">
        <w:t>is</w:t>
      </w:r>
      <w:r>
        <w:t xml:space="preserve"> a dummy that indicates whether observation </w:t>
      </w:r>
      <w:r>
        <w:rPr>
          <w:i/>
          <w:iCs/>
        </w:rPr>
        <w:t>k</w:t>
      </w:r>
      <w:r>
        <w:t xml:space="preserve">' belongs to year </w:t>
      </w:r>
      <w:r>
        <w:rPr>
          <w:i/>
          <w:iCs/>
        </w:rPr>
        <w:t>s</w:t>
      </w:r>
      <w:r>
        <w:t xml:space="preserve">. </w:t>
      </w:r>
      <w:r>
        <w:rPr>
          <w:i/>
          <w:iCs/>
        </w:rPr>
        <w:t>G</w:t>
      </w:r>
      <w:r>
        <w:t>(.) is a smooth function with bounded derivatives.</w:t>
      </w:r>
    </w:p>
    <w:p w14:paraId="14D97E05" w14:textId="6431E383" w:rsidR="006653F0" w:rsidRDefault="006653F0" w:rsidP="006653F0">
      <w:pPr>
        <w:spacing w:line="270" w:lineRule="exact"/>
        <w:ind w:left="0"/>
      </w:pPr>
      <w:r>
        <w:t>The particular functional form chosen in (</w:t>
      </w:r>
      <w:r w:rsidR="00F830B8">
        <w:t>4</w:t>
      </w:r>
      <w:r>
        <w:t>) is essential as it constrains all predicted values to be feasible (no negative number of entries). It further conforms to the functional form in (</w:t>
      </w:r>
      <w:r w:rsidR="009A27E4">
        <w:fldChar w:fldCharType="begin"/>
      </w:r>
      <w:r w:rsidR="009A27E4">
        <w:instrText xml:space="preserve">REF BMeq_entry \* MERGEFORMAT </w:instrText>
      </w:r>
      <w:r w:rsidR="009A27E4">
        <w:fldChar w:fldCharType="separate"/>
      </w:r>
      <w:r w:rsidR="009A27E4">
        <w:t>2</w:t>
      </w:r>
      <w:r w:rsidR="009A27E4">
        <w:fldChar w:fldCharType="end"/>
      </w:r>
      <w:r>
        <w:t>) and makes the estimated results for the parametric parts comparable.</w:t>
      </w:r>
    </w:p>
    <w:p w14:paraId="76C4461A" w14:textId="77777777" w:rsidR="006653F0" w:rsidRDefault="006653F0" w:rsidP="006653F0">
      <w:pPr>
        <w:spacing w:line="270" w:lineRule="exact"/>
        <w:ind w:left="0"/>
      </w:pPr>
      <w:r>
        <w:t xml:space="preserve">In the first step, all observations are sorted in ascending order by their Market Power. Let the ordering be indicated by </w:t>
      </w:r>
      <w:r>
        <w:rPr>
          <w:i/>
          <w:iCs/>
        </w:rPr>
        <w:t>k</w:t>
      </w:r>
      <w:r>
        <w:t xml:space="preserve"> such that </w:t>
      </w:r>
    </w:p>
    <w:p w14:paraId="62C24DCD" w14:textId="77777777" w:rsidR="006653F0" w:rsidRDefault="009A27E4" w:rsidP="006653F0">
      <w:pPr>
        <w:spacing w:line="270" w:lineRule="exact"/>
        <w:ind w:left="0"/>
        <w:jc w:val="center"/>
      </w:pPr>
      <m:oMath>
        <m:sSub>
          <m:sSubPr>
            <m:ctrlPr>
              <w:rPr>
                <w:rFonts w:ascii="Cambria Math" w:hAnsi="Cambria Math"/>
                <w:i/>
              </w:rPr>
            </m:ctrlPr>
          </m:sSubPr>
          <m:e>
            <m:r>
              <m:rPr>
                <m:sty m:val="p"/>
              </m:rPr>
              <w:rPr>
                <w:rFonts w:ascii="Cambria Math" w:hAnsi="Cambria Math"/>
              </w:rPr>
              <m:t>Market Power</m:t>
            </m:r>
          </m:e>
          <m:sub>
            <m:r>
              <w:rPr>
                <w:rFonts w:ascii="Cambria Math" w:hAnsi="Cambria Math"/>
              </w:rPr>
              <m:t>k</m:t>
            </m:r>
          </m:sub>
        </m:sSub>
        <m:r>
          <w:rPr>
            <w:rFonts w:ascii="Cambria Math" w:hAnsi="Cambria Math"/>
          </w:rPr>
          <m:t>≥</m:t>
        </m:r>
        <m:sSub>
          <m:sSubPr>
            <m:ctrlPr>
              <w:rPr>
                <w:rFonts w:ascii="Cambria Math" w:hAnsi="Cambria Math"/>
                <w:i/>
              </w:rPr>
            </m:ctrlPr>
          </m:sSubPr>
          <m:e>
            <m:r>
              <m:rPr>
                <m:sty m:val="p"/>
              </m:rPr>
              <w:rPr>
                <w:rFonts w:ascii="Cambria Math" w:hAnsi="Cambria Math"/>
              </w:rPr>
              <m:t>Market Power</m:t>
            </m:r>
          </m:e>
          <m:sub>
            <m:r>
              <w:rPr>
                <w:rFonts w:ascii="Cambria Math" w:hAnsi="Cambria Math"/>
              </w:rPr>
              <m:t>k-1</m:t>
            </m:r>
          </m:sub>
        </m:sSub>
        <m:r>
          <w:rPr>
            <w:rFonts w:ascii="Cambria Math" w:hAnsi="Cambria Math"/>
          </w:rPr>
          <m:t>,    ∀k</m:t>
        </m:r>
      </m:oMath>
      <w:r w:rsidR="006653F0">
        <w:t>.</w:t>
      </w:r>
    </w:p>
    <w:p w14:paraId="3EB25599" w14:textId="05119BFE" w:rsidR="006653F0" w:rsidRDefault="006653F0" w:rsidP="006653F0">
      <w:pPr>
        <w:spacing w:line="270" w:lineRule="exact"/>
        <w:ind w:left="0"/>
      </w:pPr>
      <w:r>
        <w:t>Taking logs from both sides of (</w:t>
      </w:r>
      <w:r w:rsidR="00474A70">
        <w:t>4</w:t>
      </w:r>
      <w:r>
        <w:t xml:space="preserve">) and differencing gives </w:t>
      </w:r>
    </w:p>
    <w:p w14:paraId="5A8A99A9" w14:textId="77777777" w:rsidR="006653F0" w:rsidRPr="006653F0" w:rsidRDefault="009A27E4" w:rsidP="00B62271">
      <w:pPr>
        <w:pStyle w:val="BodyText"/>
        <w:spacing w:line="300" w:lineRule="exact"/>
        <w:rPr>
          <w:rFonts w:ascii="Arial" w:eastAsiaTheme="minorEastAsia" w:hAnsi="Arial"/>
        </w:rPr>
      </w:pPr>
      <m:oMathPara>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+1,k</m:t>
                      </m:r>
                    </m:sub>
                  </m:sSub>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+1,k-1</m:t>
                      </m:r>
                    </m:sub>
                  </m:sSub>
                </m:e>
              </m:d>
            </m:e>
          </m:func>
          <m:r>
            <w:rPr>
              <w:rFonts w:ascii="Cambria Math" w:eastAsiaTheme="minorEastAsia" w:hAnsi="Cambria Math"/>
            </w:rPr>
            <m:t>=</m:t>
          </m:r>
          <m:r>
            <m:rPr>
              <m:sty m:val="p"/>
            </m:rP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Market Power</m:t>
                      </m:r>
                    </m:e>
                    <m:sub>
                      <m:r>
                        <w:rPr>
                          <w:rFonts w:ascii="Cambria Math" w:eastAsiaTheme="minorEastAsia" w:hAnsi="Cambria Math"/>
                        </w:rPr>
                        <m:t>k</m:t>
                      </m:r>
                    </m:sub>
                  </m:sSub>
                </m:e>
              </m:d>
            </m:e>
          </m:d>
          <m:r>
            <w:rPr>
              <w:rFonts w:ascii="Cambria Math" w:eastAsiaTheme="minorEastAsia" w:hAnsi="Cambria Math"/>
            </w:rPr>
            <m:t>-</m:t>
          </m:r>
          <m:r>
            <m:rPr>
              <m:sty m:val="p"/>
            </m:rP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Market Power</m:t>
                      </m:r>
                    </m:e>
                    <m:sub>
                      <m:r>
                        <w:rPr>
                          <w:rFonts w:ascii="Cambria Math" w:eastAsiaTheme="minorEastAsia" w:hAnsi="Cambria Math"/>
                        </w:rPr>
                        <m:t>k-1</m:t>
                      </m:r>
                    </m:sub>
                  </m:sSub>
                </m:e>
              </m:d>
            </m:e>
          </m:d>
          <m:r>
            <m:rPr>
              <m:sty m:val="p"/>
            </m:rPr>
            <w:rPr>
              <w:rFonts w:ascii="Cambria Math" w:eastAsiaTheme="minorEastAsia" w:hAnsi="Cambria Math"/>
            </w:rPr>
            <w:br/>
          </m:r>
        </m:oMath>
      </m:oMathPara>
      <w:r w:rsidR="00B62271">
        <w:rPr>
          <w:rFonts w:ascii="Arial" w:eastAsiaTheme="minorEastAsia" w:hAnsi="Arial"/>
        </w:rPr>
        <w:t xml:space="preser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A</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Secondary</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Secondary</m:t>
                </m:r>
              </m:e>
              <m:sub>
                <m:r>
                  <w:rPr>
                    <w:rFonts w:ascii="Cambria Math" w:eastAsiaTheme="minorEastAsia" w:hAnsi="Cambria Math"/>
                  </w:rPr>
                  <m:t>k-1</m:t>
                </m:r>
              </m:sub>
            </m:sSub>
          </m:e>
        </m:d>
      </m:oMath>
      <w:r w:rsidR="00B62271">
        <w:rPr>
          <w:rFonts w:ascii="Arial" w:eastAsiaTheme="minorEastAsia" w:hAnsi="Arial"/>
        </w:rPr>
        <w:t xml:space="preserve">                      (5)</w:t>
      </w:r>
    </w:p>
    <w:p w14:paraId="5BBB71F7" w14:textId="77777777" w:rsidR="006653F0" w:rsidRPr="006653F0" w:rsidRDefault="006653F0" w:rsidP="00B62271">
      <w:pPr>
        <w:pStyle w:val="BodyText"/>
        <w:spacing w:line="500" w:lineRule="exact"/>
        <w:rPr>
          <w:rFonts w:ascii="Arial" w:eastAsiaTheme="minorEastAsia" w:hAnsi="Arial"/>
        </w:rPr>
      </w:pPr>
      <m:oMathPara>
        <m:oMath>
          <m:r>
            <w:rPr>
              <w:rFonts w:ascii="Cambria Math" w:eastAsiaTheme="minorEastAsia" w:hAnsi="Cambria Math"/>
            </w:rPr>
            <w:lastRenderedPageBreak/>
            <m:t>+</m:t>
          </m:r>
          <m:nary>
            <m:naryPr>
              <m:chr m:val="∑"/>
              <m:limLoc m:val="subSup"/>
              <m:ctrlPr>
                <w:rPr>
                  <w:rFonts w:ascii="Cambria Math" w:eastAsiaTheme="minorEastAsia" w:hAnsi="Cambria Math"/>
                  <w:i/>
                </w:rPr>
              </m:ctrlPr>
            </m:naryPr>
            <m:sub>
              <m:r>
                <w:rPr>
                  <w:rFonts w:ascii="Cambria Math" w:eastAsiaTheme="minorEastAsia" w:hAnsi="Cambria Math"/>
                </w:rPr>
                <m:t>s=2002</m:t>
              </m:r>
            </m:sub>
            <m:sup>
              <m:r>
                <w:rPr>
                  <w:rFonts w:ascii="Cambria Math" w:eastAsiaTheme="minorEastAsia" w:hAnsi="Cambria Math"/>
                </w:rPr>
                <m:t>2015</m:t>
              </m:r>
            </m:sup>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k-1,s</m:t>
                      </m:r>
                    </m:sub>
                  </m:sSub>
                </m:e>
              </m:d>
            </m:e>
          </m:nary>
        </m:oMath>
      </m:oMathPara>
    </w:p>
    <w:p w14:paraId="046D26EB" w14:textId="77777777" w:rsidR="006653F0" w:rsidRDefault="00B62271" w:rsidP="006653F0">
      <w:pPr>
        <w:pStyle w:val="BodyText"/>
        <w:spacing w:line="1100" w:lineRule="exact"/>
      </w:pPr>
      <w:r>
        <w:t xml:space="preserve">Yatchew (1998) posits that the smoothness assumption on </w:t>
      </w:r>
      <w:r>
        <w:rPr>
          <w:i/>
          <w:iCs/>
        </w:rPr>
        <w:t>G</w:t>
      </w:r>
      <w:r>
        <w:t>(.) implies that</w:t>
      </w:r>
    </w:p>
    <w:p w14:paraId="6A7AA597" w14:textId="77777777" w:rsidR="00B62271" w:rsidRDefault="00B62271" w:rsidP="00B62271">
      <w:pPr>
        <w:pStyle w:val="BodyText"/>
        <w:jc w:val="center"/>
        <w:rPr>
          <w:rFonts w:ascii="Arial" w:eastAsiaTheme="minorEastAsia" w:hAnsi="Arial"/>
        </w:rPr>
      </w:pPr>
      <w:r>
        <w:fldChar w:fldCharType="begin"/>
      </w:r>
      <w:r>
        <w:instrText xml:space="preserve"> EQ log(</w:instrText>
      </w:r>
      <w:r>
        <w:rPr>
          <w:i/>
          <w:iCs/>
        </w:rPr>
        <w:instrText>G</w:instrText>
      </w:r>
      <w:r>
        <w:instrText>(</w:instrText>
      </w:r>
      <w:r>
        <w:rPr>
          <w:i/>
          <w:iCs/>
        </w:rPr>
        <w:instrText>MarketPower</w:instrText>
      </w:r>
      <w:r>
        <w:instrText>\s\do5(</w:instrText>
      </w:r>
      <w:r>
        <w:rPr>
          <w:i/>
          <w:iCs/>
          <w:sz w:val="16"/>
          <w:szCs w:val="16"/>
        </w:rPr>
        <w:instrText>k</w:instrText>
      </w:r>
      <w:r>
        <w:instrText>)))−log(</w:instrText>
      </w:r>
      <w:r>
        <w:rPr>
          <w:i/>
          <w:iCs/>
        </w:rPr>
        <w:instrText>G</w:instrText>
      </w:r>
      <w:r>
        <w:instrText>(</w:instrText>
      </w:r>
      <w:r>
        <w:rPr>
          <w:i/>
          <w:iCs/>
        </w:rPr>
        <w:instrText>MarketPower</w:instrText>
      </w:r>
      <w:r>
        <w:instrText>\s\do5(</w:instrText>
      </w:r>
      <w:r>
        <w:rPr>
          <w:i/>
          <w:iCs/>
          <w:sz w:val="16"/>
          <w:szCs w:val="16"/>
        </w:rPr>
        <w:instrText>k</w:instrText>
      </w:r>
      <w:r>
        <w:rPr>
          <w:sz w:val="16"/>
          <w:szCs w:val="16"/>
        </w:rPr>
        <w:instrText>−1</w:instrText>
      </w:r>
      <w:r>
        <w:instrText>)))</w:instrText>
      </w:r>
      <w:r>
        <w:rPr>
          <w:rFonts w:ascii="Cambria Math" w:hAnsi="Cambria Math" w:cs="Cambria Math"/>
        </w:rPr>
        <w:instrText>≃</w:instrText>
      </w:r>
      <w:r>
        <w:instrText>0\,</w:instrText>
      </w:r>
      <w:r>
        <w:fldChar w:fldCharType="end"/>
      </w:r>
      <w:r>
        <w:tab/>
        <w:t>(6)</w:t>
      </w:r>
    </w:p>
    <w:p w14:paraId="7E2F6FBD" w14:textId="77777777" w:rsidR="006653F0" w:rsidRPr="006653F0" w:rsidRDefault="006653F0" w:rsidP="00B62271">
      <w:pPr>
        <w:pStyle w:val="BodyText"/>
        <w:rPr>
          <w:rFonts w:ascii="Arial" w:eastAsiaTheme="minorEastAsia" w:hAnsi="Arial"/>
        </w:rPr>
      </w:pPr>
    </w:p>
    <w:p w14:paraId="7CDE9659" w14:textId="42487FB3" w:rsidR="00E32CD8" w:rsidRDefault="00E32CD8" w:rsidP="00E32CD8">
      <w:pPr>
        <w:spacing w:line="270" w:lineRule="exact"/>
        <w:ind w:left="0"/>
      </w:pPr>
      <w:r>
        <w:t xml:space="preserve">if </w:t>
      </w:r>
      <w:r>
        <w:rPr>
          <w:i/>
        </w:rPr>
        <w:t>Market Power</w:t>
      </w:r>
      <w:r>
        <w:rPr>
          <w:i/>
          <w:vertAlign w:val="subscript"/>
        </w:rPr>
        <w:t>k</w:t>
      </w:r>
      <w:r>
        <w:t xml:space="preserve"> and </w:t>
      </w:r>
      <w:r>
        <w:rPr>
          <w:i/>
        </w:rPr>
        <w:t>Market Power</w:t>
      </w:r>
      <w:r>
        <w:rPr>
          <w:i/>
          <w:vertAlign w:val="subscript"/>
        </w:rPr>
        <w:t>k-1</w:t>
      </w:r>
      <w:r>
        <w:t xml:space="preserve"> are sufficiently close. Applying this simplification to (</w:t>
      </w:r>
      <w:r w:rsidR="00324A27">
        <w:t>5</w:t>
      </w:r>
      <w:r>
        <w:t xml:space="preserve">) generates a linear equation for which </w:t>
      </w:r>
      <w:r w:rsidR="00F12AE7">
        <w:t xml:space="preserve">or </w:t>
      </w:r>
      <m:oMath>
        <m:sSub>
          <m:sSubPr>
            <m:ctrlPr>
              <w:rPr>
                <w:rFonts w:ascii="Cambria Math" w:hAnsi="Cambria Math"/>
                <w:i/>
              </w:rPr>
            </m:ctrlPr>
          </m:sSubPr>
          <m:e>
            <m:r>
              <w:rPr>
                <w:rFonts w:ascii="Cambria Math" w:hAnsi="Cambria Math"/>
              </w:rPr>
              <m:t>α</m:t>
            </m:r>
          </m:e>
          <m:sub>
            <m:r>
              <w:rPr>
                <w:rFonts w:ascii="Cambria Math" w:hAnsi="Cambria Math"/>
              </w:rPr>
              <m:t>A</m:t>
            </m:r>
          </m:sub>
        </m:sSub>
      </m:oMath>
      <w:r>
        <w:t xml:space="preserve"> and </w:t>
      </w:r>
      <w:r w:rsidR="00F12AE7">
        <w:t xml:space="preserve">or </w:t>
      </w:r>
      <m:oMath>
        <m:sSub>
          <m:sSubPr>
            <m:ctrlPr>
              <w:rPr>
                <w:rFonts w:ascii="Cambria Math" w:hAnsi="Cambria Math"/>
                <w:i/>
              </w:rPr>
            </m:ctrlPr>
          </m:sSubPr>
          <m:e>
            <m:r>
              <w:rPr>
                <w:rFonts w:ascii="Cambria Math" w:hAnsi="Cambria Math"/>
              </w:rPr>
              <m:t>α</m:t>
            </m:r>
          </m:e>
          <m:sub>
            <m:r>
              <w:rPr>
                <w:rFonts w:ascii="Cambria Math" w:hAnsi="Cambria Math"/>
              </w:rPr>
              <m:t>s</m:t>
            </m:r>
          </m:sub>
        </m:sSub>
      </m:oMath>
      <w:r>
        <w:t>s can be consistently estimated using Ordinary Least Squares (OLS). Note that the differenced time dummies in (</w:t>
      </w:r>
      <w:r w:rsidR="00324A27">
        <w:t>5</w:t>
      </w:r>
      <w:r w:rsidR="0015190D">
        <w:t>s</w:t>
      </w:r>
      <w:r>
        <w:t xml:space="preserve">) sum to zero, hence, it is necessary to enforce </w:t>
      </w:r>
      <w:r>
        <w:fldChar w:fldCharType="begin"/>
      </w:r>
      <w:r>
        <w:instrText xml:space="preserve"> EQ α\s\do5(</w:instrText>
      </w:r>
      <w:r>
        <w:rPr>
          <w:sz w:val="16"/>
          <w:szCs w:val="16"/>
        </w:rPr>
        <w:instrText>2002</w:instrText>
      </w:r>
      <w:r>
        <w:instrText>)=0</w:instrText>
      </w:r>
      <w:r>
        <w:fldChar w:fldCharType="end"/>
      </w:r>
      <w:r>
        <w:t xml:space="preserve"> to avoid collinearity.</w:t>
      </w:r>
    </w:p>
    <w:p w14:paraId="33871C61" w14:textId="0544EBED" w:rsidR="00E32CD8" w:rsidRDefault="00E32CD8" w:rsidP="00E32CD8">
      <w:pPr>
        <w:spacing w:line="270" w:lineRule="exact"/>
        <w:ind w:left="0"/>
      </w:pPr>
      <w:r>
        <w:t>In the second step, the estimated effects are deducted from (</w:t>
      </w:r>
      <w:r w:rsidR="00A00108">
        <w:t>4</w:t>
      </w:r>
      <w:r>
        <w:t>) to yield</w:t>
      </w:r>
      <w:r w:rsidR="005E7972">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+1,k</m:t>
            </m:r>
          </m:sub>
        </m:sSub>
        <m:r>
          <w:rPr>
            <w:rFonts w:ascii="Cambria Math" w:hAnsi="Cambria Math"/>
          </w:rPr>
          <m:t>=G(</m:t>
        </m:r>
        <m:sSub>
          <m:sSubPr>
            <m:ctrlPr>
              <w:rPr>
                <w:rFonts w:ascii="Cambria Math" w:hAnsi="Cambria Math"/>
                <w:i/>
              </w:rPr>
            </m:ctrlPr>
          </m:sSubPr>
          <m:e>
            <m:r>
              <w:rPr>
                <w:rFonts w:ascii="Cambria Math" w:hAnsi="Cambria Math"/>
              </w:rPr>
              <m:t>Market Power</m:t>
            </m:r>
          </m:e>
          <m:sub>
            <m:r>
              <w:rPr>
                <w:rFonts w:ascii="Cambria Math" w:hAnsi="Cambria Math"/>
              </w:rPr>
              <m:t>k</m:t>
            </m:r>
          </m:sub>
        </m:sSub>
        <m:r>
          <w:rPr>
            <w:rFonts w:ascii="Cambria Math" w:hAnsi="Cambria Math"/>
          </w:rPr>
          <m:t>)</m:t>
        </m:r>
      </m:oMath>
      <w:r>
        <w:t xml:space="preserve">. At this point, function </w:t>
      </w:r>
      <w:r>
        <w:rPr>
          <w:i/>
          <w:iCs/>
        </w:rPr>
        <w:t>G</w:t>
      </w:r>
      <w:r>
        <w:t>(.) can be estimated using a kernel regression, yielding the non-parametric estimate Ĝ(.).</w:t>
      </w:r>
    </w:p>
    <w:p w14:paraId="12FA8D2E" w14:textId="77D891A7" w:rsidR="00E32CD8" w:rsidRDefault="00E32CD8" w:rsidP="00E32CD8">
      <w:pPr>
        <w:spacing w:before="120" w:line="270" w:lineRule="exact"/>
        <w:ind w:left="0"/>
      </w:pPr>
      <w:r>
        <w:t xml:space="preserve">The estimated value for </w:t>
      </w:r>
      <m:oMath>
        <m:sSub>
          <m:sSubPr>
            <m:ctrlPr>
              <w:rPr>
                <w:rFonts w:ascii="Cambria Math" w:hAnsi="Cambria Math"/>
                <w:i/>
              </w:rPr>
            </m:ctrlPr>
          </m:sSubPr>
          <m:e>
            <m:r>
              <w:rPr>
                <w:rFonts w:ascii="Cambria Math" w:hAnsi="Cambria Math"/>
              </w:rPr>
              <m:t>α</m:t>
            </m:r>
          </m:e>
          <m:sub>
            <m:r>
              <w:rPr>
                <w:rFonts w:ascii="Cambria Math" w:hAnsi="Cambria Math"/>
              </w:rPr>
              <m:t>A</m:t>
            </m:r>
          </m:sub>
        </m:sSub>
      </m:oMath>
      <w:r>
        <w:t xml:space="preserve"> along with some model statistics from the first step are listed in Table </w:t>
      </w:r>
      <w:r w:rsidR="006A0563">
        <w:t>5.1</w:t>
      </w:r>
      <w:r>
        <w:t>. The estimated time effects and the associated 90 per cent confidence intervals are shown in Figure </w:t>
      </w:r>
      <w:r w:rsidR="00EE0A8A">
        <w:t>5.2</w:t>
      </w:r>
      <w:r>
        <w:t>.</w:t>
      </w:r>
    </w:p>
    <w:p w14:paraId="7D7C81FE" w14:textId="77777777" w:rsidR="00CE5B19" w:rsidRDefault="00CE5B19" w:rsidP="00EF7ECF">
      <w:pPr>
        <w:pStyle w:val="Caption"/>
      </w:pPr>
      <w:r w:rsidRPr="000618FB">
        <w:t xml:space="preserve">Table </w:t>
      </w:r>
      <w:r>
        <w:rPr>
          <w:noProof/>
        </w:rPr>
        <w:fldChar w:fldCharType="begin"/>
      </w:r>
      <w:r>
        <w:rPr>
          <w:noProof/>
        </w:rPr>
        <w:instrText xml:space="preserve"> STYLEREF 1 \s </w:instrText>
      </w:r>
      <w:r>
        <w:rPr>
          <w:noProof/>
        </w:rPr>
        <w:fldChar w:fldCharType="separate"/>
      </w:r>
      <w:r w:rsidR="009A27E4">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2</w:t>
      </w:r>
      <w:r>
        <w:rPr>
          <w:noProof/>
        </w:rPr>
        <w:fldChar w:fldCharType="end"/>
      </w:r>
      <w:r w:rsidRPr="000618FB">
        <w:t xml:space="preserve">: </w:t>
      </w:r>
      <w:r>
        <w:t>The first step estimation of Yatchew (1998) method.</w:t>
      </w:r>
    </w:p>
    <w:tbl>
      <w:tblPr>
        <w:tblStyle w:val="OCETable"/>
        <w:tblW w:w="3599" w:type="pct"/>
        <w:tblLook w:val="04A0" w:firstRow="1" w:lastRow="0" w:firstColumn="1" w:lastColumn="0" w:noHBand="0" w:noVBand="1"/>
        <w:tblCaption w:val="Table 5.1"/>
        <w:tblDescription w:val="The estimated coefficient for secondary effect is 1.42 and statistically significant. The fit is reasonably good with an R-squared of almost 0.7."/>
      </w:tblPr>
      <w:tblGrid>
        <w:gridCol w:w="1985"/>
        <w:gridCol w:w="1843"/>
        <w:gridCol w:w="1134"/>
      </w:tblGrid>
      <w:tr w:rsidR="00CE5B19" w14:paraId="07A11A3C"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2000" w:type="pct"/>
          </w:tcPr>
          <w:p w14:paraId="2C93E469" w14:textId="77777777" w:rsidR="00CE5B19" w:rsidRDefault="00CE5B19" w:rsidP="00CE5B19">
            <w:pPr>
              <w:pStyle w:val="Tableheadertext"/>
            </w:pPr>
            <w:r>
              <w:t>Variable</w:t>
            </w:r>
          </w:p>
        </w:tc>
        <w:tc>
          <w:tcPr>
            <w:tcW w:w="1857" w:type="pct"/>
          </w:tcPr>
          <w:p w14:paraId="40AE62CA" w14:textId="77777777" w:rsidR="00CE5B19" w:rsidRDefault="00CE5B19" w:rsidP="00CE5B19">
            <w:pPr>
              <w:pStyle w:val="Tableheadertext"/>
            </w:pPr>
            <w:r>
              <w:t>Coefficient</w:t>
            </w:r>
          </w:p>
        </w:tc>
        <w:tc>
          <w:tcPr>
            <w:tcW w:w="1143" w:type="pct"/>
          </w:tcPr>
          <w:p w14:paraId="7D10C6A1" w14:textId="77777777" w:rsidR="00CE5B19" w:rsidRDefault="00CE5B19" w:rsidP="00CE5B19">
            <w:pPr>
              <w:pStyle w:val="Tableheadertext"/>
            </w:pPr>
            <w:r>
              <w:t>Std.Err.</w:t>
            </w:r>
          </w:p>
        </w:tc>
      </w:tr>
      <w:tr w:rsidR="00CE5B19" w14:paraId="6E68634D" w14:textId="77777777" w:rsidTr="0032565E">
        <w:trPr>
          <w:cnfStyle w:val="000000100000" w:firstRow="0" w:lastRow="0" w:firstColumn="0" w:lastColumn="0" w:oddVBand="0" w:evenVBand="0" w:oddHBand="1" w:evenHBand="0" w:firstRowFirstColumn="0" w:firstRowLastColumn="0" w:lastRowFirstColumn="0" w:lastRowLastColumn="0"/>
        </w:trPr>
        <w:tc>
          <w:tcPr>
            <w:tcW w:w="2000" w:type="pct"/>
          </w:tcPr>
          <w:p w14:paraId="4A781A22" w14:textId="77777777" w:rsidR="00CE5B19" w:rsidRDefault="00CE5B19" w:rsidP="00CE5B19">
            <w:pPr>
              <w:pStyle w:val="Tablebodytext"/>
            </w:pPr>
            <w:r>
              <w:t xml:space="preserve"> Secondary</w:t>
            </w:r>
          </w:p>
        </w:tc>
        <w:tc>
          <w:tcPr>
            <w:tcW w:w="1857" w:type="pct"/>
          </w:tcPr>
          <w:p w14:paraId="7C8F55E0" w14:textId="77777777" w:rsidR="00CE5B19" w:rsidRDefault="00CE5B19" w:rsidP="00CE5B19">
            <w:pPr>
              <w:pStyle w:val="Tablebodytext"/>
            </w:pPr>
            <w:r>
              <w:t>1.420***</w:t>
            </w:r>
          </w:p>
        </w:tc>
        <w:tc>
          <w:tcPr>
            <w:tcW w:w="1143" w:type="pct"/>
          </w:tcPr>
          <w:p w14:paraId="21DE762D" w14:textId="77777777" w:rsidR="00CE5B19" w:rsidRDefault="00CE5B19" w:rsidP="00CE5B19">
            <w:pPr>
              <w:pStyle w:val="Tablebodytext"/>
            </w:pPr>
            <w:r>
              <w:t>(0.020)</w:t>
            </w:r>
          </w:p>
        </w:tc>
      </w:tr>
      <w:tr w:rsidR="00CE5B19" w14:paraId="7F62EEAD" w14:textId="77777777" w:rsidTr="0032565E">
        <w:trPr>
          <w:cnfStyle w:val="000000010000" w:firstRow="0" w:lastRow="0" w:firstColumn="0" w:lastColumn="0" w:oddVBand="0" w:evenVBand="0" w:oddHBand="0" w:evenHBand="1" w:firstRowFirstColumn="0" w:firstRowLastColumn="0" w:lastRowFirstColumn="0" w:lastRowLastColumn="0"/>
        </w:trPr>
        <w:tc>
          <w:tcPr>
            <w:tcW w:w="2000" w:type="pct"/>
          </w:tcPr>
          <w:p w14:paraId="35B681B3" w14:textId="77777777" w:rsidR="00CE5B19" w:rsidRDefault="00CE5B19" w:rsidP="00CE5B19">
            <w:pPr>
              <w:pStyle w:val="Tablebodytext"/>
            </w:pPr>
            <w:r>
              <w:t xml:space="preserve"> </w:t>
            </w:r>
            <w:r>
              <w:fldChar w:fldCharType="begin"/>
            </w:r>
            <w:r>
              <w:instrText xml:space="preserve"> EQ </w:instrText>
            </w:r>
            <w:r>
              <w:rPr>
                <w:i/>
                <w:iCs/>
              </w:rPr>
              <w:instrText>R</w:instrText>
            </w:r>
            <w:r>
              <w:instrText>\s\up5(</w:instrText>
            </w:r>
            <w:r>
              <w:rPr>
                <w:sz w:val="16"/>
                <w:szCs w:val="16"/>
              </w:rPr>
              <w:instrText>2</w:instrText>
            </w:r>
            <w:r>
              <w:instrText>)</w:instrText>
            </w:r>
            <w:r>
              <w:fldChar w:fldCharType="end"/>
            </w:r>
          </w:p>
        </w:tc>
        <w:tc>
          <w:tcPr>
            <w:tcW w:w="1857" w:type="pct"/>
          </w:tcPr>
          <w:p w14:paraId="359A8C44" w14:textId="77777777" w:rsidR="00CE5B19" w:rsidRDefault="00CE5B19" w:rsidP="00CE5B19">
            <w:pPr>
              <w:pStyle w:val="Tablebodytext"/>
            </w:pPr>
            <w:r>
              <w:t>0.662</w:t>
            </w:r>
          </w:p>
        </w:tc>
        <w:tc>
          <w:tcPr>
            <w:tcW w:w="1143" w:type="pct"/>
          </w:tcPr>
          <w:p w14:paraId="0503D730" w14:textId="77777777" w:rsidR="00CE5B19" w:rsidRDefault="00CE5B19" w:rsidP="00CE5B19">
            <w:pPr>
              <w:pStyle w:val="Tablebodytext"/>
            </w:pPr>
          </w:p>
        </w:tc>
      </w:tr>
      <w:tr w:rsidR="00CE5B19" w14:paraId="62DCE3DE" w14:textId="77777777" w:rsidTr="0032565E">
        <w:trPr>
          <w:cnfStyle w:val="000000100000" w:firstRow="0" w:lastRow="0" w:firstColumn="0" w:lastColumn="0" w:oddVBand="0" w:evenVBand="0" w:oddHBand="1" w:evenHBand="0" w:firstRowFirstColumn="0" w:firstRowLastColumn="0" w:lastRowFirstColumn="0" w:lastRowLastColumn="0"/>
          <w:trHeight w:val="87"/>
        </w:trPr>
        <w:tc>
          <w:tcPr>
            <w:tcW w:w="2000" w:type="pct"/>
          </w:tcPr>
          <w:p w14:paraId="116B636E" w14:textId="77777777" w:rsidR="00CE5B19" w:rsidRDefault="00CE5B19" w:rsidP="00CE5B19">
            <w:pPr>
              <w:pStyle w:val="Tablebodytext"/>
            </w:pPr>
            <w:r>
              <w:rPr>
                <w:i/>
                <w:iCs/>
              </w:rPr>
              <w:t>F</w:t>
            </w:r>
          </w:p>
        </w:tc>
        <w:tc>
          <w:tcPr>
            <w:tcW w:w="1857" w:type="pct"/>
          </w:tcPr>
          <w:p w14:paraId="5FD21ABF" w14:textId="77777777" w:rsidR="00CE5B19" w:rsidRDefault="00CE5B19" w:rsidP="00CE5B19">
            <w:pPr>
              <w:pStyle w:val="Tablebodytext"/>
            </w:pPr>
            <w:r>
              <w:t>424.4***</w:t>
            </w:r>
          </w:p>
        </w:tc>
        <w:tc>
          <w:tcPr>
            <w:tcW w:w="1143" w:type="pct"/>
          </w:tcPr>
          <w:p w14:paraId="1A58FC89" w14:textId="77777777" w:rsidR="00CE5B19" w:rsidRDefault="00CE5B19" w:rsidP="00CE5B19">
            <w:pPr>
              <w:pStyle w:val="Tablebodytext"/>
            </w:pPr>
          </w:p>
        </w:tc>
      </w:tr>
      <w:tr w:rsidR="00CE5B19" w14:paraId="7E1EB116" w14:textId="77777777" w:rsidTr="0032565E">
        <w:trPr>
          <w:cnfStyle w:val="000000010000" w:firstRow="0" w:lastRow="0" w:firstColumn="0" w:lastColumn="0" w:oddVBand="0" w:evenVBand="0" w:oddHBand="0" w:evenHBand="1" w:firstRowFirstColumn="0" w:firstRowLastColumn="0" w:lastRowFirstColumn="0" w:lastRowLastColumn="0"/>
        </w:trPr>
        <w:tc>
          <w:tcPr>
            <w:tcW w:w="2000" w:type="pct"/>
          </w:tcPr>
          <w:p w14:paraId="4F1E9C28" w14:textId="77777777" w:rsidR="00CE5B19" w:rsidRDefault="00CE5B19" w:rsidP="00CE5B19">
            <w:pPr>
              <w:pStyle w:val="Tablebodytext"/>
            </w:pPr>
            <w:r>
              <w:t>#Obs</w:t>
            </w:r>
          </w:p>
        </w:tc>
        <w:tc>
          <w:tcPr>
            <w:tcW w:w="1857" w:type="pct"/>
          </w:tcPr>
          <w:p w14:paraId="64598292" w14:textId="77777777" w:rsidR="00CE5B19" w:rsidRDefault="00CE5B19" w:rsidP="00CE5B19">
            <w:pPr>
              <w:pStyle w:val="Tablebodytext"/>
            </w:pPr>
            <w:r>
              <w:t>2,831</w:t>
            </w:r>
          </w:p>
        </w:tc>
        <w:tc>
          <w:tcPr>
            <w:tcW w:w="1143" w:type="pct"/>
          </w:tcPr>
          <w:p w14:paraId="58F30549" w14:textId="77777777" w:rsidR="00CE5B19" w:rsidRDefault="00CE5B19" w:rsidP="00CE5B19">
            <w:pPr>
              <w:pStyle w:val="Tablebodytext"/>
            </w:pPr>
          </w:p>
        </w:tc>
      </w:tr>
    </w:tbl>
    <w:p w14:paraId="7A7C8496" w14:textId="77777777" w:rsidR="006A0563" w:rsidRDefault="006A0563" w:rsidP="00EF7ECF">
      <w:pPr>
        <w:pStyle w:val="Source"/>
      </w:pPr>
      <w:r>
        <w:t>Source: Department of Industry, Innovation and Science (2019)</w:t>
      </w:r>
    </w:p>
    <w:p w14:paraId="4F6CFF46" w14:textId="65C7630F" w:rsidR="00746AE4" w:rsidRDefault="00746AE4" w:rsidP="00EF7ECF">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5</w:t>
      </w:r>
      <w:r>
        <w:rPr>
          <w:noProof/>
        </w:rPr>
        <w:fldChar w:fldCharType="end"/>
      </w:r>
      <w:r w:rsidRPr="000618FB">
        <w:t>.</w:t>
      </w:r>
      <w:r w:rsidR="00EE0A8A">
        <w:t>2</w:t>
      </w:r>
      <w:r>
        <w:t>: The estimated time effects in the first stage.</w:t>
      </w:r>
    </w:p>
    <w:tbl>
      <w:tblPr>
        <w:tblStyle w:val="OCETable"/>
        <w:tblW w:w="4940" w:type="pct"/>
        <w:tblInd w:w="108" w:type="dxa"/>
        <w:tblLayout w:type="fixed"/>
        <w:tblLook w:val="04A0" w:firstRow="1" w:lastRow="0" w:firstColumn="1" w:lastColumn="0" w:noHBand="0" w:noVBand="1"/>
        <w:tblCaption w:val="Table contains figure 5.2"/>
        <w:tblDescription w:val="Table contains figure 5.2"/>
      </w:tblPr>
      <w:tblGrid>
        <w:gridCol w:w="6811"/>
      </w:tblGrid>
      <w:tr w:rsidR="003E1256" w14:paraId="2AEB9A48"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3B93A9F3" w14:textId="7DA39513" w:rsidR="003E1256" w:rsidRDefault="003E1256" w:rsidP="005B2367">
            <w:pPr>
              <w:pStyle w:val="PlaceholderWide"/>
            </w:pPr>
            <w:r>
              <w:rPr>
                <w:noProof/>
                <w:lang w:eastAsia="en-AU"/>
              </w:rPr>
              <w:drawing>
                <wp:inline distT="0" distB="0" distL="0" distR="0" wp14:anchorId="079AF10B" wp14:editId="09AE60C1">
                  <wp:extent cx="4187825" cy="1964055"/>
                  <wp:effectExtent l="0" t="0" r="3175" b="0"/>
                  <wp:docPr id="37" name="Picture 37" descr="The estimated time effects show a fall from 2002 to 2012 and then a slight increase afterwards. The confidence intervals show that most estimates are statistically significant." title="Fig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3_5 - Figure 5.4b [Recovered]_Figure 5.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87825" cy="1964055"/>
                          </a:xfrm>
                          <a:prstGeom prst="rect">
                            <a:avLst/>
                          </a:prstGeom>
                        </pic:spPr>
                      </pic:pic>
                    </a:graphicData>
                  </a:graphic>
                </wp:inline>
              </w:drawing>
            </w:r>
          </w:p>
        </w:tc>
      </w:tr>
    </w:tbl>
    <w:p w14:paraId="6E7A568E" w14:textId="77777777" w:rsidR="003E1256" w:rsidRPr="003E1256" w:rsidRDefault="003E1256" w:rsidP="003E1256">
      <w:pPr>
        <w:pStyle w:val="Placeholder"/>
      </w:pPr>
    </w:p>
    <w:p w14:paraId="238A01B0" w14:textId="77777777" w:rsidR="00746AE4" w:rsidRDefault="00746AE4" w:rsidP="00EF7ECF">
      <w:pPr>
        <w:pStyle w:val="Source"/>
      </w:pPr>
      <w:r>
        <w:t>Source: Department of Industry, Innovation and Science (2019)</w:t>
      </w:r>
    </w:p>
    <w:p w14:paraId="006F8DF0" w14:textId="77777777" w:rsidR="00701715" w:rsidRDefault="00701715" w:rsidP="00701715">
      <w:pPr>
        <w:pStyle w:val="BodyText"/>
        <w:rPr>
          <w:lang w:val="en"/>
        </w:rPr>
      </w:pPr>
    </w:p>
    <w:p w14:paraId="52A4F139" w14:textId="77777777" w:rsidR="00701715" w:rsidRDefault="00701715" w:rsidP="00701715">
      <w:pPr>
        <w:spacing w:before="240" w:line="270" w:lineRule="exact"/>
        <w:ind w:left="0"/>
      </w:pPr>
      <w:r>
        <w:t>The time effects, in particular, suggest a secular decline in entrepreneurship that affected all industries and goes on for most of the early years in the data and hits its nadir in 2012. The trend somewhat recovers after 2012; still, it remains in the negative territory.</w:t>
      </w:r>
    </w:p>
    <w:p w14:paraId="1CC70B06" w14:textId="7FC7EABA" w:rsidR="00701715" w:rsidRDefault="00701715" w:rsidP="00701715">
      <w:pPr>
        <w:spacing w:line="270" w:lineRule="exact"/>
        <w:ind w:left="0"/>
      </w:pPr>
      <w:r>
        <w:t>The estimated non-parametric function Ĝ(</w:t>
      </w:r>
      <w:r>
        <w:rPr>
          <w:i/>
          <w:iCs/>
        </w:rPr>
        <w:t>H</w:t>
      </w:r>
      <w:r>
        <w:t>) from the second step is illustrated in Figure </w:t>
      </w:r>
      <w:r w:rsidR="00EE0A8A">
        <w:t>5.3</w:t>
      </w:r>
      <w:r>
        <w:t xml:space="preserve"> alongside with the original non-parametric relationship that was first observed in Figure </w:t>
      </w:r>
      <w:r w:rsidR="000970A3">
        <w:t>5.3</w:t>
      </w:r>
      <w:r>
        <w:t>. The filtering of the first step takes out the Secondary and time effects. As a result, the relationship appears to have become smoother, especially in the upper tail.</w:t>
      </w:r>
    </w:p>
    <w:p w14:paraId="3268FD9B" w14:textId="5FFA000F" w:rsidR="003E1256" w:rsidRPr="003E1256" w:rsidRDefault="00DE1029" w:rsidP="003E1256">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5</w:t>
      </w:r>
      <w:r>
        <w:rPr>
          <w:noProof/>
        </w:rPr>
        <w:fldChar w:fldCharType="end"/>
      </w:r>
      <w:r w:rsidRPr="000618FB">
        <w:t>.</w:t>
      </w:r>
      <w:r w:rsidR="00EE0A8A">
        <w:t>3</w:t>
      </w:r>
      <w:r>
        <w:t>: The non-parametric relationship between firm entry and Herfindahl-Hirschman index.</w:t>
      </w:r>
    </w:p>
    <w:tbl>
      <w:tblPr>
        <w:tblStyle w:val="OCETable"/>
        <w:tblW w:w="4940" w:type="pct"/>
        <w:tblInd w:w="108" w:type="dxa"/>
        <w:tblLayout w:type="fixed"/>
        <w:tblLook w:val="04A0" w:firstRow="1" w:lastRow="0" w:firstColumn="1" w:lastColumn="0" w:noHBand="0" w:noVBand="1"/>
        <w:tblCaption w:val="Table contains figure 5.3"/>
        <w:tblDescription w:val="Table contains figure 5.3"/>
      </w:tblPr>
      <w:tblGrid>
        <w:gridCol w:w="6811"/>
      </w:tblGrid>
      <w:tr w:rsidR="003E1256" w14:paraId="064F36D3"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5D183FAA" w14:textId="494F9DAD" w:rsidR="003E1256" w:rsidRDefault="003E1256" w:rsidP="005B2367">
            <w:pPr>
              <w:pStyle w:val="PlaceholderWide"/>
            </w:pPr>
            <w:r>
              <w:rPr>
                <w:noProof/>
                <w:lang w:eastAsia="en-AU"/>
              </w:rPr>
              <w:drawing>
                <wp:inline distT="0" distB="0" distL="0" distR="0" wp14:anchorId="0E60C533" wp14:editId="759FA889">
                  <wp:extent cx="3087630" cy="2538989"/>
                  <wp:effectExtent l="0" t="0" r="0" b="0"/>
                  <wp:docPr id="38" name="Picture 38" descr="The estijmated non-parametric relationship is super imposed on the previosuly estimated falling firm entry by market power index. The non-paramnteric estimate shows a unimodal relationship that hits the maximum around index value of 0.5 and then falls monotonically afterwards." title="Fig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3_5 - Figure 5.4b [Recovered]_Figure 5.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087630" cy="2538989"/>
                          </a:xfrm>
                          <a:prstGeom prst="rect">
                            <a:avLst/>
                          </a:prstGeom>
                        </pic:spPr>
                      </pic:pic>
                    </a:graphicData>
                  </a:graphic>
                </wp:inline>
              </w:drawing>
            </w:r>
          </w:p>
        </w:tc>
      </w:tr>
    </w:tbl>
    <w:p w14:paraId="1DA57C45" w14:textId="77777777" w:rsidR="003E1256" w:rsidRDefault="003E1256" w:rsidP="00EF7ECF">
      <w:pPr>
        <w:pStyle w:val="Note"/>
      </w:pPr>
    </w:p>
    <w:p w14:paraId="0D04B388" w14:textId="77777777" w:rsidR="00DE1029" w:rsidRPr="00C62F3A" w:rsidRDefault="00DE1029" w:rsidP="00EF7ECF">
      <w:pPr>
        <w:pStyle w:val="Note"/>
      </w:pPr>
      <w:r>
        <w:t>Notes: A kernel regression with the bandwidth of 0.1 is used.</w:t>
      </w:r>
    </w:p>
    <w:p w14:paraId="086819B6" w14:textId="77777777" w:rsidR="00DE1029" w:rsidRDefault="00DE1029" w:rsidP="00EF7ECF">
      <w:pPr>
        <w:pStyle w:val="Source"/>
      </w:pPr>
      <w:r>
        <w:t>Source: Department of Industry, Innovation and Science (2019)</w:t>
      </w:r>
    </w:p>
    <w:p w14:paraId="05CC4C7E" w14:textId="0A3E1A12" w:rsidR="0078149E" w:rsidRPr="0078149E" w:rsidRDefault="0078149E" w:rsidP="0078149E">
      <w:pPr>
        <w:pStyle w:val="BodyText"/>
        <w:rPr>
          <w:lang w:val="en"/>
        </w:rPr>
      </w:pPr>
      <w:r>
        <w:t xml:space="preserve">Ĝ(.) can be used in the same conceptual framework as in Figure 5.1. The goal is to compute change in firm entry of industry </w:t>
      </w:r>
      <w:r>
        <w:rPr>
          <w:i/>
          <w:iCs/>
        </w:rPr>
        <w:t>i</w:t>
      </w:r>
      <w:r>
        <w:t xml:space="preserve"> from year </w:t>
      </w:r>
      <w:r>
        <w:rPr>
          <w:i/>
        </w:rPr>
        <w:t>t</w:t>
      </w:r>
      <w:r>
        <w:rPr>
          <w:vertAlign w:val="subscript"/>
        </w:rPr>
        <w:t>1</w:t>
      </w:r>
      <w:r>
        <w:t xml:space="preserve"> to year </w:t>
      </w:r>
      <w:r>
        <w:rPr>
          <w:i/>
        </w:rPr>
        <w:t>t</w:t>
      </w:r>
      <w:r>
        <w:rPr>
          <w:vertAlign w:val="subscript"/>
        </w:rPr>
        <w:t xml:space="preserve">2 </w:t>
      </w:r>
      <w:r>
        <w:t>(&gt;</w:t>
      </w:r>
      <w:r>
        <w:rPr>
          <w:i/>
        </w:rPr>
        <w:t>t</w:t>
      </w:r>
      <w:r>
        <w:rPr>
          <w:vertAlign w:val="subscript"/>
        </w:rPr>
        <w:t>1</w:t>
      </w:r>
      <w:r>
        <w:t>) as Market Power changes, keeping all else fixed at</w:t>
      </w:r>
      <w:r w:rsidR="00900EA1">
        <w:t xml:space="preserve"> </w:t>
      </w:r>
      <w:r w:rsidR="00900EA1">
        <w:rPr>
          <w:i/>
        </w:rPr>
        <w:t>t</w:t>
      </w:r>
      <w:r w:rsidR="00900EA1">
        <w:rPr>
          <w:vertAlign w:val="subscript"/>
        </w:rPr>
        <w:t>1</w:t>
      </w:r>
      <w:r>
        <w:t>. Based on (</w:t>
      </w:r>
      <w:r w:rsidR="004A5D80">
        <w:t>4</w:t>
      </w:r>
      <w:r>
        <w:t>), it is possible to show that the estimated change is</w:t>
      </w:r>
    </w:p>
    <w:p w14:paraId="099F4123" w14:textId="77777777" w:rsidR="00DE1029" w:rsidRDefault="00900EA1" w:rsidP="00900EA1">
      <w:pPr>
        <w:pStyle w:val="BodyText"/>
        <w:spacing w:line="700" w:lineRule="exact"/>
        <w:jc w:val="center"/>
      </w:pPr>
      <w:r>
        <w:fldChar w:fldCharType="begin"/>
      </w:r>
      <w:r>
        <w:instrText xml:space="preserve"> EQ Δ</w:instrText>
      </w:r>
      <w:r>
        <w:rPr>
          <w:i/>
          <w:iCs/>
        </w:rPr>
        <w:instrText>E</w:instrText>
      </w:r>
      <w:r>
        <w:instrText>\s\do5(</w:instrText>
      </w:r>
      <w:r>
        <w:rPr>
          <w:i/>
          <w:iCs/>
          <w:sz w:val="16"/>
          <w:szCs w:val="16"/>
        </w:rPr>
        <w:instrText>i</w:instrText>
      </w:r>
      <w:r>
        <w:instrText>)(</w:instrText>
      </w:r>
      <w:r>
        <w:rPr>
          <w:i/>
          <w:iCs/>
        </w:rPr>
        <w:instrText>t</w:instrText>
      </w:r>
      <w:r>
        <w:instrText>\s\do5(</w:instrText>
      </w:r>
      <w:r>
        <w:rPr>
          <w:sz w:val="16"/>
          <w:szCs w:val="16"/>
        </w:rPr>
        <w:instrText>1</w:instrText>
      </w:r>
      <w:r>
        <w:instrText>)+1\,</w:instrText>
      </w:r>
      <w:r>
        <w:rPr>
          <w:i/>
          <w:iCs/>
        </w:rPr>
        <w:instrText>t</w:instrText>
      </w:r>
      <w:r>
        <w:instrText>\s\do5(</w:instrText>
      </w:r>
      <w:r>
        <w:rPr>
          <w:sz w:val="16"/>
          <w:szCs w:val="16"/>
        </w:rPr>
        <w:instrText>2</w:instrText>
      </w:r>
      <w:r>
        <w:instrText>)+1)=</w:instrText>
      </w:r>
      <w:r>
        <w:rPr>
          <w:i/>
          <w:iCs/>
        </w:rPr>
        <w:instrText>E</w:instrText>
      </w:r>
      <w:r>
        <w:instrText>\s\do5(</w:instrText>
      </w:r>
      <w:r>
        <w:rPr>
          <w:i/>
          <w:iCs/>
          <w:sz w:val="16"/>
          <w:szCs w:val="16"/>
        </w:rPr>
        <w:instrText>i</w:instrText>
      </w:r>
      <w:r>
        <w:instrText>)(</w:instrText>
      </w:r>
      <w:r>
        <w:rPr>
          <w:i/>
          <w:iCs/>
        </w:rPr>
        <w:instrText>t</w:instrText>
      </w:r>
      <w:r>
        <w:instrText>\s\do5(</w:instrText>
      </w:r>
      <w:r>
        <w:rPr>
          <w:sz w:val="16"/>
          <w:szCs w:val="16"/>
        </w:rPr>
        <w:instrText>1</w:instrText>
      </w:r>
      <w:r>
        <w:instrText>)+1) \b ( \F(Ĝ(</w:instrText>
      </w:r>
      <w:r>
        <w:rPr>
          <w:i/>
          <w:iCs/>
        </w:rPr>
        <w:instrText>MarketPower</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\s\do4(</w:instrText>
      </w:r>
      <w:r>
        <w:rPr>
          <w:sz w:val="13"/>
          <w:szCs w:val="13"/>
        </w:rPr>
        <w:instrText>2</w:instrText>
      </w:r>
      <w:r>
        <w:rPr>
          <w:sz w:val="16"/>
          <w:szCs w:val="16"/>
        </w:rPr>
        <w:instrText>)</w:instrText>
      </w:r>
      <w:r>
        <w:instrText>)),Ĝ(</w:instrText>
      </w:r>
      <w:r>
        <w:rPr>
          <w:i/>
          <w:iCs/>
        </w:rPr>
        <w:instrText>MarketPower</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\s\do4(</w:instrText>
      </w:r>
      <w:r>
        <w:rPr>
          <w:sz w:val="13"/>
          <w:szCs w:val="13"/>
        </w:rPr>
        <w:instrText>1</w:instrText>
      </w:r>
      <w:r>
        <w:rPr>
          <w:sz w:val="16"/>
          <w:szCs w:val="16"/>
        </w:rPr>
        <w:instrText>)</w:instrText>
      </w:r>
      <w:r>
        <w:instrText>)))−1).</w:instrText>
      </w:r>
      <w:r>
        <w:fldChar w:fldCharType="end"/>
      </w:r>
      <w:r>
        <w:tab/>
        <w:t>(</w:t>
      </w:r>
      <w:bookmarkStart w:id="4" w:name="BMeq_dEhat"/>
      <w:r>
        <w:t>7</w:t>
      </w:r>
      <w:bookmarkEnd w:id="4"/>
      <w:r>
        <w:t>)</w:t>
      </w:r>
    </w:p>
    <w:p w14:paraId="3D929A81" w14:textId="637433B0" w:rsidR="00900EA1" w:rsidRDefault="00900EA1" w:rsidP="00900EA1">
      <w:pPr>
        <w:spacing w:line="270" w:lineRule="exact"/>
        <w:ind w:left="0"/>
      </w:pPr>
      <w:r>
        <w:t>In (</w:t>
      </w:r>
      <w:r w:rsidR="00EC0298">
        <w:t>7</w:t>
      </w:r>
      <w:r>
        <w:t xml:space="preserve">), </w:t>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+1)</m:t>
        </m:r>
      </m:oMath>
      <w:r>
        <w:t xml:space="preserve"> embodies all the industry conditions in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t>. The economy-wide changes will be the aggregation of the industry-level changes computed from (</w:t>
      </w:r>
      <w:r w:rsidR="00EC0298">
        <w:t>7</w:t>
      </w:r>
      <w:r>
        <w:t>).</w:t>
      </w:r>
    </w:p>
    <w:p w14:paraId="28E07EA4" w14:textId="2AA317C3" w:rsidR="00900EA1" w:rsidRDefault="00900EA1" w:rsidP="00900EA1">
      <w:pPr>
        <w:pStyle w:val="BodyText"/>
      </w:pPr>
      <w:r>
        <w:t>Using (</w:t>
      </w:r>
      <w:r w:rsidR="009A27E4">
        <w:fldChar w:fldCharType="begin"/>
      </w:r>
      <w:r w:rsidR="009A27E4">
        <w:instrText xml:space="preserve">REF BMeq_dEhat \* MERGEFORMAT </w:instrText>
      </w:r>
      <w:r w:rsidR="009A27E4">
        <w:fldChar w:fldCharType="separate"/>
      </w:r>
      <w:r w:rsidR="009A27E4">
        <w:t>7</w:t>
      </w:r>
      <w:r w:rsidR="009A27E4">
        <w:fldChar w:fldCharType="end"/>
      </w:r>
      <w:r>
        <w:t>), the changes predicted in the number of firm entries from 2002 to 2015 is reported in Table </w:t>
      </w:r>
      <w:r w:rsidR="004A308F">
        <w:t>5.2</w:t>
      </w:r>
      <w:r>
        <w:t xml:space="preserve">. In this table, the average ΔMarket Power is the simple mean of all changes in Market Power at 3-digit level industries.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oMath>
      <w:r>
        <w:rPr>
          <w:rFonts w:eastAsiaTheme="minorEastAsia"/>
        </w:rPr>
        <w:t xml:space="preserve"> </w:t>
      </w:r>
      <w:r>
        <w:t>in Table </w:t>
      </w:r>
      <w:r w:rsidR="00696DCC">
        <w:t>5.2</w:t>
      </w:r>
      <w:r>
        <w:t xml:space="preserve"> is the actual change in the number of firm entries for the following </w:t>
      </w:r>
      <w:r>
        <w:lastRenderedPageBreak/>
        <w:t xml:space="preserve">year over the period from </w:t>
      </w:r>
      <w:r>
        <w:rPr>
          <w:i/>
        </w:rPr>
        <w:t>t</w:t>
      </w:r>
      <w:r>
        <w:rPr>
          <w:vertAlign w:val="subscript"/>
        </w:rPr>
        <w:t>1</w:t>
      </w:r>
      <w:r>
        <w:t xml:space="preserve"> to </w:t>
      </w:r>
      <w:r>
        <w:rPr>
          <w:i/>
        </w:rPr>
        <w:t>t</w:t>
      </w:r>
      <w:r>
        <w:rPr>
          <w:vertAlign w:val="subscript"/>
        </w:rPr>
        <w:t>2</w:t>
      </w:r>
      <w:r w:rsidR="00BD2643">
        <w:t>.</w:t>
      </w:r>
      <w:r>
        <w:t xml:space="preserve">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oMath>
      <w:r>
        <w:rPr>
          <w:rFonts w:eastAsiaTheme="minorEastAsia"/>
        </w:rPr>
        <w:t xml:space="preserve"> </w:t>
      </w:r>
      <w:r>
        <w:t xml:space="preserve"> is the predicted part associated with the change in Market Power, keeping all else fixed at their </w:t>
      </w:r>
      <w:r>
        <w:fldChar w:fldCharType="begin"/>
      </w:r>
      <w:r>
        <w:instrText xml:space="preserve"> EQ </w:instrText>
      </w:r>
      <w:r>
        <w:rPr>
          <w:i/>
          <w:iCs/>
        </w:rPr>
        <w:instrText>t</w:instrText>
      </w:r>
      <w:r>
        <w:instrText>\s\do5(</w:instrText>
      </w:r>
      <w:r>
        <w:rPr>
          <w:sz w:val="16"/>
          <w:szCs w:val="16"/>
        </w:rPr>
        <w:instrText>1</w:instrText>
      </w:r>
      <w:r>
        <w:instrText>)</w:instrText>
      </w:r>
      <w:r>
        <w:fldChar w:fldCharType="end"/>
      </w:r>
      <w:r>
        <w:t xml:space="preserve"> value.</w:t>
      </w:r>
    </w:p>
    <w:p w14:paraId="6255ABC8" w14:textId="77777777" w:rsidR="00900EA1" w:rsidRDefault="00900EA1" w:rsidP="00EF7ECF">
      <w:pPr>
        <w:pStyle w:val="Caption"/>
      </w:pPr>
      <w:r w:rsidRPr="000618FB">
        <w:t xml:space="preserve">Table </w:t>
      </w:r>
      <w:r>
        <w:rPr>
          <w:noProof/>
        </w:rPr>
        <w:fldChar w:fldCharType="begin"/>
      </w:r>
      <w:r>
        <w:rPr>
          <w:noProof/>
        </w:rPr>
        <w:instrText xml:space="preserve"> STYLEREF 1 \s </w:instrText>
      </w:r>
      <w:r>
        <w:rPr>
          <w:noProof/>
        </w:rPr>
        <w:fldChar w:fldCharType="separate"/>
      </w:r>
      <w:r w:rsidR="009A27E4">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9A27E4">
        <w:rPr>
          <w:noProof/>
        </w:rPr>
        <w:t>3</w:t>
      </w:r>
      <w:r>
        <w:rPr>
          <w:noProof/>
        </w:rPr>
        <w:fldChar w:fldCharType="end"/>
      </w:r>
      <w:r w:rsidRPr="000618FB">
        <w:t xml:space="preserve">: </w:t>
      </w:r>
      <w:r>
        <w:t>Changes in the number of entry and the predicted change associated with change in market power.</w:t>
      </w:r>
    </w:p>
    <w:tbl>
      <w:tblPr>
        <w:tblStyle w:val="OCETable"/>
        <w:tblW w:w="4421" w:type="pct"/>
        <w:tblLook w:val="04A0" w:firstRow="1" w:lastRow="0" w:firstColumn="1" w:lastColumn="0" w:noHBand="0" w:noVBand="1"/>
        <w:tblCaption w:val="Table 5.2"/>
        <w:tblDescription w:val="The predicted change from 2002 to 2015 is positive and large compared to the actual change that is negative. It is the same case when looking at changes from 2202 to 2007 and then 2007 to 2012. Predicting the chnage from 2012 to 2015 shows a very large increase. The actual value also points to an increase but not as large."/>
      </w:tblPr>
      <w:tblGrid>
        <w:gridCol w:w="995"/>
        <w:gridCol w:w="951"/>
        <w:gridCol w:w="1882"/>
        <w:gridCol w:w="1013"/>
        <w:gridCol w:w="1255"/>
      </w:tblGrid>
      <w:tr w:rsidR="00900EA1" w14:paraId="0B0FE360"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1596" w:type="pct"/>
            <w:gridSpan w:val="2"/>
          </w:tcPr>
          <w:p w14:paraId="0BAC1264" w14:textId="77777777" w:rsidR="00900EA1" w:rsidRDefault="00900EA1" w:rsidP="004A308F">
            <w:pPr>
              <w:pStyle w:val="Tableheadertext"/>
              <w:jc w:val="center"/>
            </w:pPr>
            <w:r>
              <w:t>Years</w:t>
            </w:r>
          </w:p>
        </w:tc>
        <w:tc>
          <w:tcPr>
            <w:tcW w:w="1544" w:type="pct"/>
          </w:tcPr>
          <w:p w14:paraId="634A4E08" w14:textId="77777777" w:rsidR="00900EA1" w:rsidRDefault="00900EA1" w:rsidP="004A308F">
            <w:pPr>
              <w:pStyle w:val="Tableheadertext"/>
              <w:jc w:val="center"/>
            </w:pPr>
            <w:r>
              <w:t>Average</w:t>
            </w:r>
          </w:p>
        </w:tc>
        <w:tc>
          <w:tcPr>
            <w:tcW w:w="831" w:type="pct"/>
          </w:tcPr>
          <w:p w14:paraId="34A08297" w14:textId="77777777" w:rsidR="00900EA1" w:rsidRDefault="00900EA1" w:rsidP="00900EA1">
            <w:pPr>
              <w:pStyle w:val="Tableheadertext"/>
            </w:pPr>
          </w:p>
        </w:tc>
        <w:tc>
          <w:tcPr>
            <w:tcW w:w="1029" w:type="pct"/>
          </w:tcPr>
          <w:p w14:paraId="0CBEB419" w14:textId="77777777" w:rsidR="00900EA1" w:rsidRDefault="00900EA1" w:rsidP="00900EA1">
            <w:pPr>
              <w:pStyle w:val="Tableheadertext"/>
            </w:pPr>
          </w:p>
        </w:tc>
      </w:tr>
      <w:tr w:rsidR="00900EA1" w14:paraId="41DA86B3" w14:textId="77777777" w:rsidTr="0032565E">
        <w:trPr>
          <w:cnfStyle w:val="000000100000" w:firstRow="0" w:lastRow="0" w:firstColumn="0" w:lastColumn="0" w:oddVBand="0" w:evenVBand="0" w:oddHBand="1" w:evenHBand="0" w:firstRowFirstColumn="0" w:firstRowLastColumn="0" w:lastRowFirstColumn="0" w:lastRowLastColumn="0"/>
        </w:trPr>
        <w:tc>
          <w:tcPr>
            <w:tcW w:w="816" w:type="pct"/>
            <w:vAlign w:val="center"/>
          </w:tcPr>
          <w:p w14:paraId="7B928781" w14:textId="77777777" w:rsidR="00900EA1" w:rsidRDefault="00900EA1" w:rsidP="0032565E">
            <w:pPr>
              <w:pStyle w:val="Tablebodytext"/>
            </w:pPr>
            <w:r>
              <w:t>From</w:t>
            </w:r>
          </w:p>
        </w:tc>
        <w:tc>
          <w:tcPr>
            <w:tcW w:w="780" w:type="pct"/>
            <w:vAlign w:val="center"/>
          </w:tcPr>
          <w:p w14:paraId="3F655174" w14:textId="77777777" w:rsidR="00900EA1" w:rsidRDefault="00900EA1" w:rsidP="0032565E">
            <w:pPr>
              <w:pStyle w:val="Tablebodytext"/>
            </w:pPr>
            <w:r>
              <w:t>To</w:t>
            </w:r>
          </w:p>
        </w:tc>
        <w:tc>
          <w:tcPr>
            <w:tcW w:w="1544" w:type="pct"/>
          </w:tcPr>
          <w:p w14:paraId="2CF2B711" w14:textId="77777777" w:rsidR="00900EA1" w:rsidRDefault="00900EA1" w:rsidP="004A308F">
            <w:pPr>
              <w:pStyle w:val="Tablebodytext"/>
              <w:jc w:val="center"/>
            </w:pPr>
            <w:r>
              <w:t>ΔMarket Power</w:t>
            </w:r>
          </w:p>
        </w:tc>
        <w:tc>
          <w:tcPr>
            <w:tcW w:w="831" w:type="pct"/>
          </w:tcPr>
          <w:p w14:paraId="7665DE8A" w14:textId="77777777" w:rsidR="00900EA1" w:rsidRDefault="00900EA1" w:rsidP="004A308F">
            <w:pPr>
              <w:pStyle w:val="Tablebodytext"/>
              <w:jc w:val="center"/>
            </w:pPr>
            <w:r>
              <w:fldChar w:fldCharType="begin"/>
            </w:r>
            <w:r>
              <w:instrText xml:space="preserve"> EQ Δ</w:instrText>
            </w:r>
            <w:r>
              <w:rPr>
                <w:i/>
                <w:iCs/>
              </w:rPr>
              <w:instrText>E</w:instrText>
            </w:r>
            <w:r>
              <w:instrText>\s\do5(</w:instrText>
            </w:r>
            <w:r>
              <w:rPr>
                <w:sz w:val="16"/>
                <w:szCs w:val="16"/>
              </w:rPr>
              <w:instrText>+1</w:instrText>
            </w:r>
            <w:r>
              <w:instrText>)</w:instrText>
            </w:r>
            <w:r>
              <w:fldChar w:fldCharType="end"/>
            </w:r>
          </w:p>
        </w:tc>
        <w:tc>
          <w:tcPr>
            <w:tcW w:w="1029" w:type="pct"/>
          </w:tcPr>
          <w:p w14:paraId="3D174C65" w14:textId="77777777" w:rsidR="00900EA1" w:rsidRDefault="00900EA1" w:rsidP="004A308F">
            <w:pPr>
              <w:pStyle w:val="Tablebodytext"/>
              <w:jc w:val="center"/>
            </w:pPr>
            <w:r>
              <w:fldChar w:fldCharType="begin"/>
            </w:r>
            <w:r>
              <w:instrText xml:space="preserve"> EQ Δ</w:instrText>
            </w:r>
            <w:r>
              <w:rPr>
                <w:i/>
                <w:iCs/>
              </w:rPr>
              <w:instrText>E</w:instrText>
            </w:r>
            <w:r>
              <w:instrText>\s\do5(</w:instrText>
            </w:r>
            <w:r>
              <w:rPr>
                <w:sz w:val="16"/>
                <w:szCs w:val="16"/>
              </w:rPr>
              <w:instrText>+1</w:instrText>
            </w:r>
            <w:r>
              <w:instrText>)</w:instrText>
            </w:r>
            <w:r>
              <w:fldChar w:fldCharType="end"/>
            </w:r>
          </w:p>
        </w:tc>
      </w:tr>
      <w:tr w:rsidR="00900EA1" w14:paraId="6AC9D8B5" w14:textId="77777777" w:rsidTr="0032565E">
        <w:trPr>
          <w:cnfStyle w:val="000000010000" w:firstRow="0" w:lastRow="0" w:firstColumn="0" w:lastColumn="0" w:oddVBand="0" w:evenVBand="0" w:oddHBand="0" w:evenHBand="1" w:firstRowFirstColumn="0" w:firstRowLastColumn="0" w:lastRowFirstColumn="0" w:lastRowLastColumn="0"/>
        </w:trPr>
        <w:tc>
          <w:tcPr>
            <w:tcW w:w="816" w:type="pct"/>
          </w:tcPr>
          <w:p w14:paraId="776E49DB" w14:textId="77777777" w:rsidR="00900EA1" w:rsidRDefault="00900EA1" w:rsidP="004A308F">
            <w:pPr>
              <w:pStyle w:val="Tablebodytext"/>
              <w:jc w:val="center"/>
            </w:pPr>
            <w:r>
              <w:t>2002</w:t>
            </w:r>
          </w:p>
        </w:tc>
        <w:tc>
          <w:tcPr>
            <w:tcW w:w="780" w:type="pct"/>
          </w:tcPr>
          <w:p w14:paraId="5D1445AD" w14:textId="77777777" w:rsidR="00900EA1" w:rsidRDefault="00900EA1" w:rsidP="004A308F">
            <w:pPr>
              <w:pStyle w:val="Tablebodytext"/>
              <w:jc w:val="center"/>
            </w:pPr>
            <w:r>
              <w:t>2015</w:t>
            </w:r>
          </w:p>
        </w:tc>
        <w:tc>
          <w:tcPr>
            <w:tcW w:w="1544" w:type="pct"/>
          </w:tcPr>
          <w:p w14:paraId="6DC1E612" w14:textId="77777777" w:rsidR="00900EA1" w:rsidRDefault="00900EA1" w:rsidP="004A308F">
            <w:pPr>
              <w:pStyle w:val="Tablebodytext"/>
              <w:jc w:val="center"/>
            </w:pPr>
            <w:r>
              <w:t>0.046</w:t>
            </w:r>
          </w:p>
        </w:tc>
        <w:tc>
          <w:tcPr>
            <w:tcW w:w="831" w:type="pct"/>
          </w:tcPr>
          <w:p w14:paraId="42A433C7" w14:textId="77777777" w:rsidR="00900EA1" w:rsidRDefault="00900EA1" w:rsidP="004A308F">
            <w:pPr>
              <w:pStyle w:val="Tablebodytext"/>
              <w:jc w:val="center"/>
            </w:pPr>
            <w:r>
              <w:t>-14953</w:t>
            </w:r>
          </w:p>
        </w:tc>
        <w:tc>
          <w:tcPr>
            <w:tcW w:w="1029" w:type="pct"/>
          </w:tcPr>
          <w:p w14:paraId="30634138" w14:textId="77777777" w:rsidR="00900EA1" w:rsidRDefault="00900EA1" w:rsidP="004A308F">
            <w:pPr>
              <w:pStyle w:val="Tablebodytext"/>
              <w:jc w:val="center"/>
            </w:pPr>
            <w:r>
              <w:t>93,544.6</w:t>
            </w:r>
          </w:p>
        </w:tc>
      </w:tr>
      <w:tr w:rsidR="00900EA1" w14:paraId="17FEB243" w14:textId="77777777" w:rsidTr="0032565E">
        <w:trPr>
          <w:cnfStyle w:val="000000100000" w:firstRow="0" w:lastRow="0" w:firstColumn="0" w:lastColumn="0" w:oddVBand="0" w:evenVBand="0" w:oddHBand="1" w:evenHBand="0" w:firstRowFirstColumn="0" w:firstRowLastColumn="0" w:lastRowFirstColumn="0" w:lastRowLastColumn="0"/>
        </w:trPr>
        <w:tc>
          <w:tcPr>
            <w:tcW w:w="816" w:type="pct"/>
          </w:tcPr>
          <w:p w14:paraId="5C8B9003" w14:textId="77777777" w:rsidR="00900EA1" w:rsidRDefault="00900EA1" w:rsidP="004A308F">
            <w:pPr>
              <w:pStyle w:val="Tablebodytext"/>
              <w:jc w:val="center"/>
            </w:pPr>
            <w:r>
              <w:t>2002</w:t>
            </w:r>
          </w:p>
        </w:tc>
        <w:tc>
          <w:tcPr>
            <w:tcW w:w="780" w:type="pct"/>
          </w:tcPr>
          <w:p w14:paraId="7120B175" w14:textId="77777777" w:rsidR="00900EA1" w:rsidRDefault="00900EA1" w:rsidP="004A308F">
            <w:pPr>
              <w:pStyle w:val="Tablebodytext"/>
              <w:jc w:val="center"/>
            </w:pPr>
            <w:r>
              <w:t>2007</w:t>
            </w:r>
          </w:p>
        </w:tc>
        <w:tc>
          <w:tcPr>
            <w:tcW w:w="1544" w:type="pct"/>
          </w:tcPr>
          <w:p w14:paraId="0E44C4B3" w14:textId="77777777" w:rsidR="00900EA1" w:rsidRDefault="00900EA1" w:rsidP="004A308F">
            <w:pPr>
              <w:pStyle w:val="Tablebodytext"/>
              <w:jc w:val="center"/>
            </w:pPr>
            <w:r>
              <w:t>-0.116</w:t>
            </w:r>
          </w:p>
        </w:tc>
        <w:tc>
          <w:tcPr>
            <w:tcW w:w="831" w:type="pct"/>
          </w:tcPr>
          <w:p w14:paraId="7F3ACFC7" w14:textId="77777777" w:rsidR="00900EA1" w:rsidRDefault="00900EA1" w:rsidP="004A308F">
            <w:pPr>
              <w:pStyle w:val="Tablebodytext"/>
              <w:jc w:val="center"/>
            </w:pPr>
            <w:r>
              <w:t>-31698</w:t>
            </w:r>
          </w:p>
        </w:tc>
        <w:tc>
          <w:tcPr>
            <w:tcW w:w="1029" w:type="pct"/>
          </w:tcPr>
          <w:p w14:paraId="0E4213CF" w14:textId="77777777" w:rsidR="00900EA1" w:rsidRDefault="00900EA1" w:rsidP="004A308F">
            <w:pPr>
              <w:pStyle w:val="Tablebodytext"/>
              <w:jc w:val="center"/>
            </w:pPr>
            <w:r>
              <w:t>107,371.0</w:t>
            </w:r>
          </w:p>
        </w:tc>
      </w:tr>
      <w:tr w:rsidR="00900EA1" w14:paraId="72685671" w14:textId="77777777" w:rsidTr="0032565E">
        <w:trPr>
          <w:cnfStyle w:val="000000010000" w:firstRow="0" w:lastRow="0" w:firstColumn="0" w:lastColumn="0" w:oddVBand="0" w:evenVBand="0" w:oddHBand="0" w:evenHBand="1" w:firstRowFirstColumn="0" w:firstRowLastColumn="0" w:lastRowFirstColumn="0" w:lastRowLastColumn="0"/>
          <w:trHeight w:val="87"/>
        </w:trPr>
        <w:tc>
          <w:tcPr>
            <w:tcW w:w="816" w:type="pct"/>
          </w:tcPr>
          <w:p w14:paraId="21096173" w14:textId="77777777" w:rsidR="00900EA1" w:rsidRDefault="00900EA1" w:rsidP="004A308F">
            <w:pPr>
              <w:pStyle w:val="Tablebodytext"/>
              <w:jc w:val="center"/>
            </w:pPr>
            <w:r>
              <w:t>2007</w:t>
            </w:r>
          </w:p>
        </w:tc>
        <w:tc>
          <w:tcPr>
            <w:tcW w:w="780" w:type="pct"/>
          </w:tcPr>
          <w:p w14:paraId="7FEC3996" w14:textId="77777777" w:rsidR="00900EA1" w:rsidRDefault="00900EA1" w:rsidP="004A308F">
            <w:pPr>
              <w:pStyle w:val="Tablebodytext"/>
              <w:jc w:val="center"/>
            </w:pPr>
            <w:r>
              <w:t>2012</w:t>
            </w:r>
          </w:p>
        </w:tc>
        <w:tc>
          <w:tcPr>
            <w:tcW w:w="1544" w:type="pct"/>
          </w:tcPr>
          <w:p w14:paraId="246A3444" w14:textId="77777777" w:rsidR="00900EA1" w:rsidRDefault="00900EA1" w:rsidP="004A308F">
            <w:pPr>
              <w:pStyle w:val="Tablebodytext"/>
              <w:jc w:val="center"/>
            </w:pPr>
            <w:r>
              <w:t>0.101</w:t>
            </w:r>
          </w:p>
        </w:tc>
        <w:tc>
          <w:tcPr>
            <w:tcW w:w="831" w:type="pct"/>
          </w:tcPr>
          <w:p w14:paraId="1963E973" w14:textId="77777777" w:rsidR="00900EA1" w:rsidRDefault="00900EA1" w:rsidP="004A308F">
            <w:pPr>
              <w:pStyle w:val="Tablebodytext"/>
              <w:jc w:val="center"/>
            </w:pPr>
            <w:r>
              <w:t>-73786</w:t>
            </w:r>
          </w:p>
        </w:tc>
        <w:tc>
          <w:tcPr>
            <w:tcW w:w="1029" w:type="pct"/>
          </w:tcPr>
          <w:p w14:paraId="28FFA4F7" w14:textId="77777777" w:rsidR="00900EA1" w:rsidRDefault="00900EA1" w:rsidP="004A308F">
            <w:pPr>
              <w:pStyle w:val="Tablebodytext"/>
              <w:jc w:val="center"/>
            </w:pPr>
            <w:r>
              <w:t>3,908.8</w:t>
            </w:r>
          </w:p>
        </w:tc>
      </w:tr>
      <w:tr w:rsidR="00900EA1" w14:paraId="5E5EBB3E" w14:textId="77777777" w:rsidTr="0032565E">
        <w:trPr>
          <w:cnfStyle w:val="000000100000" w:firstRow="0" w:lastRow="0" w:firstColumn="0" w:lastColumn="0" w:oddVBand="0" w:evenVBand="0" w:oddHBand="1" w:evenHBand="0" w:firstRowFirstColumn="0" w:firstRowLastColumn="0" w:lastRowFirstColumn="0" w:lastRowLastColumn="0"/>
        </w:trPr>
        <w:tc>
          <w:tcPr>
            <w:tcW w:w="816" w:type="pct"/>
          </w:tcPr>
          <w:p w14:paraId="27C92E87" w14:textId="77777777" w:rsidR="00900EA1" w:rsidRDefault="00900EA1" w:rsidP="004A308F">
            <w:pPr>
              <w:pStyle w:val="Tablebodytext"/>
              <w:jc w:val="center"/>
            </w:pPr>
            <w:r>
              <w:t>2012</w:t>
            </w:r>
          </w:p>
        </w:tc>
        <w:tc>
          <w:tcPr>
            <w:tcW w:w="780" w:type="pct"/>
          </w:tcPr>
          <w:p w14:paraId="6C0AC616" w14:textId="77777777" w:rsidR="00900EA1" w:rsidRDefault="00900EA1" w:rsidP="004A308F">
            <w:pPr>
              <w:pStyle w:val="Tablebodytext"/>
              <w:jc w:val="center"/>
            </w:pPr>
            <w:r>
              <w:t>2015</w:t>
            </w:r>
          </w:p>
        </w:tc>
        <w:tc>
          <w:tcPr>
            <w:tcW w:w="1544" w:type="pct"/>
          </w:tcPr>
          <w:p w14:paraId="745E1A0C" w14:textId="77777777" w:rsidR="00900EA1" w:rsidRDefault="00900EA1" w:rsidP="004A308F">
            <w:pPr>
              <w:pStyle w:val="Tablebodytext"/>
              <w:jc w:val="center"/>
            </w:pPr>
            <w:r>
              <w:t>0.062</w:t>
            </w:r>
          </w:p>
        </w:tc>
        <w:tc>
          <w:tcPr>
            <w:tcW w:w="831" w:type="pct"/>
          </w:tcPr>
          <w:p w14:paraId="591A3977" w14:textId="77777777" w:rsidR="00900EA1" w:rsidRDefault="00900EA1" w:rsidP="004A308F">
            <w:pPr>
              <w:pStyle w:val="Tablebodytext"/>
              <w:jc w:val="center"/>
            </w:pPr>
            <w:r>
              <w:t>90532</w:t>
            </w:r>
          </w:p>
        </w:tc>
        <w:tc>
          <w:tcPr>
            <w:tcW w:w="1029" w:type="pct"/>
          </w:tcPr>
          <w:p w14:paraId="5E1B74DA" w14:textId="77777777" w:rsidR="00900EA1" w:rsidRDefault="00900EA1" w:rsidP="004A308F">
            <w:pPr>
              <w:pStyle w:val="Tablebodytext"/>
              <w:jc w:val="center"/>
            </w:pPr>
            <w:r>
              <w:t>321,903.9</w:t>
            </w:r>
          </w:p>
        </w:tc>
      </w:tr>
    </w:tbl>
    <w:p w14:paraId="73421083" w14:textId="77777777" w:rsidR="00900EA1" w:rsidRDefault="00900EA1" w:rsidP="00EF7ECF">
      <w:pPr>
        <w:pStyle w:val="Source"/>
      </w:pPr>
      <w:r>
        <w:t>Source: Department of Industry, Innovation and Science</w:t>
      </w:r>
    </w:p>
    <w:p w14:paraId="48806D5F" w14:textId="77777777" w:rsidR="002D735E" w:rsidRDefault="002D735E" w:rsidP="002D735E">
      <w:pPr>
        <w:spacing w:before="240" w:line="270" w:lineRule="exact"/>
        <w:ind w:left="0"/>
      </w:pPr>
      <w:r>
        <w:t xml:space="preserve">As mentioned above, the first row in the table pertains to the choice of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=2002</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=2015</m:t>
        </m:r>
      </m:oMath>
      <w:r>
        <w:t>. The results indicate that the average market power increased by a small amount from 2002 to 2015, matched by a drop of about 15,000 entries. However, the predicted value for the estimated relationship suggests that the number of firm entries over the same period must have increased by about 93,500. In this case, Market Power does not seem to offer any clues as to why firm entry should fall over the period.</w:t>
      </w:r>
    </w:p>
    <w:p w14:paraId="0E224B86" w14:textId="77777777" w:rsidR="002D735E" w:rsidRDefault="002D735E" w:rsidP="002D735E">
      <w:pPr>
        <w:spacing w:line="270" w:lineRule="exact"/>
        <w:ind w:left="0"/>
      </w:pPr>
      <w:r>
        <w:t xml:space="preserve">Figure 3.5 points to a changing pattern in Market Power time trend. Market Power mostly falls prior to 2007 and then steeply rises up until 2012. Thereafter, the trend is much flatter. To test the predictive power of the model during the middle period when Market Power is fast increasing, I split the sample into three subsamples that span years 2002–2007, 2007–2012 and 2012–2015. </w:t>
      </w:r>
    </w:p>
    <w:p w14:paraId="54B7F971" w14:textId="77777777" w:rsidR="002D735E" w:rsidRDefault="002D735E" w:rsidP="002D735E">
      <w:pPr>
        <w:spacing w:line="270" w:lineRule="exact"/>
        <w:ind w:left="0"/>
      </w:pPr>
      <w:r>
        <w:t xml:space="preserve">The predicted changes in firm entry for each sub-period are listed in the last three rows of Table 5.2. None of the estimated number of entries is close to the actual changes that took place. </w:t>
      </w:r>
    </w:p>
    <w:p w14:paraId="30E952DF" w14:textId="77777777" w:rsidR="002D735E" w:rsidRDefault="002D735E" w:rsidP="002D735E">
      <w:pPr>
        <w:spacing w:line="270" w:lineRule="exact"/>
        <w:ind w:left="0"/>
      </w:pPr>
      <w:r>
        <w:t xml:space="preserve">For the 2002 to 2007 period, the computed value predicts that firm entry should have increased by about 107,000 in line with a drop in the average Market Power. The actual number is a drop of almost 32,000 in firm entries. </w:t>
      </w:r>
    </w:p>
    <w:p w14:paraId="021D014B" w14:textId="6BD85DCB" w:rsidR="002D735E" w:rsidRDefault="002D735E" w:rsidP="002D735E">
      <w:pPr>
        <w:spacing w:line="270" w:lineRule="exact"/>
        <w:ind w:left="0"/>
      </w:pPr>
      <w:r>
        <w:t xml:space="preserve">During 2007 to 2012 that market power is growing, the predicted number of firm entries drops to its lowest, but still predicts </w:t>
      </w:r>
      <w:r w:rsidR="00A86F3A">
        <w:t>an increase of about 4,000 firm</w:t>
      </w:r>
      <w:r>
        <w:t xml:space="preserve"> entries over the period. In reality, the number of entries fell by a massive 74,000 firms.</w:t>
      </w:r>
    </w:p>
    <w:p w14:paraId="2DC74A47" w14:textId="77777777" w:rsidR="002D735E" w:rsidRDefault="002D735E" w:rsidP="002D735E">
      <w:pPr>
        <w:spacing w:line="270" w:lineRule="exact"/>
        <w:ind w:left="0"/>
      </w:pPr>
      <w:r>
        <w:t>In the last period from 2012 to 2015, both the predicted and actual numbers point to an increase in firm entry. However, there is still a wide wedge between the two numbers which points to other factors besides market power that are moderating the rate of firm entry.</w:t>
      </w:r>
    </w:p>
    <w:p w14:paraId="17015730" w14:textId="1A4B9D09" w:rsidR="00DA40DD" w:rsidRPr="003E1256" w:rsidRDefault="002D735E" w:rsidP="003E1256">
      <w:pPr>
        <w:spacing w:before="120" w:line="270" w:lineRule="exact"/>
        <w:ind w:left="0"/>
      </w:pPr>
      <w:r>
        <w:t>Within 3-digit ANZSIC codes, the picture is almost identical. Figure </w:t>
      </w:r>
      <w:r w:rsidR="00EE0A8A">
        <w:t>5.4</w:t>
      </w:r>
      <w:r>
        <w:t xml:space="preserve"> shows the actual change in firm entry for each 3-digit industry and also the predicted change by each industry’s mark</w:t>
      </w:r>
      <w:r w:rsidR="003E1256">
        <w:t>et power in the beginning year.</w:t>
      </w:r>
    </w:p>
    <w:p w14:paraId="297A7B32" w14:textId="6B29EC11" w:rsidR="00DA40DD" w:rsidRDefault="00DA40DD" w:rsidP="00DA40DD">
      <w:pPr>
        <w:pStyle w:val="Caption"/>
        <w:rPr>
          <w:noProof/>
          <w:lang w:eastAsia="en-AU"/>
        </w:rPr>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9A27E4">
        <w:rPr>
          <w:noProof/>
        </w:rPr>
        <w:t>5</w:t>
      </w:r>
      <w:r>
        <w:rPr>
          <w:noProof/>
        </w:rPr>
        <w:fldChar w:fldCharType="end"/>
      </w:r>
      <w:r w:rsidRPr="000618FB">
        <w:t>.</w:t>
      </w:r>
      <w:r w:rsidR="00EE0A8A">
        <w:t>4</w:t>
      </w:r>
      <w:r>
        <w:t>: Actual versus predicted change in the number of firm entries by 3-digit industries and by the industry’s market power in the beginning year</w:t>
      </w:r>
      <w:r>
        <w:rPr>
          <w:noProof/>
          <w:lang w:eastAsia="en-AU"/>
        </w:rPr>
        <w:t xml:space="preserve"> .</w:t>
      </w:r>
    </w:p>
    <w:p w14:paraId="5AD4EDD3" w14:textId="346C2FD0" w:rsidR="00DA40DD" w:rsidRPr="003E1256" w:rsidRDefault="00DA40DD" w:rsidP="00DA40DD">
      <w:pPr>
        <w:pStyle w:val="Caption"/>
        <w:rPr>
          <w:b/>
          <w:color w:val="auto"/>
          <w:lang w:val="en"/>
        </w:rPr>
      </w:pPr>
      <w:r w:rsidRPr="003E1256">
        <w:rPr>
          <w:b/>
          <w:color w:val="auto"/>
          <w:lang w:val="en"/>
        </w:rPr>
        <w:t>(a)</w:t>
      </w:r>
    </w:p>
    <w:p w14:paraId="35B4AE7D" w14:textId="1F95ABC5" w:rsidR="00DA40DD" w:rsidRDefault="0032565E" w:rsidP="0032565E">
      <w:pPr>
        <w:pStyle w:val="Placeholder"/>
        <w:jc w:val="both"/>
        <w:rPr>
          <w:lang w:val="en"/>
        </w:rPr>
      </w:pPr>
      <w:r>
        <w:rPr>
          <w:noProof/>
          <w:lang w:eastAsia="en-AU"/>
        </w:rPr>
        <w:drawing>
          <wp:inline distT="0" distB="0" distL="0" distR="0" wp14:anchorId="71154FDF" wp14:editId="20D0D653">
            <wp:extent cx="3121158" cy="2801118"/>
            <wp:effectExtent l="0" t="0" r="3175" b="0"/>
            <wp:docPr id="39" name="Picture 39" descr="The actual change firm entry show a drop for most industries but still an increase in some others. The predicted ones mostly point to an increase." title="Figure 5.4a The change from 2002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3_5 - Figure 5.4b [Recovered]_Figure 5.4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21158" cy="2801118"/>
                    </a:xfrm>
                    <a:prstGeom prst="rect">
                      <a:avLst/>
                    </a:prstGeom>
                  </pic:spPr>
                </pic:pic>
              </a:graphicData>
            </a:graphic>
          </wp:inline>
        </w:drawing>
      </w:r>
    </w:p>
    <w:p w14:paraId="6F96CE65" w14:textId="63C69954" w:rsidR="00DA40DD" w:rsidRPr="003E1256" w:rsidRDefault="0032565E" w:rsidP="00701715">
      <w:pPr>
        <w:pStyle w:val="BodyText"/>
        <w:rPr>
          <w:b/>
          <w:lang w:val="en"/>
        </w:rPr>
      </w:pPr>
      <w:r>
        <w:rPr>
          <w:noProof/>
          <w:lang w:eastAsia="en-AU"/>
        </w:rPr>
        <w:drawing>
          <wp:anchor distT="0" distB="0" distL="114300" distR="114300" simplePos="0" relativeHeight="251662336" behindDoc="0" locked="0" layoutInCell="1" allowOverlap="1" wp14:anchorId="05AC805F" wp14:editId="794182EE">
            <wp:simplePos x="0" y="0"/>
            <wp:positionH relativeFrom="margin">
              <wp:align>left</wp:align>
            </wp:positionH>
            <wp:positionV relativeFrom="paragraph">
              <wp:posOffset>326390</wp:posOffset>
            </wp:positionV>
            <wp:extent cx="3715385" cy="2623820"/>
            <wp:effectExtent l="0" t="0" r="0" b="5080"/>
            <wp:wrapTopAndBottom/>
            <wp:docPr id="40" name="Picture 40" descr="The actual change firm entry show a large drop for most industries but still an increase for a few. The predicted ones mostly point to an increase." title="Figure 5.4b Change from 2007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3_5 - Figure 5.4b [Recovered]_Figure 5.4b.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15385" cy="2623820"/>
                    </a:xfrm>
                    <a:prstGeom prst="rect">
                      <a:avLst/>
                    </a:prstGeom>
                  </pic:spPr>
                </pic:pic>
              </a:graphicData>
            </a:graphic>
            <wp14:sizeRelH relativeFrom="page">
              <wp14:pctWidth>0</wp14:pctWidth>
            </wp14:sizeRelH>
            <wp14:sizeRelV relativeFrom="page">
              <wp14:pctHeight>0</wp14:pctHeight>
            </wp14:sizeRelV>
          </wp:anchor>
        </w:drawing>
      </w:r>
      <w:r w:rsidR="00DA40DD" w:rsidRPr="003E1256">
        <w:rPr>
          <w:b/>
          <w:lang w:val="en"/>
        </w:rPr>
        <w:t>(b)</w:t>
      </w:r>
    </w:p>
    <w:p w14:paraId="0778E27E" w14:textId="77777777" w:rsidR="00DA40DD" w:rsidRDefault="00DA40DD" w:rsidP="00EF7ECF">
      <w:pPr>
        <w:pStyle w:val="Source"/>
      </w:pPr>
      <w:r>
        <w:t>Source: Department of Industry, Innovation and Science (2019)</w:t>
      </w:r>
    </w:p>
    <w:p w14:paraId="4395C188" w14:textId="77777777" w:rsidR="00332542" w:rsidRDefault="00332542" w:rsidP="00332542">
      <w:pPr>
        <w:spacing w:before="240" w:line="270" w:lineRule="exact"/>
        <w:ind w:left="0"/>
      </w:pPr>
      <w:r>
        <w:t>Even at industry level, most industries show a drop in the actual number of firm entries. This trend is especially visible in panel (b) where the data is narrowed to the 2007–2012 period. This is the period that, again, market power was on the rise.</w:t>
      </w:r>
    </w:p>
    <w:p w14:paraId="632E5C5D" w14:textId="77777777" w:rsidR="00332542" w:rsidRDefault="00332542" w:rsidP="00332542">
      <w:pPr>
        <w:spacing w:line="270" w:lineRule="exact"/>
        <w:ind w:left="0"/>
      </w:pPr>
      <w:r>
        <w:t>The predicted values, on the other hand, show increases in firm entry across most industries. This is particularly true for industries whose Market Power index is below zero, that is, the already competitive industries.</w:t>
      </w:r>
    </w:p>
    <w:p w14:paraId="049A5373" w14:textId="77777777" w:rsidR="00332542" w:rsidRDefault="00332542" w:rsidP="00332542">
      <w:pPr>
        <w:spacing w:line="270" w:lineRule="exact"/>
        <w:ind w:left="0"/>
      </w:pPr>
      <w:r>
        <w:lastRenderedPageBreak/>
        <w:t>Industries with high market power are the ones experiencing an increase in market power. They do not show much increase or decrease in firm entry; firm entry in those industries is already too low.</w:t>
      </w:r>
    </w:p>
    <w:p w14:paraId="2F801954" w14:textId="1AD92F97" w:rsidR="00332542" w:rsidRDefault="00332542" w:rsidP="00332542">
      <w:pPr>
        <w:spacing w:line="270" w:lineRule="exact"/>
        <w:ind w:left="0"/>
      </w:pPr>
      <w:r>
        <w:t>To sum up, the unexpected results are due to the peculiar way market power interacts with firm entr</w:t>
      </w:r>
      <w:r w:rsidR="00A86F3A">
        <w:t>y. As is evident from Figure 5.3</w:t>
      </w:r>
      <w:r>
        <w:t xml:space="preserve">, the upper tail of the relationship almost touches the zero line when Market Power is larger than zero. That is, any change in Market Power will generate negligible results in the aggregate statistics as long as the index of Market Power stays above zero. </w:t>
      </w:r>
    </w:p>
    <w:p w14:paraId="605867FB" w14:textId="77777777" w:rsidR="00332542" w:rsidRDefault="00332542" w:rsidP="00332542">
      <w:pPr>
        <w:spacing w:line="270" w:lineRule="exact"/>
        <w:ind w:left="0"/>
      </w:pPr>
      <w:r>
        <w:t xml:space="preserve">On the other hand, a slight change in Market Power of industries that lie to the left of zero has substantial impact. As it turns out, most of the increase in Market Power happened among industries whose index of Market Power was above zero (Bakhtiari, 2019a). In the process of aggregation, any drop in firm entry of these industries will be ultimately masked by the increases predicted in the more competitive industries. </w:t>
      </w:r>
    </w:p>
    <w:p w14:paraId="3A99F86D" w14:textId="77777777" w:rsidR="00332542" w:rsidRDefault="00332542" w:rsidP="00332542">
      <w:pPr>
        <w:spacing w:line="270" w:lineRule="exact"/>
        <w:ind w:left="0"/>
      </w:pPr>
      <w:r>
        <w:t>To this end, increasing Market Power does not seem to be the driving force behind the fall in entrepreneurship. The omnipresence of the fall in firm entry across all industries, even where Market Power is not increasing, points to other factors or a secular trend being behind the trend.</w:t>
      </w:r>
    </w:p>
    <w:p w14:paraId="3FDC4B2F" w14:textId="77777777" w:rsidR="00332542" w:rsidRDefault="00332542" w:rsidP="00332542">
      <w:pPr>
        <w:pStyle w:val="BodyText"/>
        <w:rPr>
          <w:lang w:val="en"/>
        </w:rPr>
      </w:pPr>
    </w:p>
    <w:p w14:paraId="013D1EE6" w14:textId="77777777" w:rsidR="00477521" w:rsidRDefault="00477521" w:rsidP="00477521">
      <w:pPr>
        <w:pStyle w:val="Heading1"/>
        <w:rPr>
          <w:lang w:val="en"/>
        </w:rPr>
      </w:pPr>
      <w:r>
        <w:rPr>
          <w:lang w:val="en"/>
        </w:rPr>
        <w:t>Conclusion</w:t>
      </w:r>
    </w:p>
    <w:p w14:paraId="20D70259" w14:textId="77777777" w:rsidR="00477521" w:rsidRDefault="00477521" w:rsidP="00477521">
      <w:pPr>
        <w:spacing w:before="60" w:line="270" w:lineRule="exact"/>
        <w:ind w:left="0"/>
      </w:pPr>
      <w:r>
        <w:t xml:space="preserve">The evidence supports the notion that the increasing market power of a few firms can threaten entrepreneurship in an industry. A series of parametric estimations provide support that increasing market power is detrimental to firm entry. This situation is certainly undesirable from a social and economic point of view. Weak entrepreneurship hinders innovative young firms from entering and getting a foothold. The process of resources reallocation towards more productive and innovative firms will also be stalled. In turn, productivity and economic growth would slow down. </w:t>
      </w:r>
    </w:p>
    <w:p w14:paraId="7381CAED" w14:textId="4DD3662F" w:rsidR="00477521" w:rsidRDefault="003A57B8" w:rsidP="00477521">
      <w:pPr>
        <w:pStyle w:val="BodyText"/>
      </w:pPr>
      <w:r>
        <w:t>M</w:t>
      </w:r>
      <w:r w:rsidR="00477521">
        <w:t>arket power in Australia has been increasing among some industries, with the fastest trend happening during the 2007 to 2012 period. One would think that the drop in the number of entrepreneurs is a side effect of this increasing market power. However, estimates do not substantiate any role for market power as the main cause of the entrepreneurship decline. A secular trend common to all industries or some other factor appears to be the main driving force behind the entrepreneurship decline. For instance, Bakhtiari (2019a) contemplates a few other factors such as tightening credit or international competition as alternative explanations.</w:t>
      </w:r>
    </w:p>
    <w:p w14:paraId="5552CD16" w14:textId="77777777" w:rsidR="00477521" w:rsidRDefault="00477521" w:rsidP="00477521">
      <w:pPr>
        <w:pStyle w:val="BodyText"/>
      </w:pPr>
    </w:p>
    <w:p w14:paraId="6492A546" w14:textId="77777777" w:rsidR="00477521" w:rsidRDefault="00477521" w:rsidP="00477521">
      <w:pPr>
        <w:pStyle w:val="Heading6"/>
        <w:rPr>
          <w:lang w:val="en"/>
        </w:rPr>
      </w:pPr>
      <w:r>
        <w:rPr>
          <w:lang w:val="en"/>
        </w:rPr>
        <w:lastRenderedPageBreak/>
        <w:t>Concentrated industries</w:t>
      </w:r>
    </w:p>
    <w:p w14:paraId="68DB57ED" w14:textId="77777777" w:rsidR="00477521" w:rsidRDefault="00477521" w:rsidP="00477521">
      <w:pPr>
        <w:spacing w:before="60" w:line="270" w:lineRule="exact"/>
        <w:ind w:left="0"/>
      </w:pPr>
      <w:r>
        <w:t>Industries with the highest level of concentration, according to their HHI, are listed in Table A1 for comparison to those with the highest market power. For confidentiality protection, industries with fewer than 10 firms are dropped.</w:t>
      </w:r>
    </w:p>
    <w:p w14:paraId="41C915B6" w14:textId="77777777" w:rsidR="00477521" w:rsidRDefault="00477521" w:rsidP="00477521">
      <w:pPr>
        <w:pStyle w:val="BodyText"/>
        <w:rPr>
          <w:lang w:val="en"/>
        </w:rPr>
      </w:pPr>
    </w:p>
    <w:p w14:paraId="5A52AF32" w14:textId="77777777" w:rsidR="00477521" w:rsidRPr="000618FB" w:rsidRDefault="00477521" w:rsidP="00EF7ECF">
      <w:pPr>
        <w:pStyle w:val="Caption"/>
      </w:pPr>
      <w:r w:rsidRPr="000618FB">
        <w:t xml:space="preserve">Table </w:t>
      </w:r>
      <w:r>
        <w:rPr>
          <w:noProof/>
        </w:rPr>
        <w:fldChar w:fldCharType="begin"/>
      </w:r>
      <w:r>
        <w:rPr>
          <w:noProof/>
        </w:rPr>
        <w:instrText xml:space="preserve"> STYLEREF 6 \s </w:instrText>
      </w:r>
      <w:r>
        <w:rPr>
          <w:noProof/>
        </w:rPr>
        <w:fldChar w:fldCharType="separate"/>
      </w:r>
      <w:r w:rsidR="009A27E4">
        <w:rPr>
          <w:noProof/>
        </w:rPr>
        <w:t>A</w:t>
      </w:r>
      <w:r>
        <w:rPr>
          <w:noProof/>
        </w:rPr>
        <w:fldChar w:fldCharType="end"/>
      </w:r>
      <w:r>
        <w:rPr>
          <w:noProof/>
        </w:rPr>
        <w:fldChar w:fldCharType="begin"/>
      </w:r>
      <w:r>
        <w:rPr>
          <w:noProof/>
        </w:rPr>
        <w:instrText xml:space="preserve"> SEQ Table \* ARABIC \s 6 </w:instrText>
      </w:r>
      <w:r>
        <w:rPr>
          <w:noProof/>
        </w:rPr>
        <w:fldChar w:fldCharType="separate"/>
      </w:r>
      <w:r w:rsidR="009A27E4">
        <w:rPr>
          <w:noProof/>
        </w:rPr>
        <w:t>1</w:t>
      </w:r>
      <w:r>
        <w:rPr>
          <w:noProof/>
        </w:rPr>
        <w:fldChar w:fldCharType="end"/>
      </w:r>
      <w:r>
        <w:t>: The most concentrated industries.</w:t>
      </w:r>
    </w:p>
    <w:tbl>
      <w:tblPr>
        <w:tblStyle w:val="OCETable"/>
        <w:tblW w:w="5000" w:type="pct"/>
        <w:tblLook w:val="04A0" w:firstRow="1" w:lastRow="0" w:firstColumn="1" w:lastColumn="0" w:noHBand="0" w:noVBand="1"/>
        <w:tblCaption w:val="Table A1"/>
        <w:tblDescription w:val="The most concentrated industry is electricity transmission followed by educatuional support services, iron and steel forging and then printing anmd support services and finally telecommunication services. "/>
      </w:tblPr>
      <w:tblGrid>
        <w:gridCol w:w="1134"/>
        <w:gridCol w:w="917"/>
        <w:gridCol w:w="2931"/>
        <w:gridCol w:w="956"/>
        <w:gridCol w:w="956"/>
      </w:tblGrid>
      <w:tr w:rsidR="00477521" w14:paraId="473483DD"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822" w:type="pct"/>
            <w:vAlign w:val="center"/>
          </w:tcPr>
          <w:p w14:paraId="31180754" w14:textId="77777777" w:rsidR="00477521" w:rsidRDefault="00477521" w:rsidP="0032565E">
            <w:pPr>
              <w:pStyle w:val="Tableheadertext"/>
              <w:jc w:val="center"/>
            </w:pPr>
            <w:r>
              <w:t>ANZSIC</w:t>
            </w:r>
          </w:p>
        </w:tc>
        <w:tc>
          <w:tcPr>
            <w:tcW w:w="665" w:type="pct"/>
            <w:vAlign w:val="center"/>
          </w:tcPr>
          <w:p w14:paraId="01DDE627" w14:textId="77777777" w:rsidR="00477521" w:rsidRDefault="00477521" w:rsidP="0032565E">
            <w:pPr>
              <w:pStyle w:val="Tableheadertext"/>
              <w:jc w:val="center"/>
            </w:pPr>
            <w:r>
              <w:t>Division</w:t>
            </w:r>
          </w:p>
        </w:tc>
        <w:tc>
          <w:tcPr>
            <w:tcW w:w="2126" w:type="pct"/>
            <w:vAlign w:val="center"/>
          </w:tcPr>
          <w:p w14:paraId="38D32855" w14:textId="77777777" w:rsidR="00477521" w:rsidRDefault="00477521" w:rsidP="0032565E">
            <w:pPr>
              <w:pStyle w:val="Tableheadertext"/>
            </w:pPr>
            <w:r>
              <w:t>Description</w:t>
            </w:r>
          </w:p>
        </w:tc>
        <w:tc>
          <w:tcPr>
            <w:tcW w:w="693" w:type="pct"/>
            <w:vAlign w:val="center"/>
          </w:tcPr>
          <w:p w14:paraId="17BF0745" w14:textId="77777777" w:rsidR="00477521" w:rsidRDefault="00477521" w:rsidP="0032565E">
            <w:pPr>
              <w:pStyle w:val="Tableheadertext"/>
              <w:jc w:val="right"/>
            </w:pPr>
            <w:r>
              <w:t>Average HHI</w:t>
            </w:r>
          </w:p>
        </w:tc>
        <w:tc>
          <w:tcPr>
            <w:tcW w:w="693" w:type="pct"/>
            <w:vAlign w:val="center"/>
          </w:tcPr>
          <w:p w14:paraId="1686AA00" w14:textId="77777777" w:rsidR="00477521" w:rsidRDefault="00477521" w:rsidP="0032565E">
            <w:pPr>
              <w:pStyle w:val="Tableheadertext"/>
              <w:jc w:val="right"/>
            </w:pPr>
            <w:r>
              <w:t xml:space="preserve">Average </w:t>
            </w:r>
            <w:r>
              <w:rPr>
                <w:i/>
                <w:iCs/>
              </w:rPr>
              <w:t>N</w:t>
            </w:r>
          </w:p>
        </w:tc>
      </w:tr>
      <w:tr w:rsidR="00477521" w14:paraId="4F57BED1" w14:textId="77777777" w:rsidTr="0032565E">
        <w:trPr>
          <w:cnfStyle w:val="000000100000" w:firstRow="0" w:lastRow="0" w:firstColumn="0" w:lastColumn="0" w:oddVBand="0" w:evenVBand="0" w:oddHBand="1" w:evenHBand="0" w:firstRowFirstColumn="0" w:firstRowLastColumn="0" w:lastRowFirstColumn="0" w:lastRowLastColumn="0"/>
        </w:trPr>
        <w:tc>
          <w:tcPr>
            <w:tcW w:w="822" w:type="pct"/>
            <w:vAlign w:val="center"/>
          </w:tcPr>
          <w:p w14:paraId="44B38229" w14:textId="77777777" w:rsidR="00477521" w:rsidRDefault="00477521" w:rsidP="0032565E">
            <w:pPr>
              <w:pStyle w:val="Tablebodytext"/>
              <w:jc w:val="center"/>
            </w:pPr>
            <w:r>
              <w:t>580</w:t>
            </w:r>
          </w:p>
        </w:tc>
        <w:tc>
          <w:tcPr>
            <w:tcW w:w="665" w:type="pct"/>
            <w:vAlign w:val="center"/>
          </w:tcPr>
          <w:p w14:paraId="359546AC" w14:textId="77777777" w:rsidR="00477521" w:rsidRDefault="00477521" w:rsidP="0032565E">
            <w:pPr>
              <w:pStyle w:val="Tablebodytext"/>
              <w:jc w:val="center"/>
            </w:pPr>
            <w:r>
              <w:t>J</w:t>
            </w:r>
          </w:p>
        </w:tc>
        <w:tc>
          <w:tcPr>
            <w:tcW w:w="2126" w:type="pct"/>
          </w:tcPr>
          <w:p w14:paraId="3AC4FDEA" w14:textId="77777777" w:rsidR="00477521" w:rsidRDefault="00477521" w:rsidP="00477521">
            <w:pPr>
              <w:pStyle w:val="Tablebodytext"/>
            </w:pPr>
            <w:r>
              <w:t>Telecommunication Services</w:t>
            </w:r>
          </w:p>
        </w:tc>
        <w:tc>
          <w:tcPr>
            <w:tcW w:w="693" w:type="pct"/>
            <w:vAlign w:val="center"/>
          </w:tcPr>
          <w:p w14:paraId="324DD426" w14:textId="77777777" w:rsidR="00477521" w:rsidRDefault="00477521" w:rsidP="0032565E">
            <w:pPr>
              <w:pStyle w:val="Tablebodytext"/>
              <w:jc w:val="right"/>
            </w:pPr>
            <w:r>
              <w:t>0.389</w:t>
            </w:r>
          </w:p>
        </w:tc>
        <w:tc>
          <w:tcPr>
            <w:tcW w:w="693" w:type="pct"/>
            <w:vAlign w:val="center"/>
          </w:tcPr>
          <w:p w14:paraId="6ED07CFC" w14:textId="77777777" w:rsidR="00477521" w:rsidRDefault="00477521" w:rsidP="0032565E">
            <w:pPr>
              <w:pStyle w:val="Tablebodytext"/>
              <w:jc w:val="right"/>
            </w:pPr>
            <w:r>
              <w:t>1,252</w:t>
            </w:r>
          </w:p>
        </w:tc>
      </w:tr>
      <w:tr w:rsidR="00477521" w14:paraId="5306F1FE" w14:textId="77777777" w:rsidTr="0032565E">
        <w:trPr>
          <w:cnfStyle w:val="000000010000" w:firstRow="0" w:lastRow="0" w:firstColumn="0" w:lastColumn="0" w:oddVBand="0" w:evenVBand="0" w:oddHBand="0" w:evenHBand="1" w:firstRowFirstColumn="0" w:firstRowLastColumn="0" w:lastRowFirstColumn="0" w:lastRowLastColumn="0"/>
        </w:trPr>
        <w:tc>
          <w:tcPr>
            <w:tcW w:w="822" w:type="pct"/>
            <w:vAlign w:val="center"/>
          </w:tcPr>
          <w:p w14:paraId="744027B9" w14:textId="77777777" w:rsidR="00477521" w:rsidRDefault="00477521" w:rsidP="0032565E">
            <w:pPr>
              <w:pStyle w:val="Tablebodytext"/>
              <w:jc w:val="center"/>
            </w:pPr>
            <w:r>
              <w:t>161</w:t>
            </w:r>
          </w:p>
        </w:tc>
        <w:tc>
          <w:tcPr>
            <w:tcW w:w="665" w:type="pct"/>
            <w:vAlign w:val="center"/>
          </w:tcPr>
          <w:p w14:paraId="5C40CF34" w14:textId="77777777" w:rsidR="00477521" w:rsidRDefault="00477521" w:rsidP="0032565E">
            <w:pPr>
              <w:pStyle w:val="Tablebodytext"/>
              <w:jc w:val="center"/>
            </w:pPr>
            <w:r>
              <w:t>C</w:t>
            </w:r>
          </w:p>
        </w:tc>
        <w:tc>
          <w:tcPr>
            <w:tcW w:w="2126" w:type="pct"/>
          </w:tcPr>
          <w:p w14:paraId="3D59E66B" w14:textId="77777777" w:rsidR="00477521" w:rsidRDefault="00477521" w:rsidP="00477521">
            <w:pPr>
              <w:pStyle w:val="Tablebodytext"/>
            </w:pPr>
            <w:r>
              <w:t>Printing and Support Services</w:t>
            </w:r>
          </w:p>
        </w:tc>
        <w:tc>
          <w:tcPr>
            <w:tcW w:w="693" w:type="pct"/>
            <w:vAlign w:val="center"/>
          </w:tcPr>
          <w:p w14:paraId="3CE95942" w14:textId="77777777" w:rsidR="00477521" w:rsidRDefault="00477521" w:rsidP="0032565E">
            <w:pPr>
              <w:pStyle w:val="Tablebodytext"/>
              <w:jc w:val="right"/>
            </w:pPr>
            <w:r>
              <w:t>0.421</w:t>
            </w:r>
          </w:p>
        </w:tc>
        <w:tc>
          <w:tcPr>
            <w:tcW w:w="693" w:type="pct"/>
            <w:vAlign w:val="center"/>
          </w:tcPr>
          <w:p w14:paraId="5F121044" w14:textId="77777777" w:rsidR="00477521" w:rsidRDefault="00477521" w:rsidP="0032565E">
            <w:pPr>
              <w:pStyle w:val="Tablebodytext"/>
              <w:jc w:val="right"/>
            </w:pPr>
            <w:r>
              <w:t>7,042</w:t>
            </w:r>
          </w:p>
        </w:tc>
      </w:tr>
      <w:tr w:rsidR="00477521" w14:paraId="23A5402B" w14:textId="77777777" w:rsidTr="0032565E">
        <w:trPr>
          <w:cnfStyle w:val="000000100000" w:firstRow="0" w:lastRow="0" w:firstColumn="0" w:lastColumn="0" w:oddVBand="0" w:evenVBand="0" w:oddHBand="1" w:evenHBand="0" w:firstRowFirstColumn="0" w:firstRowLastColumn="0" w:lastRowFirstColumn="0" w:lastRowLastColumn="0"/>
        </w:trPr>
        <w:tc>
          <w:tcPr>
            <w:tcW w:w="822" w:type="pct"/>
            <w:vAlign w:val="center"/>
          </w:tcPr>
          <w:p w14:paraId="4C7E8FB0" w14:textId="77777777" w:rsidR="00477521" w:rsidRDefault="00477521" w:rsidP="0032565E">
            <w:pPr>
              <w:pStyle w:val="Tablebodytext"/>
              <w:jc w:val="center"/>
            </w:pPr>
            <w:r>
              <w:t>221</w:t>
            </w:r>
          </w:p>
        </w:tc>
        <w:tc>
          <w:tcPr>
            <w:tcW w:w="665" w:type="pct"/>
            <w:vAlign w:val="center"/>
          </w:tcPr>
          <w:p w14:paraId="2E5B3ACA" w14:textId="77777777" w:rsidR="00477521" w:rsidRDefault="00477521" w:rsidP="0032565E">
            <w:pPr>
              <w:pStyle w:val="Tablebodytext"/>
              <w:jc w:val="center"/>
            </w:pPr>
            <w:r>
              <w:t>C</w:t>
            </w:r>
          </w:p>
        </w:tc>
        <w:tc>
          <w:tcPr>
            <w:tcW w:w="2126" w:type="pct"/>
          </w:tcPr>
          <w:p w14:paraId="7CEB27C7" w14:textId="77777777" w:rsidR="00477521" w:rsidRDefault="00477521" w:rsidP="00477521">
            <w:pPr>
              <w:pStyle w:val="Tablebodytext"/>
            </w:pPr>
            <w:r>
              <w:t>Iron and Steel Forging</w:t>
            </w:r>
          </w:p>
        </w:tc>
        <w:tc>
          <w:tcPr>
            <w:tcW w:w="693" w:type="pct"/>
            <w:vAlign w:val="center"/>
          </w:tcPr>
          <w:p w14:paraId="6461F9AC" w14:textId="77777777" w:rsidR="00477521" w:rsidRDefault="00477521" w:rsidP="0032565E">
            <w:pPr>
              <w:pStyle w:val="Tablebodytext"/>
              <w:jc w:val="right"/>
            </w:pPr>
            <w:r>
              <w:t>0.435</w:t>
            </w:r>
          </w:p>
        </w:tc>
        <w:tc>
          <w:tcPr>
            <w:tcW w:w="693" w:type="pct"/>
            <w:vAlign w:val="center"/>
          </w:tcPr>
          <w:p w14:paraId="1DB42968" w14:textId="77777777" w:rsidR="00477521" w:rsidRDefault="00477521" w:rsidP="0032565E">
            <w:pPr>
              <w:pStyle w:val="Tablebodytext"/>
              <w:jc w:val="right"/>
            </w:pPr>
            <w:r>
              <w:t>114</w:t>
            </w:r>
          </w:p>
        </w:tc>
      </w:tr>
      <w:tr w:rsidR="00477521" w14:paraId="653391AE" w14:textId="77777777" w:rsidTr="0032565E">
        <w:trPr>
          <w:cnfStyle w:val="000000010000" w:firstRow="0" w:lastRow="0" w:firstColumn="0" w:lastColumn="0" w:oddVBand="0" w:evenVBand="0" w:oddHBand="0" w:evenHBand="1" w:firstRowFirstColumn="0" w:firstRowLastColumn="0" w:lastRowFirstColumn="0" w:lastRowLastColumn="0"/>
        </w:trPr>
        <w:tc>
          <w:tcPr>
            <w:tcW w:w="822" w:type="pct"/>
            <w:vAlign w:val="center"/>
          </w:tcPr>
          <w:p w14:paraId="159B6CBE" w14:textId="77777777" w:rsidR="00477521" w:rsidRDefault="00477521" w:rsidP="0032565E">
            <w:pPr>
              <w:pStyle w:val="Tablebodytext"/>
              <w:jc w:val="center"/>
            </w:pPr>
            <w:r>
              <w:t>822</w:t>
            </w:r>
          </w:p>
        </w:tc>
        <w:tc>
          <w:tcPr>
            <w:tcW w:w="665" w:type="pct"/>
            <w:vAlign w:val="center"/>
          </w:tcPr>
          <w:p w14:paraId="06A77491" w14:textId="77777777" w:rsidR="00477521" w:rsidRDefault="00477521" w:rsidP="0032565E">
            <w:pPr>
              <w:pStyle w:val="Tablebodytext"/>
              <w:jc w:val="center"/>
            </w:pPr>
            <w:r>
              <w:t>P</w:t>
            </w:r>
          </w:p>
        </w:tc>
        <w:tc>
          <w:tcPr>
            <w:tcW w:w="2126" w:type="pct"/>
          </w:tcPr>
          <w:p w14:paraId="612F9359" w14:textId="77777777" w:rsidR="00477521" w:rsidRDefault="00477521" w:rsidP="00477521">
            <w:pPr>
              <w:pStyle w:val="Tablebodytext"/>
            </w:pPr>
            <w:r>
              <w:t>Educational Support Services</w:t>
            </w:r>
          </w:p>
        </w:tc>
        <w:tc>
          <w:tcPr>
            <w:tcW w:w="693" w:type="pct"/>
            <w:vAlign w:val="center"/>
          </w:tcPr>
          <w:p w14:paraId="7934B1C4" w14:textId="77777777" w:rsidR="00477521" w:rsidRDefault="00477521" w:rsidP="0032565E">
            <w:pPr>
              <w:pStyle w:val="Tablebodytext"/>
              <w:jc w:val="right"/>
            </w:pPr>
            <w:r>
              <w:t>0.491</w:t>
            </w:r>
          </w:p>
        </w:tc>
        <w:tc>
          <w:tcPr>
            <w:tcW w:w="693" w:type="pct"/>
            <w:vAlign w:val="center"/>
          </w:tcPr>
          <w:p w14:paraId="7594B6BE" w14:textId="77777777" w:rsidR="00477521" w:rsidRDefault="00477521" w:rsidP="0032565E">
            <w:pPr>
              <w:pStyle w:val="Tablebodytext"/>
              <w:jc w:val="right"/>
            </w:pPr>
            <w:r>
              <w:t>930</w:t>
            </w:r>
          </w:p>
        </w:tc>
      </w:tr>
      <w:tr w:rsidR="00477521" w14:paraId="648DEE25" w14:textId="77777777" w:rsidTr="0032565E">
        <w:trPr>
          <w:cnfStyle w:val="000000100000" w:firstRow="0" w:lastRow="0" w:firstColumn="0" w:lastColumn="0" w:oddVBand="0" w:evenVBand="0" w:oddHBand="1" w:evenHBand="0" w:firstRowFirstColumn="0" w:firstRowLastColumn="0" w:lastRowFirstColumn="0" w:lastRowLastColumn="0"/>
        </w:trPr>
        <w:tc>
          <w:tcPr>
            <w:tcW w:w="822" w:type="pct"/>
            <w:vAlign w:val="center"/>
          </w:tcPr>
          <w:p w14:paraId="0668A764" w14:textId="77777777" w:rsidR="00477521" w:rsidRDefault="00477521" w:rsidP="0032565E">
            <w:pPr>
              <w:pStyle w:val="Tablebodytext"/>
              <w:jc w:val="center"/>
            </w:pPr>
            <w:r>
              <w:t>262</w:t>
            </w:r>
          </w:p>
        </w:tc>
        <w:tc>
          <w:tcPr>
            <w:tcW w:w="665" w:type="pct"/>
            <w:vAlign w:val="center"/>
          </w:tcPr>
          <w:p w14:paraId="77EA5F5F" w14:textId="77777777" w:rsidR="00477521" w:rsidRDefault="00477521" w:rsidP="0032565E">
            <w:pPr>
              <w:pStyle w:val="Tablebodytext"/>
              <w:jc w:val="center"/>
            </w:pPr>
            <w:r>
              <w:t>D</w:t>
            </w:r>
          </w:p>
        </w:tc>
        <w:tc>
          <w:tcPr>
            <w:tcW w:w="2126" w:type="pct"/>
          </w:tcPr>
          <w:p w14:paraId="7559BA9E" w14:textId="77777777" w:rsidR="00477521" w:rsidRDefault="00477521" w:rsidP="00477521">
            <w:pPr>
              <w:pStyle w:val="Tablebodytext"/>
            </w:pPr>
            <w:r>
              <w:t>Electricity Transmission</w:t>
            </w:r>
          </w:p>
        </w:tc>
        <w:tc>
          <w:tcPr>
            <w:tcW w:w="693" w:type="pct"/>
            <w:vAlign w:val="center"/>
          </w:tcPr>
          <w:p w14:paraId="0E592A06" w14:textId="77777777" w:rsidR="00477521" w:rsidRDefault="00477521" w:rsidP="0032565E">
            <w:pPr>
              <w:pStyle w:val="Tablebodytext"/>
              <w:jc w:val="right"/>
            </w:pPr>
            <w:r>
              <w:t>0.568</w:t>
            </w:r>
          </w:p>
        </w:tc>
        <w:tc>
          <w:tcPr>
            <w:tcW w:w="693" w:type="pct"/>
            <w:vAlign w:val="center"/>
          </w:tcPr>
          <w:p w14:paraId="0DADEDF1" w14:textId="77777777" w:rsidR="00477521" w:rsidRDefault="00477521" w:rsidP="0032565E">
            <w:pPr>
              <w:pStyle w:val="Tablebodytext"/>
              <w:jc w:val="right"/>
            </w:pPr>
            <w:r>
              <w:t>31</w:t>
            </w:r>
          </w:p>
        </w:tc>
      </w:tr>
    </w:tbl>
    <w:p w14:paraId="33F5F91A" w14:textId="77777777" w:rsidR="00477521" w:rsidRPr="00C62F3A" w:rsidRDefault="00477521" w:rsidP="00EF7ECF">
      <w:pPr>
        <w:pStyle w:val="Note"/>
      </w:pPr>
      <w:r>
        <w:t>Notes: Industries with fewer than 10 firms are excluded for confidentiality protection.</w:t>
      </w:r>
    </w:p>
    <w:p w14:paraId="7E62375A" w14:textId="77777777" w:rsidR="00477521" w:rsidRDefault="00477521" w:rsidP="00EF7ECF">
      <w:pPr>
        <w:pStyle w:val="Source"/>
      </w:pPr>
      <w:r>
        <w:t>Source: Department of Industry, Innovation and Science (2019)</w:t>
      </w:r>
    </w:p>
    <w:p w14:paraId="18F280E4" w14:textId="77777777" w:rsidR="00C00589" w:rsidRDefault="00C00589" w:rsidP="00C00589">
      <w:pPr>
        <w:pStyle w:val="BodyText"/>
        <w:rPr>
          <w:lang w:val="en"/>
        </w:rPr>
      </w:pPr>
    </w:p>
    <w:p w14:paraId="2A4774C9" w14:textId="0AC1AE58" w:rsidR="00C00589" w:rsidRDefault="00C00589" w:rsidP="00C00589">
      <w:pPr>
        <w:spacing w:before="240" w:line="270" w:lineRule="exact"/>
        <w:ind w:left="0"/>
      </w:pPr>
      <w:r>
        <w:t>I am also replicating the parametric estimates in Section </w:t>
      </w:r>
      <w:r w:rsidR="00EB1A05">
        <w:t>4</w:t>
      </w:r>
      <w:r>
        <w:t xml:space="preserve"> using the HHI instead of Market Power with the intention of showing how relying on the HHI leads to weaker and sometimes inconsistent results. The main parametric specification has a very similar composition and has the form: </w:t>
      </w:r>
    </w:p>
    <w:p w14:paraId="12580137" w14:textId="77777777" w:rsidR="00C00589" w:rsidRDefault="00C00589" w:rsidP="00C00589">
      <w:pPr>
        <w:pStyle w:val="BodyText"/>
        <w:jc w:val="center"/>
      </w:pPr>
      <w:r>
        <w:fldChar w:fldCharType="begin"/>
      </w:r>
      <w:r>
        <w:instrText xml:space="preserve"> EQ </w:instrText>
      </w:r>
      <w:r>
        <w:rPr>
          <w:i/>
          <w:iCs/>
        </w:rPr>
        <w:instrText>E</w:instrText>
      </w:r>
      <w:r>
        <w:instrText>[</w:instrText>
      </w:r>
      <w:r>
        <w:rPr>
          <w:i/>
          <w:iCs/>
        </w:rPr>
        <w:instrText>E</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)]=exp(</w:instrText>
      </w:r>
      <w:r>
        <w:rPr>
          <w:i/>
          <w:iCs/>
        </w:rPr>
        <w:instrText>a</w:instrText>
      </w:r>
      <w:r>
        <w:instrText>\s\do5(</w:instrText>
      </w:r>
      <w:r>
        <w:rPr>
          <w:sz w:val="16"/>
          <w:szCs w:val="16"/>
        </w:rPr>
        <w:instrText>0</w:instrText>
      </w:r>
      <w:r>
        <w:instrText>)+</w:instrText>
      </w:r>
      <w:r>
        <w:rPr>
          <w:i/>
          <w:iCs/>
        </w:rPr>
        <w:instrText>a</w:instrText>
      </w:r>
      <w:r>
        <w:instrText>\s\do5(</w:instrText>
      </w:r>
      <w:r>
        <w:rPr>
          <w:sz w:val="16"/>
          <w:szCs w:val="16"/>
        </w:rPr>
        <w:instrText>1</w:instrText>
      </w:r>
      <w:r>
        <w:instrText>)</w:instrText>
      </w:r>
      <w:r>
        <w:rPr>
          <w:i/>
          <w:iCs/>
        </w:rPr>
        <w:instrText>HHI</w:instrText>
      </w:r>
      <w:r>
        <w:instrText>\s\do5(</w:instrText>
      </w:r>
      <w:r>
        <w:rPr>
          <w:i/>
          <w:iCs/>
          <w:sz w:val="16"/>
          <w:szCs w:val="16"/>
        </w:rPr>
        <w:instrText>it</w:instrText>
      </w:r>
      <w:r>
        <w:instrText>)+</w:instrText>
      </w:r>
      <w:r>
        <w:rPr>
          <w:i/>
          <w:iCs/>
        </w:rPr>
        <w:instrText>a</w:instrText>
      </w:r>
      <w:r>
        <w:instrText>\s\do5(</w:instrText>
      </w:r>
      <w:r>
        <w:rPr>
          <w:sz w:val="16"/>
          <w:szCs w:val="16"/>
        </w:rPr>
        <w:instrText>2</w:instrText>
      </w:r>
      <w:r>
        <w:instrText>)log(</w:instrText>
      </w:r>
      <w:r>
        <w:rPr>
          <w:i/>
          <w:iCs/>
        </w:rPr>
        <w:instrText>N</w:instrText>
      </w:r>
      <w:r>
        <w:instrText>\s\do5(</w:instrText>
      </w:r>
      <w:r>
        <w:rPr>
          <w:i/>
          <w:iCs/>
          <w:sz w:val="16"/>
          <w:szCs w:val="16"/>
        </w:rPr>
        <w:instrText>it</w:instrText>
      </w:r>
      <w:r>
        <w:instrText>))+τ\s\do5(</w:instrText>
      </w:r>
      <w:r>
        <w:rPr>
          <w:i/>
          <w:iCs/>
          <w:sz w:val="16"/>
          <w:szCs w:val="16"/>
        </w:rPr>
        <w:instrText>t</w:instrText>
      </w:r>
      <w:r>
        <w:instrText>)).</w:instrText>
      </w:r>
      <w:r>
        <w:fldChar w:fldCharType="end"/>
      </w:r>
      <w:r>
        <w:tab/>
        <w:t>(</w:t>
      </w:r>
      <w:bookmarkStart w:id="5" w:name="BMeq_Hentry"/>
      <w:r>
        <w:t>8</w:t>
      </w:r>
      <w:bookmarkEnd w:id="5"/>
      <w:r>
        <w:t>)</w:t>
      </w:r>
    </w:p>
    <w:p w14:paraId="55334550" w14:textId="77777777" w:rsidR="00C00589" w:rsidRDefault="00C00589" w:rsidP="00C00589">
      <w:pPr>
        <w:spacing w:line="270" w:lineRule="exact"/>
        <w:ind w:left="0"/>
      </w:pPr>
      <w:r>
        <w:t xml:space="preserve">In the specification above, the key covariates are the HHI and the log of firm population. The economy-wide effects are, again, absorbed by the set of year dummies, </w:t>
      </w:r>
      <w:r>
        <w:fldChar w:fldCharType="begin"/>
      </w:r>
      <w:r>
        <w:instrText xml:space="preserve"> EQ τ\s\do5(</w:instrText>
      </w:r>
      <w:r>
        <w:rPr>
          <w:i/>
          <w:iCs/>
          <w:sz w:val="16"/>
          <w:szCs w:val="16"/>
        </w:rPr>
        <w:instrText>t</w:instrText>
      </w:r>
      <w:r>
        <w:instrText>)</w:instrText>
      </w:r>
      <w:r>
        <w:fldChar w:fldCharType="end"/>
      </w:r>
      <w:r>
        <w:t>.</w:t>
      </w:r>
    </w:p>
    <w:p w14:paraId="2AF6FFF5" w14:textId="77777777" w:rsidR="00C00589" w:rsidRDefault="00C00589" w:rsidP="00C00589">
      <w:pPr>
        <w:spacing w:line="270" w:lineRule="exact"/>
        <w:ind w:left="0"/>
      </w:pPr>
      <w:r>
        <w:t>The estimated coefficients in (</w:t>
      </w:r>
      <w:r w:rsidR="009A27E4">
        <w:fldChar w:fldCharType="begin"/>
      </w:r>
      <w:r w:rsidR="009A27E4">
        <w:instrText xml:space="preserve">REF BMeq_Hentry \* MERGEFORMAT </w:instrText>
      </w:r>
      <w:r w:rsidR="009A27E4">
        <w:fldChar w:fldCharType="separate"/>
      </w:r>
      <w:r w:rsidR="009A27E4">
        <w:t>8</w:t>
      </w:r>
      <w:r w:rsidR="009A27E4">
        <w:fldChar w:fldCharType="end"/>
      </w:r>
      <w:r w:rsidR="00754701">
        <w:t>) are listed in Table A2</w:t>
      </w:r>
      <w:r>
        <w:t>. In column (1) of the table, I am looking at the generic relationship between firm entry and the HHI and, as expected, find a negative and statistically significant relationship.</w:t>
      </w:r>
    </w:p>
    <w:p w14:paraId="60C61113" w14:textId="77777777" w:rsidR="00C00589" w:rsidRDefault="00C00589" w:rsidP="00C00589">
      <w:pPr>
        <w:pStyle w:val="BodyText"/>
        <w:jc w:val="left"/>
        <w:rPr>
          <w:lang w:val="en"/>
        </w:rPr>
      </w:pPr>
    </w:p>
    <w:p w14:paraId="2989F326" w14:textId="77777777" w:rsidR="007E3E2C" w:rsidRDefault="007E3E2C" w:rsidP="00C00589">
      <w:pPr>
        <w:pStyle w:val="BodyText"/>
        <w:jc w:val="left"/>
        <w:rPr>
          <w:lang w:val="en"/>
        </w:rPr>
      </w:pPr>
    </w:p>
    <w:p w14:paraId="2C41CC34" w14:textId="77777777" w:rsidR="007E3E2C" w:rsidRDefault="007E3E2C" w:rsidP="00C00589">
      <w:pPr>
        <w:pStyle w:val="BodyText"/>
        <w:jc w:val="left"/>
        <w:rPr>
          <w:lang w:val="en"/>
        </w:rPr>
      </w:pPr>
    </w:p>
    <w:p w14:paraId="7343A0BC" w14:textId="77777777" w:rsidR="007E3E2C" w:rsidRDefault="007E3E2C" w:rsidP="00C00589">
      <w:pPr>
        <w:pStyle w:val="BodyText"/>
        <w:jc w:val="left"/>
        <w:rPr>
          <w:lang w:val="en"/>
        </w:rPr>
      </w:pPr>
    </w:p>
    <w:p w14:paraId="047A2ED5" w14:textId="77777777" w:rsidR="007E3E2C" w:rsidRDefault="007E3E2C" w:rsidP="00C00589">
      <w:pPr>
        <w:pStyle w:val="BodyText"/>
        <w:jc w:val="left"/>
        <w:rPr>
          <w:lang w:val="en"/>
        </w:rPr>
      </w:pPr>
    </w:p>
    <w:p w14:paraId="5E634F75" w14:textId="77777777" w:rsidR="007E3E2C" w:rsidRDefault="007E3E2C" w:rsidP="00C00589">
      <w:pPr>
        <w:pStyle w:val="BodyText"/>
        <w:jc w:val="left"/>
        <w:rPr>
          <w:lang w:val="en"/>
        </w:rPr>
      </w:pPr>
    </w:p>
    <w:p w14:paraId="22EC308B" w14:textId="77777777" w:rsidR="007E3E2C" w:rsidRDefault="007E3E2C" w:rsidP="00C00589">
      <w:pPr>
        <w:pStyle w:val="BodyText"/>
        <w:jc w:val="left"/>
        <w:rPr>
          <w:lang w:val="en"/>
        </w:rPr>
      </w:pPr>
    </w:p>
    <w:p w14:paraId="5A0F13B2" w14:textId="77777777" w:rsidR="007E3E2C" w:rsidRDefault="007E3E2C" w:rsidP="00C00589">
      <w:pPr>
        <w:pStyle w:val="BodyText"/>
        <w:jc w:val="left"/>
        <w:rPr>
          <w:lang w:val="en"/>
        </w:rPr>
      </w:pPr>
    </w:p>
    <w:p w14:paraId="0F736D48" w14:textId="77777777" w:rsidR="007E3E2C" w:rsidRPr="000618FB" w:rsidRDefault="007E3E2C" w:rsidP="00EF7ECF">
      <w:pPr>
        <w:pStyle w:val="Caption"/>
      </w:pPr>
      <w:r w:rsidRPr="000618FB">
        <w:lastRenderedPageBreak/>
        <w:t xml:space="preserve">Table </w:t>
      </w:r>
      <w:r>
        <w:rPr>
          <w:noProof/>
        </w:rPr>
        <w:fldChar w:fldCharType="begin"/>
      </w:r>
      <w:r>
        <w:rPr>
          <w:noProof/>
        </w:rPr>
        <w:instrText xml:space="preserve"> STYLEREF 6 \s </w:instrText>
      </w:r>
      <w:r>
        <w:rPr>
          <w:noProof/>
        </w:rPr>
        <w:fldChar w:fldCharType="separate"/>
      </w:r>
      <w:r w:rsidR="009A27E4">
        <w:rPr>
          <w:noProof/>
        </w:rPr>
        <w:t>A</w:t>
      </w:r>
      <w:r>
        <w:rPr>
          <w:noProof/>
        </w:rPr>
        <w:fldChar w:fldCharType="end"/>
      </w:r>
      <w:r>
        <w:rPr>
          <w:noProof/>
        </w:rPr>
        <w:fldChar w:fldCharType="begin"/>
      </w:r>
      <w:r>
        <w:rPr>
          <w:noProof/>
        </w:rPr>
        <w:instrText xml:space="preserve"> SEQ Table \* ARABIC \s 6 </w:instrText>
      </w:r>
      <w:r>
        <w:rPr>
          <w:noProof/>
        </w:rPr>
        <w:fldChar w:fldCharType="separate"/>
      </w:r>
      <w:r w:rsidR="009A27E4">
        <w:rPr>
          <w:noProof/>
        </w:rPr>
        <w:t>2</w:t>
      </w:r>
      <w:r>
        <w:rPr>
          <w:noProof/>
        </w:rPr>
        <w:fldChar w:fldCharType="end"/>
      </w:r>
      <w:r>
        <w:t>: Negative binomial regression models of firm entry as a function of the HHI.</w:t>
      </w:r>
    </w:p>
    <w:tbl>
      <w:tblPr>
        <w:tblStyle w:val="OCETable"/>
        <w:tblW w:w="5000" w:type="pct"/>
        <w:tblLook w:val="04A0" w:firstRow="1" w:lastRow="0" w:firstColumn="1" w:lastColumn="0" w:noHBand="0" w:noVBand="1"/>
        <w:tblCaption w:val="Table A2"/>
        <w:tblDescription w:val="The coefficient for the HHI index is negtaive and significant when there is no other covariate. Adding the log of firm population causes the coefficient for the HHI index to turn positive and significant. In the last column, adding change in HHI does not change the results much and the coefficient for the change is negative but insignificant."/>
      </w:tblPr>
      <w:tblGrid>
        <w:gridCol w:w="2337"/>
        <w:gridCol w:w="1724"/>
        <w:gridCol w:w="1416"/>
        <w:gridCol w:w="1417"/>
      </w:tblGrid>
      <w:tr w:rsidR="007E3E2C" w14:paraId="14693684" w14:textId="77777777" w:rsidTr="00F46423">
        <w:trPr>
          <w:cnfStyle w:val="100000000000" w:firstRow="1" w:lastRow="0" w:firstColumn="0" w:lastColumn="0" w:oddVBand="0" w:evenVBand="0" w:oddHBand="0" w:evenHBand="0" w:firstRowFirstColumn="0" w:firstRowLastColumn="0" w:lastRowFirstColumn="0" w:lastRowLastColumn="0"/>
          <w:tblHeader/>
        </w:trPr>
        <w:tc>
          <w:tcPr>
            <w:tcW w:w="1695" w:type="pct"/>
          </w:tcPr>
          <w:p w14:paraId="5A341FEC" w14:textId="77777777" w:rsidR="007E3E2C" w:rsidRDefault="007E3E2C" w:rsidP="007E3E2C">
            <w:pPr>
              <w:pStyle w:val="Tableheadertext"/>
            </w:pPr>
          </w:p>
        </w:tc>
        <w:tc>
          <w:tcPr>
            <w:tcW w:w="3305" w:type="pct"/>
            <w:gridSpan w:val="3"/>
          </w:tcPr>
          <w:p w14:paraId="1CB9867D" w14:textId="77777777" w:rsidR="007E3E2C" w:rsidRDefault="007E3E2C" w:rsidP="007E3E2C">
            <w:pPr>
              <w:pStyle w:val="Tableheadertext"/>
            </w:pPr>
            <w:r>
              <w:t>Dependent: Number of firm entries</w:t>
            </w:r>
          </w:p>
        </w:tc>
      </w:tr>
      <w:tr w:rsidR="007E3E2C" w14:paraId="71C9C928" w14:textId="77777777" w:rsidTr="007E3E2C">
        <w:trPr>
          <w:cnfStyle w:val="000000100000" w:firstRow="0" w:lastRow="0" w:firstColumn="0" w:lastColumn="0" w:oddVBand="0" w:evenVBand="0" w:oddHBand="1" w:evenHBand="0" w:firstRowFirstColumn="0" w:firstRowLastColumn="0" w:lastRowFirstColumn="0" w:lastRowLastColumn="0"/>
        </w:trPr>
        <w:tc>
          <w:tcPr>
            <w:tcW w:w="1695" w:type="pct"/>
          </w:tcPr>
          <w:p w14:paraId="235D15E9" w14:textId="77777777" w:rsidR="007E3E2C" w:rsidRDefault="007E3E2C" w:rsidP="007E3E2C">
            <w:pPr>
              <w:pStyle w:val="Tablebodytext"/>
            </w:pPr>
            <w:r>
              <w:t>Variable</w:t>
            </w:r>
          </w:p>
        </w:tc>
        <w:tc>
          <w:tcPr>
            <w:tcW w:w="1250" w:type="pct"/>
          </w:tcPr>
          <w:p w14:paraId="451E48B6" w14:textId="77777777" w:rsidR="007E3E2C" w:rsidRDefault="007E3E2C" w:rsidP="007E3E2C">
            <w:pPr>
              <w:pStyle w:val="Tablebodytext"/>
            </w:pPr>
            <w:r>
              <w:t>(1)</w:t>
            </w:r>
          </w:p>
        </w:tc>
        <w:tc>
          <w:tcPr>
            <w:tcW w:w="1027" w:type="pct"/>
          </w:tcPr>
          <w:p w14:paraId="35D84961" w14:textId="77777777" w:rsidR="007E3E2C" w:rsidRDefault="007E3E2C" w:rsidP="007E3E2C">
            <w:pPr>
              <w:pStyle w:val="Tablebodytext"/>
            </w:pPr>
            <w:r>
              <w:t>(2)</w:t>
            </w:r>
          </w:p>
        </w:tc>
        <w:tc>
          <w:tcPr>
            <w:tcW w:w="1028" w:type="pct"/>
          </w:tcPr>
          <w:p w14:paraId="4583F138" w14:textId="77777777" w:rsidR="007E3E2C" w:rsidRDefault="007E3E2C" w:rsidP="007E3E2C">
            <w:pPr>
              <w:pStyle w:val="Tablebodytext"/>
            </w:pPr>
            <w:r>
              <w:t>(3)</w:t>
            </w:r>
          </w:p>
        </w:tc>
      </w:tr>
      <w:tr w:rsidR="007E3E2C" w14:paraId="4FD8D53F" w14:textId="77777777" w:rsidTr="007E3E2C">
        <w:trPr>
          <w:cnfStyle w:val="000000010000" w:firstRow="0" w:lastRow="0" w:firstColumn="0" w:lastColumn="0" w:oddVBand="0" w:evenVBand="0" w:oddHBand="0" w:evenHBand="1" w:firstRowFirstColumn="0" w:firstRowLastColumn="0" w:lastRowFirstColumn="0" w:lastRowLastColumn="0"/>
        </w:trPr>
        <w:tc>
          <w:tcPr>
            <w:tcW w:w="1695" w:type="pct"/>
          </w:tcPr>
          <w:p w14:paraId="6536FF3C" w14:textId="77777777" w:rsidR="007E3E2C" w:rsidRDefault="007E3E2C" w:rsidP="007E3E2C">
            <w:pPr>
              <w:pStyle w:val="Tablebodytext"/>
            </w:pPr>
            <w:r>
              <w:t xml:space="preserve"> HHI</w:t>
            </w:r>
          </w:p>
        </w:tc>
        <w:tc>
          <w:tcPr>
            <w:tcW w:w="1250" w:type="pct"/>
          </w:tcPr>
          <w:p w14:paraId="09EA9CCF" w14:textId="77777777" w:rsidR="007E3E2C" w:rsidRDefault="007E3E2C" w:rsidP="007E3E2C">
            <w:pPr>
              <w:pStyle w:val="Tablebodytext"/>
            </w:pPr>
            <w:r>
              <w:t>−4.533</w:t>
            </w:r>
            <w:r>
              <w:fldChar w:fldCharType="begin"/>
            </w:r>
            <w:r>
              <w:instrText xml:space="preserve"> EQ \s\up5(</w:instrText>
            </w:r>
            <w:r>
              <w:rPr>
                <w:sz w:val="16"/>
                <w:szCs w:val="16"/>
              </w:rPr>
              <w:instrText>***</w:instrText>
            </w:r>
            <w:r>
              <w:instrText>)</w:instrText>
            </w:r>
            <w:r>
              <w:fldChar w:fldCharType="end"/>
            </w:r>
          </w:p>
        </w:tc>
        <w:tc>
          <w:tcPr>
            <w:tcW w:w="1027" w:type="pct"/>
          </w:tcPr>
          <w:p w14:paraId="088E55EB" w14:textId="77777777" w:rsidR="007E3E2C" w:rsidRDefault="007E3E2C" w:rsidP="007E3E2C">
            <w:pPr>
              <w:pStyle w:val="Tablebodytext"/>
            </w:pPr>
            <w:r>
              <w:t>0.455</w:t>
            </w:r>
            <w:r>
              <w:fldChar w:fldCharType="begin"/>
            </w:r>
            <w:r>
              <w:instrText xml:space="preserve"> EQ \s\up5(</w:instrText>
            </w:r>
            <w:r>
              <w:rPr>
                <w:sz w:val="16"/>
                <w:szCs w:val="16"/>
              </w:rPr>
              <w:instrText>***</w:instrText>
            </w:r>
            <w:r>
              <w:instrText>)</w:instrText>
            </w:r>
            <w:r>
              <w:fldChar w:fldCharType="end"/>
            </w:r>
          </w:p>
        </w:tc>
        <w:tc>
          <w:tcPr>
            <w:tcW w:w="1028" w:type="pct"/>
          </w:tcPr>
          <w:p w14:paraId="5782CBFF" w14:textId="77777777" w:rsidR="007E3E2C" w:rsidRDefault="007E3E2C" w:rsidP="007E3E2C">
            <w:pPr>
              <w:pStyle w:val="Tablebodytext"/>
            </w:pPr>
            <w:r>
              <w:t>0.533</w:t>
            </w:r>
            <w:r>
              <w:fldChar w:fldCharType="begin"/>
            </w:r>
            <w:r>
              <w:instrText xml:space="preserve"> EQ \s\up5(</w:instrText>
            </w:r>
            <w:r>
              <w:rPr>
                <w:sz w:val="16"/>
                <w:szCs w:val="16"/>
              </w:rPr>
              <w:instrText>***</w:instrText>
            </w:r>
            <w:r>
              <w:instrText>)</w:instrText>
            </w:r>
            <w:r>
              <w:fldChar w:fldCharType="end"/>
            </w:r>
          </w:p>
        </w:tc>
      </w:tr>
      <w:tr w:rsidR="007E3E2C" w14:paraId="4722A0B1" w14:textId="77777777" w:rsidTr="007E3E2C">
        <w:trPr>
          <w:cnfStyle w:val="000000100000" w:firstRow="0" w:lastRow="0" w:firstColumn="0" w:lastColumn="0" w:oddVBand="0" w:evenVBand="0" w:oddHBand="1" w:evenHBand="0" w:firstRowFirstColumn="0" w:firstRowLastColumn="0" w:lastRowFirstColumn="0" w:lastRowLastColumn="0"/>
        </w:trPr>
        <w:tc>
          <w:tcPr>
            <w:tcW w:w="1695" w:type="pct"/>
          </w:tcPr>
          <w:p w14:paraId="4C79A309" w14:textId="77777777" w:rsidR="007E3E2C" w:rsidRDefault="007E3E2C" w:rsidP="007E3E2C">
            <w:pPr>
              <w:pStyle w:val="Tablebodytext"/>
            </w:pPr>
          </w:p>
        </w:tc>
        <w:tc>
          <w:tcPr>
            <w:tcW w:w="1250" w:type="pct"/>
          </w:tcPr>
          <w:p w14:paraId="71705F3E" w14:textId="77777777" w:rsidR="007E3E2C" w:rsidRDefault="007E3E2C" w:rsidP="007E3E2C">
            <w:pPr>
              <w:pStyle w:val="Tablebodytext"/>
            </w:pPr>
            <w:r>
              <w:t>(0.211)</w:t>
            </w:r>
          </w:p>
        </w:tc>
        <w:tc>
          <w:tcPr>
            <w:tcW w:w="1027" w:type="pct"/>
          </w:tcPr>
          <w:p w14:paraId="7F02B898" w14:textId="77777777" w:rsidR="007E3E2C" w:rsidRDefault="007E3E2C" w:rsidP="007E3E2C">
            <w:pPr>
              <w:pStyle w:val="Tablebodytext"/>
            </w:pPr>
            <w:r>
              <w:t>(0.088)</w:t>
            </w:r>
          </w:p>
        </w:tc>
        <w:tc>
          <w:tcPr>
            <w:tcW w:w="1028" w:type="pct"/>
          </w:tcPr>
          <w:p w14:paraId="26708ECA" w14:textId="77777777" w:rsidR="007E3E2C" w:rsidRDefault="007E3E2C" w:rsidP="007E3E2C">
            <w:pPr>
              <w:pStyle w:val="Tablebodytext"/>
            </w:pPr>
            <w:r>
              <w:t>(0.097)</w:t>
            </w:r>
          </w:p>
        </w:tc>
      </w:tr>
      <w:tr w:rsidR="007E3E2C" w14:paraId="5DDDFA68" w14:textId="77777777" w:rsidTr="007E3E2C">
        <w:trPr>
          <w:cnfStyle w:val="000000010000" w:firstRow="0" w:lastRow="0" w:firstColumn="0" w:lastColumn="0" w:oddVBand="0" w:evenVBand="0" w:oddHBand="0" w:evenHBand="1" w:firstRowFirstColumn="0" w:firstRowLastColumn="0" w:lastRowFirstColumn="0" w:lastRowLastColumn="0"/>
        </w:trPr>
        <w:tc>
          <w:tcPr>
            <w:tcW w:w="1695" w:type="pct"/>
          </w:tcPr>
          <w:p w14:paraId="167B80D1" w14:textId="77777777" w:rsidR="007E3E2C" w:rsidRDefault="007E3E2C" w:rsidP="007E3E2C">
            <w:pPr>
              <w:pStyle w:val="Tablebodytext"/>
            </w:pPr>
            <w:r>
              <w:rPr>
                <w:sz w:val="24"/>
                <w:szCs w:val="24"/>
              </w:rPr>
              <w:t>log</w:t>
            </w:r>
            <w:r>
              <w:t>(</w:t>
            </w:r>
            <w:r>
              <w:rPr>
                <w:i/>
                <w:iCs/>
              </w:rPr>
              <w:t>N</w:t>
            </w:r>
            <w:r>
              <w:t>)</w:t>
            </w:r>
          </w:p>
        </w:tc>
        <w:tc>
          <w:tcPr>
            <w:tcW w:w="1250" w:type="pct"/>
          </w:tcPr>
          <w:p w14:paraId="1B099597" w14:textId="77777777" w:rsidR="007E3E2C" w:rsidRDefault="007E3E2C" w:rsidP="007E3E2C">
            <w:pPr>
              <w:pStyle w:val="Tablebodytext"/>
            </w:pPr>
          </w:p>
        </w:tc>
        <w:tc>
          <w:tcPr>
            <w:tcW w:w="1027" w:type="pct"/>
          </w:tcPr>
          <w:p w14:paraId="59BC7627" w14:textId="77777777" w:rsidR="007E3E2C" w:rsidRDefault="007E3E2C" w:rsidP="007E3E2C">
            <w:pPr>
              <w:pStyle w:val="Tablebodytext"/>
            </w:pPr>
            <w:r>
              <w:t>1.040</w:t>
            </w:r>
            <w:r>
              <w:fldChar w:fldCharType="begin"/>
            </w:r>
            <w:r>
              <w:instrText xml:space="preserve"> EQ \s\up5(</w:instrText>
            </w:r>
            <w:r>
              <w:rPr>
                <w:sz w:val="16"/>
                <w:szCs w:val="16"/>
              </w:rPr>
              <w:instrText>***</w:instrText>
            </w:r>
            <w:r>
              <w:instrText>)</w:instrText>
            </w:r>
            <w:r>
              <w:fldChar w:fldCharType="end"/>
            </w:r>
          </w:p>
        </w:tc>
        <w:tc>
          <w:tcPr>
            <w:tcW w:w="1028" w:type="pct"/>
          </w:tcPr>
          <w:p w14:paraId="2E0DAE21" w14:textId="77777777" w:rsidR="007E3E2C" w:rsidRDefault="007E3E2C" w:rsidP="007E3E2C">
            <w:pPr>
              <w:pStyle w:val="Tablebodytext"/>
            </w:pPr>
            <w:r>
              <w:t>1.045</w:t>
            </w:r>
            <w:r>
              <w:fldChar w:fldCharType="begin"/>
            </w:r>
            <w:r>
              <w:instrText xml:space="preserve"> EQ \s\up5(</w:instrText>
            </w:r>
            <w:r>
              <w:rPr>
                <w:sz w:val="16"/>
                <w:szCs w:val="16"/>
              </w:rPr>
              <w:instrText>***</w:instrText>
            </w:r>
            <w:r>
              <w:instrText>)</w:instrText>
            </w:r>
            <w:r>
              <w:fldChar w:fldCharType="end"/>
            </w:r>
          </w:p>
        </w:tc>
      </w:tr>
      <w:tr w:rsidR="007E3E2C" w14:paraId="5FC77688" w14:textId="77777777" w:rsidTr="007E3E2C">
        <w:trPr>
          <w:cnfStyle w:val="000000100000" w:firstRow="0" w:lastRow="0" w:firstColumn="0" w:lastColumn="0" w:oddVBand="0" w:evenVBand="0" w:oddHBand="1" w:evenHBand="0" w:firstRowFirstColumn="0" w:firstRowLastColumn="0" w:lastRowFirstColumn="0" w:lastRowLastColumn="0"/>
        </w:trPr>
        <w:tc>
          <w:tcPr>
            <w:tcW w:w="1695" w:type="pct"/>
          </w:tcPr>
          <w:p w14:paraId="27DC607E" w14:textId="77777777" w:rsidR="007E3E2C" w:rsidRDefault="007E3E2C" w:rsidP="007E3E2C">
            <w:pPr>
              <w:pStyle w:val="Tablebodytext"/>
            </w:pPr>
          </w:p>
        </w:tc>
        <w:tc>
          <w:tcPr>
            <w:tcW w:w="1250" w:type="pct"/>
          </w:tcPr>
          <w:p w14:paraId="4C6E8D27" w14:textId="77777777" w:rsidR="007E3E2C" w:rsidRDefault="007E3E2C" w:rsidP="007E3E2C">
            <w:pPr>
              <w:pStyle w:val="Tablebodytext"/>
            </w:pPr>
          </w:p>
        </w:tc>
        <w:tc>
          <w:tcPr>
            <w:tcW w:w="1027" w:type="pct"/>
          </w:tcPr>
          <w:p w14:paraId="4829E0AB" w14:textId="77777777" w:rsidR="007E3E2C" w:rsidRDefault="007E3E2C" w:rsidP="007E3E2C">
            <w:pPr>
              <w:pStyle w:val="Tablebodytext"/>
            </w:pPr>
            <w:r>
              <w:t>(0.006)</w:t>
            </w:r>
          </w:p>
        </w:tc>
        <w:tc>
          <w:tcPr>
            <w:tcW w:w="1028" w:type="pct"/>
          </w:tcPr>
          <w:p w14:paraId="099CCF40" w14:textId="77777777" w:rsidR="007E3E2C" w:rsidRDefault="007E3E2C" w:rsidP="007E3E2C">
            <w:pPr>
              <w:pStyle w:val="Tablebodytext"/>
            </w:pPr>
            <w:r>
              <w:t>(0.007)</w:t>
            </w:r>
          </w:p>
        </w:tc>
      </w:tr>
      <w:tr w:rsidR="007E3E2C" w14:paraId="14E5537B" w14:textId="77777777" w:rsidTr="007E3E2C">
        <w:trPr>
          <w:cnfStyle w:val="000000010000" w:firstRow="0" w:lastRow="0" w:firstColumn="0" w:lastColumn="0" w:oddVBand="0" w:evenVBand="0" w:oddHBand="0" w:evenHBand="1" w:firstRowFirstColumn="0" w:firstRowLastColumn="0" w:lastRowFirstColumn="0" w:lastRowLastColumn="0"/>
        </w:trPr>
        <w:tc>
          <w:tcPr>
            <w:tcW w:w="1695" w:type="pct"/>
          </w:tcPr>
          <w:p w14:paraId="021B26A9" w14:textId="77777777" w:rsidR="007E3E2C" w:rsidRDefault="007E3E2C" w:rsidP="007E3E2C">
            <w:pPr>
              <w:pStyle w:val="Tablebodytext"/>
            </w:pPr>
            <w:r>
              <w:t>ΔHHI</w:t>
            </w:r>
          </w:p>
        </w:tc>
        <w:tc>
          <w:tcPr>
            <w:tcW w:w="1250" w:type="pct"/>
          </w:tcPr>
          <w:p w14:paraId="66A6E068" w14:textId="77777777" w:rsidR="007E3E2C" w:rsidRDefault="007E3E2C" w:rsidP="007E3E2C">
            <w:pPr>
              <w:pStyle w:val="Tablebodytext"/>
            </w:pPr>
          </w:p>
        </w:tc>
        <w:tc>
          <w:tcPr>
            <w:tcW w:w="1027" w:type="pct"/>
          </w:tcPr>
          <w:p w14:paraId="2AFBECC5" w14:textId="77777777" w:rsidR="007E3E2C" w:rsidRDefault="007E3E2C" w:rsidP="007E3E2C">
            <w:pPr>
              <w:pStyle w:val="Tablebodytext"/>
            </w:pPr>
          </w:p>
        </w:tc>
        <w:tc>
          <w:tcPr>
            <w:tcW w:w="1028" w:type="pct"/>
          </w:tcPr>
          <w:p w14:paraId="1DB71D22" w14:textId="77777777" w:rsidR="007E3E2C" w:rsidRDefault="007E3E2C" w:rsidP="007E3E2C">
            <w:pPr>
              <w:pStyle w:val="Tablebodytext"/>
            </w:pPr>
            <w:r>
              <w:t>−0.286</w:t>
            </w:r>
          </w:p>
        </w:tc>
      </w:tr>
      <w:tr w:rsidR="007E3E2C" w14:paraId="04DE78F5" w14:textId="77777777" w:rsidTr="007E3E2C">
        <w:trPr>
          <w:cnfStyle w:val="000000100000" w:firstRow="0" w:lastRow="0" w:firstColumn="0" w:lastColumn="0" w:oddVBand="0" w:evenVBand="0" w:oddHBand="1" w:evenHBand="0" w:firstRowFirstColumn="0" w:firstRowLastColumn="0" w:lastRowFirstColumn="0" w:lastRowLastColumn="0"/>
        </w:trPr>
        <w:tc>
          <w:tcPr>
            <w:tcW w:w="1695" w:type="pct"/>
            <w:tcBorders>
              <w:bottom w:val="single" w:sz="4" w:space="0" w:color="auto"/>
            </w:tcBorders>
          </w:tcPr>
          <w:p w14:paraId="3CC05D04" w14:textId="77777777" w:rsidR="007E3E2C" w:rsidRDefault="007E3E2C" w:rsidP="007E3E2C">
            <w:pPr>
              <w:pStyle w:val="Tablebodytext"/>
            </w:pPr>
          </w:p>
        </w:tc>
        <w:tc>
          <w:tcPr>
            <w:tcW w:w="1250" w:type="pct"/>
            <w:tcBorders>
              <w:bottom w:val="single" w:sz="4" w:space="0" w:color="auto"/>
            </w:tcBorders>
          </w:tcPr>
          <w:p w14:paraId="3ABD394C" w14:textId="77777777" w:rsidR="007E3E2C" w:rsidRDefault="007E3E2C" w:rsidP="007E3E2C">
            <w:pPr>
              <w:pStyle w:val="Tablebodytext"/>
            </w:pPr>
          </w:p>
        </w:tc>
        <w:tc>
          <w:tcPr>
            <w:tcW w:w="1027" w:type="pct"/>
            <w:tcBorders>
              <w:bottom w:val="single" w:sz="4" w:space="0" w:color="auto"/>
            </w:tcBorders>
          </w:tcPr>
          <w:p w14:paraId="084BE018" w14:textId="77777777" w:rsidR="007E3E2C" w:rsidRDefault="007E3E2C" w:rsidP="007E3E2C">
            <w:pPr>
              <w:pStyle w:val="Tablebodytext"/>
            </w:pPr>
          </w:p>
        </w:tc>
        <w:tc>
          <w:tcPr>
            <w:tcW w:w="1028" w:type="pct"/>
            <w:tcBorders>
              <w:bottom w:val="single" w:sz="4" w:space="0" w:color="auto"/>
            </w:tcBorders>
          </w:tcPr>
          <w:p w14:paraId="61E0B722" w14:textId="77777777" w:rsidR="007E3E2C" w:rsidRDefault="007E3E2C" w:rsidP="007E3E2C">
            <w:pPr>
              <w:pStyle w:val="Tablebodytext"/>
            </w:pPr>
            <w:r>
              <w:t>(0.175)</w:t>
            </w:r>
          </w:p>
        </w:tc>
      </w:tr>
      <w:tr w:rsidR="007E3E2C" w14:paraId="467EEF8D" w14:textId="77777777" w:rsidTr="007E3E2C">
        <w:trPr>
          <w:cnfStyle w:val="000000010000" w:firstRow="0" w:lastRow="0" w:firstColumn="0" w:lastColumn="0" w:oddVBand="0" w:evenVBand="0" w:oddHBand="0" w:evenHBand="1" w:firstRowFirstColumn="0" w:firstRowLastColumn="0" w:lastRowFirstColumn="0" w:lastRowLastColumn="0"/>
        </w:trPr>
        <w:tc>
          <w:tcPr>
            <w:tcW w:w="1695" w:type="pct"/>
            <w:tcBorders>
              <w:top w:val="single" w:sz="4" w:space="0" w:color="auto"/>
            </w:tcBorders>
          </w:tcPr>
          <w:p w14:paraId="65D30E2B" w14:textId="77777777" w:rsidR="007E3E2C" w:rsidRDefault="007E3E2C" w:rsidP="007E3E2C">
            <w:pPr>
              <w:pStyle w:val="Tablebodytext"/>
            </w:pPr>
            <w:r>
              <w:t xml:space="preserve"> Log Likelihood</w:t>
            </w:r>
          </w:p>
        </w:tc>
        <w:tc>
          <w:tcPr>
            <w:tcW w:w="1250" w:type="pct"/>
            <w:tcBorders>
              <w:top w:val="single" w:sz="4" w:space="0" w:color="auto"/>
            </w:tcBorders>
          </w:tcPr>
          <w:p w14:paraId="6CD3662E" w14:textId="77777777" w:rsidR="007E3E2C" w:rsidRDefault="007E3E2C" w:rsidP="007E3E2C">
            <w:pPr>
              <w:pStyle w:val="Tablebodytext"/>
            </w:pPr>
            <w:r>
              <w:t>−22,117.200</w:t>
            </w:r>
          </w:p>
        </w:tc>
        <w:tc>
          <w:tcPr>
            <w:tcW w:w="1027" w:type="pct"/>
            <w:tcBorders>
              <w:top w:val="single" w:sz="4" w:space="0" w:color="auto"/>
            </w:tcBorders>
          </w:tcPr>
          <w:p w14:paraId="0503D565" w14:textId="77777777" w:rsidR="007E3E2C" w:rsidRDefault="007E3E2C" w:rsidP="007E3E2C">
            <w:pPr>
              <w:pStyle w:val="Tablebodytext"/>
            </w:pPr>
            <w:r>
              <w:t>−18,361.250</w:t>
            </w:r>
          </w:p>
        </w:tc>
        <w:tc>
          <w:tcPr>
            <w:tcW w:w="1028" w:type="pct"/>
            <w:tcBorders>
              <w:top w:val="single" w:sz="4" w:space="0" w:color="auto"/>
            </w:tcBorders>
          </w:tcPr>
          <w:p w14:paraId="7F1E3FB5" w14:textId="77777777" w:rsidR="007E3E2C" w:rsidRDefault="007E3E2C" w:rsidP="007E3E2C">
            <w:pPr>
              <w:pStyle w:val="Tablebodytext"/>
            </w:pPr>
            <w:r>
              <w:t>−17,012.780</w:t>
            </w:r>
          </w:p>
        </w:tc>
      </w:tr>
      <w:tr w:rsidR="007E3E2C" w14:paraId="5F2DED0D" w14:textId="77777777" w:rsidTr="007E3E2C">
        <w:trPr>
          <w:cnfStyle w:val="000000100000" w:firstRow="0" w:lastRow="0" w:firstColumn="0" w:lastColumn="0" w:oddVBand="0" w:evenVBand="0" w:oddHBand="1" w:evenHBand="0" w:firstRowFirstColumn="0" w:firstRowLastColumn="0" w:lastRowFirstColumn="0" w:lastRowLastColumn="0"/>
          <w:trHeight w:val="87"/>
        </w:trPr>
        <w:tc>
          <w:tcPr>
            <w:tcW w:w="1695" w:type="pct"/>
          </w:tcPr>
          <w:p w14:paraId="0EB8C42D" w14:textId="77777777" w:rsidR="007E3E2C" w:rsidRDefault="007E3E2C" w:rsidP="007E3E2C">
            <w:pPr>
              <w:pStyle w:val="Tablebodytext"/>
            </w:pPr>
            <w:r>
              <w:t xml:space="preserve">Wald </w:t>
            </w:r>
            <w:r>
              <w:fldChar w:fldCharType="begin"/>
            </w:r>
            <w:r>
              <w:instrText xml:space="preserve"> EQ χ\s\up5(</w:instrText>
            </w:r>
            <w:r>
              <w:rPr>
                <w:sz w:val="16"/>
                <w:szCs w:val="16"/>
              </w:rPr>
              <w:instrText>2</w:instrText>
            </w:r>
            <w:r>
              <w:instrText>)</w:instrText>
            </w:r>
            <w:r>
              <w:fldChar w:fldCharType="end"/>
            </w:r>
          </w:p>
        </w:tc>
        <w:tc>
          <w:tcPr>
            <w:tcW w:w="1250" w:type="pct"/>
          </w:tcPr>
          <w:p w14:paraId="614A9E8E" w14:textId="77777777" w:rsidR="007E3E2C" w:rsidRDefault="007E3E2C" w:rsidP="007E3E2C">
            <w:pPr>
              <w:pStyle w:val="Tablebodytext"/>
            </w:pPr>
            <w:r>
              <w:t>64,046.4***</w:t>
            </w:r>
          </w:p>
        </w:tc>
        <w:tc>
          <w:tcPr>
            <w:tcW w:w="1027" w:type="pct"/>
          </w:tcPr>
          <w:p w14:paraId="06B18DDF" w14:textId="77777777" w:rsidR="007E3E2C" w:rsidRDefault="007E3E2C" w:rsidP="007E3E2C">
            <w:pPr>
              <w:pStyle w:val="Tablebodytext"/>
            </w:pPr>
            <w:r>
              <w:t>409,748.3***</w:t>
            </w:r>
          </w:p>
        </w:tc>
        <w:tc>
          <w:tcPr>
            <w:tcW w:w="1028" w:type="pct"/>
          </w:tcPr>
          <w:p w14:paraId="649C6725" w14:textId="77777777" w:rsidR="007E3E2C" w:rsidRDefault="007E3E2C" w:rsidP="007E3E2C">
            <w:pPr>
              <w:pStyle w:val="Tablebodytext"/>
            </w:pPr>
            <w:r>
              <w:t>376,208.9***</w:t>
            </w:r>
          </w:p>
        </w:tc>
      </w:tr>
      <w:tr w:rsidR="007E3E2C" w14:paraId="00556DA1" w14:textId="77777777" w:rsidTr="007E3E2C">
        <w:trPr>
          <w:cnfStyle w:val="000000010000" w:firstRow="0" w:lastRow="0" w:firstColumn="0" w:lastColumn="0" w:oddVBand="0" w:evenVBand="0" w:oddHBand="0" w:evenHBand="1" w:firstRowFirstColumn="0" w:firstRowLastColumn="0" w:lastRowFirstColumn="0" w:lastRowLastColumn="0"/>
        </w:trPr>
        <w:tc>
          <w:tcPr>
            <w:tcW w:w="1695" w:type="pct"/>
          </w:tcPr>
          <w:p w14:paraId="7FEBFA2A" w14:textId="77777777" w:rsidR="007E3E2C" w:rsidRDefault="007E3E2C" w:rsidP="007E3E2C">
            <w:pPr>
              <w:pStyle w:val="Tablebodytext"/>
            </w:pPr>
            <w:r>
              <w:t>#Obs</w:t>
            </w:r>
          </w:p>
        </w:tc>
        <w:tc>
          <w:tcPr>
            <w:tcW w:w="1250" w:type="pct"/>
          </w:tcPr>
          <w:p w14:paraId="1AE9136C" w14:textId="77777777" w:rsidR="007E3E2C" w:rsidRDefault="007E3E2C" w:rsidP="007E3E2C">
            <w:pPr>
              <w:pStyle w:val="Tablebodytext"/>
            </w:pPr>
            <w:r>
              <w:t>2,842</w:t>
            </w:r>
          </w:p>
        </w:tc>
        <w:tc>
          <w:tcPr>
            <w:tcW w:w="1027" w:type="pct"/>
          </w:tcPr>
          <w:p w14:paraId="7A9ADAF1" w14:textId="77777777" w:rsidR="007E3E2C" w:rsidRDefault="007E3E2C" w:rsidP="007E3E2C">
            <w:pPr>
              <w:pStyle w:val="Tablebodytext"/>
            </w:pPr>
            <w:r>
              <w:t>2,842</w:t>
            </w:r>
          </w:p>
        </w:tc>
        <w:tc>
          <w:tcPr>
            <w:tcW w:w="1028" w:type="pct"/>
          </w:tcPr>
          <w:p w14:paraId="21CE3F0C" w14:textId="77777777" w:rsidR="007E3E2C" w:rsidRDefault="007E3E2C" w:rsidP="007E3E2C">
            <w:pPr>
              <w:pStyle w:val="Tablebodytext"/>
            </w:pPr>
            <w:r>
              <w:t>2,639</w:t>
            </w:r>
          </w:p>
        </w:tc>
      </w:tr>
    </w:tbl>
    <w:p w14:paraId="685B6ACA" w14:textId="77777777" w:rsidR="007E3E2C" w:rsidRPr="00C62F3A" w:rsidRDefault="007E3E2C" w:rsidP="00EF7ECF">
      <w:pPr>
        <w:pStyle w:val="Note"/>
      </w:pPr>
      <w:r>
        <w:t>Notes: Numbers in parenthesis are standard deviation. *** indicates significance at 1 per cent level. Unit of observation is industry–year.</w:t>
      </w:r>
    </w:p>
    <w:p w14:paraId="161CB528" w14:textId="77777777" w:rsidR="007E3E2C" w:rsidRDefault="007E3E2C" w:rsidP="00754701">
      <w:pPr>
        <w:pStyle w:val="Source"/>
      </w:pPr>
      <w:r>
        <w:t>Source: Department of Industry, Innovation and Science (2019)</w:t>
      </w:r>
    </w:p>
    <w:p w14:paraId="665E855D" w14:textId="77777777" w:rsidR="007E3E2C" w:rsidRDefault="007E3E2C" w:rsidP="00754701">
      <w:pPr>
        <w:spacing w:before="240" w:line="270" w:lineRule="exact"/>
        <w:ind w:left="0"/>
      </w:pPr>
      <w:r>
        <w:t>In column (2) of the table, both the HHI and firm population are included and the results are unexpected. Using both variables simultaneously implies that firm entry increases with both the HHI and firm population of the industry. However, as indicated by the correlations in Table </w:t>
      </w:r>
      <w:r w:rsidR="00754701">
        <w:t>3.2</w:t>
      </w:r>
      <w:r>
        <w:t>, there is a lot of overlap between the two variables. This overlap was reduced when the two variables are converted into Market Power and Secondary indexes.</w:t>
      </w:r>
    </w:p>
    <w:p w14:paraId="532F25B6" w14:textId="77777777" w:rsidR="007E3E2C" w:rsidRDefault="007E3E2C" w:rsidP="00754701">
      <w:pPr>
        <w:spacing w:line="270" w:lineRule="exact"/>
        <w:ind w:left="0"/>
      </w:pPr>
      <w:r>
        <w:t xml:space="preserve">In column (3), I add the year-on-year change in HHI to investigate the real-time effect of the changes in HHI on firm entry, where differencing is defined as </w:t>
      </w:r>
    </w:p>
    <w:p w14:paraId="52C6AAA8" w14:textId="77777777" w:rsidR="007E3E2C" w:rsidRDefault="007E3E2C" w:rsidP="00754701">
      <w:pPr>
        <w:pStyle w:val="equationNum"/>
        <w:tabs>
          <w:tab w:val="center" w:pos="4019"/>
          <w:tab w:val="right" w:pos="8038"/>
        </w:tabs>
        <w:spacing w:line="270" w:lineRule="exact"/>
      </w:pPr>
      <w:r>
        <w:tab/>
      </w:r>
      <w:r>
        <w:fldChar w:fldCharType="begin"/>
      </w:r>
      <w:r>
        <w:instrText xml:space="preserve"> EQ Δ</w:instrText>
      </w:r>
      <w:r>
        <w:rPr>
          <w:i/>
          <w:iCs/>
        </w:rPr>
        <w:instrText>HHI</w:instrText>
      </w:r>
      <w:r>
        <w:instrText>\s\do5(</w:instrText>
      </w:r>
      <w:r>
        <w:rPr>
          <w:i/>
          <w:iCs/>
          <w:sz w:val="16"/>
          <w:szCs w:val="16"/>
        </w:rPr>
        <w:instrText>it</w:instrText>
      </w:r>
      <w:r>
        <w:instrText>)=</w:instrText>
      </w:r>
      <w:r>
        <w:rPr>
          <w:i/>
          <w:iCs/>
        </w:rPr>
        <w:instrText>HHI</w:instrText>
      </w:r>
      <w:r>
        <w:instrText>\s\do5(</w:instrText>
      </w:r>
      <w:r>
        <w:rPr>
          <w:i/>
          <w:iCs/>
          <w:sz w:val="16"/>
          <w:szCs w:val="16"/>
        </w:rPr>
        <w:instrText>it</w:instrText>
      </w:r>
      <w:r>
        <w:instrText>)−</w:instrText>
      </w:r>
      <w:r>
        <w:rPr>
          <w:i/>
          <w:iCs/>
        </w:rPr>
        <w:instrText>HHI</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w:instrText>
      </w:r>
      <w:r>
        <w:fldChar w:fldCharType="end"/>
      </w:r>
      <w:r>
        <w:tab/>
        <w:t>(</w:t>
      </w:r>
      <w:bookmarkStart w:id="6" w:name="BMeq_dH"/>
      <w:r>
        <w:t>9</w:t>
      </w:r>
      <w:bookmarkEnd w:id="6"/>
      <w:r>
        <w:t>)</w:t>
      </w:r>
    </w:p>
    <w:p w14:paraId="2A8DCC52" w14:textId="77777777" w:rsidR="007E3E2C" w:rsidRDefault="007E3E2C" w:rsidP="00754701">
      <w:pPr>
        <w:spacing w:line="270" w:lineRule="exact"/>
        <w:ind w:left="0"/>
      </w:pPr>
      <w:r>
        <w:t>The estimated coefficient suggests a fall in the firm entry of an industry as the industry becomes more concentrated. However, the estimated effect is not statistically significant, again, leading to a weaker result than those observed in Table </w:t>
      </w:r>
      <w:r w:rsidR="00754701">
        <w:t>4.1</w:t>
      </w:r>
      <w:r>
        <w:t>.</w:t>
      </w:r>
    </w:p>
    <w:p w14:paraId="1CE41EBD" w14:textId="77777777" w:rsidR="007E3E2C" w:rsidRDefault="007E3E2C" w:rsidP="00C00589">
      <w:pPr>
        <w:pStyle w:val="BodyText"/>
        <w:jc w:val="left"/>
        <w:rPr>
          <w:lang w:val="en"/>
        </w:rPr>
      </w:pPr>
    </w:p>
    <w:p w14:paraId="767BEDEE" w14:textId="77777777" w:rsidR="004629B7" w:rsidRDefault="004629B7" w:rsidP="004629B7">
      <w:pPr>
        <w:pStyle w:val="UnnumberedHeading"/>
        <w:rPr>
          <w:lang w:val="en"/>
        </w:rPr>
      </w:pPr>
      <w:r>
        <w:rPr>
          <w:lang w:val="en"/>
        </w:rPr>
        <w:t>Disclaimer</w:t>
      </w:r>
    </w:p>
    <w:p w14:paraId="0B63C949" w14:textId="77777777" w:rsidR="004629B7" w:rsidRPr="0032565E" w:rsidRDefault="004629B7" w:rsidP="0032565E">
      <w:pPr>
        <w:pStyle w:val="BodyText"/>
      </w:pPr>
      <w:r w:rsidRPr="0032565E">
        <w:t xml:space="preserve">The results of these studies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w:t>
      </w:r>
      <w:r w:rsidRPr="0032565E">
        <w:lastRenderedPageBreak/>
        <w:t>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 Views expressed in this paper are those of the author and not necessarily those of the Department of Industry, Innovation and Science or the Australian government.</w:t>
      </w:r>
    </w:p>
    <w:p w14:paraId="0E2DB8E2" w14:textId="77777777" w:rsidR="004629B7" w:rsidRDefault="004629B7" w:rsidP="004629B7">
      <w:pPr>
        <w:pStyle w:val="BodyText"/>
        <w:rPr>
          <w:lang w:val="en-US"/>
        </w:rPr>
      </w:pPr>
    </w:p>
    <w:p w14:paraId="0B1A74E5" w14:textId="77777777" w:rsidR="004629B7" w:rsidRDefault="004629B7" w:rsidP="004629B7">
      <w:pPr>
        <w:pStyle w:val="UnnumberedHeading"/>
        <w:rPr>
          <w:lang w:val="en-US"/>
        </w:rPr>
      </w:pPr>
      <w:r>
        <w:rPr>
          <w:lang w:val="en-US"/>
        </w:rPr>
        <w:t>References</w:t>
      </w:r>
    </w:p>
    <w:p w14:paraId="110330EA" w14:textId="77777777" w:rsidR="004629B7" w:rsidRDefault="00612024" w:rsidP="004629B7">
      <w:pPr>
        <w:pStyle w:val="BodyText"/>
      </w:pPr>
      <w:r>
        <w:t>Aghion</w:t>
      </w:r>
      <w:r w:rsidR="004629B7">
        <w:t xml:space="preserve"> P</w:t>
      </w:r>
      <w:r>
        <w:t xml:space="preserve">, </w:t>
      </w:r>
      <w:r w:rsidR="004629B7">
        <w:t>Bloom</w:t>
      </w:r>
      <w:r>
        <w:t xml:space="preserve"> N, </w:t>
      </w:r>
      <w:r w:rsidR="004629B7">
        <w:t>Blundell</w:t>
      </w:r>
      <w:r>
        <w:t xml:space="preserve"> R</w:t>
      </w:r>
      <w:r w:rsidR="004629B7">
        <w:t xml:space="preserve">, </w:t>
      </w:r>
      <w:r>
        <w:t>G</w:t>
      </w:r>
      <w:r w:rsidR="004629B7">
        <w:t>riffith</w:t>
      </w:r>
      <w:r>
        <w:t xml:space="preserve"> R &amp; </w:t>
      </w:r>
      <w:r w:rsidR="004629B7">
        <w:t>Howitt</w:t>
      </w:r>
      <w:r>
        <w:t xml:space="preserve"> P (2005) </w:t>
      </w:r>
      <w:hyperlink r:id="rId34">
        <w:r w:rsidR="004629B7">
          <w:rPr>
            <w:rStyle w:val="Hyperlink"/>
          </w:rPr>
          <w:t>Competition and Innovation: an Inverted-U Relationship</w:t>
        </w:r>
      </w:hyperlink>
      <w:r>
        <w:t>,</w:t>
      </w:r>
      <w:r w:rsidR="004629B7">
        <w:t xml:space="preserve"> </w:t>
      </w:r>
      <w:r w:rsidR="004629B7" w:rsidRPr="00612024">
        <w:t>Quarterly Journal of Economics</w:t>
      </w:r>
      <w:r w:rsidR="004629B7">
        <w:t xml:space="preserve">, 120(2), </w:t>
      </w:r>
      <w:r>
        <w:t>pp.</w:t>
      </w:r>
      <w:r w:rsidR="004629B7">
        <w:t xml:space="preserve">701–728. </w:t>
      </w:r>
    </w:p>
    <w:p w14:paraId="42782B91" w14:textId="77777777" w:rsidR="004629B7" w:rsidRDefault="00612024" w:rsidP="004629B7">
      <w:pPr>
        <w:pStyle w:val="BodyText"/>
      </w:pPr>
      <w:r>
        <w:t>Aghion</w:t>
      </w:r>
      <w:r w:rsidR="004629B7">
        <w:t xml:space="preserve"> P, Fally</w:t>
      </w:r>
      <w:r>
        <w:t xml:space="preserve"> T. &amp; </w:t>
      </w:r>
      <w:r w:rsidR="004629B7">
        <w:t>Scarpetta</w:t>
      </w:r>
      <w:r>
        <w:t xml:space="preserve"> S (2007) </w:t>
      </w:r>
      <w:hyperlink r:id="rId35">
        <w:r w:rsidR="004629B7">
          <w:rPr>
            <w:rStyle w:val="Hyperlink"/>
          </w:rPr>
          <w:t>Credit Constraints as a Barrier to the Entry and Post-entry Growth of Firms</w:t>
        </w:r>
      </w:hyperlink>
      <w:r>
        <w:t>,</w:t>
      </w:r>
      <w:r w:rsidR="004629B7">
        <w:t xml:space="preserve"> </w:t>
      </w:r>
      <w:r w:rsidR="004629B7" w:rsidRPr="00612024">
        <w:t>Economic Policy</w:t>
      </w:r>
      <w:r w:rsidR="004629B7">
        <w:t xml:space="preserve">, 22(52), </w:t>
      </w:r>
      <w:r>
        <w:t>pp.</w:t>
      </w:r>
      <w:r w:rsidR="004629B7">
        <w:t xml:space="preserve">732–779. </w:t>
      </w:r>
    </w:p>
    <w:p w14:paraId="172C3A1C" w14:textId="77777777" w:rsidR="004629B7" w:rsidRDefault="00AD0201" w:rsidP="004629B7">
      <w:pPr>
        <w:pStyle w:val="BodyText"/>
      </w:pPr>
      <w:r>
        <w:t>Autor</w:t>
      </w:r>
      <w:r w:rsidR="004629B7">
        <w:t xml:space="preserve"> D, Dorn</w:t>
      </w:r>
      <w:r>
        <w:t xml:space="preserve"> D</w:t>
      </w:r>
      <w:r w:rsidR="004629B7">
        <w:t>, Katz</w:t>
      </w:r>
      <w:r>
        <w:t xml:space="preserve"> LF</w:t>
      </w:r>
      <w:r w:rsidR="004629B7">
        <w:t>, Patterson</w:t>
      </w:r>
      <w:r>
        <w:t xml:space="preserve"> C &amp;</w:t>
      </w:r>
      <w:r w:rsidR="004629B7">
        <w:t xml:space="preserve"> Van Reenen</w:t>
      </w:r>
      <w:r>
        <w:t xml:space="preserve"> J (2017) </w:t>
      </w:r>
      <w:hyperlink r:id="rId36">
        <w:r w:rsidR="004629B7">
          <w:rPr>
            <w:rStyle w:val="Hyperlink"/>
          </w:rPr>
          <w:t>Concentrating on the Fall of the Labor Share</w:t>
        </w:r>
      </w:hyperlink>
      <w:r>
        <w:t>,</w:t>
      </w:r>
      <w:r w:rsidR="004629B7">
        <w:t xml:space="preserve"> </w:t>
      </w:r>
      <w:r w:rsidR="004629B7" w:rsidRPr="00AD0201">
        <w:t>American Economic Review</w:t>
      </w:r>
      <w:r w:rsidR="004629B7">
        <w:t xml:space="preserve">, 107(5), </w:t>
      </w:r>
      <w:r>
        <w:t>pp.</w:t>
      </w:r>
      <w:r w:rsidR="004629B7">
        <w:t xml:space="preserve">180–185. </w:t>
      </w:r>
    </w:p>
    <w:p w14:paraId="16BE153F" w14:textId="77777777" w:rsidR="004629B7" w:rsidRDefault="005C71C1" w:rsidP="004629B7">
      <w:pPr>
        <w:pStyle w:val="BodyText"/>
      </w:pPr>
      <w:r>
        <w:t>Bajgar M</w:t>
      </w:r>
      <w:r w:rsidR="004629B7">
        <w:t>, Berlingieri</w:t>
      </w:r>
      <w:r>
        <w:t xml:space="preserve"> G</w:t>
      </w:r>
      <w:r w:rsidR="004629B7">
        <w:t>, Calligaris</w:t>
      </w:r>
      <w:r>
        <w:t xml:space="preserve"> S</w:t>
      </w:r>
      <w:r w:rsidR="004629B7">
        <w:t>, Criscuolo</w:t>
      </w:r>
      <w:r>
        <w:t xml:space="preserve"> C &amp;</w:t>
      </w:r>
      <w:r w:rsidR="004629B7">
        <w:t xml:space="preserve"> Timmis</w:t>
      </w:r>
      <w:r>
        <w:t xml:space="preserve"> J</w:t>
      </w:r>
      <w:r w:rsidR="005E118F">
        <w:t xml:space="preserve"> (2019) </w:t>
      </w:r>
      <w:hyperlink r:id="rId37">
        <w:r w:rsidR="004629B7">
          <w:rPr>
            <w:rStyle w:val="Hyperlink"/>
          </w:rPr>
          <w:t>Industry Concentration in Europe and North America</w:t>
        </w:r>
      </w:hyperlink>
      <w:r w:rsidR="005E118F">
        <w:t>,</w:t>
      </w:r>
      <w:r w:rsidR="004629B7">
        <w:t xml:space="preserve"> </w:t>
      </w:r>
      <w:r w:rsidR="004629B7" w:rsidRPr="005E118F">
        <w:t>OECD</w:t>
      </w:r>
      <w:r w:rsidR="004629B7">
        <w:t xml:space="preserve">, Productivity Working Paper, No.18. </w:t>
      </w:r>
    </w:p>
    <w:p w14:paraId="1541D9E5" w14:textId="77777777" w:rsidR="004629B7" w:rsidRDefault="004629B7" w:rsidP="004629B7">
      <w:pPr>
        <w:pStyle w:val="BodyText"/>
      </w:pPr>
      <w:r>
        <w:t>Bakhtiari S</w:t>
      </w:r>
      <w:r w:rsidR="005E118F">
        <w:t xml:space="preserve"> (2019a) </w:t>
      </w:r>
      <w:hyperlink r:id="rId38">
        <w:r>
          <w:rPr>
            <w:rStyle w:val="Hyperlink"/>
          </w:rPr>
          <w:t>Entrepreneurship Dynamics in Australia: Lessons from Micro-data</w:t>
        </w:r>
      </w:hyperlink>
      <w:r w:rsidR="005E118F">
        <w:t>,</w:t>
      </w:r>
      <w:r>
        <w:t xml:space="preserve"> </w:t>
      </w:r>
      <w:r w:rsidRPr="005E118F">
        <w:t>Economic Record</w:t>
      </w:r>
      <w:r w:rsidR="005E118F">
        <w:t>, 95(308), pp.114</w:t>
      </w:r>
      <w:r w:rsidR="005E118F">
        <w:rPr>
          <w:rFonts w:cstheme="minorHAnsi"/>
        </w:rPr>
        <w:t>‒</w:t>
      </w:r>
      <w:r w:rsidR="005E118F">
        <w:t>140.</w:t>
      </w:r>
    </w:p>
    <w:p w14:paraId="1A50EF06" w14:textId="77777777" w:rsidR="004629B7" w:rsidRDefault="00497C75" w:rsidP="004629B7">
      <w:pPr>
        <w:pStyle w:val="BodyText"/>
      </w:pPr>
      <w:r>
        <w:t xml:space="preserve">Bakhtiari S (2019b) </w:t>
      </w:r>
      <w:hyperlink r:id="rId39" w:history="1">
        <w:r w:rsidR="004629B7" w:rsidRPr="00497C75">
          <w:rPr>
            <w:rStyle w:val="Hyperlink"/>
          </w:rPr>
          <w:t>Trend in Market Concentration of Australian Industries</w:t>
        </w:r>
      </w:hyperlink>
      <w:r>
        <w:t xml:space="preserve">, </w:t>
      </w:r>
      <w:r w:rsidR="004629B7" w:rsidRPr="00497C75">
        <w:t>Australia Dept. of Industry, Innovation and Science</w:t>
      </w:r>
      <w:r w:rsidR="004629B7">
        <w:t>, Working Paper</w:t>
      </w:r>
      <w:r>
        <w:t xml:space="preserve"> 8/2019</w:t>
      </w:r>
      <w:r w:rsidR="004629B7">
        <w:t xml:space="preserve">. </w:t>
      </w:r>
    </w:p>
    <w:p w14:paraId="2DEE81F0" w14:textId="77777777" w:rsidR="004629B7" w:rsidRDefault="00EF445F" w:rsidP="004629B7">
      <w:pPr>
        <w:pStyle w:val="BodyText"/>
      </w:pPr>
      <w:r>
        <w:t>Decker RA</w:t>
      </w:r>
      <w:r w:rsidR="004629B7">
        <w:t>, Haltiwanger</w:t>
      </w:r>
      <w:r>
        <w:t xml:space="preserve"> JC</w:t>
      </w:r>
      <w:r w:rsidR="004629B7">
        <w:t>, Jarmin</w:t>
      </w:r>
      <w:r>
        <w:t xml:space="preserve"> RS</w:t>
      </w:r>
      <w:r w:rsidR="00FB7B9B">
        <w:t xml:space="preserve"> &amp;</w:t>
      </w:r>
      <w:r w:rsidR="004629B7">
        <w:t xml:space="preserve"> Miranda</w:t>
      </w:r>
      <w:r w:rsidR="00FB7B9B">
        <w:t xml:space="preserve"> J</w:t>
      </w:r>
      <w:r w:rsidR="001B419A">
        <w:t xml:space="preserve"> (2014), </w:t>
      </w:r>
      <w:hyperlink r:id="rId40">
        <w:r w:rsidR="004629B7">
          <w:rPr>
            <w:rStyle w:val="Hyperlink"/>
          </w:rPr>
          <w:t>The role of entrepreneurship in U.S. job creation and economic dynamism</w:t>
        </w:r>
      </w:hyperlink>
      <w:r w:rsidR="001B419A">
        <w:t>,</w:t>
      </w:r>
      <w:r w:rsidR="004629B7">
        <w:t xml:space="preserve"> </w:t>
      </w:r>
      <w:r w:rsidR="004629B7" w:rsidRPr="001B419A">
        <w:t>Journal of Economic Perspectives</w:t>
      </w:r>
      <w:r w:rsidR="001B419A">
        <w:t>,</w:t>
      </w:r>
      <w:r w:rsidR="004629B7" w:rsidRPr="001B419A">
        <w:t xml:space="preserve"> </w:t>
      </w:r>
      <w:r w:rsidR="004629B7">
        <w:t>28</w:t>
      </w:r>
      <w:r w:rsidR="001B419A">
        <w:t>(3)</w:t>
      </w:r>
      <w:r w:rsidR="004629B7">
        <w:t xml:space="preserve">, </w:t>
      </w:r>
      <w:r w:rsidR="00916F87">
        <w:t>pp.</w:t>
      </w:r>
      <w:r w:rsidR="004629B7">
        <w:t xml:space="preserve">3–24. </w:t>
      </w:r>
    </w:p>
    <w:p w14:paraId="31FB95FA" w14:textId="77777777" w:rsidR="004629B7" w:rsidRDefault="004629B7" w:rsidP="004629B7">
      <w:pPr>
        <w:pStyle w:val="BodyText"/>
      </w:pPr>
      <w:r>
        <w:t>De Loeck</w:t>
      </w:r>
      <w:r w:rsidR="00916F87">
        <w:t>er J &amp;</w:t>
      </w:r>
      <w:r>
        <w:t xml:space="preserve"> Warzynski</w:t>
      </w:r>
      <w:r w:rsidR="00916F87">
        <w:t xml:space="preserve"> F (2012) </w:t>
      </w:r>
      <w:hyperlink r:id="rId41">
        <w:r>
          <w:rPr>
            <w:rStyle w:val="Hyperlink"/>
          </w:rPr>
          <w:t>Markups and Firm-Level Export Status</w:t>
        </w:r>
      </w:hyperlink>
      <w:r w:rsidR="00916F87">
        <w:t xml:space="preserve">, </w:t>
      </w:r>
      <w:r w:rsidRPr="00916F87">
        <w:t>American Economic Review</w:t>
      </w:r>
      <w:r>
        <w:t xml:space="preserve">, 102(6), </w:t>
      </w:r>
      <w:r w:rsidR="00916F87">
        <w:t>pp.</w:t>
      </w:r>
      <w:r>
        <w:t xml:space="preserve">2437–2471. </w:t>
      </w:r>
    </w:p>
    <w:p w14:paraId="1BB55DBB" w14:textId="77777777" w:rsidR="004629B7" w:rsidRDefault="005903DF" w:rsidP="004629B7">
      <w:pPr>
        <w:pStyle w:val="BodyText"/>
      </w:pPr>
      <w:r>
        <w:t>Donismoni MP</w:t>
      </w:r>
      <w:r w:rsidR="004629B7">
        <w:t>, Geroski</w:t>
      </w:r>
      <w:r>
        <w:t xml:space="preserve"> P &amp;</w:t>
      </w:r>
      <w:r w:rsidR="004629B7">
        <w:t xml:space="preserve"> Jacquemin </w:t>
      </w:r>
      <w:r>
        <w:t xml:space="preserve">A (1984) </w:t>
      </w:r>
      <w:hyperlink r:id="rId42">
        <w:r w:rsidR="004629B7">
          <w:rPr>
            <w:rStyle w:val="Hyperlink"/>
          </w:rPr>
          <w:t>Concentration Indices and Market Power: Two Views</w:t>
        </w:r>
      </w:hyperlink>
      <w:r>
        <w:t>,</w:t>
      </w:r>
      <w:r w:rsidR="004629B7">
        <w:t xml:space="preserve"> </w:t>
      </w:r>
      <w:r w:rsidR="004629B7" w:rsidRPr="005903DF">
        <w:t>Journal of Industrial Economics,</w:t>
      </w:r>
      <w:r w:rsidR="004629B7">
        <w:t xml:space="preserve"> 32(4), </w:t>
      </w:r>
      <w:r w:rsidR="00BF1AA0">
        <w:t>pp.</w:t>
      </w:r>
      <w:r w:rsidR="004629B7">
        <w:t xml:space="preserve">419–434. </w:t>
      </w:r>
    </w:p>
    <w:p w14:paraId="17D99478" w14:textId="77777777" w:rsidR="004629B7" w:rsidRDefault="005903DF" w:rsidP="004629B7">
      <w:pPr>
        <w:pStyle w:val="BodyText"/>
      </w:pPr>
      <w:r>
        <w:t xml:space="preserve">Elzinga KG &amp; </w:t>
      </w:r>
      <w:r w:rsidR="004629B7">
        <w:t>Mills</w:t>
      </w:r>
      <w:r>
        <w:t xml:space="preserve"> DE (2011) </w:t>
      </w:r>
      <w:hyperlink r:id="rId43">
        <w:r w:rsidR="004629B7">
          <w:rPr>
            <w:rStyle w:val="Hyperlink"/>
          </w:rPr>
          <w:t>The Lerner Index of Monopoly Power, Origins and Uses</w:t>
        </w:r>
      </w:hyperlink>
      <w:r>
        <w:t>,</w:t>
      </w:r>
      <w:r w:rsidR="004629B7">
        <w:t xml:space="preserve"> </w:t>
      </w:r>
      <w:r w:rsidR="004629B7" w:rsidRPr="005903DF">
        <w:t>American Economic Review</w:t>
      </w:r>
      <w:r w:rsidR="004629B7">
        <w:t xml:space="preserve">, 101(3), </w:t>
      </w:r>
      <w:r>
        <w:t>pp.</w:t>
      </w:r>
      <w:r w:rsidR="004629B7">
        <w:t xml:space="preserve">558–564. </w:t>
      </w:r>
    </w:p>
    <w:p w14:paraId="112188A7" w14:textId="77777777" w:rsidR="004629B7" w:rsidRDefault="00AD4C09" w:rsidP="004629B7">
      <w:pPr>
        <w:pStyle w:val="BodyText"/>
      </w:pPr>
      <w:r>
        <w:t>Guschanski</w:t>
      </w:r>
      <w:r w:rsidR="004629B7">
        <w:t xml:space="preserve"> A</w:t>
      </w:r>
      <w:r>
        <w:t xml:space="preserve"> &amp; </w:t>
      </w:r>
      <w:r w:rsidR="004629B7">
        <w:t>Onaran</w:t>
      </w:r>
      <w:r>
        <w:t xml:space="preserve"> O (2018) </w:t>
      </w:r>
      <w:hyperlink r:id="rId44">
        <w:r w:rsidR="004629B7">
          <w:rPr>
            <w:rStyle w:val="Hyperlink"/>
          </w:rPr>
          <w:t>The Labour Share and Financialisation: Evidence from Publicly Listed Firms</w:t>
        </w:r>
      </w:hyperlink>
      <w:r>
        <w:t>,</w:t>
      </w:r>
      <w:r w:rsidR="004629B7">
        <w:t xml:space="preserve"> </w:t>
      </w:r>
      <w:r w:rsidR="004629B7" w:rsidRPr="00AD4C09">
        <w:t>Greenwich Papers in Political Economy</w:t>
      </w:r>
      <w:r w:rsidR="004629B7">
        <w:t xml:space="preserve">, University of Greenwich, Paper No. GPERC59. </w:t>
      </w:r>
    </w:p>
    <w:p w14:paraId="4E8425F7" w14:textId="77777777" w:rsidR="004629B7" w:rsidRDefault="000534C8" w:rsidP="004629B7">
      <w:pPr>
        <w:pStyle w:val="BodyText"/>
      </w:pPr>
      <w:r>
        <w:t>Haltiwanger JC</w:t>
      </w:r>
      <w:r w:rsidR="004629B7">
        <w:t>, Jarmin</w:t>
      </w:r>
      <w:r>
        <w:t xml:space="preserve"> RS &amp;</w:t>
      </w:r>
      <w:r w:rsidR="004629B7">
        <w:t xml:space="preserve"> Miranda</w:t>
      </w:r>
      <w:r>
        <w:t xml:space="preserve"> J</w:t>
      </w:r>
      <w:r w:rsidR="00514E45">
        <w:t xml:space="preserve"> (2013) </w:t>
      </w:r>
      <w:hyperlink r:id="rId45">
        <w:r w:rsidR="004629B7">
          <w:rPr>
            <w:rStyle w:val="Hyperlink"/>
          </w:rPr>
          <w:t>Who Creates Jobs? Small vs. Large vs. Young</w:t>
        </w:r>
      </w:hyperlink>
      <w:r w:rsidR="00514E45">
        <w:t>,</w:t>
      </w:r>
      <w:r w:rsidR="004629B7">
        <w:t xml:space="preserve"> </w:t>
      </w:r>
      <w:r w:rsidR="004629B7" w:rsidRPr="00514E45">
        <w:t>Review of Economics and Statistics</w:t>
      </w:r>
      <w:r w:rsidR="004629B7">
        <w:t xml:space="preserve">, 95(2), </w:t>
      </w:r>
      <w:r w:rsidR="00AE0BAB">
        <w:t>pp.</w:t>
      </w:r>
      <w:r w:rsidR="004629B7">
        <w:t xml:space="preserve">347–361. </w:t>
      </w:r>
    </w:p>
    <w:p w14:paraId="3EB15085" w14:textId="77777777" w:rsidR="004629B7" w:rsidRDefault="00AD27B4" w:rsidP="004629B7">
      <w:pPr>
        <w:pStyle w:val="BodyText"/>
      </w:pPr>
      <w:r>
        <w:lastRenderedPageBreak/>
        <w:t>Hansell D &amp;</w:t>
      </w:r>
      <w:r w:rsidR="004629B7">
        <w:t xml:space="preserve"> Rafi</w:t>
      </w:r>
      <w:r>
        <w:t xml:space="preserve"> B (2018) </w:t>
      </w:r>
      <w:hyperlink r:id="rId46">
        <w:r w:rsidR="004629B7">
          <w:rPr>
            <w:rStyle w:val="Hyperlink"/>
          </w:rPr>
          <w:t>Firm-Level Analysis Using the ABS’ Business Longitudinal Analysis Data Environment (BLADE)</w:t>
        </w:r>
      </w:hyperlink>
      <w:r>
        <w:t>,</w:t>
      </w:r>
      <w:r w:rsidR="004629B7">
        <w:t xml:space="preserve"> </w:t>
      </w:r>
      <w:r w:rsidR="004629B7" w:rsidRPr="00AD27B4">
        <w:t>Australian Economic Review</w:t>
      </w:r>
      <w:r w:rsidR="004629B7">
        <w:t xml:space="preserve">, 51(1), </w:t>
      </w:r>
      <w:r>
        <w:t>pp.</w:t>
      </w:r>
      <w:r w:rsidR="004629B7">
        <w:t xml:space="preserve">132–138. </w:t>
      </w:r>
    </w:p>
    <w:p w14:paraId="336AC559" w14:textId="77777777" w:rsidR="004629B7" w:rsidRDefault="00330A92" w:rsidP="004629B7">
      <w:pPr>
        <w:pStyle w:val="BodyText"/>
      </w:pPr>
      <w:r>
        <w:t>Landes</w:t>
      </w:r>
      <w:r w:rsidR="004629B7">
        <w:t xml:space="preserve"> W</w:t>
      </w:r>
      <w:r>
        <w:t>M &amp;</w:t>
      </w:r>
      <w:r w:rsidR="004629B7">
        <w:t xml:space="preserve"> Posner </w:t>
      </w:r>
      <w:r>
        <w:t xml:space="preserve">RA (1981) </w:t>
      </w:r>
      <w:hyperlink r:id="rId47">
        <w:r w:rsidR="004629B7">
          <w:rPr>
            <w:rStyle w:val="Hyperlink"/>
          </w:rPr>
          <w:t>Market Power in Antitrust Cases</w:t>
        </w:r>
      </w:hyperlink>
      <w:r>
        <w:t>,</w:t>
      </w:r>
      <w:r w:rsidR="004629B7">
        <w:t xml:space="preserve"> </w:t>
      </w:r>
      <w:r w:rsidR="004629B7" w:rsidRPr="00330A92">
        <w:t>Harvard Law Review</w:t>
      </w:r>
      <w:r w:rsidR="004629B7">
        <w:t xml:space="preserve">, 94(5), </w:t>
      </w:r>
      <w:r>
        <w:t>pp.</w:t>
      </w:r>
      <w:r w:rsidR="004629B7">
        <w:t xml:space="preserve">937–996. </w:t>
      </w:r>
    </w:p>
    <w:p w14:paraId="2221C8AB" w14:textId="77777777" w:rsidR="004629B7" w:rsidRDefault="00A73F1B" w:rsidP="004629B7">
      <w:pPr>
        <w:pStyle w:val="BodyText"/>
      </w:pPr>
      <w:r>
        <w:t xml:space="preserve">Lerner AP (1934) </w:t>
      </w:r>
      <w:hyperlink r:id="rId48">
        <w:r w:rsidR="004629B7">
          <w:rPr>
            <w:rStyle w:val="Hyperlink"/>
          </w:rPr>
          <w:t>The Concept of Monopoly and the Measurement of Monopoly Power</w:t>
        </w:r>
      </w:hyperlink>
      <w:r>
        <w:t>,</w:t>
      </w:r>
      <w:r w:rsidR="004629B7">
        <w:t xml:space="preserve"> </w:t>
      </w:r>
      <w:r w:rsidR="004629B7" w:rsidRPr="00A73F1B">
        <w:t>Review of Economic Studies</w:t>
      </w:r>
      <w:r w:rsidR="004629B7">
        <w:t xml:space="preserve">, 1(3), </w:t>
      </w:r>
      <w:r>
        <w:t>pp.</w:t>
      </w:r>
      <w:r w:rsidR="004629B7">
        <w:t xml:space="preserve">157–175. </w:t>
      </w:r>
    </w:p>
    <w:p w14:paraId="051BF9BA" w14:textId="77777777" w:rsidR="004629B7" w:rsidRDefault="00C75990" w:rsidP="004629B7">
      <w:pPr>
        <w:pStyle w:val="BodyText"/>
      </w:pPr>
      <w:r>
        <w:t>MacDonald</w:t>
      </w:r>
      <w:r w:rsidR="004629B7">
        <w:t xml:space="preserve"> R</w:t>
      </w:r>
      <w:r>
        <w:t xml:space="preserve"> (2014) </w:t>
      </w:r>
      <w:hyperlink r:id="rId49">
        <w:r w:rsidR="004629B7">
          <w:rPr>
            <w:rStyle w:val="Hyperlink"/>
          </w:rPr>
          <w:t>Business Entry and Exit Rates in Canada: A 30-year Perspective</w:t>
        </w:r>
      </w:hyperlink>
      <w:r>
        <w:t>,</w:t>
      </w:r>
      <w:r w:rsidR="004629B7">
        <w:t xml:space="preserve"> </w:t>
      </w:r>
      <w:r w:rsidR="004629B7" w:rsidRPr="00C75990">
        <w:t>Statistics Canada</w:t>
      </w:r>
      <w:r w:rsidR="004629B7">
        <w:t xml:space="preserve">, Cat.No.11-626-X, No.038. </w:t>
      </w:r>
    </w:p>
    <w:p w14:paraId="7F20EF1F" w14:textId="459BDD9A" w:rsidR="008F0782" w:rsidRDefault="008F0782" w:rsidP="004629B7">
      <w:pPr>
        <w:pStyle w:val="BodyText"/>
      </w:pPr>
      <w:r>
        <w:t>Naud</w:t>
      </w:r>
      <w:r>
        <w:rPr>
          <w:rFonts w:cstheme="minorHAnsi"/>
        </w:rPr>
        <w:t>é</w:t>
      </w:r>
      <w:r>
        <w:t xml:space="preserve"> W</w:t>
      </w:r>
      <w:r w:rsidRPr="008F0782">
        <w:t xml:space="preserve"> (2</w:t>
      </w:r>
      <w:r>
        <w:t xml:space="preserve">019) </w:t>
      </w:r>
      <w:hyperlink r:id="rId50" w:history="1">
        <w:r w:rsidRPr="008F0782">
          <w:rPr>
            <w:rStyle w:val="Hyperlink"/>
          </w:rPr>
          <w:t>The Decline Entrepreneurship in the West: Is Complexity Ossifying the Economy?</w:t>
        </w:r>
      </w:hyperlink>
      <w:r>
        <w:t xml:space="preserve"> IZA Discussion Paper</w:t>
      </w:r>
      <w:r w:rsidRPr="008F0782">
        <w:t>, No.12602.</w:t>
      </w:r>
    </w:p>
    <w:p w14:paraId="1D48117D" w14:textId="77777777" w:rsidR="004629B7" w:rsidRDefault="004629B7" w:rsidP="004629B7">
      <w:pPr>
        <w:pStyle w:val="BodyText"/>
      </w:pPr>
      <w:r>
        <w:t>Orr D</w:t>
      </w:r>
      <w:r w:rsidR="00C75990">
        <w:t xml:space="preserve"> (1974) </w:t>
      </w:r>
      <w:hyperlink r:id="rId51">
        <w:r>
          <w:rPr>
            <w:rStyle w:val="Hyperlink"/>
          </w:rPr>
          <w:t>The Determinants of Entry: A Study of the Canadian Manufacturing Industries</w:t>
        </w:r>
      </w:hyperlink>
      <w:r w:rsidR="00C75990">
        <w:t>,</w:t>
      </w:r>
      <w:r>
        <w:t xml:space="preserve"> </w:t>
      </w:r>
      <w:r w:rsidRPr="00C75990">
        <w:t>Review of Economics and Statistics</w:t>
      </w:r>
      <w:r>
        <w:t xml:space="preserve">, 56(1), </w:t>
      </w:r>
      <w:r w:rsidR="00C75990">
        <w:t>pp.</w:t>
      </w:r>
      <w:r>
        <w:t xml:space="preserve">58–66. </w:t>
      </w:r>
    </w:p>
    <w:p w14:paraId="70D3B5BC" w14:textId="77777777" w:rsidR="004629B7" w:rsidRDefault="007510CF" w:rsidP="004629B7">
      <w:pPr>
        <w:pStyle w:val="BodyText"/>
      </w:pPr>
      <w:r>
        <w:t>Shambaugh J</w:t>
      </w:r>
      <w:r w:rsidR="004629B7">
        <w:t>, Nunn</w:t>
      </w:r>
      <w:r>
        <w:t xml:space="preserve"> R</w:t>
      </w:r>
      <w:r w:rsidR="004629B7">
        <w:t>, Breitwieser</w:t>
      </w:r>
      <w:r>
        <w:t xml:space="preserve"> A &amp;</w:t>
      </w:r>
      <w:r w:rsidR="004629B7">
        <w:t xml:space="preserve"> Liu</w:t>
      </w:r>
      <w:r>
        <w:t xml:space="preserve"> P</w:t>
      </w:r>
      <w:r w:rsidR="00E40A11">
        <w:t xml:space="preserve"> (2018) </w:t>
      </w:r>
      <w:hyperlink r:id="rId52" w:history="1">
        <w:r w:rsidR="004629B7" w:rsidRPr="00FC6772">
          <w:rPr>
            <w:rStyle w:val="Hyperlink"/>
          </w:rPr>
          <w:t>The State of Competition and Dynamism: Facts about Concentration, Start-ups, and Related Policies</w:t>
        </w:r>
      </w:hyperlink>
      <w:r w:rsidR="00E40A11">
        <w:t xml:space="preserve">, </w:t>
      </w:r>
      <w:r w:rsidR="004629B7" w:rsidRPr="00E40A11">
        <w:t>Brookings Institution</w:t>
      </w:r>
      <w:r w:rsidR="004629B7">
        <w:t xml:space="preserve">, Economic Facts Report, June. </w:t>
      </w:r>
    </w:p>
    <w:p w14:paraId="04EFD886" w14:textId="77777777" w:rsidR="004629B7" w:rsidRDefault="004E7E7C" w:rsidP="004629B7">
      <w:pPr>
        <w:pStyle w:val="BodyText"/>
      </w:pPr>
      <w:r>
        <w:t>Siegfried JJ &amp;</w:t>
      </w:r>
      <w:r w:rsidR="004629B7">
        <w:t xml:space="preserve"> Evans</w:t>
      </w:r>
      <w:r>
        <w:t xml:space="preserve"> LB (1994) </w:t>
      </w:r>
      <w:hyperlink r:id="rId53">
        <w:r w:rsidR="004629B7">
          <w:rPr>
            <w:rStyle w:val="Hyperlink"/>
          </w:rPr>
          <w:t>Empirical Studies of Entry and Exit: A Survey of the Evidence</w:t>
        </w:r>
      </w:hyperlink>
      <w:r>
        <w:t>,</w:t>
      </w:r>
      <w:r w:rsidR="004629B7">
        <w:t xml:space="preserve"> </w:t>
      </w:r>
      <w:r w:rsidR="004629B7" w:rsidRPr="004E7E7C">
        <w:t>Review of Industrial Organization</w:t>
      </w:r>
      <w:r w:rsidR="004629B7">
        <w:t xml:space="preserve">, 9(2), </w:t>
      </w:r>
      <w:r w:rsidR="0027341A">
        <w:t>pp.</w:t>
      </w:r>
      <w:r w:rsidR="004629B7">
        <w:t xml:space="preserve">121–155. </w:t>
      </w:r>
    </w:p>
    <w:p w14:paraId="4EE5CE7A" w14:textId="60221F3C" w:rsidR="00881A89" w:rsidRDefault="00881A89" w:rsidP="00881A89">
      <w:pPr>
        <w:pStyle w:val="BodyText"/>
      </w:pPr>
      <w:r>
        <w:t xml:space="preserve">Ugur </w:t>
      </w:r>
      <w:r w:rsidR="008F0782">
        <w:t>M</w:t>
      </w:r>
      <w:r>
        <w:t>, Trushin E, Solomon</w:t>
      </w:r>
      <w:r w:rsidR="008F0782">
        <w:t xml:space="preserve"> E</w:t>
      </w:r>
      <w:r>
        <w:t xml:space="preserve"> (2016) </w:t>
      </w:r>
      <w:hyperlink r:id="rId54" w:history="1">
        <w:r w:rsidRPr="00881A89">
          <w:rPr>
            <w:rStyle w:val="Hyperlink"/>
          </w:rPr>
          <w:t>A Firm-level Dataset for Analyzing Entry, Exit, Employment and R\&amp;D Expenditures in the UK: 1997--2012</w:t>
        </w:r>
      </w:hyperlink>
      <w:r>
        <w:t>, Data in Brief, 8, 153--157.</w:t>
      </w:r>
    </w:p>
    <w:p w14:paraId="00523D76" w14:textId="77777777" w:rsidR="004629B7" w:rsidRDefault="00894BEF" w:rsidP="004629B7">
      <w:pPr>
        <w:pStyle w:val="BodyText"/>
      </w:pPr>
      <w:r>
        <w:t>Yatchew</w:t>
      </w:r>
      <w:r w:rsidR="004629B7">
        <w:t xml:space="preserve"> A (1990) </w:t>
      </w:r>
      <w:hyperlink r:id="rId55">
        <w:r w:rsidR="004629B7">
          <w:rPr>
            <w:rStyle w:val="Hyperlink"/>
          </w:rPr>
          <w:t>Nonparametric Regression Techniques in Economics</w:t>
        </w:r>
      </w:hyperlink>
      <w:r>
        <w:t xml:space="preserve">, </w:t>
      </w:r>
      <w:r w:rsidR="004629B7" w:rsidRPr="00894BEF">
        <w:t>Journal of Economic Literature</w:t>
      </w:r>
      <w:r w:rsidR="004629B7">
        <w:t xml:space="preserve">, 36(2), </w:t>
      </w:r>
      <w:r>
        <w:t>pp.</w:t>
      </w:r>
      <w:r w:rsidR="004629B7">
        <w:t>669–721.</w:t>
      </w:r>
    </w:p>
    <w:p w14:paraId="6E0C94DB" w14:textId="77777777" w:rsidR="004629B7" w:rsidRPr="004629B7" w:rsidRDefault="004629B7" w:rsidP="004629B7">
      <w:pPr>
        <w:pStyle w:val="BodyText"/>
        <w:rPr>
          <w:lang w:val="en-US"/>
        </w:rPr>
      </w:pPr>
    </w:p>
    <w:p w14:paraId="73B79037" w14:textId="77777777" w:rsidR="004629B7" w:rsidRPr="004629B7" w:rsidRDefault="004629B7" w:rsidP="004629B7">
      <w:pPr>
        <w:pStyle w:val="BodyText"/>
        <w:rPr>
          <w:lang w:val="en"/>
        </w:rPr>
      </w:pPr>
    </w:p>
    <w:sectPr w:rsidR="004629B7" w:rsidRPr="004629B7" w:rsidSect="00EF258C">
      <w:footerReference w:type="default" r:id="rId56"/>
      <w:footerReference w:type="first" r:id="rId57"/>
      <w:pgSz w:w="11906" w:h="16838" w:code="9"/>
      <w:pgMar w:top="1440" w:right="1440" w:bottom="1440" w:left="3572"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30F72" w14:textId="77777777" w:rsidR="009610EF" w:rsidRDefault="009610EF" w:rsidP="00F244EA">
      <w:pPr>
        <w:spacing w:after="0" w:line="240" w:lineRule="auto"/>
      </w:pPr>
      <w:r>
        <w:separator/>
      </w:r>
    </w:p>
  </w:endnote>
  <w:endnote w:type="continuationSeparator" w:id="0">
    <w:p w14:paraId="098445C9" w14:textId="77777777" w:rsidR="009610EF" w:rsidRDefault="009610EF"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B5E3" w14:textId="77777777" w:rsidR="009610EF" w:rsidRPr="001C2E57" w:rsidRDefault="009610EF"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9A27E4">
      <w:rPr>
        <w:noProof/>
      </w:rPr>
      <w:instrText>Market Power and Entrepreneurship Change: the Case for Australia</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9A27E4">
      <w:rPr>
        <w:noProof/>
      </w:rPr>
      <w:instrText>Market Power and Entrepreneurship Change: the Case for Australia</w:instrText>
    </w:r>
    <w:r>
      <w:rPr>
        <w:noProof/>
      </w:rPr>
      <w:fldChar w:fldCharType="end"/>
    </w:r>
    <w:r w:rsidRPr="001C2E57">
      <w:instrText xml:space="preserve"> </w:instrText>
    </w:r>
    <w:r w:rsidRPr="001C2E57">
      <w:fldChar w:fldCharType="separate"/>
    </w:r>
    <w:r w:rsidR="009A27E4">
      <w:rPr>
        <w:noProof/>
      </w:rPr>
      <w:t>Market Power and Entrepreneurship Change: the Case for Australia</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9A27E4">
      <w:rPr>
        <w:noProof/>
      </w:rPr>
      <w:t>0</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57C2" w14:textId="77777777" w:rsidR="009610EF" w:rsidRPr="001C2E57" w:rsidRDefault="009610EF"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9A27E4">
      <w:rPr>
        <w:noProof/>
      </w:rPr>
      <w:instrText>Market Power and Entrepreneurship Change: the Case for Australia</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9A27E4">
      <w:rPr>
        <w:noProof/>
      </w:rPr>
      <w:instrText>Market Power and Entrepreneurship Change: the Case for Australia</w:instrText>
    </w:r>
    <w:r>
      <w:rPr>
        <w:noProof/>
      </w:rPr>
      <w:fldChar w:fldCharType="end"/>
    </w:r>
    <w:r w:rsidRPr="001C2E57">
      <w:instrText xml:space="preserve"> </w:instrText>
    </w:r>
    <w:r w:rsidRPr="001C2E57">
      <w:fldChar w:fldCharType="separate"/>
    </w:r>
    <w:r w:rsidR="009A27E4">
      <w:rPr>
        <w:noProof/>
      </w:rPr>
      <w:t>Market Power and Entrepreneurship Change: the Case for Australia</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9A27E4">
      <w:rPr>
        <w:noProof/>
      </w:rPr>
      <w:t>19</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1A22" w14:textId="77777777" w:rsidR="009610EF" w:rsidRPr="001C2E57" w:rsidRDefault="009610EF" w:rsidP="00E35ECE">
    <w:pPr>
      <w:pStyle w:val="Footer"/>
    </w:pPr>
    <w:r w:rsidRPr="001C2E57">
      <w:fldChar w:fldCharType="begin"/>
    </w:r>
    <w:r w:rsidRPr="001C2E57">
      <w:instrText>IF</w:instrText>
    </w:r>
    <w:fldSimple w:instr=" STYLEREF &quot;Title Heading&quot; \* Charformat ">
      <w:r w:rsidR="009A27E4">
        <w:rPr>
          <w:noProof/>
        </w:rPr>
        <w:instrText>Market Power and Entrepreneurship Change: the Case for Australia</w:instrText>
      </w:r>
    </w:fldSimple>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9A27E4">
      <w:rPr>
        <w:noProof/>
      </w:rPr>
      <w:instrText>Market Power and Entrepreneurship Change: the Case for Australia</w:instrText>
    </w:r>
    <w:r>
      <w:rPr>
        <w:noProof/>
      </w:rPr>
      <w:fldChar w:fldCharType="end"/>
    </w:r>
    <w:r w:rsidRPr="001C2E57">
      <w:instrText xml:space="preserve"> </w:instrText>
    </w:r>
    <w:r w:rsidR="009A27E4">
      <w:fldChar w:fldCharType="separate"/>
    </w:r>
    <w:r w:rsidR="009A27E4">
      <w:rPr>
        <w:noProof/>
      </w:rPr>
      <w:t>Market Power and Entrepreneurship Change: the Case for Australia</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F5F66" w14:textId="77777777" w:rsidR="009610EF" w:rsidRDefault="009610EF" w:rsidP="003A4A21">
      <w:pPr>
        <w:spacing w:after="0" w:line="240" w:lineRule="auto"/>
        <w:ind w:left="0"/>
      </w:pPr>
      <w:r>
        <w:separator/>
      </w:r>
    </w:p>
  </w:footnote>
  <w:footnote w:type="continuationSeparator" w:id="0">
    <w:p w14:paraId="4A2B85C0" w14:textId="77777777" w:rsidR="009610EF" w:rsidRDefault="009610EF" w:rsidP="00F244EA">
      <w:pPr>
        <w:spacing w:after="0" w:line="240" w:lineRule="auto"/>
      </w:pPr>
      <w:r>
        <w:continuationSeparator/>
      </w:r>
    </w:p>
  </w:footnote>
  <w:footnote w:id="1">
    <w:p w14:paraId="02B6EB59" w14:textId="77777777" w:rsidR="009610EF" w:rsidRDefault="009610EF" w:rsidP="009E66CF">
      <w:pPr>
        <w:pStyle w:val="FootnoteText"/>
        <w:ind w:left="108"/>
      </w:pPr>
      <w:r w:rsidRPr="00536109">
        <w:rPr>
          <w:rStyle w:val="FootnoteReference"/>
          <w:rFonts w:eastAsiaTheme="majorEastAsia"/>
        </w:rPr>
        <w:footnoteRef/>
      </w:r>
      <w:r>
        <w:t xml:space="preserve"> Fiscal years in Australia begin on July 1st and end on 30th June the next year. Throughout the paper, I refer to fiscal years by the ending year, so that fiscal year 2002-03 is referred to as the year 2003.</w:t>
      </w:r>
    </w:p>
  </w:footnote>
  <w:footnote w:id="2">
    <w:p w14:paraId="3E6F6B95" w14:textId="77777777" w:rsidR="009610EF" w:rsidRDefault="009610EF" w:rsidP="0034004B">
      <w:pPr>
        <w:pStyle w:val="FootnoteText"/>
        <w:ind w:left="0" w:firstLine="0"/>
      </w:pPr>
      <w:r w:rsidRPr="00536109">
        <w:rPr>
          <w:rStyle w:val="FootnoteReference"/>
          <w:rFonts w:eastAsiaTheme="majorEastAsia"/>
        </w:rPr>
        <w:footnoteRef/>
      </w:r>
      <w:r>
        <w:t xml:space="preserve"> Considering the form of the model in (</w:t>
      </w:r>
      <w:r w:rsidR="009A27E4">
        <w:fldChar w:fldCharType="begin"/>
      </w:r>
      <w:r w:rsidR="009A27E4">
        <w:instrText>REF BM</w:instrText>
      </w:r>
      <w:r w:rsidR="009A27E4">
        <w:instrText xml:space="preserve">eq_entry \* MERGEFORMAT </w:instrText>
      </w:r>
      <w:r w:rsidR="009A27E4">
        <w:fldChar w:fldCharType="separate"/>
      </w:r>
      <w:r w:rsidR="009A27E4">
        <w:t>2</w:t>
      </w:r>
      <w:r w:rsidR="009A27E4">
        <w:fldChar w:fldCharType="end"/>
      </w:r>
      <w:r>
        <w:t xml:space="preserve">), the percentage change in firm entry for a 0.1 increase in Market Power is </w:t>
      </w:r>
    </w:p>
    <w:p w14:paraId="537EFA16" w14:textId="77777777" w:rsidR="009610EF" w:rsidRDefault="009610EF" w:rsidP="0034004B">
      <w:pPr>
        <w:pStyle w:val="equation"/>
        <w:tabs>
          <w:tab w:val="center" w:pos="4019"/>
        </w:tabs>
        <w:spacing w:line="480" w:lineRule="auto"/>
        <w:jc w:val="center"/>
      </w:pPr>
      <w:r>
        <w:fldChar w:fldCharType="begin"/>
      </w:r>
      <w:r>
        <w:instrText xml:space="preserve"> EQ Δ</w:instrText>
      </w:r>
      <w:r>
        <w:rPr>
          <w:i/>
          <w:iCs/>
        </w:rPr>
        <w:instrText>Y</w:instrText>
      </w:r>
      <w:r>
        <w:instrText>(%)=(</w:instrText>
      </w:r>
      <w:r>
        <w:rPr>
          <w:i/>
          <w:iCs/>
        </w:rPr>
        <w:instrText>e</w:instrText>
      </w:r>
      <w:r>
        <w:instrText>\s\up5(</w:instrText>
      </w:r>
      <w:r>
        <w:rPr>
          <w:i/>
          <w:iCs/>
          <w:sz w:val="16"/>
          <w:szCs w:val="16"/>
        </w:rPr>
        <w:instrText>a</w:instrText>
      </w:r>
      <w:r>
        <w:rPr>
          <w:sz w:val="16"/>
          <w:szCs w:val="16"/>
        </w:rPr>
        <w:instrText>\s\do4(</w:instrText>
      </w:r>
      <w:r>
        <w:rPr>
          <w:sz w:val="13"/>
          <w:szCs w:val="13"/>
        </w:rPr>
        <w:instrText>1</w:instrText>
      </w:r>
      <w:r>
        <w:rPr>
          <w:sz w:val="16"/>
          <w:szCs w:val="16"/>
        </w:rPr>
        <w:instrText>)×0.1</w:instrText>
      </w:r>
      <w:r>
        <w:instrText>)−1)×100.</w:instrText>
      </w:r>
      <w:r>
        <w:fldChar w:fldCharType="end"/>
      </w:r>
    </w:p>
    <w:p w14:paraId="494D0F5C" w14:textId="77777777" w:rsidR="009610EF" w:rsidRDefault="009610EF" w:rsidP="0034004B">
      <w:pPr>
        <w:pStyle w:val="equation"/>
        <w:tabs>
          <w:tab w:val="center" w:pos="4019"/>
        </w:tabs>
        <w:spacing w:line="48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4E0A30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3323B3"/>
    <w:multiLevelType w:val="hybridMultilevel"/>
    <w:tmpl w:val="9F9E020A"/>
    <w:lvl w:ilvl="0" w:tplc="0C090001">
      <w:start w:val="1"/>
      <w:numFmt w:val="bullet"/>
      <w:lvlText w:val=""/>
      <w:lvlJc w:val="left"/>
      <w:pPr>
        <w:ind w:left="2877" w:hanging="360"/>
      </w:pPr>
      <w:rPr>
        <w:rFonts w:ascii="Symbol" w:hAnsi="Symbol" w:hint="default"/>
      </w:rPr>
    </w:lvl>
    <w:lvl w:ilvl="1" w:tplc="0C090003" w:tentative="1">
      <w:start w:val="1"/>
      <w:numFmt w:val="bullet"/>
      <w:lvlText w:val="o"/>
      <w:lvlJc w:val="left"/>
      <w:pPr>
        <w:ind w:left="3597" w:hanging="360"/>
      </w:pPr>
      <w:rPr>
        <w:rFonts w:ascii="Courier New" w:hAnsi="Courier New" w:cs="Courier New" w:hint="default"/>
      </w:rPr>
    </w:lvl>
    <w:lvl w:ilvl="2" w:tplc="0C090005" w:tentative="1">
      <w:start w:val="1"/>
      <w:numFmt w:val="bullet"/>
      <w:lvlText w:val=""/>
      <w:lvlJc w:val="left"/>
      <w:pPr>
        <w:ind w:left="4317" w:hanging="360"/>
      </w:pPr>
      <w:rPr>
        <w:rFonts w:ascii="Wingdings" w:hAnsi="Wingdings" w:hint="default"/>
      </w:rPr>
    </w:lvl>
    <w:lvl w:ilvl="3" w:tplc="0C090001" w:tentative="1">
      <w:start w:val="1"/>
      <w:numFmt w:val="bullet"/>
      <w:lvlText w:val=""/>
      <w:lvlJc w:val="left"/>
      <w:pPr>
        <w:ind w:left="5037" w:hanging="360"/>
      </w:pPr>
      <w:rPr>
        <w:rFonts w:ascii="Symbol" w:hAnsi="Symbol" w:hint="default"/>
      </w:rPr>
    </w:lvl>
    <w:lvl w:ilvl="4" w:tplc="0C090003" w:tentative="1">
      <w:start w:val="1"/>
      <w:numFmt w:val="bullet"/>
      <w:lvlText w:val="o"/>
      <w:lvlJc w:val="left"/>
      <w:pPr>
        <w:ind w:left="5757" w:hanging="360"/>
      </w:pPr>
      <w:rPr>
        <w:rFonts w:ascii="Courier New" w:hAnsi="Courier New" w:cs="Courier New" w:hint="default"/>
      </w:rPr>
    </w:lvl>
    <w:lvl w:ilvl="5" w:tplc="0C090005" w:tentative="1">
      <w:start w:val="1"/>
      <w:numFmt w:val="bullet"/>
      <w:lvlText w:val=""/>
      <w:lvlJc w:val="left"/>
      <w:pPr>
        <w:ind w:left="6477" w:hanging="360"/>
      </w:pPr>
      <w:rPr>
        <w:rFonts w:ascii="Wingdings" w:hAnsi="Wingdings" w:hint="default"/>
      </w:rPr>
    </w:lvl>
    <w:lvl w:ilvl="6" w:tplc="0C090001" w:tentative="1">
      <w:start w:val="1"/>
      <w:numFmt w:val="bullet"/>
      <w:lvlText w:val=""/>
      <w:lvlJc w:val="left"/>
      <w:pPr>
        <w:ind w:left="7197" w:hanging="360"/>
      </w:pPr>
      <w:rPr>
        <w:rFonts w:ascii="Symbol" w:hAnsi="Symbol" w:hint="default"/>
      </w:rPr>
    </w:lvl>
    <w:lvl w:ilvl="7" w:tplc="0C090003" w:tentative="1">
      <w:start w:val="1"/>
      <w:numFmt w:val="bullet"/>
      <w:lvlText w:val="o"/>
      <w:lvlJc w:val="left"/>
      <w:pPr>
        <w:ind w:left="7917" w:hanging="360"/>
      </w:pPr>
      <w:rPr>
        <w:rFonts w:ascii="Courier New" w:hAnsi="Courier New" w:cs="Courier New" w:hint="default"/>
      </w:rPr>
    </w:lvl>
    <w:lvl w:ilvl="8" w:tplc="0C090005" w:tentative="1">
      <w:start w:val="1"/>
      <w:numFmt w:val="bullet"/>
      <w:lvlText w:val=""/>
      <w:lvlJc w:val="left"/>
      <w:pPr>
        <w:ind w:left="8637" w:hanging="360"/>
      </w:pPr>
      <w:rPr>
        <w:rFonts w:ascii="Wingdings" w:hAnsi="Wingdings" w:hint="default"/>
      </w:rPr>
    </w:lvl>
  </w:abstractNum>
  <w:abstractNum w:abstractNumId="3" w15:restartNumberingAfterBreak="0">
    <w:nsid w:val="057A3A93"/>
    <w:multiLevelType w:val="multilevel"/>
    <w:tmpl w:val="7D22E52C"/>
    <w:numStyleLink w:val="OCEBulletedList"/>
  </w:abstractNum>
  <w:abstractNum w:abstractNumId="4"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933F4"/>
    <w:multiLevelType w:val="multilevel"/>
    <w:tmpl w:val="7D22E52C"/>
    <w:numStyleLink w:val="OCEBulletedList"/>
  </w:abstractNum>
  <w:abstractNum w:abstractNumId="6" w15:restartNumberingAfterBreak="0">
    <w:nsid w:val="159A6EC1"/>
    <w:multiLevelType w:val="multilevel"/>
    <w:tmpl w:val="3BFA39A6"/>
    <w:numStyleLink w:val="OCENumberedList"/>
  </w:abstractNum>
  <w:abstractNum w:abstractNumId="7"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8"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10"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11" w15:restartNumberingAfterBreak="0">
    <w:nsid w:val="343D5378"/>
    <w:multiLevelType w:val="multilevel"/>
    <w:tmpl w:val="7D22E52C"/>
    <w:numStyleLink w:val="OCEBulletedList"/>
  </w:abstractNum>
  <w:abstractNum w:abstractNumId="12"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3" w15:restartNumberingAfterBreak="0">
    <w:nsid w:val="413C507C"/>
    <w:multiLevelType w:val="multilevel"/>
    <w:tmpl w:val="7D22E52C"/>
    <w:numStyleLink w:val="OCEBulletedList"/>
  </w:abstractNum>
  <w:abstractNum w:abstractNumId="14"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813CDC"/>
    <w:multiLevelType w:val="multilevel"/>
    <w:tmpl w:val="D5BAF582"/>
    <w:numStyleLink w:val="OCEHeadings"/>
  </w:abstractNum>
  <w:abstractNum w:abstractNumId="17" w15:restartNumberingAfterBreak="0">
    <w:nsid w:val="69925004"/>
    <w:multiLevelType w:val="multilevel"/>
    <w:tmpl w:val="7D22E52C"/>
    <w:numStyleLink w:val="OCEBulletedList"/>
  </w:abstractNum>
  <w:abstractNum w:abstractNumId="18" w15:restartNumberingAfterBreak="0">
    <w:nsid w:val="755C274A"/>
    <w:multiLevelType w:val="multilevel"/>
    <w:tmpl w:val="7D22E52C"/>
    <w:numStyleLink w:val="OCEBulletedList"/>
  </w:abstractNum>
  <w:abstractNum w:abstractNumId="19" w15:restartNumberingAfterBreak="0">
    <w:nsid w:val="768D4473"/>
    <w:multiLevelType w:val="multilevel"/>
    <w:tmpl w:val="7D22E52C"/>
    <w:numStyleLink w:val="OCEBulletedList"/>
  </w:abstractNum>
  <w:abstractNum w:abstractNumId="20" w15:restartNumberingAfterBreak="0">
    <w:nsid w:val="7AAF61C4"/>
    <w:multiLevelType w:val="multilevel"/>
    <w:tmpl w:val="7D22E52C"/>
    <w:numStyleLink w:val="OCEBulletedList"/>
  </w:abstractNum>
  <w:abstractNum w:abstractNumId="21"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1"/>
  </w:num>
  <w:num w:numId="4">
    <w:abstractNumId w:val="15"/>
  </w:num>
  <w:num w:numId="5">
    <w:abstractNumId w:val="9"/>
  </w:num>
  <w:num w:numId="6">
    <w:abstractNumId w:val="8"/>
  </w:num>
  <w:num w:numId="7">
    <w:abstractNumId w:val="14"/>
  </w:num>
  <w:num w:numId="8">
    <w:abstractNumId w:val="7"/>
  </w:num>
  <w:num w:numId="9">
    <w:abstractNumId w:val="16"/>
  </w:num>
  <w:num w:numId="10">
    <w:abstractNumId w:val="16"/>
  </w:num>
  <w:num w:numId="11">
    <w:abstractNumId w:val="18"/>
  </w:num>
  <w:num w:numId="12">
    <w:abstractNumId w:val="6"/>
  </w:num>
  <w:num w:numId="13">
    <w:abstractNumId w:val="15"/>
  </w:num>
  <w:num w:numId="14">
    <w:abstractNumId w:val="14"/>
  </w:num>
  <w:num w:numId="15">
    <w:abstractNumId w:val="14"/>
  </w:num>
  <w:num w:numId="16">
    <w:abstractNumId w:val="6"/>
  </w:num>
  <w:num w:numId="17">
    <w:abstractNumId w:val="7"/>
  </w:num>
  <w:num w:numId="18">
    <w:abstractNumId w:val="16"/>
  </w:num>
  <w:num w:numId="19">
    <w:abstractNumId w:val="16"/>
  </w:num>
  <w:num w:numId="20">
    <w:abstractNumId w:val="16"/>
  </w:num>
  <w:num w:numId="21">
    <w:abstractNumId w:val="10"/>
  </w:num>
  <w:num w:numId="22">
    <w:abstractNumId w:val="4"/>
  </w:num>
  <w:num w:numId="23">
    <w:abstractNumId w:val="17"/>
  </w:num>
  <w:num w:numId="24">
    <w:abstractNumId w:val="3"/>
  </w:num>
  <w:num w:numId="25">
    <w:abstractNumId w:val="15"/>
  </w:num>
  <w:num w:numId="26">
    <w:abstractNumId w:val="15"/>
  </w:num>
  <w:num w:numId="27">
    <w:abstractNumId w:val="13"/>
  </w:num>
  <w:num w:numId="28">
    <w:abstractNumId w:val="11"/>
  </w:num>
  <w:num w:numId="29">
    <w:abstractNumId w:val="19"/>
  </w:num>
  <w:num w:numId="30">
    <w:abstractNumId w:val="20"/>
  </w:num>
  <w:num w:numId="31">
    <w:abstractNumId w:val="5"/>
  </w:num>
  <w:num w:numId="32">
    <w:abstractNumId w:val="14"/>
  </w:num>
  <w:num w:numId="33">
    <w:abstractNumId w:val="14"/>
  </w:num>
  <w:num w:numId="34">
    <w:abstractNumId w:val="15"/>
  </w:num>
  <w:num w:numId="35">
    <w:abstractNumId w:val="15"/>
  </w:num>
  <w:num w:numId="36">
    <w:abstractNumId w:val="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EF"/>
    <w:rsid w:val="00000A47"/>
    <w:rsid w:val="00002F55"/>
    <w:rsid w:val="000036F1"/>
    <w:rsid w:val="00003B81"/>
    <w:rsid w:val="00004365"/>
    <w:rsid w:val="00004BF6"/>
    <w:rsid w:val="00007EBB"/>
    <w:rsid w:val="00010903"/>
    <w:rsid w:val="0001161C"/>
    <w:rsid w:val="00011BE7"/>
    <w:rsid w:val="000122D8"/>
    <w:rsid w:val="00013F4A"/>
    <w:rsid w:val="00013F80"/>
    <w:rsid w:val="00017BB5"/>
    <w:rsid w:val="000213F0"/>
    <w:rsid w:val="000238B9"/>
    <w:rsid w:val="0002478E"/>
    <w:rsid w:val="0002648C"/>
    <w:rsid w:val="00035325"/>
    <w:rsid w:val="00037B42"/>
    <w:rsid w:val="00041FE3"/>
    <w:rsid w:val="00043051"/>
    <w:rsid w:val="00047373"/>
    <w:rsid w:val="000526EF"/>
    <w:rsid w:val="000534C8"/>
    <w:rsid w:val="00053A80"/>
    <w:rsid w:val="0005753A"/>
    <w:rsid w:val="00060184"/>
    <w:rsid w:val="00060761"/>
    <w:rsid w:val="00060CE1"/>
    <w:rsid w:val="000614AF"/>
    <w:rsid w:val="000618FB"/>
    <w:rsid w:val="000641E0"/>
    <w:rsid w:val="0006492D"/>
    <w:rsid w:val="00067812"/>
    <w:rsid w:val="00070749"/>
    <w:rsid w:val="0007137D"/>
    <w:rsid w:val="000728D2"/>
    <w:rsid w:val="00076E42"/>
    <w:rsid w:val="00082BF4"/>
    <w:rsid w:val="00090174"/>
    <w:rsid w:val="000904D3"/>
    <w:rsid w:val="000920D2"/>
    <w:rsid w:val="000970A3"/>
    <w:rsid w:val="000A011E"/>
    <w:rsid w:val="000A29BA"/>
    <w:rsid w:val="000A3D7F"/>
    <w:rsid w:val="000A4E45"/>
    <w:rsid w:val="000A5452"/>
    <w:rsid w:val="000A5CFF"/>
    <w:rsid w:val="000A6370"/>
    <w:rsid w:val="000A63C0"/>
    <w:rsid w:val="000A6F5B"/>
    <w:rsid w:val="000B279E"/>
    <w:rsid w:val="000B2C1B"/>
    <w:rsid w:val="000B2DFC"/>
    <w:rsid w:val="000B5BC7"/>
    <w:rsid w:val="000B7F7A"/>
    <w:rsid w:val="000C03CF"/>
    <w:rsid w:val="000C0DD7"/>
    <w:rsid w:val="000C19CB"/>
    <w:rsid w:val="000C5C3C"/>
    <w:rsid w:val="000C6AD6"/>
    <w:rsid w:val="000D33DA"/>
    <w:rsid w:val="000D5123"/>
    <w:rsid w:val="000E08AE"/>
    <w:rsid w:val="000E0A0C"/>
    <w:rsid w:val="000E415F"/>
    <w:rsid w:val="000F0460"/>
    <w:rsid w:val="000F0E5C"/>
    <w:rsid w:val="000F6F40"/>
    <w:rsid w:val="00100B74"/>
    <w:rsid w:val="00101A29"/>
    <w:rsid w:val="00107A3F"/>
    <w:rsid w:val="00112208"/>
    <w:rsid w:val="00114BB1"/>
    <w:rsid w:val="0011640A"/>
    <w:rsid w:val="00116E58"/>
    <w:rsid w:val="0012045F"/>
    <w:rsid w:val="00120E94"/>
    <w:rsid w:val="001243D4"/>
    <w:rsid w:val="001246EC"/>
    <w:rsid w:val="00125971"/>
    <w:rsid w:val="0013066A"/>
    <w:rsid w:val="00134B28"/>
    <w:rsid w:val="00135E19"/>
    <w:rsid w:val="001360E8"/>
    <w:rsid w:val="0015000D"/>
    <w:rsid w:val="001517A1"/>
    <w:rsid w:val="0015190D"/>
    <w:rsid w:val="00156B5B"/>
    <w:rsid w:val="00163D6E"/>
    <w:rsid w:val="001658D2"/>
    <w:rsid w:val="00166576"/>
    <w:rsid w:val="00166996"/>
    <w:rsid w:val="0017293E"/>
    <w:rsid w:val="001732B4"/>
    <w:rsid w:val="00174624"/>
    <w:rsid w:val="0017468E"/>
    <w:rsid w:val="00180E4F"/>
    <w:rsid w:val="00182B15"/>
    <w:rsid w:val="001862AC"/>
    <w:rsid w:val="00186D3D"/>
    <w:rsid w:val="001900EE"/>
    <w:rsid w:val="0019168F"/>
    <w:rsid w:val="00195C83"/>
    <w:rsid w:val="001A322A"/>
    <w:rsid w:val="001A3451"/>
    <w:rsid w:val="001A48B2"/>
    <w:rsid w:val="001A4E10"/>
    <w:rsid w:val="001A6352"/>
    <w:rsid w:val="001B032F"/>
    <w:rsid w:val="001B345E"/>
    <w:rsid w:val="001B3F96"/>
    <w:rsid w:val="001B419A"/>
    <w:rsid w:val="001B54B9"/>
    <w:rsid w:val="001B6316"/>
    <w:rsid w:val="001B6554"/>
    <w:rsid w:val="001C4733"/>
    <w:rsid w:val="001C4FFC"/>
    <w:rsid w:val="001C5291"/>
    <w:rsid w:val="001D07A5"/>
    <w:rsid w:val="001D1B60"/>
    <w:rsid w:val="001D204F"/>
    <w:rsid w:val="001D2E2D"/>
    <w:rsid w:val="001D4374"/>
    <w:rsid w:val="001E2136"/>
    <w:rsid w:val="001E4942"/>
    <w:rsid w:val="001F1E5D"/>
    <w:rsid w:val="001F551B"/>
    <w:rsid w:val="001F5BC1"/>
    <w:rsid w:val="001F5F85"/>
    <w:rsid w:val="001F61C6"/>
    <w:rsid w:val="001F6FAB"/>
    <w:rsid w:val="001F7477"/>
    <w:rsid w:val="001F74CA"/>
    <w:rsid w:val="002029E0"/>
    <w:rsid w:val="002076C8"/>
    <w:rsid w:val="00207D37"/>
    <w:rsid w:val="00214241"/>
    <w:rsid w:val="002171EA"/>
    <w:rsid w:val="002176C2"/>
    <w:rsid w:val="0022378D"/>
    <w:rsid w:val="00225842"/>
    <w:rsid w:val="00225DC8"/>
    <w:rsid w:val="002336D5"/>
    <w:rsid w:val="00234CEA"/>
    <w:rsid w:val="002400CF"/>
    <w:rsid w:val="00245F48"/>
    <w:rsid w:val="00246F21"/>
    <w:rsid w:val="00247B26"/>
    <w:rsid w:val="00251254"/>
    <w:rsid w:val="00252C28"/>
    <w:rsid w:val="00255773"/>
    <w:rsid w:val="00256BD3"/>
    <w:rsid w:val="002575E1"/>
    <w:rsid w:val="00262639"/>
    <w:rsid w:val="002630DD"/>
    <w:rsid w:val="0026576F"/>
    <w:rsid w:val="0026658D"/>
    <w:rsid w:val="00267507"/>
    <w:rsid w:val="00272952"/>
    <w:rsid w:val="0027341A"/>
    <w:rsid w:val="002757A5"/>
    <w:rsid w:val="00280EB9"/>
    <w:rsid w:val="002830F6"/>
    <w:rsid w:val="00285A2F"/>
    <w:rsid w:val="002866DE"/>
    <w:rsid w:val="002869BE"/>
    <w:rsid w:val="0029234D"/>
    <w:rsid w:val="00292AE8"/>
    <w:rsid w:val="002A33E7"/>
    <w:rsid w:val="002A6979"/>
    <w:rsid w:val="002A7F2D"/>
    <w:rsid w:val="002B1DD2"/>
    <w:rsid w:val="002B3220"/>
    <w:rsid w:val="002B779D"/>
    <w:rsid w:val="002C1206"/>
    <w:rsid w:val="002C235C"/>
    <w:rsid w:val="002C46C9"/>
    <w:rsid w:val="002C603D"/>
    <w:rsid w:val="002C7B38"/>
    <w:rsid w:val="002D0127"/>
    <w:rsid w:val="002D322E"/>
    <w:rsid w:val="002D4188"/>
    <w:rsid w:val="002D4DC6"/>
    <w:rsid w:val="002D56BA"/>
    <w:rsid w:val="002D5C65"/>
    <w:rsid w:val="002D735E"/>
    <w:rsid w:val="002E3270"/>
    <w:rsid w:val="002E43BD"/>
    <w:rsid w:val="002E4E76"/>
    <w:rsid w:val="002E5386"/>
    <w:rsid w:val="002F0EEF"/>
    <w:rsid w:val="002F2208"/>
    <w:rsid w:val="002F487F"/>
    <w:rsid w:val="002F56EE"/>
    <w:rsid w:val="00300738"/>
    <w:rsid w:val="00300F58"/>
    <w:rsid w:val="00301D88"/>
    <w:rsid w:val="0030442F"/>
    <w:rsid w:val="003076BF"/>
    <w:rsid w:val="00307AD6"/>
    <w:rsid w:val="00311A07"/>
    <w:rsid w:val="00311B71"/>
    <w:rsid w:val="00315AE5"/>
    <w:rsid w:val="00315B65"/>
    <w:rsid w:val="00315C5C"/>
    <w:rsid w:val="00322656"/>
    <w:rsid w:val="00324A27"/>
    <w:rsid w:val="0032565E"/>
    <w:rsid w:val="00330A92"/>
    <w:rsid w:val="003322B1"/>
    <w:rsid w:val="00332542"/>
    <w:rsid w:val="00335A6B"/>
    <w:rsid w:val="0034004B"/>
    <w:rsid w:val="00340E62"/>
    <w:rsid w:val="00342BC3"/>
    <w:rsid w:val="003450B5"/>
    <w:rsid w:val="00345516"/>
    <w:rsid w:val="00347A7F"/>
    <w:rsid w:val="00350C19"/>
    <w:rsid w:val="00352356"/>
    <w:rsid w:val="00354E7E"/>
    <w:rsid w:val="00354EA2"/>
    <w:rsid w:val="003578A6"/>
    <w:rsid w:val="0036252B"/>
    <w:rsid w:val="003641D9"/>
    <w:rsid w:val="00364BAD"/>
    <w:rsid w:val="00370CD0"/>
    <w:rsid w:val="003712D9"/>
    <w:rsid w:val="00371F36"/>
    <w:rsid w:val="0037708E"/>
    <w:rsid w:val="00382BE7"/>
    <w:rsid w:val="00385BB6"/>
    <w:rsid w:val="00387F73"/>
    <w:rsid w:val="00390DA0"/>
    <w:rsid w:val="003960C5"/>
    <w:rsid w:val="00396329"/>
    <w:rsid w:val="003967EE"/>
    <w:rsid w:val="00396E87"/>
    <w:rsid w:val="003A253A"/>
    <w:rsid w:val="003A2DA8"/>
    <w:rsid w:val="003A33D9"/>
    <w:rsid w:val="003A4A21"/>
    <w:rsid w:val="003A564E"/>
    <w:rsid w:val="003A57B8"/>
    <w:rsid w:val="003A5A88"/>
    <w:rsid w:val="003A6A81"/>
    <w:rsid w:val="003A6C83"/>
    <w:rsid w:val="003B12F3"/>
    <w:rsid w:val="003B141B"/>
    <w:rsid w:val="003B59F8"/>
    <w:rsid w:val="003B7ABC"/>
    <w:rsid w:val="003B7C70"/>
    <w:rsid w:val="003C0FAA"/>
    <w:rsid w:val="003C4916"/>
    <w:rsid w:val="003C5819"/>
    <w:rsid w:val="003C587D"/>
    <w:rsid w:val="003D00E2"/>
    <w:rsid w:val="003D0E4F"/>
    <w:rsid w:val="003D1CCE"/>
    <w:rsid w:val="003D7074"/>
    <w:rsid w:val="003E1256"/>
    <w:rsid w:val="003E246C"/>
    <w:rsid w:val="003E32D9"/>
    <w:rsid w:val="003E4F01"/>
    <w:rsid w:val="003E50C4"/>
    <w:rsid w:val="003E762E"/>
    <w:rsid w:val="003F7E51"/>
    <w:rsid w:val="00407BFB"/>
    <w:rsid w:val="00410B42"/>
    <w:rsid w:val="0041256E"/>
    <w:rsid w:val="004253A5"/>
    <w:rsid w:val="00426883"/>
    <w:rsid w:val="00430E39"/>
    <w:rsid w:val="00431C6A"/>
    <w:rsid w:val="00432ABB"/>
    <w:rsid w:val="00434C78"/>
    <w:rsid w:val="00435FDB"/>
    <w:rsid w:val="0044360D"/>
    <w:rsid w:val="004459B3"/>
    <w:rsid w:val="00445DE2"/>
    <w:rsid w:val="00446C1F"/>
    <w:rsid w:val="00447193"/>
    <w:rsid w:val="00447972"/>
    <w:rsid w:val="00447B15"/>
    <w:rsid w:val="004527D4"/>
    <w:rsid w:val="00453DB8"/>
    <w:rsid w:val="004561DA"/>
    <w:rsid w:val="0045635D"/>
    <w:rsid w:val="00457D05"/>
    <w:rsid w:val="004629B7"/>
    <w:rsid w:val="0046406C"/>
    <w:rsid w:val="00464C8C"/>
    <w:rsid w:val="00464F71"/>
    <w:rsid w:val="0047180F"/>
    <w:rsid w:val="00474A70"/>
    <w:rsid w:val="00474C4B"/>
    <w:rsid w:val="0047563C"/>
    <w:rsid w:val="00477521"/>
    <w:rsid w:val="00477C01"/>
    <w:rsid w:val="0048023B"/>
    <w:rsid w:val="00480CAF"/>
    <w:rsid w:val="004812C0"/>
    <w:rsid w:val="004814D1"/>
    <w:rsid w:val="00483169"/>
    <w:rsid w:val="00483F96"/>
    <w:rsid w:val="00493446"/>
    <w:rsid w:val="004939EA"/>
    <w:rsid w:val="004942C4"/>
    <w:rsid w:val="004958C1"/>
    <w:rsid w:val="00495C1B"/>
    <w:rsid w:val="00496236"/>
    <w:rsid w:val="00496875"/>
    <w:rsid w:val="00496DA4"/>
    <w:rsid w:val="00497C75"/>
    <w:rsid w:val="004A308F"/>
    <w:rsid w:val="004A46E3"/>
    <w:rsid w:val="004A5598"/>
    <w:rsid w:val="004A5D80"/>
    <w:rsid w:val="004A6042"/>
    <w:rsid w:val="004A752B"/>
    <w:rsid w:val="004A756B"/>
    <w:rsid w:val="004B0E4F"/>
    <w:rsid w:val="004B2C98"/>
    <w:rsid w:val="004B2FEA"/>
    <w:rsid w:val="004B3DA9"/>
    <w:rsid w:val="004B4E62"/>
    <w:rsid w:val="004B53E7"/>
    <w:rsid w:val="004B70E3"/>
    <w:rsid w:val="004B7AEA"/>
    <w:rsid w:val="004C1602"/>
    <w:rsid w:val="004C2892"/>
    <w:rsid w:val="004C3A58"/>
    <w:rsid w:val="004C4343"/>
    <w:rsid w:val="004C57DA"/>
    <w:rsid w:val="004C7203"/>
    <w:rsid w:val="004D142A"/>
    <w:rsid w:val="004D44D4"/>
    <w:rsid w:val="004E0B4D"/>
    <w:rsid w:val="004E1CA5"/>
    <w:rsid w:val="004E2E6A"/>
    <w:rsid w:val="004E33DE"/>
    <w:rsid w:val="004E3D67"/>
    <w:rsid w:val="004E744E"/>
    <w:rsid w:val="004E7E7C"/>
    <w:rsid w:val="004F0959"/>
    <w:rsid w:val="004F3AB0"/>
    <w:rsid w:val="004F7D5E"/>
    <w:rsid w:val="00502804"/>
    <w:rsid w:val="00503C02"/>
    <w:rsid w:val="00505701"/>
    <w:rsid w:val="0051017B"/>
    <w:rsid w:val="0051079B"/>
    <w:rsid w:val="0051099B"/>
    <w:rsid w:val="00511756"/>
    <w:rsid w:val="005126DB"/>
    <w:rsid w:val="00513F90"/>
    <w:rsid w:val="005141A1"/>
    <w:rsid w:val="00514E45"/>
    <w:rsid w:val="00516A09"/>
    <w:rsid w:val="00516D57"/>
    <w:rsid w:val="00521151"/>
    <w:rsid w:val="00522523"/>
    <w:rsid w:val="00522EBD"/>
    <w:rsid w:val="00523B54"/>
    <w:rsid w:val="00525CAD"/>
    <w:rsid w:val="00527CD7"/>
    <w:rsid w:val="00530869"/>
    <w:rsid w:val="00532498"/>
    <w:rsid w:val="005410C5"/>
    <w:rsid w:val="005453E2"/>
    <w:rsid w:val="00550C82"/>
    <w:rsid w:val="00556CF7"/>
    <w:rsid w:val="005577F2"/>
    <w:rsid w:val="0056014D"/>
    <w:rsid w:val="00562489"/>
    <w:rsid w:val="00570C8E"/>
    <w:rsid w:val="0057169D"/>
    <w:rsid w:val="00573F05"/>
    <w:rsid w:val="00576504"/>
    <w:rsid w:val="00576B53"/>
    <w:rsid w:val="00576D0F"/>
    <w:rsid w:val="00584542"/>
    <w:rsid w:val="00585BB3"/>
    <w:rsid w:val="005862E9"/>
    <w:rsid w:val="00587701"/>
    <w:rsid w:val="005903DF"/>
    <w:rsid w:val="005971FA"/>
    <w:rsid w:val="005A09DF"/>
    <w:rsid w:val="005A39A1"/>
    <w:rsid w:val="005A409E"/>
    <w:rsid w:val="005A5BEC"/>
    <w:rsid w:val="005A65AA"/>
    <w:rsid w:val="005B2367"/>
    <w:rsid w:val="005B4288"/>
    <w:rsid w:val="005B525D"/>
    <w:rsid w:val="005C1A75"/>
    <w:rsid w:val="005C4185"/>
    <w:rsid w:val="005C5D37"/>
    <w:rsid w:val="005C6FB9"/>
    <w:rsid w:val="005C71C1"/>
    <w:rsid w:val="005D0BB0"/>
    <w:rsid w:val="005D0DE5"/>
    <w:rsid w:val="005D3502"/>
    <w:rsid w:val="005D7981"/>
    <w:rsid w:val="005E118F"/>
    <w:rsid w:val="005E121F"/>
    <w:rsid w:val="005E5AE3"/>
    <w:rsid w:val="005E6AC0"/>
    <w:rsid w:val="005E7972"/>
    <w:rsid w:val="005E7981"/>
    <w:rsid w:val="005F4627"/>
    <w:rsid w:val="005F5226"/>
    <w:rsid w:val="005F6E46"/>
    <w:rsid w:val="005F74B5"/>
    <w:rsid w:val="00603F30"/>
    <w:rsid w:val="00604241"/>
    <w:rsid w:val="006043C0"/>
    <w:rsid w:val="00611312"/>
    <w:rsid w:val="0061140B"/>
    <w:rsid w:val="00612024"/>
    <w:rsid w:val="006128D9"/>
    <w:rsid w:val="006169F9"/>
    <w:rsid w:val="00616A03"/>
    <w:rsid w:val="0062058C"/>
    <w:rsid w:val="00620945"/>
    <w:rsid w:val="00627FE0"/>
    <w:rsid w:val="0063036B"/>
    <w:rsid w:val="006321E5"/>
    <w:rsid w:val="00632C94"/>
    <w:rsid w:val="006346A5"/>
    <w:rsid w:val="00635987"/>
    <w:rsid w:val="006370E6"/>
    <w:rsid w:val="006373E2"/>
    <w:rsid w:val="00640B00"/>
    <w:rsid w:val="00641BBD"/>
    <w:rsid w:val="006446EF"/>
    <w:rsid w:val="00646834"/>
    <w:rsid w:val="00650295"/>
    <w:rsid w:val="0065093E"/>
    <w:rsid w:val="0065213F"/>
    <w:rsid w:val="00652811"/>
    <w:rsid w:val="0065696F"/>
    <w:rsid w:val="006653F0"/>
    <w:rsid w:val="00665B3D"/>
    <w:rsid w:val="00670810"/>
    <w:rsid w:val="00671B11"/>
    <w:rsid w:val="00672152"/>
    <w:rsid w:val="006721A2"/>
    <w:rsid w:val="00676F31"/>
    <w:rsid w:val="00684893"/>
    <w:rsid w:val="00685F6E"/>
    <w:rsid w:val="006915ED"/>
    <w:rsid w:val="00692166"/>
    <w:rsid w:val="006966FF"/>
    <w:rsid w:val="00696DCC"/>
    <w:rsid w:val="006971C7"/>
    <w:rsid w:val="006A018B"/>
    <w:rsid w:val="006A0563"/>
    <w:rsid w:val="006A12D8"/>
    <w:rsid w:val="006A3983"/>
    <w:rsid w:val="006A553E"/>
    <w:rsid w:val="006A6873"/>
    <w:rsid w:val="006C0A8C"/>
    <w:rsid w:val="006C295D"/>
    <w:rsid w:val="006C38C5"/>
    <w:rsid w:val="006C4EB3"/>
    <w:rsid w:val="006C5A9D"/>
    <w:rsid w:val="006C5E1A"/>
    <w:rsid w:val="006C604E"/>
    <w:rsid w:val="006D3274"/>
    <w:rsid w:val="006D6C5F"/>
    <w:rsid w:val="006D7511"/>
    <w:rsid w:val="006D7B80"/>
    <w:rsid w:val="006E1824"/>
    <w:rsid w:val="006E4627"/>
    <w:rsid w:val="006E731D"/>
    <w:rsid w:val="006F1F8D"/>
    <w:rsid w:val="006F398D"/>
    <w:rsid w:val="00701715"/>
    <w:rsid w:val="00703105"/>
    <w:rsid w:val="00712467"/>
    <w:rsid w:val="00712F84"/>
    <w:rsid w:val="00722986"/>
    <w:rsid w:val="0072328B"/>
    <w:rsid w:val="00727D3D"/>
    <w:rsid w:val="00730ADA"/>
    <w:rsid w:val="00731E8B"/>
    <w:rsid w:val="00732BB5"/>
    <w:rsid w:val="0073384B"/>
    <w:rsid w:val="00734A30"/>
    <w:rsid w:val="00743877"/>
    <w:rsid w:val="00746272"/>
    <w:rsid w:val="00746291"/>
    <w:rsid w:val="00746AE4"/>
    <w:rsid w:val="00746DCC"/>
    <w:rsid w:val="007510CF"/>
    <w:rsid w:val="00751128"/>
    <w:rsid w:val="00752049"/>
    <w:rsid w:val="007529B4"/>
    <w:rsid w:val="00754701"/>
    <w:rsid w:val="00754819"/>
    <w:rsid w:val="007602FD"/>
    <w:rsid w:val="00765582"/>
    <w:rsid w:val="00765BAA"/>
    <w:rsid w:val="00766E58"/>
    <w:rsid w:val="00766EDF"/>
    <w:rsid w:val="00767248"/>
    <w:rsid w:val="007719E5"/>
    <w:rsid w:val="007765E4"/>
    <w:rsid w:val="007812AE"/>
    <w:rsid w:val="0078149E"/>
    <w:rsid w:val="007814D8"/>
    <w:rsid w:val="0078566A"/>
    <w:rsid w:val="0079046B"/>
    <w:rsid w:val="00792D85"/>
    <w:rsid w:val="007956B3"/>
    <w:rsid w:val="00795CA9"/>
    <w:rsid w:val="00796467"/>
    <w:rsid w:val="007A07A1"/>
    <w:rsid w:val="007A0BD0"/>
    <w:rsid w:val="007A59E6"/>
    <w:rsid w:val="007A6224"/>
    <w:rsid w:val="007A6BA0"/>
    <w:rsid w:val="007A7202"/>
    <w:rsid w:val="007A7D5A"/>
    <w:rsid w:val="007B02A3"/>
    <w:rsid w:val="007B315F"/>
    <w:rsid w:val="007B3AAC"/>
    <w:rsid w:val="007C6F2D"/>
    <w:rsid w:val="007D293D"/>
    <w:rsid w:val="007D5E09"/>
    <w:rsid w:val="007D604C"/>
    <w:rsid w:val="007D7031"/>
    <w:rsid w:val="007D7C0B"/>
    <w:rsid w:val="007D7D86"/>
    <w:rsid w:val="007E3E2C"/>
    <w:rsid w:val="007E42AC"/>
    <w:rsid w:val="007E6036"/>
    <w:rsid w:val="007F13C4"/>
    <w:rsid w:val="007F194E"/>
    <w:rsid w:val="007F75D3"/>
    <w:rsid w:val="008006BA"/>
    <w:rsid w:val="00802621"/>
    <w:rsid w:val="008057E6"/>
    <w:rsid w:val="00810F3D"/>
    <w:rsid w:val="00811315"/>
    <w:rsid w:val="0081463C"/>
    <w:rsid w:val="008174F6"/>
    <w:rsid w:val="00817A6A"/>
    <w:rsid w:val="00820F49"/>
    <w:rsid w:val="008233B0"/>
    <w:rsid w:val="0082355B"/>
    <w:rsid w:val="00823F43"/>
    <w:rsid w:val="008240FF"/>
    <w:rsid w:val="00832CAA"/>
    <w:rsid w:val="008338C6"/>
    <w:rsid w:val="00836BF4"/>
    <w:rsid w:val="00847122"/>
    <w:rsid w:val="00850C5D"/>
    <w:rsid w:val="008515B0"/>
    <w:rsid w:val="00855182"/>
    <w:rsid w:val="00861B19"/>
    <w:rsid w:val="008620BF"/>
    <w:rsid w:val="0086611B"/>
    <w:rsid w:val="0087267D"/>
    <w:rsid w:val="008729B5"/>
    <w:rsid w:val="008735F6"/>
    <w:rsid w:val="00876BAA"/>
    <w:rsid w:val="00876CED"/>
    <w:rsid w:val="00881A89"/>
    <w:rsid w:val="00881C1C"/>
    <w:rsid w:val="0088317C"/>
    <w:rsid w:val="00890F2D"/>
    <w:rsid w:val="00892A61"/>
    <w:rsid w:val="0089465B"/>
    <w:rsid w:val="00894BEF"/>
    <w:rsid w:val="00895006"/>
    <w:rsid w:val="00895030"/>
    <w:rsid w:val="008978D1"/>
    <w:rsid w:val="008A1F4D"/>
    <w:rsid w:val="008A25C6"/>
    <w:rsid w:val="008A3D49"/>
    <w:rsid w:val="008B4FA8"/>
    <w:rsid w:val="008B5EA3"/>
    <w:rsid w:val="008C3E24"/>
    <w:rsid w:val="008C6145"/>
    <w:rsid w:val="008C7439"/>
    <w:rsid w:val="008D0685"/>
    <w:rsid w:val="008D1F5D"/>
    <w:rsid w:val="008D2E53"/>
    <w:rsid w:val="008D4E56"/>
    <w:rsid w:val="008D5B59"/>
    <w:rsid w:val="008E4D04"/>
    <w:rsid w:val="008F03FE"/>
    <w:rsid w:val="008F0782"/>
    <w:rsid w:val="008F28CD"/>
    <w:rsid w:val="008F3372"/>
    <w:rsid w:val="008F4093"/>
    <w:rsid w:val="008F55F3"/>
    <w:rsid w:val="008F5AC4"/>
    <w:rsid w:val="00900EA1"/>
    <w:rsid w:val="0090240E"/>
    <w:rsid w:val="00903E9B"/>
    <w:rsid w:val="00906F21"/>
    <w:rsid w:val="00916F87"/>
    <w:rsid w:val="00917C8D"/>
    <w:rsid w:val="00917F97"/>
    <w:rsid w:val="00921365"/>
    <w:rsid w:val="00921942"/>
    <w:rsid w:val="0092504F"/>
    <w:rsid w:val="009301C2"/>
    <w:rsid w:val="0093309C"/>
    <w:rsid w:val="00935433"/>
    <w:rsid w:val="009366BF"/>
    <w:rsid w:val="00937424"/>
    <w:rsid w:val="00940A3B"/>
    <w:rsid w:val="00944C03"/>
    <w:rsid w:val="00947AD1"/>
    <w:rsid w:val="00951561"/>
    <w:rsid w:val="009547E5"/>
    <w:rsid w:val="00960F04"/>
    <w:rsid w:val="009610EF"/>
    <w:rsid w:val="009635EF"/>
    <w:rsid w:val="00973C7C"/>
    <w:rsid w:val="00973DCB"/>
    <w:rsid w:val="009828CA"/>
    <w:rsid w:val="009861EC"/>
    <w:rsid w:val="0099012D"/>
    <w:rsid w:val="009A27E4"/>
    <w:rsid w:val="009A3B62"/>
    <w:rsid w:val="009B3448"/>
    <w:rsid w:val="009B5C1C"/>
    <w:rsid w:val="009C187E"/>
    <w:rsid w:val="009C25FD"/>
    <w:rsid w:val="009C3B91"/>
    <w:rsid w:val="009D1323"/>
    <w:rsid w:val="009D2673"/>
    <w:rsid w:val="009D6B76"/>
    <w:rsid w:val="009D6D28"/>
    <w:rsid w:val="009E01B6"/>
    <w:rsid w:val="009E16E5"/>
    <w:rsid w:val="009E29F9"/>
    <w:rsid w:val="009E410B"/>
    <w:rsid w:val="009E42B5"/>
    <w:rsid w:val="009E5DBE"/>
    <w:rsid w:val="009E66CF"/>
    <w:rsid w:val="009F02A0"/>
    <w:rsid w:val="009F2590"/>
    <w:rsid w:val="009F5FB3"/>
    <w:rsid w:val="009F78F1"/>
    <w:rsid w:val="00A00108"/>
    <w:rsid w:val="00A001C7"/>
    <w:rsid w:val="00A01741"/>
    <w:rsid w:val="00A03095"/>
    <w:rsid w:val="00A03212"/>
    <w:rsid w:val="00A03C28"/>
    <w:rsid w:val="00A05049"/>
    <w:rsid w:val="00A05086"/>
    <w:rsid w:val="00A0712A"/>
    <w:rsid w:val="00A07FE5"/>
    <w:rsid w:val="00A10304"/>
    <w:rsid w:val="00A13119"/>
    <w:rsid w:val="00A15233"/>
    <w:rsid w:val="00A15A6F"/>
    <w:rsid w:val="00A22938"/>
    <w:rsid w:val="00A25395"/>
    <w:rsid w:val="00A30089"/>
    <w:rsid w:val="00A30A2F"/>
    <w:rsid w:val="00A32C6A"/>
    <w:rsid w:val="00A33309"/>
    <w:rsid w:val="00A3749F"/>
    <w:rsid w:val="00A374F9"/>
    <w:rsid w:val="00A426CF"/>
    <w:rsid w:val="00A43EC9"/>
    <w:rsid w:val="00A45C3D"/>
    <w:rsid w:val="00A46192"/>
    <w:rsid w:val="00A503BF"/>
    <w:rsid w:val="00A527F7"/>
    <w:rsid w:val="00A52AFD"/>
    <w:rsid w:val="00A56D66"/>
    <w:rsid w:val="00A5742D"/>
    <w:rsid w:val="00A61083"/>
    <w:rsid w:val="00A646CC"/>
    <w:rsid w:val="00A65155"/>
    <w:rsid w:val="00A67E97"/>
    <w:rsid w:val="00A7049C"/>
    <w:rsid w:val="00A70ECE"/>
    <w:rsid w:val="00A71905"/>
    <w:rsid w:val="00A71A91"/>
    <w:rsid w:val="00A73F1B"/>
    <w:rsid w:val="00A84879"/>
    <w:rsid w:val="00A84D04"/>
    <w:rsid w:val="00A86F3A"/>
    <w:rsid w:val="00A87C5A"/>
    <w:rsid w:val="00A90D4B"/>
    <w:rsid w:val="00A9133A"/>
    <w:rsid w:val="00A955B9"/>
    <w:rsid w:val="00A95F9C"/>
    <w:rsid w:val="00A975E0"/>
    <w:rsid w:val="00AA71B0"/>
    <w:rsid w:val="00AA7485"/>
    <w:rsid w:val="00AA785F"/>
    <w:rsid w:val="00AB0EAA"/>
    <w:rsid w:val="00AB28E0"/>
    <w:rsid w:val="00AB3F23"/>
    <w:rsid w:val="00AB46B7"/>
    <w:rsid w:val="00AB4844"/>
    <w:rsid w:val="00AB4C03"/>
    <w:rsid w:val="00AB4D42"/>
    <w:rsid w:val="00AC0A27"/>
    <w:rsid w:val="00AC0EE4"/>
    <w:rsid w:val="00AD0201"/>
    <w:rsid w:val="00AD0224"/>
    <w:rsid w:val="00AD27B4"/>
    <w:rsid w:val="00AD3CF2"/>
    <w:rsid w:val="00AD4C09"/>
    <w:rsid w:val="00AD6E41"/>
    <w:rsid w:val="00AE0BAB"/>
    <w:rsid w:val="00AE3349"/>
    <w:rsid w:val="00AE46E9"/>
    <w:rsid w:val="00AF0526"/>
    <w:rsid w:val="00AF1D6E"/>
    <w:rsid w:val="00AF2F00"/>
    <w:rsid w:val="00B0306F"/>
    <w:rsid w:val="00B044C4"/>
    <w:rsid w:val="00B0602D"/>
    <w:rsid w:val="00B124FA"/>
    <w:rsid w:val="00B15477"/>
    <w:rsid w:val="00B16326"/>
    <w:rsid w:val="00B16F86"/>
    <w:rsid w:val="00B2365E"/>
    <w:rsid w:val="00B27CBF"/>
    <w:rsid w:val="00B31763"/>
    <w:rsid w:val="00B3291A"/>
    <w:rsid w:val="00B343CA"/>
    <w:rsid w:val="00B42D88"/>
    <w:rsid w:val="00B438A3"/>
    <w:rsid w:val="00B44F7B"/>
    <w:rsid w:val="00B51CF2"/>
    <w:rsid w:val="00B5752F"/>
    <w:rsid w:val="00B6022F"/>
    <w:rsid w:val="00B62271"/>
    <w:rsid w:val="00B67312"/>
    <w:rsid w:val="00B67813"/>
    <w:rsid w:val="00B72E9A"/>
    <w:rsid w:val="00B76076"/>
    <w:rsid w:val="00B762FC"/>
    <w:rsid w:val="00B766F7"/>
    <w:rsid w:val="00B76E6A"/>
    <w:rsid w:val="00B80788"/>
    <w:rsid w:val="00B80B54"/>
    <w:rsid w:val="00B829C3"/>
    <w:rsid w:val="00B84180"/>
    <w:rsid w:val="00B857CA"/>
    <w:rsid w:val="00B9127E"/>
    <w:rsid w:val="00B924F0"/>
    <w:rsid w:val="00B93AC9"/>
    <w:rsid w:val="00B940DA"/>
    <w:rsid w:val="00B96F46"/>
    <w:rsid w:val="00BA05AA"/>
    <w:rsid w:val="00BA31B0"/>
    <w:rsid w:val="00BA478A"/>
    <w:rsid w:val="00BB087B"/>
    <w:rsid w:val="00BB394D"/>
    <w:rsid w:val="00BC05D4"/>
    <w:rsid w:val="00BC1EBA"/>
    <w:rsid w:val="00BC1ED0"/>
    <w:rsid w:val="00BC412E"/>
    <w:rsid w:val="00BD059F"/>
    <w:rsid w:val="00BD1765"/>
    <w:rsid w:val="00BD2643"/>
    <w:rsid w:val="00BD6F56"/>
    <w:rsid w:val="00BD771A"/>
    <w:rsid w:val="00BD7D60"/>
    <w:rsid w:val="00BE11E3"/>
    <w:rsid w:val="00BE52AA"/>
    <w:rsid w:val="00BF1AA0"/>
    <w:rsid w:val="00BF7420"/>
    <w:rsid w:val="00C003CB"/>
    <w:rsid w:val="00C00493"/>
    <w:rsid w:val="00C00589"/>
    <w:rsid w:val="00C005AE"/>
    <w:rsid w:val="00C0070E"/>
    <w:rsid w:val="00C05DA9"/>
    <w:rsid w:val="00C16EC7"/>
    <w:rsid w:val="00C21AAD"/>
    <w:rsid w:val="00C2262E"/>
    <w:rsid w:val="00C238A8"/>
    <w:rsid w:val="00C3014C"/>
    <w:rsid w:val="00C325FC"/>
    <w:rsid w:val="00C333A5"/>
    <w:rsid w:val="00C347B5"/>
    <w:rsid w:val="00C36E29"/>
    <w:rsid w:val="00C36EE4"/>
    <w:rsid w:val="00C4445F"/>
    <w:rsid w:val="00C44A93"/>
    <w:rsid w:val="00C50571"/>
    <w:rsid w:val="00C51D12"/>
    <w:rsid w:val="00C527E6"/>
    <w:rsid w:val="00C55C83"/>
    <w:rsid w:val="00C57069"/>
    <w:rsid w:val="00C5799E"/>
    <w:rsid w:val="00C648E0"/>
    <w:rsid w:val="00C65595"/>
    <w:rsid w:val="00C726CD"/>
    <w:rsid w:val="00C73580"/>
    <w:rsid w:val="00C75990"/>
    <w:rsid w:val="00C8039D"/>
    <w:rsid w:val="00C80904"/>
    <w:rsid w:val="00C8621D"/>
    <w:rsid w:val="00C9326C"/>
    <w:rsid w:val="00C93F84"/>
    <w:rsid w:val="00CA001F"/>
    <w:rsid w:val="00CA1216"/>
    <w:rsid w:val="00CA2ABF"/>
    <w:rsid w:val="00CB267B"/>
    <w:rsid w:val="00CB448F"/>
    <w:rsid w:val="00CC2CAB"/>
    <w:rsid w:val="00CC38E3"/>
    <w:rsid w:val="00CC6865"/>
    <w:rsid w:val="00CD00E3"/>
    <w:rsid w:val="00CD3477"/>
    <w:rsid w:val="00CD536C"/>
    <w:rsid w:val="00CD595F"/>
    <w:rsid w:val="00CD7F0F"/>
    <w:rsid w:val="00CE2C82"/>
    <w:rsid w:val="00CE51A0"/>
    <w:rsid w:val="00CE5B19"/>
    <w:rsid w:val="00CF0D8C"/>
    <w:rsid w:val="00CF0FB2"/>
    <w:rsid w:val="00CF30D8"/>
    <w:rsid w:val="00CF357C"/>
    <w:rsid w:val="00CF4D53"/>
    <w:rsid w:val="00CF52CC"/>
    <w:rsid w:val="00CF6976"/>
    <w:rsid w:val="00D006FC"/>
    <w:rsid w:val="00D010F6"/>
    <w:rsid w:val="00D01FAB"/>
    <w:rsid w:val="00D03244"/>
    <w:rsid w:val="00D078C6"/>
    <w:rsid w:val="00D10372"/>
    <w:rsid w:val="00D12B36"/>
    <w:rsid w:val="00D1580C"/>
    <w:rsid w:val="00D15F7F"/>
    <w:rsid w:val="00D1663A"/>
    <w:rsid w:val="00D16DBB"/>
    <w:rsid w:val="00D17E0E"/>
    <w:rsid w:val="00D26DC7"/>
    <w:rsid w:val="00D30438"/>
    <w:rsid w:val="00D35D6F"/>
    <w:rsid w:val="00D367B5"/>
    <w:rsid w:val="00D37E46"/>
    <w:rsid w:val="00D43764"/>
    <w:rsid w:val="00D437D7"/>
    <w:rsid w:val="00D45BAF"/>
    <w:rsid w:val="00D45F2A"/>
    <w:rsid w:val="00D50174"/>
    <w:rsid w:val="00D5121F"/>
    <w:rsid w:val="00D519D2"/>
    <w:rsid w:val="00D53B4E"/>
    <w:rsid w:val="00D53B84"/>
    <w:rsid w:val="00D56EFB"/>
    <w:rsid w:val="00D620AE"/>
    <w:rsid w:val="00D66B6D"/>
    <w:rsid w:val="00D67873"/>
    <w:rsid w:val="00D70AF6"/>
    <w:rsid w:val="00D71A31"/>
    <w:rsid w:val="00D71BBF"/>
    <w:rsid w:val="00D755C0"/>
    <w:rsid w:val="00D77D5B"/>
    <w:rsid w:val="00D84868"/>
    <w:rsid w:val="00D84AAE"/>
    <w:rsid w:val="00D8534F"/>
    <w:rsid w:val="00D85F56"/>
    <w:rsid w:val="00D86837"/>
    <w:rsid w:val="00D869EB"/>
    <w:rsid w:val="00D924A8"/>
    <w:rsid w:val="00D9288D"/>
    <w:rsid w:val="00D96258"/>
    <w:rsid w:val="00D9649E"/>
    <w:rsid w:val="00DA046E"/>
    <w:rsid w:val="00DA04D0"/>
    <w:rsid w:val="00DA40DD"/>
    <w:rsid w:val="00DA7831"/>
    <w:rsid w:val="00DB2638"/>
    <w:rsid w:val="00DB6D06"/>
    <w:rsid w:val="00DC0E9F"/>
    <w:rsid w:val="00DC10F5"/>
    <w:rsid w:val="00DC5EFA"/>
    <w:rsid w:val="00DC637E"/>
    <w:rsid w:val="00DD2175"/>
    <w:rsid w:val="00DD2763"/>
    <w:rsid w:val="00DD43BB"/>
    <w:rsid w:val="00DD4AAB"/>
    <w:rsid w:val="00DD50F8"/>
    <w:rsid w:val="00DE1029"/>
    <w:rsid w:val="00DE1337"/>
    <w:rsid w:val="00DE40EE"/>
    <w:rsid w:val="00DE4703"/>
    <w:rsid w:val="00DE7755"/>
    <w:rsid w:val="00DF1E20"/>
    <w:rsid w:val="00DF53F2"/>
    <w:rsid w:val="00DF64BA"/>
    <w:rsid w:val="00DF7BBA"/>
    <w:rsid w:val="00E03969"/>
    <w:rsid w:val="00E04F2A"/>
    <w:rsid w:val="00E122F2"/>
    <w:rsid w:val="00E12B1D"/>
    <w:rsid w:val="00E2097B"/>
    <w:rsid w:val="00E20B23"/>
    <w:rsid w:val="00E255C4"/>
    <w:rsid w:val="00E26E73"/>
    <w:rsid w:val="00E27448"/>
    <w:rsid w:val="00E2785A"/>
    <w:rsid w:val="00E278C0"/>
    <w:rsid w:val="00E32CD8"/>
    <w:rsid w:val="00E32D2C"/>
    <w:rsid w:val="00E3314E"/>
    <w:rsid w:val="00E35ECE"/>
    <w:rsid w:val="00E366B6"/>
    <w:rsid w:val="00E379FD"/>
    <w:rsid w:val="00E37C47"/>
    <w:rsid w:val="00E4080F"/>
    <w:rsid w:val="00E40A11"/>
    <w:rsid w:val="00E42758"/>
    <w:rsid w:val="00E429B4"/>
    <w:rsid w:val="00E45C78"/>
    <w:rsid w:val="00E46010"/>
    <w:rsid w:val="00E501EA"/>
    <w:rsid w:val="00E52C9F"/>
    <w:rsid w:val="00E530CD"/>
    <w:rsid w:val="00E57835"/>
    <w:rsid w:val="00E609D5"/>
    <w:rsid w:val="00E60AF7"/>
    <w:rsid w:val="00E614C0"/>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45F8"/>
    <w:rsid w:val="00E84DF0"/>
    <w:rsid w:val="00E85A86"/>
    <w:rsid w:val="00E9567E"/>
    <w:rsid w:val="00EA34B8"/>
    <w:rsid w:val="00EB1A05"/>
    <w:rsid w:val="00EB38F2"/>
    <w:rsid w:val="00EB68CB"/>
    <w:rsid w:val="00EB736A"/>
    <w:rsid w:val="00EC0098"/>
    <w:rsid w:val="00EC0298"/>
    <w:rsid w:val="00EC0548"/>
    <w:rsid w:val="00EC3441"/>
    <w:rsid w:val="00EC700F"/>
    <w:rsid w:val="00ED1389"/>
    <w:rsid w:val="00EE0A8A"/>
    <w:rsid w:val="00EE0A8B"/>
    <w:rsid w:val="00EE4EE3"/>
    <w:rsid w:val="00EF054B"/>
    <w:rsid w:val="00EF0AB2"/>
    <w:rsid w:val="00EF258C"/>
    <w:rsid w:val="00EF37CC"/>
    <w:rsid w:val="00EF445F"/>
    <w:rsid w:val="00EF7ECF"/>
    <w:rsid w:val="00F04158"/>
    <w:rsid w:val="00F04CC2"/>
    <w:rsid w:val="00F057A8"/>
    <w:rsid w:val="00F07260"/>
    <w:rsid w:val="00F10B6E"/>
    <w:rsid w:val="00F115A4"/>
    <w:rsid w:val="00F1195C"/>
    <w:rsid w:val="00F12AAF"/>
    <w:rsid w:val="00F12AE7"/>
    <w:rsid w:val="00F132F5"/>
    <w:rsid w:val="00F17117"/>
    <w:rsid w:val="00F1782E"/>
    <w:rsid w:val="00F20A86"/>
    <w:rsid w:val="00F20F51"/>
    <w:rsid w:val="00F228DB"/>
    <w:rsid w:val="00F244EA"/>
    <w:rsid w:val="00F26232"/>
    <w:rsid w:val="00F27390"/>
    <w:rsid w:val="00F317E0"/>
    <w:rsid w:val="00F32A6C"/>
    <w:rsid w:val="00F334D2"/>
    <w:rsid w:val="00F34137"/>
    <w:rsid w:val="00F37625"/>
    <w:rsid w:val="00F45969"/>
    <w:rsid w:val="00F46423"/>
    <w:rsid w:val="00F558B0"/>
    <w:rsid w:val="00F56A1E"/>
    <w:rsid w:val="00F61ECB"/>
    <w:rsid w:val="00F67D7A"/>
    <w:rsid w:val="00F73CF2"/>
    <w:rsid w:val="00F830B8"/>
    <w:rsid w:val="00F87674"/>
    <w:rsid w:val="00F87BD3"/>
    <w:rsid w:val="00F93FC9"/>
    <w:rsid w:val="00F94061"/>
    <w:rsid w:val="00F946CA"/>
    <w:rsid w:val="00FA108D"/>
    <w:rsid w:val="00FB1482"/>
    <w:rsid w:val="00FB28D2"/>
    <w:rsid w:val="00FB2996"/>
    <w:rsid w:val="00FB3DCF"/>
    <w:rsid w:val="00FB4D9D"/>
    <w:rsid w:val="00FB53F2"/>
    <w:rsid w:val="00FB61FB"/>
    <w:rsid w:val="00FB7B9B"/>
    <w:rsid w:val="00FC05A6"/>
    <w:rsid w:val="00FC33ED"/>
    <w:rsid w:val="00FC4976"/>
    <w:rsid w:val="00FC4D5C"/>
    <w:rsid w:val="00FC6772"/>
    <w:rsid w:val="00FD0B43"/>
    <w:rsid w:val="00FD13F9"/>
    <w:rsid w:val="00FD3EBC"/>
    <w:rsid w:val="00FD62ED"/>
    <w:rsid w:val="00FD6F22"/>
    <w:rsid w:val="00FE046E"/>
    <w:rsid w:val="00FE08FC"/>
    <w:rsid w:val="00FE4A3C"/>
    <w:rsid w:val="00FF394C"/>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2AC5"/>
  <w15:docId w15:val="{7A7C28DA-2630-4D9B-A7F3-02590F98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20"/>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20"/>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20"/>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20"/>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9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35"/>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6"/>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7"/>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6"/>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customStyle="1" w:styleId="equationArray">
    <w:name w:val="equationArray"/>
    <w:basedOn w:val="Normal"/>
    <w:next w:val="Normal"/>
    <w:uiPriority w:val="99"/>
    <w:rsid w:val="0002478E"/>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customStyle="1" w:styleId="equationNum">
    <w:name w:val="equationNum"/>
    <w:basedOn w:val="Normal"/>
    <w:next w:val="Normal"/>
    <w:uiPriority w:val="99"/>
    <w:rsid w:val="001360E8"/>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customStyle="1" w:styleId="Table">
    <w:name w:val="Table"/>
    <w:basedOn w:val="Normal"/>
    <w:uiPriority w:val="99"/>
    <w:rsid w:val="00676F31"/>
    <w:pPr>
      <w:keepLines/>
      <w:autoSpaceDE w:val="0"/>
      <w:autoSpaceDN w:val="0"/>
      <w:adjustRightInd w:val="0"/>
      <w:spacing w:before="120" w:after="0" w:line="240" w:lineRule="auto"/>
      <w:ind w:left="0"/>
      <w:jc w:val="center"/>
    </w:pPr>
    <w:rPr>
      <w:rFonts w:ascii="Times New Roman" w:eastAsiaTheme="minorEastAsia" w:hAnsi="Times New Roman" w:cs="Times New Roman"/>
      <w:noProof/>
      <w:color w:val="auto"/>
      <w:szCs w:val="20"/>
      <w:lang w:eastAsia="en-AU"/>
    </w:rPr>
  </w:style>
  <w:style w:type="paragraph" w:customStyle="1" w:styleId="Compact">
    <w:name w:val="Compact"/>
    <w:basedOn w:val="BodyText"/>
    <w:qFormat/>
    <w:rsid w:val="00650295"/>
    <w:pPr>
      <w:spacing w:before="36" w:after="36" w:line="240" w:lineRule="auto"/>
      <w:jc w:val="left"/>
    </w:pPr>
    <w:rPr>
      <w:color w:val="auto"/>
      <w:sz w:val="24"/>
      <w:szCs w:val="24"/>
      <w:lang w:val="en-US"/>
    </w:rPr>
  </w:style>
  <w:style w:type="paragraph" w:customStyle="1" w:styleId="equation">
    <w:name w:val="equation"/>
    <w:basedOn w:val="Normal"/>
    <w:next w:val="Normal"/>
    <w:uiPriority w:val="99"/>
    <w:rsid w:val="0034004B"/>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customStyle="1" w:styleId="FirstParagraph">
    <w:name w:val="First Paragraph"/>
    <w:basedOn w:val="BodyText"/>
    <w:next w:val="BodyText"/>
    <w:qFormat/>
    <w:rsid w:val="004629B7"/>
    <w:pPr>
      <w:spacing w:before="180" w:line="240" w:lineRule="auto"/>
      <w:jc w:val="left"/>
    </w:pPr>
    <w:rPr>
      <w:color w:val="auto"/>
      <w:sz w:val="24"/>
      <w:szCs w:val="24"/>
      <w:lang w:val="en-US"/>
    </w:rPr>
  </w:style>
  <w:style w:type="character" w:styleId="FollowedHyperlink">
    <w:name w:val="FollowedHyperlink"/>
    <w:basedOn w:val="DefaultParagraphFont"/>
    <w:uiPriority w:val="19"/>
    <w:semiHidden/>
    <w:unhideWhenUsed/>
    <w:rsid w:val="001B419A"/>
    <w:rPr>
      <w:color w:val="56B4E9" w:themeColor="followedHyperlink"/>
      <w:u w:val="single"/>
    </w:rPr>
  </w:style>
  <w:style w:type="character" w:styleId="CommentReference">
    <w:name w:val="annotation reference"/>
    <w:basedOn w:val="DefaultParagraphFont"/>
    <w:semiHidden/>
    <w:unhideWhenUsed/>
    <w:rsid w:val="004D44D4"/>
    <w:rPr>
      <w:sz w:val="16"/>
      <w:szCs w:val="16"/>
    </w:rPr>
  </w:style>
  <w:style w:type="paragraph" w:styleId="CommentText">
    <w:name w:val="annotation text"/>
    <w:basedOn w:val="Normal"/>
    <w:link w:val="CommentTextChar"/>
    <w:unhideWhenUsed/>
    <w:rsid w:val="004D44D4"/>
    <w:pPr>
      <w:spacing w:line="240" w:lineRule="auto"/>
    </w:pPr>
    <w:rPr>
      <w:szCs w:val="20"/>
    </w:rPr>
  </w:style>
  <w:style w:type="character" w:customStyle="1" w:styleId="CommentTextChar">
    <w:name w:val="Comment Text Char"/>
    <w:basedOn w:val="DefaultParagraphFont"/>
    <w:link w:val="CommentText"/>
    <w:rsid w:val="004D44D4"/>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4D44D4"/>
    <w:rPr>
      <w:b/>
      <w:bCs/>
    </w:rPr>
  </w:style>
  <w:style w:type="character" w:customStyle="1" w:styleId="CommentSubjectChar">
    <w:name w:val="Comment Subject Char"/>
    <w:basedOn w:val="CommentTextChar"/>
    <w:link w:val="CommentSubject"/>
    <w:semiHidden/>
    <w:rsid w:val="004D44D4"/>
    <w:rPr>
      <w:rFonts w:ascii="Arial" w:hAnsi="Arial"/>
      <w:b/>
      <w:bCs/>
      <w:color w:val="37373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industry.gov.au/OCE" TargetMode="External"/><Relationship Id="rId26" Type="http://schemas.openxmlformats.org/officeDocument/2006/relationships/image" Target="media/image11.png"/><Relationship Id="rId39" Type="http://schemas.openxmlformats.org/officeDocument/2006/relationships/hyperlink" Target="https://www.industry.gov.au/data-and-publications/trends-in-the-market-concentration-of-australian-industries" TargetMode="External"/><Relationship Id="rId21" Type="http://schemas.openxmlformats.org/officeDocument/2006/relationships/image" Target="media/image6.png"/><Relationship Id="rId34" Type="http://schemas.openxmlformats.org/officeDocument/2006/relationships/hyperlink" Target="https://doi.org/10.1093/qje/120.2.701%20" TargetMode="External"/><Relationship Id="rId42" Type="http://schemas.openxmlformats.org/officeDocument/2006/relationships/hyperlink" Target="https://doi.org/10.2307/2098227" TargetMode="External"/><Relationship Id="rId47" Type="http://schemas.openxmlformats.org/officeDocument/2006/relationships/hyperlink" Target="https://doi.org/10.2307/1340687" TargetMode="External"/><Relationship Id="rId50" Type="http://schemas.openxmlformats.org/officeDocument/2006/relationships/hyperlink" Target="http://ftp.iza.org/dp12602.pdf" TargetMode="External"/><Relationship Id="rId55" Type="http://schemas.openxmlformats.org/officeDocument/2006/relationships/hyperlink" Target="http://www.jstor.org/stable/256512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doi.org/10.1111/1475-4932.12460" TargetMode="External"/><Relationship Id="rId46" Type="http://schemas.openxmlformats.org/officeDocument/2006/relationships/hyperlink" Target="https://doi.org/10.1111/1467-8462.12253"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hiefeconomist@industry.gov.au"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yperlink" Target="https://doi.org/10.1257/aer.102.6.2437" TargetMode="External"/><Relationship Id="rId54" Type="http://schemas.openxmlformats.org/officeDocument/2006/relationships/hyperlink" Target="https://doi.org/10.1016/j.dib.2016.05.0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doi.org/10.1787/2ff98246-en" TargetMode="External"/><Relationship Id="rId40" Type="http://schemas.openxmlformats.org/officeDocument/2006/relationships/hyperlink" Target="http://doi.org/10.1257/jep.28.3.3" TargetMode="External"/><Relationship Id="rId45" Type="http://schemas.openxmlformats.org/officeDocument/2006/relationships/hyperlink" Target="http://doi.org/10.1162/REST_a_00288%20" TargetMode="External"/><Relationship Id="rId53" Type="http://schemas.openxmlformats.org/officeDocument/2006/relationships/hyperlink" Target="https://doi.org/10.1007/BF01035654"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doi.org/10.1257/aer.p20171102" TargetMode="External"/><Relationship Id="rId49" Type="http://schemas.openxmlformats.org/officeDocument/2006/relationships/hyperlink" Target="http://www.statcan.gc.ca/pub/11-626-x/11-626-x2014038-eng.pdf"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http://gala.gre.ac.uk/19371/" TargetMode="External"/><Relationship Id="rId52" Type="http://schemas.openxmlformats.org/officeDocument/2006/relationships/hyperlink" Target="https://www.brookings.edu/research/the-state-of-competition-and-dynamism-facts-about-concentration-start-ups-and-related-polici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doi.org/10.1111/j.1468-0327.2007.00190.x%20" TargetMode="External"/><Relationship Id="rId43" Type="http://schemas.openxmlformats.org/officeDocument/2006/relationships/hyperlink" Target="https://doi.org/10.1257/aer.101.3.558" TargetMode="External"/><Relationship Id="rId48" Type="http://schemas.openxmlformats.org/officeDocument/2006/relationships/hyperlink" Target="https://doi.org/10.2307/2967480"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doi.org/10.2307/1927527%20"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F84614D48141AA940BF53563541A7A"/>
        <w:category>
          <w:name w:val="General"/>
          <w:gallery w:val="placeholder"/>
        </w:category>
        <w:types>
          <w:type w:val="bbPlcHdr"/>
        </w:types>
        <w:behaviors>
          <w:behavior w:val="content"/>
        </w:behaviors>
        <w:guid w:val="{2BB11647-934A-41B8-90D2-FC23344A8C6E}"/>
      </w:docPartPr>
      <w:docPartBody>
        <w:p w:rsidR="0036460A" w:rsidRDefault="0036460A" w:rsidP="0036460A">
          <w:pPr>
            <w:pStyle w:val="29F84614D48141AA940BF53563541A7A"/>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A"/>
    <w:rsid w:val="000D2B6E"/>
    <w:rsid w:val="0036460A"/>
    <w:rsid w:val="004E43FD"/>
    <w:rsid w:val="00627494"/>
    <w:rsid w:val="0084529A"/>
    <w:rsid w:val="008E249A"/>
    <w:rsid w:val="008E7A46"/>
    <w:rsid w:val="00AB58A3"/>
    <w:rsid w:val="00B44EFF"/>
    <w:rsid w:val="00B51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60A"/>
    <w:rPr>
      <w:color w:val="808080"/>
    </w:rPr>
  </w:style>
  <w:style w:type="paragraph" w:customStyle="1" w:styleId="29F84614D48141AA940BF53563541A7A">
    <w:name w:val="29F84614D48141AA940BF53563541A7A"/>
    <w:rsid w:val="00364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fb9733eaf78f91d3f4ab4e6b0a30ddd1">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c23bf15e7a6897271b736deaba5b9f68"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Final draft</Comments>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IFA</TermName>
          <TermId xmlns="http://schemas.microsoft.com/office/infopath/2007/PartnerControls">a464322f-3cec-48f5-841c-7f7cfb4b0c6c</TermId>
        </TermInfo>
        <TermInfo xmlns="http://schemas.microsoft.com/office/infopath/2007/PartnerControls">
          <TermName xmlns="http://schemas.microsoft.com/office/infopath/2007/PartnerControls">EDAN</TermName>
          <TermId xmlns="http://schemas.microsoft.com/office/infopath/2007/PartnerControls">fef9d944-0a72-41db-b1dc-4b116d154aca</TermId>
        </TermInfo>
        <TermInfo xmlns="http://schemas.microsoft.com/office/infopath/2007/PartnerControls">
          <TermName xmlns="http://schemas.microsoft.com/office/infopath/2007/PartnerControls">competition</TermName>
          <TermId xmlns="http://schemas.microsoft.com/office/infopath/2007/PartnerControls">68d0a519-2152-4373-a0c0-ec13a20041ba</TermId>
        </TermInfo>
        <TermInfo xmlns="http://schemas.microsoft.com/office/infopath/2007/PartnerControls">
          <TermName xmlns="http://schemas.microsoft.com/office/infopath/2007/PartnerControls">Entrepreneurship</TermName>
          <TermId xmlns="http://schemas.microsoft.com/office/infopath/2007/PartnerControls">574528b5-c181-4da4-a941-828750fa1b03</TermId>
        </TermInfo>
        <TermInfo xmlns="http://schemas.microsoft.com/office/infopath/2007/PartnerControls">
          <TermName xmlns="http://schemas.microsoft.com/office/infopath/2007/PartnerControls">Draft</TermName>
          <TermId xmlns="http://schemas.microsoft.com/office/infopath/2007/PartnerControls">d00b2a5e-2b08-498c-b0f3-652dd24d6388</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46486fd5-fff8-4cbe-a2d1-89ce7ea547a7">
      <Value>82</Value>
      <Value>1976</Value>
      <Value>45</Value>
      <Value>2829</Value>
      <Value>1180</Value>
      <Value>1959</Value>
      <Value>3</Value>
      <Value>2246</Value>
      <Value>1354</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EUCW2WRC2PUD-1078297381-136</_dlc_DocId>
    <_dlc_DocIdUrl xmlns="46486fd5-fff8-4cbe-a2d1-89ce7ea547a7">
      <Url>https://dochub/div/economicanalyticalservices/businessfunctions/publicationsmgmt/researchpapers/_layouts/15/DocIdRedir.aspx?ID=EUCW2WRC2PUD-1078297381-136</Url>
      <Description>EUCW2WRC2PUD-1078297381-136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A796-73C4-47BF-9A8A-3F209079F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DBD2-23D7-4E56-9CFC-97C6144F6BD8}">
  <ds:schemaRefs>
    <ds:schemaRef ds:uri="http://schemas.microsoft.com/sharepoint/events"/>
  </ds:schemaRefs>
</ds:datastoreItem>
</file>

<file path=customXml/itemProps3.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4.xml><?xml version="1.0" encoding="utf-8"?>
<ds:datastoreItem xmlns:ds="http://schemas.openxmlformats.org/officeDocument/2006/customXml" ds:itemID="{7C82E28D-6947-480F-BBF1-3DFDF858D2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47d1c65-9f6c-49e5-a774-2c92ccb46d02"/>
    <ds:schemaRef ds:uri="46486fd5-fff8-4cbe-a2d1-89ce7ea547a7"/>
    <ds:schemaRef ds:uri="http://www.w3.org/XML/1998/namespace"/>
    <ds:schemaRef ds:uri="http://purl.org/dc/dcmitype/"/>
  </ds:schemaRefs>
</ds:datastoreItem>
</file>

<file path=customXml/itemProps5.xml><?xml version="1.0" encoding="utf-8"?>
<ds:datastoreItem xmlns:ds="http://schemas.openxmlformats.org/officeDocument/2006/customXml" ds:itemID="{3D79A1EF-8555-47F1-8C88-176E414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7977</Words>
  <Characters>45470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Market Power and Entrepreneurship Change: the Case for Australia</vt:lpstr>
    </vt:vector>
  </TitlesOfParts>
  <Company>INDUSTRY</Company>
  <LinksUpToDate>false</LinksUpToDate>
  <CharactersWithSpaces>53341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Power and Entrepreneurship Change: the Case for Australia</dc:title>
  <dc:creator>Bakhtiari, Sasan</dc:creator>
  <cp:lastModifiedBy>Francis, Sophie</cp:lastModifiedBy>
  <cp:revision>3</cp:revision>
  <cp:lastPrinted>2020-07-23T06:27:00Z</cp:lastPrinted>
  <dcterms:created xsi:type="dcterms:W3CDTF">2020-07-23T06:27:00Z</dcterms:created>
  <dcterms:modified xsi:type="dcterms:W3CDTF">2020-07-23T06:27:00Z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afbda86d-76fa-4d01-a8c8-01cc2ac882cc</vt:lpwstr>
  </property>
  <property fmtid="{D5CDD505-2E9C-101B-9397-08002B2CF9AE}" pid="8" name="DocHub_Year">
    <vt:lpwstr>2829;#2020|6a3660c5-15bd-4052-a0a1-6237663b7600</vt:lpwstr>
  </property>
  <property fmtid="{D5CDD505-2E9C-101B-9397-08002B2CF9AE}" pid="9" name="DocHub_DocumentType">
    <vt:lpwstr>45;#Report|116a9244-cef6-47ce-a9a5-088c9cf21292</vt:lpwstr>
  </property>
  <property fmtid="{D5CDD505-2E9C-101B-9397-08002B2CF9AE}" pid="10" name="DocHub_SecurityClassification">
    <vt:lpwstr>3;#UNCLASSIFIED|6106d03b-a1a0-4e30-9d91-d5e9fb4314f9</vt:lpwstr>
  </property>
  <property fmtid="{D5CDD505-2E9C-101B-9397-08002B2CF9AE}" pid="11" name="DocHub_Keywords">
    <vt:lpwstr>1959;#IFA|a464322f-3cec-48f5-841c-7f7cfb4b0c6c;#1180;#EDAN|fef9d944-0a72-41db-b1dc-4b116d154aca;#1976;#competition|68d0a519-2152-4373-a0c0-ec13a20041ba;#2246;#Entrepreneurship|574528b5-c181-4da4-a941-828750fa1b03;#1354;#Draft|d00b2a5e-2b08-498c-b0f3-652dd</vt:lpwstr>
  </property>
  <property fmtid="{D5CDD505-2E9C-101B-9397-08002B2CF9AE}" pid="12" name="DocHub_WorkActivity">
    <vt:lpwstr>82;#Research|7b4c149d-8b70-4bf0-8e72-df534d298464</vt:lpwstr>
  </property>
  <property fmtid="{D5CDD505-2E9C-101B-9397-08002B2CF9AE}" pid="13" name="IconOverlay">
    <vt:lpwstr/>
  </property>
</Properties>
</file>