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rPr>
        <w:id w:val="-538507401"/>
        <w:docPartObj>
          <w:docPartGallery w:val="Cover Pages"/>
          <w:docPartUnique/>
        </w:docPartObj>
      </w:sdtPr>
      <w:sdtEndPr/>
      <w:sdtContent>
        <w:tbl>
          <w:tblPr>
            <w:tblW w:w="0" w:type="auto"/>
            <w:tblLook w:val="04A0" w:firstRow="1" w:lastRow="0" w:firstColumn="1" w:lastColumn="0" w:noHBand="0" w:noVBand="1"/>
          </w:tblPr>
          <w:tblGrid>
            <w:gridCol w:w="9026"/>
          </w:tblGrid>
          <w:tr w:rsidR="008533DE" w14:paraId="67B5AAB5" w14:textId="77777777" w:rsidTr="008533DE">
            <w:trPr>
              <w:cantSplit/>
              <w:trHeight w:val="1418"/>
            </w:trPr>
            <w:tc>
              <w:tcPr>
                <w:tcW w:w="9026" w:type="dxa"/>
              </w:tcPr>
              <w:p w14:paraId="67B5AAB4" w14:textId="4A5986C8" w:rsidR="008533DE" w:rsidRDefault="008533DE" w:rsidP="008533DE">
                <w:pPr>
                  <w:pStyle w:val="CoverNormal"/>
                </w:pPr>
                <w:r>
                  <w:rPr>
                    <w:noProof/>
                    <w:lang w:eastAsia="en-AU"/>
                  </w:rPr>
                  <w:drawing>
                    <wp:inline distT="0" distB="0" distL="0" distR="0" wp14:anchorId="2EE40E14" wp14:editId="72AB443B">
                      <wp:extent cx="3680411" cy="604080"/>
                      <wp:effectExtent l="0" t="0" r="0" b="5715"/>
                      <wp:docPr id="14" name="Picture 14" descr="Image shows a logo with the Australian Government Department of Industry, Science, Energy and Resources&#10;alongside the logo of the 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0411" cy="604080"/>
                              </a:xfrm>
                              <a:prstGeom prst="rect">
                                <a:avLst/>
                              </a:prstGeom>
                            </pic:spPr>
                          </pic:pic>
                        </a:graphicData>
                      </a:graphic>
                    </wp:inline>
                  </w:drawing>
                </w:r>
                <w:r>
                  <w:rPr>
                    <w:noProof/>
                    <w:lang w:eastAsia="en-AU"/>
                  </w:rPr>
                  <w:drawing>
                    <wp:inline distT="0" distB="0" distL="0" distR="0" wp14:anchorId="6B6DB07A" wp14:editId="50272E1C">
                      <wp:extent cx="3514476" cy="1058998"/>
                      <wp:effectExtent l="0" t="0" r="0" b="8255"/>
                      <wp:docPr id="5" name="Picture 5" descr="Image shows the Australian Government logo alongside the Economic Data and Analysi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AN logo with crest-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8855" cy="1060318"/>
                              </a:xfrm>
                              <a:prstGeom prst="rect">
                                <a:avLst/>
                              </a:prstGeom>
                            </pic:spPr>
                          </pic:pic>
                        </a:graphicData>
                      </a:graphic>
                    </wp:inline>
                  </w:drawing>
                </w:r>
              </w:p>
            </w:tc>
          </w:tr>
          <w:tr w:rsidR="008533DE" w14:paraId="67B5AAB7" w14:textId="77777777" w:rsidTr="008533DE">
            <w:trPr>
              <w:cantSplit/>
              <w:trHeight w:hRule="exact" w:val="1417"/>
            </w:trPr>
            <w:tc>
              <w:tcPr>
                <w:tcW w:w="9026" w:type="dxa"/>
                <w:vAlign w:val="bottom"/>
              </w:tcPr>
              <w:p w14:paraId="67B5AAB6" w14:textId="6EBCA8BF" w:rsidR="008533DE" w:rsidRDefault="008533DE" w:rsidP="003A4503">
                <w:pPr>
                  <w:pStyle w:val="ResearchPaper"/>
                </w:pPr>
                <w:r>
                  <w:t xml:space="preserve">Research Paper </w:t>
                </w:r>
                <w:r w:rsidR="003A4503">
                  <w:t>1/2020</w:t>
                </w:r>
              </w:p>
            </w:tc>
          </w:tr>
          <w:tr w:rsidR="00B56C69" w:rsidRPr="00CF654B" w14:paraId="67B5AAB9" w14:textId="77777777" w:rsidTr="008533DE">
            <w:trPr>
              <w:cantSplit/>
            </w:trPr>
            <w:sdt>
              <w:sdtPr>
                <w:rPr>
                  <w:rStyle w:val="TitleHeadingChar"/>
                  <w:b/>
                  <w:sz w:val="60"/>
                  <w:szCs w:val="60"/>
                </w:rPr>
                <w:alias w:val="Research Paper Title"/>
                <w:tag w:val="Research Paper Title"/>
                <w:id w:val="803742244"/>
                <w:placeholder>
                  <w:docPart w:val="C7CE448F29BE40D7918C6C8338DB7BFA"/>
                </w:placeholder>
              </w:sdtPr>
              <w:sdtEndPr>
                <w:rPr>
                  <w:rStyle w:val="DefaultParagraphFont"/>
                </w:rPr>
              </w:sdtEndPr>
              <w:sdtContent>
                <w:tc>
                  <w:tcPr>
                    <w:tcW w:w="9026" w:type="dxa"/>
                  </w:tcPr>
                  <w:p w14:paraId="67B5AAB8" w14:textId="72DAC039" w:rsidR="00B56C69" w:rsidRPr="008533DE" w:rsidRDefault="008F7790" w:rsidP="00790B9E">
                    <w:pPr>
                      <w:pStyle w:val="TitleHeading"/>
                      <w:rPr>
                        <w:b/>
                        <w:sz w:val="60"/>
                        <w:szCs w:val="60"/>
                      </w:rPr>
                    </w:pPr>
                    <w:r w:rsidRPr="008533DE">
                      <w:rPr>
                        <w:sz w:val="60"/>
                        <w:szCs w:val="60"/>
                      </w:rPr>
                      <w:t>International entrepreneurship: evidence on Australian born global firms</w:t>
                    </w:r>
                  </w:p>
                </w:tc>
              </w:sdtContent>
            </w:sdt>
          </w:tr>
          <w:tr w:rsidR="00B56C69" w14:paraId="67B5AABC" w14:textId="77777777" w:rsidTr="008533DE">
            <w:trPr>
              <w:cantSplit/>
            </w:trPr>
            <w:tc>
              <w:tcPr>
                <w:tcW w:w="9026" w:type="dxa"/>
                <w:vAlign w:val="center"/>
              </w:tcPr>
              <w:p w14:paraId="67B5AABA" w14:textId="77777777" w:rsidR="00B56C69" w:rsidRDefault="00B9711C" w:rsidP="00172423">
                <w:pPr>
                  <w:pStyle w:val="Author"/>
                  <w:spacing w:line="216" w:lineRule="auto"/>
                </w:pPr>
                <w:r>
                  <w:t>Angelina Bruno</w:t>
                </w:r>
                <w:r w:rsidR="00C54E29">
                  <w:t xml:space="preserve"> </w:t>
                </w:r>
              </w:p>
              <w:p w14:paraId="67B5AABB" w14:textId="506EB1BF" w:rsidR="00C54E29" w:rsidRDefault="006D5CC8" w:rsidP="00172423">
                <w:pPr>
                  <w:pStyle w:val="Author"/>
                  <w:spacing w:line="216" w:lineRule="auto"/>
                </w:pPr>
                <w:r>
                  <w:t xml:space="preserve">Dr </w:t>
                </w:r>
                <w:r w:rsidR="00E976E9">
                  <w:t xml:space="preserve">Abrie Swanepoel </w:t>
                </w:r>
              </w:p>
            </w:tc>
          </w:tr>
          <w:tr w:rsidR="00B56C69" w14:paraId="67B5AABE" w14:textId="77777777" w:rsidTr="008533DE">
            <w:trPr>
              <w:cantSplit/>
            </w:trPr>
            <w:tc>
              <w:tcPr>
                <w:tcW w:w="9026" w:type="dxa"/>
                <w:vAlign w:val="center"/>
              </w:tcPr>
              <w:p w14:paraId="67B5AABD" w14:textId="7BE3C5C7" w:rsidR="00B56C69" w:rsidRDefault="00B56C69" w:rsidP="0040620C">
                <w:pPr>
                  <w:pStyle w:val="MonthYear"/>
                  <w:spacing w:before="560"/>
                </w:pPr>
                <w:r>
                  <w:fldChar w:fldCharType="begin"/>
                </w:r>
                <w:r>
                  <w:instrText xml:space="preserve"> DATE  \@ "MMMM yyyy"  \* MERGEFORMAT </w:instrText>
                </w:r>
                <w:r>
                  <w:fldChar w:fldCharType="separate"/>
                </w:r>
                <w:r w:rsidR="00326788">
                  <w:rPr>
                    <w:noProof/>
                  </w:rPr>
                  <w:t>July 2020</w:t>
                </w:r>
                <w:r>
                  <w:fldChar w:fldCharType="end"/>
                </w:r>
              </w:p>
            </w:tc>
          </w:tr>
          <w:tr w:rsidR="00B56C69" w14:paraId="67B5AAC0" w14:textId="77777777" w:rsidTr="008533DE">
            <w:trPr>
              <w:cantSplit/>
              <w:trHeight w:val="765"/>
            </w:trPr>
            <w:tc>
              <w:tcPr>
                <w:tcW w:w="9026" w:type="dxa"/>
              </w:tcPr>
              <w:p w14:paraId="67B5AABF" w14:textId="77777777" w:rsidR="00B56C69" w:rsidRDefault="00B56C69" w:rsidP="00B564E1">
                <w:pPr>
                  <w:pStyle w:val="AbstractHeader"/>
                </w:pPr>
                <w:r w:rsidRPr="002054C2">
                  <w:t>Abstract</w:t>
                </w:r>
              </w:p>
            </w:tc>
          </w:tr>
          <w:tr w:rsidR="00B56C69" w14:paraId="67B5AAC2" w14:textId="77777777" w:rsidTr="008533DE">
            <w:trPr>
              <w:cantSplit/>
              <w:trHeight w:val="1125"/>
            </w:trPr>
            <w:tc>
              <w:tcPr>
                <w:tcW w:w="9026" w:type="dxa"/>
              </w:tcPr>
              <w:p w14:paraId="5DCE85BE" w14:textId="605832F7" w:rsidR="008B6410" w:rsidRPr="004273BE" w:rsidRDefault="008F7790" w:rsidP="00790B9E">
                <w:pPr>
                  <w:pStyle w:val="AbstractText"/>
                  <w:jc w:val="both"/>
                  <w:rPr>
                    <w:sz w:val="19"/>
                    <w:szCs w:val="19"/>
                  </w:rPr>
                </w:pPr>
                <w:r w:rsidRPr="004273BE">
                  <w:rPr>
                    <w:sz w:val="19"/>
                    <w:szCs w:val="19"/>
                  </w:rPr>
                  <w:t xml:space="preserve">This paper contributes to </w:t>
                </w:r>
                <w:r w:rsidR="00CE3375" w:rsidRPr="004273BE">
                  <w:rPr>
                    <w:sz w:val="19"/>
                    <w:szCs w:val="19"/>
                  </w:rPr>
                  <w:t xml:space="preserve">the related international business and the entrepreneurship fields, </w:t>
                </w:r>
                <w:r w:rsidRPr="004273BE">
                  <w:rPr>
                    <w:sz w:val="19"/>
                    <w:szCs w:val="19"/>
                  </w:rPr>
                  <w:t xml:space="preserve">using </w:t>
                </w:r>
                <w:r w:rsidR="00B52774" w:rsidRPr="004273BE">
                  <w:rPr>
                    <w:sz w:val="19"/>
                    <w:szCs w:val="19"/>
                  </w:rPr>
                  <w:t xml:space="preserve">administrative tax </w:t>
                </w:r>
                <w:r w:rsidRPr="004273BE">
                  <w:rPr>
                    <w:sz w:val="19"/>
                    <w:szCs w:val="19"/>
                  </w:rPr>
                  <w:t xml:space="preserve">data </w:t>
                </w:r>
                <w:r w:rsidR="0091724E">
                  <w:rPr>
                    <w:sz w:val="19"/>
                    <w:szCs w:val="19"/>
                  </w:rPr>
                  <w:t xml:space="preserve">on </w:t>
                </w:r>
                <w:r w:rsidRPr="004273BE">
                  <w:rPr>
                    <w:sz w:val="19"/>
                    <w:szCs w:val="19"/>
                  </w:rPr>
                  <w:t>Australian firms</w:t>
                </w:r>
                <w:r w:rsidR="00B52774" w:rsidRPr="004273BE">
                  <w:rPr>
                    <w:sz w:val="19"/>
                    <w:szCs w:val="19"/>
                  </w:rPr>
                  <w:t>.</w:t>
                </w:r>
                <w:r w:rsidRPr="004273BE">
                  <w:rPr>
                    <w:sz w:val="19"/>
                    <w:szCs w:val="19"/>
                  </w:rPr>
                  <w:t xml:space="preserve"> Firstly, we study the role of firms in international trade, focusing on a subset of firms that export from birth; </w:t>
                </w:r>
                <w:r w:rsidR="004A750B" w:rsidRPr="004273BE">
                  <w:rPr>
                    <w:sz w:val="19"/>
                    <w:szCs w:val="19"/>
                  </w:rPr>
                  <w:t xml:space="preserve">namely </w:t>
                </w:r>
                <w:r w:rsidR="00E916DA" w:rsidRPr="004273BE">
                  <w:rPr>
                    <w:i/>
                    <w:sz w:val="19"/>
                    <w:szCs w:val="19"/>
                  </w:rPr>
                  <w:t>born global</w:t>
                </w:r>
                <w:r w:rsidRPr="004273BE">
                  <w:rPr>
                    <w:sz w:val="19"/>
                    <w:szCs w:val="19"/>
                  </w:rPr>
                  <w:t xml:space="preserve"> firms. Secondly, we explore the export status dimension in the firm growth-age-size relationship</w:t>
                </w:r>
                <w:r w:rsidR="00EF1ADA" w:rsidRPr="004273BE">
                  <w:rPr>
                    <w:sz w:val="19"/>
                    <w:szCs w:val="19"/>
                  </w:rPr>
                  <w:t>, thus</w:t>
                </w:r>
                <w:r w:rsidRPr="004273BE">
                  <w:rPr>
                    <w:sz w:val="19"/>
                    <w:szCs w:val="19"/>
                  </w:rPr>
                  <w:t xml:space="preserve"> identify</w:t>
                </w:r>
                <w:r w:rsidR="00EF1ADA" w:rsidRPr="004273BE">
                  <w:rPr>
                    <w:sz w:val="19"/>
                    <w:szCs w:val="19"/>
                  </w:rPr>
                  <w:t>ing</w:t>
                </w:r>
                <w:r w:rsidRPr="004273BE">
                  <w:rPr>
                    <w:sz w:val="19"/>
                    <w:szCs w:val="19"/>
                  </w:rPr>
                  <w:t xml:space="preserve"> </w:t>
                </w:r>
                <w:r w:rsidR="006B5A73" w:rsidRPr="004273BE">
                  <w:rPr>
                    <w:sz w:val="19"/>
                    <w:szCs w:val="19"/>
                  </w:rPr>
                  <w:t xml:space="preserve">the </w:t>
                </w:r>
                <w:r w:rsidRPr="004273BE">
                  <w:rPr>
                    <w:sz w:val="19"/>
                    <w:szCs w:val="19"/>
                  </w:rPr>
                  <w:t>characteristics of highly successful Australian exporters. Fina</w:t>
                </w:r>
                <w:r w:rsidR="006B5A73" w:rsidRPr="004273BE">
                  <w:rPr>
                    <w:sz w:val="19"/>
                    <w:szCs w:val="19"/>
                  </w:rPr>
                  <w:t xml:space="preserve">lly, we test </w:t>
                </w:r>
                <w:r w:rsidRPr="004273BE">
                  <w:rPr>
                    <w:sz w:val="19"/>
                    <w:szCs w:val="19"/>
                  </w:rPr>
                  <w:t xml:space="preserve">the relationship between exchange rates and export sales to determine </w:t>
                </w:r>
                <w:r w:rsidR="00D14FCA" w:rsidRPr="004273BE">
                  <w:rPr>
                    <w:sz w:val="19"/>
                    <w:szCs w:val="19"/>
                  </w:rPr>
                  <w:t xml:space="preserve">how resilience to exchange rate </w:t>
                </w:r>
                <w:r w:rsidR="0091724E">
                  <w:rPr>
                    <w:sz w:val="19"/>
                    <w:szCs w:val="19"/>
                  </w:rPr>
                  <w:t>fluctuations</w:t>
                </w:r>
                <w:r w:rsidR="00D14FCA" w:rsidRPr="004273BE">
                  <w:rPr>
                    <w:sz w:val="19"/>
                    <w:szCs w:val="19"/>
                  </w:rPr>
                  <w:t xml:space="preserve"> varies across export</w:t>
                </w:r>
                <w:r w:rsidR="00790B9E">
                  <w:rPr>
                    <w:sz w:val="19"/>
                    <w:szCs w:val="19"/>
                  </w:rPr>
                  <w:t>ing</w:t>
                </w:r>
                <w:r w:rsidR="00D14FCA" w:rsidRPr="004273BE">
                  <w:rPr>
                    <w:sz w:val="19"/>
                    <w:szCs w:val="19"/>
                  </w:rPr>
                  <w:t xml:space="preserve"> </w:t>
                </w:r>
                <w:r w:rsidR="00790B9E">
                  <w:rPr>
                    <w:sz w:val="19"/>
                    <w:szCs w:val="19"/>
                  </w:rPr>
                  <w:t xml:space="preserve">businesses </w:t>
                </w:r>
                <w:r w:rsidR="00D14FCA" w:rsidRPr="004273BE">
                  <w:rPr>
                    <w:sz w:val="19"/>
                    <w:szCs w:val="19"/>
                  </w:rPr>
                  <w:t>of different age, size and exporting experience.</w:t>
                </w:r>
                <w:r w:rsidR="006B5A73" w:rsidRPr="004273BE">
                  <w:rPr>
                    <w:sz w:val="19"/>
                    <w:szCs w:val="19"/>
                  </w:rPr>
                  <w:t xml:space="preserve"> </w:t>
                </w:r>
                <w:r w:rsidR="007F3DFB" w:rsidRPr="004273BE">
                  <w:rPr>
                    <w:sz w:val="19"/>
                    <w:szCs w:val="19"/>
                  </w:rPr>
                  <w:t>This</w:t>
                </w:r>
                <w:r w:rsidR="00BD3FCC" w:rsidRPr="004273BE">
                  <w:rPr>
                    <w:sz w:val="19"/>
                    <w:szCs w:val="19"/>
                  </w:rPr>
                  <w:t xml:space="preserve"> research</w:t>
                </w:r>
                <w:r w:rsidR="007F3DFB" w:rsidRPr="004273BE">
                  <w:rPr>
                    <w:sz w:val="19"/>
                    <w:szCs w:val="19"/>
                  </w:rPr>
                  <w:t xml:space="preserve"> will assist policymakers to better target policies aimed at export promotion and entrepr</w:t>
                </w:r>
                <w:r w:rsidR="00EF3634" w:rsidRPr="004273BE">
                  <w:rPr>
                    <w:sz w:val="19"/>
                    <w:szCs w:val="19"/>
                  </w:rPr>
                  <w:t>eneurship in Australia.</w:t>
                </w:r>
              </w:p>
            </w:tc>
          </w:tr>
          <w:tr w:rsidR="00B56C69" w14:paraId="67B5AAC6" w14:textId="77777777" w:rsidTr="008533DE">
            <w:trPr>
              <w:cantSplit/>
              <w:trHeight w:val="1143"/>
            </w:trPr>
            <w:tc>
              <w:tcPr>
                <w:tcW w:w="9026" w:type="dxa"/>
              </w:tcPr>
              <w:p w14:paraId="07A3A835" w14:textId="77777777" w:rsidR="00EF3634" w:rsidRDefault="00EF3634" w:rsidP="00B564E1">
                <w:pPr>
                  <w:pStyle w:val="JELCodeheader"/>
                  <w:rPr>
                    <w:color w:val="005CAF"/>
                  </w:rPr>
                </w:pPr>
              </w:p>
              <w:p w14:paraId="67B5AAC3" w14:textId="73C6D655" w:rsidR="00B56C69" w:rsidRPr="00116A9D" w:rsidRDefault="00B56C69" w:rsidP="00B564E1">
                <w:pPr>
                  <w:pStyle w:val="JELCodeheader"/>
                  <w:rPr>
                    <w:b w:val="0"/>
                  </w:rPr>
                </w:pPr>
                <w:r w:rsidRPr="000502F2">
                  <w:rPr>
                    <w:color w:val="005CAF"/>
                  </w:rPr>
                  <w:t>JEL Codes:</w:t>
                </w:r>
                <w:r w:rsidRPr="000502F2">
                  <w:rPr>
                    <w:b w:val="0"/>
                    <w:color w:val="005CAF"/>
                  </w:rPr>
                  <w:t xml:space="preserve"> </w:t>
                </w:r>
                <w:r w:rsidR="00EF3634">
                  <w:rPr>
                    <w:b w:val="0"/>
                  </w:rPr>
                  <w:t>D22</w:t>
                </w:r>
                <w:r w:rsidRPr="00116A9D">
                  <w:rPr>
                    <w:b w:val="0"/>
                  </w:rPr>
                  <w:t xml:space="preserve">, </w:t>
                </w:r>
                <w:r w:rsidR="00EF3634">
                  <w:rPr>
                    <w:b w:val="0"/>
                  </w:rPr>
                  <w:t>F14, L25,L26</w:t>
                </w:r>
              </w:p>
              <w:p w14:paraId="67B5AAC4" w14:textId="4578A6E2" w:rsidR="00B56C69" w:rsidRDefault="00B56C69" w:rsidP="00B564E1">
                <w:pPr>
                  <w:pStyle w:val="JELCodeheader"/>
                  <w:rPr>
                    <w:b w:val="0"/>
                  </w:rPr>
                </w:pPr>
                <w:r w:rsidRPr="000502F2">
                  <w:rPr>
                    <w:color w:val="005CAF"/>
                  </w:rPr>
                  <w:t>Keywords:</w:t>
                </w:r>
                <w:r w:rsidRPr="00116A9D">
                  <w:rPr>
                    <w:b w:val="0"/>
                  </w:rPr>
                  <w:t xml:space="preserve"> </w:t>
                </w:r>
                <w:r w:rsidR="00EF3634">
                  <w:rPr>
                    <w:b w:val="0"/>
                  </w:rPr>
                  <w:t>Born global</w:t>
                </w:r>
                <w:r w:rsidR="004273BE">
                  <w:rPr>
                    <w:b w:val="0"/>
                  </w:rPr>
                  <w:t xml:space="preserve"> firms</w:t>
                </w:r>
                <w:r w:rsidR="00EF3634">
                  <w:rPr>
                    <w:b w:val="0"/>
                  </w:rPr>
                  <w:t xml:space="preserve">, </w:t>
                </w:r>
                <w:r w:rsidR="0091724E">
                  <w:rPr>
                    <w:b w:val="0"/>
                  </w:rPr>
                  <w:t>Business</w:t>
                </w:r>
                <w:r w:rsidR="00EF3634">
                  <w:rPr>
                    <w:b w:val="0"/>
                  </w:rPr>
                  <w:t xml:space="preserve"> performance, </w:t>
                </w:r>
                <w:r w:rsidR="0091724E">
                  <w:rPr>
                    <w:b w:val="0"/>
                  </w:rPr>
                  <w:t>Entrepreneurship</w:t>
                </w:r>
                <w:r w:rsidR="00EF3634">
                  <w:rPr>
                    <w:b w:val="0"/>
                  </w:rPr>
                  <w:t xml:space="preserve">, International trade </w:t>
                </w:r>
              </w:p>
              <w:p w14:paraId="67B5AAC5" w14:textId="77777777" w:rsidR="00B56C69" w:rsidRPr="002054C2" w:rsidRDefault="00B56C69" w:rsidP="00B564E1">
                <w:pPr>
                  <w:pStyle w:val="JELCodeheader"/>
                </w:pPr>
              </w:p>
            </w:tc>
          </w:tr>
        </w:tbl>
        <w:p w14:paraId="24907435" w14:textId="77777777" w:rsidR="00BC66DE" w:rsidRPr="00BC66DE" w:rsidRDefault="00BC66DE" w:rsidP="00BC66DE">
          <w:pPr>
            <w:pStyle w:val="DisclaimerHeading"/>
          </w:pPr>
          <w:bookmarkStart w:id="1" w:name="TOC"/>
          <w:r w:rsidRPr="00BC66DE">
            <w:lastRenderedPageBreak/>
            <w:t xml:space="preserve">For further information on this research paper please contact: </w:t>
          </w:r>
        </w:p>
        <w:p w14:paraId="14290C78" w14:textId="77777777" w:rsidR="00172423" w:rsidRDefault="00172423" w:rsidP="00BC66DE">
          <w:pPr>
            <w:spacing w:after="60" w:line="240" w:lineRule="auto"/>
            <w:jc w:val="left"/>
            <w:rPr>
              <w:rFonts w:eastAsia="Calibri" w:cs="Arial"/>
              <w:sz w:val="16"/>
              <w:szCs w:val="18"/>
              <w:lang w:val="en"/>
            </w:rPr>
          </w:pPr>
          <w:r w:rsidRPr="00172423">
            <w:rPr>
              <w:rFonts w:eastAsia="Calibri" w:cs="Arial"/>
              <w:sz w:val="16"/>
              <w:szCs w:val="18"/>
              <w:lang w:val="en"/>
            </w:rPr>
            <w:t xml:space="preserve">Dr Abrie Swanepoel </w:t>
          </w:r>
        </w:p>
        <w:p w14:paraId="6A6E2FD3" w14:textId="712133FD" w:rsidR="00BC66DE" w:rsidRPr="00BC66DE" w:rsidRDefault="00E83F5C" w:rsidP="00BC66DE">
          <w:pPr>
            <w:spacing w:after="60" w:line="240" w:lineRule="auto"/>
            <w:jc w:val="left"/>
            <w:rPr>
              <w:rFonts w:eastAsia="Calibri" w:cs="Arial"/>
              <w:sz w:val="16"/>
              <w:szCs w:val="18"/>
              <w:lang w:val="en"/>
            </w:rPr>
          </w:pPr>
          <w:r>
            <w:rPr>
              <w:rFonts w:eastAsia="Calibri" w:cs="Arial"/>
              <w:sz w:val="16"/>
              <w:szCs w:val="18"/>
              <w:lang w:val="en"/>
            </w:rPr>
            <w:t>Evaluation and Research Branch</w:t>
          </w:r>
          <w:r w:rsidR="00BC66DE" w:rsidRPr="00BC66DE">
            <w:rPr>
              <w:rFonts w:eastAsia="Calibri" w:cs="Arial"/>
              <w:sz w:val="16"/>
              <w:szCs w:val="18"/>
              <w:lang w:val="en"/>
            </w:rPr>
            <w:t xml:space="preserve"> </w:t>
          </w:r>
        </w:p>
        <w:p w14:paraId="202DAD5C" w14:textId="77777777" w:rsidR="00BC66DE" w:rsidRPr="00BC66DE" w:rsidRDefault="00BC66DE" w:rsidP="00BC66DE">
          <w:pPr>
            <w:spacing w:after="60" w:line="240" w:lineRule="auto"/>
            <w:jc w:val="left"/>
            <w:rPr>
              <w:rFonts w:eastAsia="Calibri" w:cs="Arial"/>
              <w:sz w:val="16"/>
              <w:szCs w:val="18"/>
              <w:lang w:val="en"/>
            </w:rPr>
          </w:pPr>
          <w:r w:rsidRPr="00BC66DE">
            <w:rPr>
              <w:rFonts w:eastAsia="Calibri" w:cs="Arial"/>
              <w:sz w:val="16"/>
              <w:szCs w:val="18"/>
              <w:lang w:val="en"/>
            </w:rPr>
            <w:t xml:space="preserve">Department of Industry, Science, Energy and Resources </w:t>
          </w:r>
        </w:p>
        <w:p w14:paraId="136077FE" w14:textId="77777777" w:rsidR="00BC66DE" w:rsidRPr="00BC66DE" w:rsidRDefault="00BC66DE" w:rsidP="00BC66DE">
          <w:pPr>
            <w:spacing w:after="60" w:line="240" w:lineRule="auto"/>
            <w:jc w:val="left"/>
            <w:rPr>
              <w:rFonts w:eastAsia="Calibri" w:cs="Arial"/>
              <w:sz w:val="16"/>
              <w:szCs w:val="18"/>
              <w:lang w:val="en"/>
            </w:rPr>
          </w:pPr>
          <w:r w:rsidRPr="00BC66DE">
            <w:rPr>
              <w:rFonts w:eastAsia="Calibri" w:cs="Arial"/>
              <w:sz w:val="16"/>
              <w:szCs w:val="18"/>
              <w:lang w:val="en"/>
            </w:rPr>
            <w:t>GPO Box 9839</w:t>
          </w:r>
        </w:p>
        <w:p w14:paraId="76E80F61" w14:textId="77777777" w:rsidR="00BC66DE" w:rsidRPr="00BC66DE" w:rsidRDefault="00BC66DE" w:rsidP="00BC66DE">
          <w:pPr>
            <w:spacing w:after="60" w:line="240" w:lineRule="auto"/>
            <w:jc w:val="left"/>
            <w:rPr>
              <w:rFonts w:eastAsia="Calibri" w:cs="Arial"/>
              <w:sz w:val="16"/>
              <w:szCs w:val="18"/>
              <w:lang w:val="en"/>
            </w:rPr>
          </w:pPr>
          <w:r w:rsidRPr="00BC66DE">
            <w:rPr>
              <w:rFonts w:eastAsia="Calibri" w:cs="Arial"/>
              <w:sz w:val="16"/>
              <w:szCs w:val="18"/>
              <w:lang w:val="en"/>
            </w:rPr>
            <w:t>Canberra ACT 2601</w:t>
          </w:r>
        </w:p>
        <w:p w14:paraId="3FA300B6" w14:textId="729F43D2" w:rsidR="00BC66DE" w:rsidRPr="00BC66DE" w:rsidRDefault="00BC66DE" w:rsidP="00BC66DE">
          <w:pPr>
            <w:spacing w:after="60" w:line="240" w:lineRule="auto"/>
            <w:jc w:val="left"/>
            <w:rPr>
              <w:rFonts w:eastAsia="Calibri" w:cs="Arial"/>
              <w:sz w:val="16"/>
              <w:szCs w:val="18"/>
              <w:lang w:val="en"/>
            </w:rPr>
          </w:pPr>
          <w:r w:rsidRPr="00BC66DE">
            <w:rPr>
              <w:rFonts w:eastAsia="Calibri" w:cs="Arial"/>
              <w:sz w:val="16"/>
              <w:szCs w:val="18"/>
              <w:lang w:val="en"/>
            </w:rPr>
            <w:t xml:space="preserve">Phone: +61 </w:t>
          </w:r>
          <w:r w:rsidR="00172423" w:rsidRPr="00172423">
            <w:rPr>
              <w:rFonts w:eastAsia="Calibri" w:cs="Arial"/>
              <w:sz w:val="16"/>
              <w:szCs w:val="18"/>
              <w:lang w:val="en"/>
            </w:rPr>
            <w:t>2 6102 9385</w:t>
          </w:r>
        </w:p>
        <w:p w14:paraId="6B5F2559" w14:textId="773E1A86" w:rsidR="00BC66DE" w:rsidRPr="00BC66DE" w:rsidRDefault="00BC66DE" w:rsidP="00BC66DE">
          <w:pPr>
            <w:spacing w:after="60" w:line="240" w:lineRule="auto"/>
            <w:jc w:val="left"/>
            <w:rPr>
              <w:rFonts w:eastAsia="Calibri" w:cs="Times New Roman"/>
              <w:color w:val="005CAF"/>
              <w:szCs w:val="20"/>
              <w:lang w:val="en"/>
            </w:rPr>
          </w:pPr>
          <w:r w:rsidRPr="00BC66DE">
            <w:rPr>
              <w:rFonts w:eastAsia="Calibri" w:cs="Arial"/>
              <w:sz w:val="16"/>
              <w:szCs w:val="18"/>
              <w:lang w:val="en"/>
            </w:rPr>
            <w:t xml:space="preserve">Email: </w:t>
          </w:r>
          <w:r w:rsidR="00172423" w:rsidRPr="00172423">
            <w:rPr>
              <w:rFonts w:eastAsia="Calibri" w:cs="Arial"/>
              <w:sz w:val="16"/>
              <w:szCs w:val="18"/>
              <w:lang w:val="en"/>
            </w:rPr>
            <w:t>Abrie.Swanepoel@industry.gov.au</w:t>
          </w:r>
        </w:p>
        <w:p w14:paraId="3C28C25D" w14:textId="77777777" w:rsidR="00BC66DE" w:rsidRPr="00BC66DE" w:rsidRDefault="00BC66DE" w:rsidP="00BC66DE">
          <w:pPr>
            <w:pBdr>
              <w:top w:val="single" w:sz="4" w:space="1" w:color="595A5B"/>
            </w:pBdr>
            <w:spacing w:before="360" w:after="120" w:line="240" w:lineRule="atLeast"/>
            <w:ind w:right="57"/>
            <w:jc w:val="left"/>
            <w:rPr>
              <w:rFonts w:eastAsia="Calibri" w:cs="Times New Roman"/>
              <w:color w:val="005CAF"/>
              <w:sz w:val="16"/>
              <w:szCs w:val="20"/>
              <w:lang w:val="en"/>
            </w:rPr>
          </w:pPr>
          <w:r w:rsidRPr="00BC66DE">
            <w:rPr>
              <w:rFonts w:eastAsia="Times New Roman" w:cs="Times New Roman"/>
              <w:color w:val="005CAF"/>
              <w:sz w:val="16"/>
              <w:szCs w:val="20"/>
              <w:lang w:val="en"/>
            </w:rPr>
            <w:t>Creative Commons Licence</w:t>
          </w:r>
        </w:p>
        <w:p w14:paraId="02B54D85" w14:textId="77777777" w:rsidR="00BC66DE" w:rsidRPr="00BC66DE" w:rsidRDefault="00BC66DE" w:rsidP="00BC66DE">
          <w:pPr>
            <w:spacing w:after="120" w:line="240" w:lineRule="exact"/>
            <w:jc w:val="left"/>
            <w:rPr>
              <w:rFonts w:eastAsia="Calibri" w:cs="Arial"/>
              <w:color w:val="000000"/>
              <w:sz w:val="16"/>
              <w:szCs w:val="18"/>
              <w:lang w:val="en"/>
            </w:rPr>
          </w:pPr>
          <w:r w:rsidRPr="00BC66DE">
            <w:rPr>
              <w:rFonts w:eastAsia="Calibri" w:cs="Arial"/>
              <w:sz w:val="16"/>
              <w:szCs w:val="18"/>
              <w:lang w:val="en"/>
            </w:rPr>
            <w:t>© Commonwealth of Australia 2</w:t>
          </w:r>
          <w:r w:rsidRPr="00BC66DE">
            <w:rPr>
              <w:rFonts w:eastAsia="Calibri" w:cs="Arial"/>
              <w:color w:val="000000"/>
              <w:sz w:val="16"/>
              <w:szCs w:val="18"/>
              <w:lang w:val="en"/>
            </w:rPr>
            <w:t>020</w:t>
          </w:r>
        </w:p>
        <w:p w14:paraId="006B91BB" w14:textId="77777777" w:rsidR="00BC66DE" w:rsidRPr="00BC66DE" w:rsidRDefault="00BC66DE" w:rsidP="00BC66DE">
          <w:pPr>
            <w:spacing w:after="120" w:line="240" w:lineRule="exact"/>
            <w:jc w:val="left"/>
            <w:rPr>
              <w:rFonts w:eastAsia="Calibri" w:cs="Arial"/>
              <w:sz w:val="16"/>
              <w:szCs w:val="18"/>
              <w:lang w:val="en"/>
            </w:rPr>
          </w:pPr>
          <w:r w:rsidRPr="00BC66DE">
            <w:rPr>
              <w:rFonts w:eastAsia="Calibri" w:cs="Arial"/>
              <w:noProof/>
              <w:sz w:val="16"/>
              <w:szCs w:val="18"/>
              <w:lang w:eastAsia="en-AU"/>
            </w:rPr>
            <w:drawing>
              <wp:anchor distT="0" distB="0" distL="114300" distR="114300" simplePos="0" relativeHeight="251660291" behindDoc="0" locked="0" layoutInCell="1" allowOverlap="1" wp14:anchorId="4F29A391" wp14:editId="0B74CC91">
                <wp:simplePos x="0" y="0"/>
                <wp:positionH relativeFrom="column">
                  <wp:posOffset>1352550</wp:posOffset>
                </wp:positionH>
                <wp:positionV relativeFrom="paragraph">
                  <wp:posOffset>38100</wp:posOffset>
                </wp:positionV>
                <wp:extent cx="1219200" cy="419100"/>
                <wp:effectExtent l="0" t="0" r="0" b="0"/>
                <wp:wrapSquare wrapText="bothSides"/>
                <wp:docPr id="15" name="Picture 15"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BC66DE">
            <w:rPr>
              <w:rFonts w:eastAsia="Calibri" w:cs="Arial"/>
              <w:sz w:val="16"/>
              <w:szCs w:val="18"/>
              <w:lang w:val="en"/>
            </w:rPr>
            <w:t xml:space="preserve">Creative Commons </w:t>
          </w:r>
          <w:r w:rsidRPr="00BC66DE">
            <w:rPr>
              <w:rFonts w:eastAsia="Calibri" w:cs="Arial"/>
              <w:sz w:val="16"/>
              <w:szCs w:val="18"/>
              <w:lang w:val="en"/>
            </w:rPr>
            <w:br/>
            <w:t>Attribution 4.0 International Licence</w:t>
          </w:r>
          <w:r w:rsidRPr="00BC66DE">
            <w:rPr>
              <w:rFonts w:eastAsia="Calibri" w:cs="Arial"/>
              <w:sz w:val="16"/>
              <w:szCs w:val="18"/>
              <w:lang w:val="en"/>
            </w:rPr>
            <w:br/>
            <w:t xml:space="preserve">CC BY 4.0 </w:t>
          </w:r>
        </w:p>
        <w:p w14:paraId="39C25F12" w14:textId="77777777" w:rsidR="00BC66DE" w:rsidRPr="00BC66DE" w:rsidRDefault="00BC66DE" w:rsidP="00BC66DE">
          <w:pPr>
            <w:spacing w:after="140" w:line="270" w:lineRule="exact"/>
            <w:jc w:val="left"/>
            <w:rPr>
              <w:rFonts w:eastAsia="Calibri" w:cs="Arial"/>
              <w:sz w:val="16"/>
              <w:szCs w:val="18"/>
              <w:lang w:val="en"/>
            </w:rPr>
          </w:pPr>
          <w:r w:rsidRPr="00BC66DE">
            <w:rPr>
              <w:rFonts w:eastAsia="Calibri" w:cs="Arial"/>
              <w:sz w:val="16"/>
              <w:szCs w:val="18"/>
              <w:lang w:val="en"/>
            </w:rPr>
            <w:t>All material in this publication is licensed under a Creative Commons Attribution 4.0 International Licence, with the exception of:</w:t>
          </w:r>
        </w:p>
        <w:p w14:paraId="70C5FF7C" w14:textId="77777777" w:rsidR="00BC66DE" w:rsidRPr="00BC66DE" w:rsidRDefault="00BC66DE" w:rsidP="00BC66DE">
          <w:pPr>
            <w:numPr>
              <w:ilvl w:val="0"/>
              <w:numId w:val="22"/>
            </w:numPr>
            <w:spacing w:after="0" w:line="264" w:lineRule="auto"/>
            <w:ind w:left="2874" w:hanging="357"/>
            <w:jc w:val="left"/>
            <w:rPr>
              <w:rFonts w:eastAsia="Calibri" w:cs="Arial"/>
              <w:sz w:val="16"/>
              <w:szCs w:val="18"/>
              <w:lang w:val="en"/>
            </w:rPr>
          </w:pPr>
          <w:r w:rsidRPr="00BC66DE">
            <w:rPr>
              <w:rFonts w:eastAsia="Calibri" w:cs="Arial"/>
              <w:sz w:val="16"/>
              <w:szCs w:val="18"/>
              <w:lang w:val="en"/>
            </w:rPr>
            <w:t>the Commonwealth Coat of Arms;</w:t>
          </w:r>
        </w:p>
        <w:p w14:paraId="76E72FDB" w14:textId="77777777" w:rsidR="00BC66DE" w:rsidRPr="00BC66DE" w:rsidRDefault="00BC66DE" w:rsidP="00BC66DE">
          <w:pPr>
            <w:numPr>
              <w:ilvl w:val="0"/>
              <w:numId w:val="22"/>
            </w:numPr>
            <w:spacing w:after="0" w:line="264" w:lineRule="auto"/>
            <w:ind w:left="2874" w:hanging="357"/>
            <w:jc w:val="left"/>
            <w:rPr>
              <w:rFonts w:eastAsia="Calibri" w:cs="Arial"/>
              <w:sz w:val="16"/>
              <w:szCs w:val="18"/>
              <w:lang w:val="en"/>
            </w:rPr>
          </w:pPr>
          <w:r w:rsidRPr="00BC66DE">
            <w:rPr>
              <w:rFonts w:eastAsia="Calibri" w:cs="Arial"/>
              <w:sz w:val="16"/>
              <w:szCs w:val="18"/>
              <w:lang w:val="en"/>
            </w:rPr>
            <w:t>content supplied by third parties;</w:t>
          </w:r>
        </w:p>
        <w:p w14:paraId="1E23CF7C" w14:textId="77777777" w:rsidR="00BC66DE" w:rsidRPr="00BC66DE" w:rsidRDefault="00BC66DE" w:rsidP="00BC66DE">
          <w:pPr>
            <w:numPr>
              <w:ilvl w:val="0"/>
              <w:numId w:val="22"/>
            </w:numPr>
            <w:spacing w:after="0" w:line="264" w:lineRule="auto"/>
            <w:ind w:left="2874" w:hanging="357"/>
            <w:jc w:val="left"/>
            <w:rPr>
              <w:rFonts w:eastAsia="Calibri" w:cs="Arial"/>
              <w:sz w:val="16"/>
              <w:szCs w:val="18"/>
              <w:lang w:val="en"/>
            </w:rPr>
          </w:pPr>
          <w:r w:rsidRPr="00BC66DE">
            <w:rPr>
              <w:rFonts w:eastAsia="Calibri" w:cs="Arial"/>
              <w:sz w:val="16"/>
              <w:szCs w:val="18"/>
              <w:lang w:val="en"/>
            </w:rPr>
            <w:t>logos; and</w:t>
          </w:r>
        </w:p>
        <w:p w14:paraId="5EDB8350" w14:textId="77777777" w:rsidR="00BC66DE" w:rsidRPr="00BC66DE" w:rsidRDefault="00BC66DE" w:rsidP="00BC66DE">
          <w:pPr>
            <w:numPr>
              <w:ilvl w:val="0"/>
              <w:numId w:val="22"/>
            </w:numPr>
            <w:spacing w:after="120" w:line="264" w:lineRule="auto"/>
            <w:ind w:left="2874" w:hanging="357"/>
            <w:jc w:val="left"/>
            <w:rPr>
              <w:rFonts w:eastAsia="Calibri" w:cs="Arial"/>
              <w:sz w:val="16"/>
              <w:szCs w:val="18"/>
              <w:lang w:val="en"/>
            </w:rPr>
          </w:pPr>
          <w:r w:rsidRPr="00BC66DE">
            <w:rPr>
              <w:rFonts w:eastAsia="Calibri" w:cs="Arial"/>
              <w:sz w:val="16"/>
              <w:szCs w:val="18"/>
              <w:lang w:val="en"/>
            </w:rPr>
            <w:t>any material protected by trademark or otherwise noted in this publication.</w:t>
          </w:r>
        </w:p>
        <w:p w14:paraId="264987E7" w14:textId="0BB1F0BD" w:rsidR="00BC66DE" w:rsidRPr="00BC66DE" w:rsidRDefault="00BC66DE" w:rsidP="00BC66DE">
          <w:pPr>
            <w:spacing w:after="100" w:line="240" w:lineRule="exact"/>
            <w:jc w:val="left"/>
            <w:rPr>
              <w:rFonts w:eastAsia="Calibri" w:cs="Arial"/>
              <w:color w:val="005CAF"/>
              <w:sz w:val="16"/>
              <w:szCs w:val="18"/>
              <w:lang w:val="en"/>
            </w:rPr>
          </w:pPr>
          <w:r w:rsidRPr="00BC66DE">
            <w:rPr>
              <w:rFonts w:eastAsia="Calibri" w:cs="Arial"/>
              <w:sz w:val="16"/>
              <w:szCs w:val="18"/>
              <w:lang w:val="en"/>
            </w:rPr>
            <w:t xml:space="preserve">Creative Commons Attribution 4.0 International Licence is a standard form licence agreement that allows you to copy, distribute, transmit and adapt this publication provided you attribute the work. A summary of the </w:t>
          </w:r>
          <w:r>
            <w:rPr>
              <w:rFonts w:eastAsia="Calibri" w:cs="Arial"/>
              <w:sz w:val="16"/>
              <w:szCs w:val="18"/>
              <w:lang w:val="en"/>
            </w:rPr>
            <w:t>licence terms is available from</w:t>
          </w:r>
          <w:r w:rsidR="0040620C">
            <w:rPr>
              <w:rFonts w:eastAsia="Calibri" w:cs="Arial"/>
              <w:sz w:val="16"/>
              <w:szCs w:val="18"/>
              <w:lang w:val="en"/>
            </w:rPr>
            <w:t xml:space="preserve"> </w:t>
          </w:r>
          <w:hyperlink r:id="rId15" w:history="1">
            <w:r w:rsidR="00A5447E" w:rsidRPr="00A5447E">
              <w:rPr>
                <w:rStyle w:val="Hyperlink"/>
                <w:rFonts w:eastAsia="Calibri" w:cs="Arial"/>
                <w:sz w:val="16"/>
                <w:szCs w:val="16"/>
                <w:lang w:val="en"/>
              </w:rPr>
              <w:t>https://creativecommons.org/licenses/by/4.0/</w:t>
            </w:r>
          </w:hyperlink>
        </w:p>
        <w:p w14:paraId="6DEF7BB6" w14:textId="77777777" w:rsidR="00BC66DE" w:rsidRPr="00BC66DE" w:rsidRDefault="00BC66DE" w:rsidP="00BC66DE">
          <w:pPr>
            <w:spacing w:after="100" w:line="240" w:lineRule="exact"/>
            <w:jc w:val="left"/>
            <w:rPr>
              <w:rFonts w:eastAsia="Calibri" w:cs="Arial"/>
              <w:sz w:val="16"/>
              <w:szCs w:val="18"/>
              <w:lang w:val="en"/>
            </w:rPr>
          </w:pPr>
          <w:r w:rsidRPr="00BC66DE">
            <w:rPr>
              <w:rFonts w:eastAsia="Calibri" w:cs="Arial"/>
              <w:sz w:val="16"/>
              <w:szCs w:val="18"/>
              <w:lang w:val="en"/>
            </w:rPr>
            <w:t>Wherever a third party holds copyright in material contained in this publication, the copyright remains with that party. Their permission may be required to use the material. Please contact them directly.</w:t>
          </w:r>
        </w:p>
        <w:p w14:paraId="1769EA4F" w14:textId="77777777" w:rsidR="00BC66DE" w:rsidRPr="00BC66DE" w:rsidRDefault="00BC66DE" w:rsidP="00BC66DE">
          <w:pPr>
            <w:pBdr>
              <w:top w:val="single" w:sz="4" w:space="1" w:color="595A5B"/>
            </w:pBdr>
            <w:spacing w:before="360" w:after="120" w:line="240" w:lineRule="atLeast"/>
            <w:ind w:right="57"/>
            <w:jc w:val="left"/>
            <w:rPr>
              <w:rFonts w:eastAsia="Times New Roman" w:cs="Times New Roman"/>
              <w:color w:val="005CAF"/>
              <w:sz w:val="16"/>
              <w:szCs w:val="20"/>
              <w:lang w:val="en"/>
            </w:rPr>
          </w:pPr>
          <w:r w:rsidRPr="00BC66DE">
            <w:rPr>
              <w:rFonts w:eastAsia="Times New Roman" w:cs="Times New Roman"/>
              <w:color w:val="005CAF"/>
              <w:sz w:val="16"/>
              <w:szCs w:val="20"/>
              <w:lang w:val="en"/>
            </w:rPr>
            <w:t>Attribution</w:t>
          </w:r>
        </w:p>
        <w:p w14:paraId="41E2E654" w14:textId="3D89A86B" w:rsidR="00BC66DE" w:rsidRPr="00BC66DE" w:rsidRDefault="00BC66DE" w:rsidP="00BC66DE">
          <w:pPr>
            <w:spacing w:after="100" w:line="240" w:lineRule="exact"/>
            <w:jc w:val="left"/>
            <w:rPr>
              <w:rFonts w:eastAsia="Calibri" w:cs="Arial"/>
              <w:sz w:val="16"/>
              <w:szCs w:val="18"/>
              <w:lang w:val="en"/>
            </w:rPr>
          </w:pPr>
          <w:r w:rsidRPr="00BC66DE">
            <w:rPr>
              <w:rFonts w:eastAsia="Calibri" w:cs="Arial"/>
              <w:sz w:val="16"/>
              <w:szCs w:val="18"/>
              <w:lang w:val="en"/>
            </w:rPr>
            <w:t>Content contained herein should be attributed as follows:</w:t>
          </w:r>
          <w:r w:rsidR="0040620C">
            <w:rPr>
              <w:rFonts w:eastAsia="Calibri" w:cs="Arial"/>
              <w:sz w:val="16"/>
              <w:szCs w:val="18"/>
              <w:lang w:val="en"/>
            </w:rPr>
            <w:t xml:space="preserve"> </w:t>
          </w:r>
          <w:r w:rsidRPr="00BC66DE">
            <w:rPr>
              <w:rFonts w:eastAsia="Calibri" w:cs="Arial"/>
              <w:sz w:val="16"/>
              <w:szCs w:val="18"/>
              <w:lang w:val="en"/>
            </w:rPr>
            <w:t>Department of Industry, Science, Energy and Resources, Commonwealth of Australia, International entrepreneurship: evidence on Australian born global firms.</w:t>
          </w:r>
        </w:p>
        <w:p w14:paraId="38AB0865" w14:textId="77777777" w:rsidR="00BC66DE" w:rsidRPr="00BC66DE" w:rsidRDefault="00BC66DE" w:rsidP="00BC66DE">
          <w:pPr>
            <w:spacing w:after="100" w:line="240" w:lineRule="exact"/>
            <w:jc w:val="left"/>
            <w:rPr>
              <w:rFonts w:eastAsia="Calibri" w:cs="Arial"/>
              <w:sz w:val="16"/>
              <w:szCs w:val="18"/>
              <w:lang w:val="en"/>
            </w:rPr>
          </w:pPr>
          <w:r w:rsidRPr="00BC66DE">
            <w:rPr>
              <w:rFonts w:eastAsia="Calibri" w:cs="Arial"/>
              <w:sz w:val="16"/>
              <w:szCs w:val="18"/>
              <w:lang w:val="en"/>
            </w:rPr>
            <w:t xml:space="preserve">Requests and inquiries concerning reproduction and rights should be addressed to </w:t>
          </w:r>
          <w:hyperlink r:id="rId16" w:history="1">
            <w:r w:rsidRPr="00BC66DE">
              <w:rPr>
                <w:rFonts w:eastAsia="Calibri" w:cs="Arial"/>
                <w:color w:val="005CAF"/>
                <w:sz w:val="16"/>
                <w:szCs w:val="18"/>
                <w:lang w:val="en"/>
              </w:rPr>
              <w:t>chiefeconomist@industry.gov.au</w:t>
            </w:r>
          </w:hyperlink>
          <w:r w:rsidRPr="00BC66DE">
            <w:rPr>
              <w:rFonts w:eastAsia="Calibri" w:cs="Arial"/>
              <w:sz w:val="16"/>
              <w:szCs w:val="18"/>
              <w:lang w:val="en"/>
            </w:rPr>
            <w:t>.</w:t>
          </w:r>
        </w:p>
        <w:p w14:paraId="146DE967" w14:textId="77777777" w:rsidR="00BC66DE" w:rsidRPr="00BC66DE" w:rsidRDefault="00BC66DE" w:rsidP="00BC66DE">
          <w:pPr>
            <w:pBdr>
              <w:top w:val="single" w:sz="4" w:space="1" w:color="595A5B"/>
            </w:pBdr>
            <w:spacing w:before="360" w:after="120" w:line="240" w:lineRule="atLeast"/>
            <w:ind w:right="57"/>
            <w:jc w:val="left"/>
            <w:rPr>
              <w:rFonts w:eastAsia="Times New Roman" w:cs="Times New Roman"/>
              <w:color w:val="005CAF"/>
              <w:sz w:val="16"/>
              <w:szCs w:val="20"/>
              <w:lang w:val="en"/>
            </w:rPr>
          </w:pPr>
          <w:r w:rsidRPr="00BC66DE">
            <w:rPr>
              <w:rFonts w:eastAsia="Times New Roman" w:cs="Times New Roman"/>
              <w:color w:val="005CAF"/>
              <w:sz w:val="16"/>
              <w:szCs w:val="20"/>
              <w:lang w:val="en"/>
            </w:rPr>
            <w:t>Disclaimer</w:t>
          </w:r>
        </w:p>
        <w:p w14:paraId="579FDEAC" w14:textId="77777777" w:rsidR="00BC66DE" w:rsidRPr="00BC66DE" w:rsidRDefault="00BC66DE" w:rsidP="00BC66DE">
          <w:pPr>
            <w:spacing w:after="100" w:line="240" w:lineRule="exact"/>
            <w:jc w:val="left"/>
            <w:rPr>
              <w:rFonts w:eastAsia="Calibri" w:cs="Arial"/>
              <w:sz w:val="16"/>
              <w:szCs w:val="18"/>
              <w:lang w:val="en"/>
            </w:rPr>
          </w:pPr>
          <w:r w:rsidRPr="00BC66DE">
            <w:rPr>
              <w:rFonts w:eastAsia="Calibri" w:cs="Arial"/>
              <w:sz w:val="16"/>
              <w:szCs w:val="18"/>
              <w:lang w:val="en"/>
            </w:rPr>
            <w:t>The views expressed in this report are those of the author(s) and do not necessarily reflect those of the Australian Government or the Department of Industry, Innovation and Science.</w:t>
          </w:r>
        </w:p>
        <w:p w14:paraId="2B2E468D" w14:textId="77777777" w:rsidR="00BC66DE" w:rsidRPr="00BC66DE" w:rsidRDefault="00BC66DE" w:rsidP="00BC66DE">
          <w:pPr>
            <w:spacing w:after="100" w:line="240" w:lineRule="exact"/>
            <w:jc w:val="left"/>
            <w:rPr>
              <w:rFonts w:eastAsia="Calibri" w:cs="Arial"/>
              <w:sz w:val="16"/>
              <w:szCs w:val="18"/>
              <w:lang w:val="en"/>
            </w:rPr>
          </w:pPr>
          <w:r w:rsidRPr="00BC66DE">
            <w:rPr>
              <w:rFonts w:eastAsia="Calibri" w:cs="Arial"/>
              <w:sz w:val="16"/>
              <w:szCs w:val="18"/>
              <w:lang w:val="en"/>
            </w:rPr>
            <w:t>This publication is not legal or professional advice. The Commonwealth of Australia does not guarantee the accuracy or reliability of the information and data in the publication. Third parties rely upon this publication entirely at their own risk.</w:t>
          </w:r>
        </w:p>
        <w:p w14:paraId="579DBA3F" w14:textId="77777777" w:rsidR="00BC66DE" w:rsidRDefault="00BC66DE" w:rsidP="00BC66DE">
          <w:pPr>
            <w:spacing w:after="120" w:line="240" w:lineRule="exact"/>
            <w:jc w:val="left"/>
            <w:rPr>
              <w:rFonts w:eastAsia="Calibri" w:cs="Arial"/>
              <w:color w:val="005CAF"/>
              <w:sz w:val="16"/>
              <w:szCs w:val="18"/>
              <w:lang w:val="en"/>
            </w:rPr>
          </w:pPr>
          <w:r w:rsidRPr="00BC66DE">
            <w:rPr>
              <w:rFonts w:eastAsia="Calibri" w:cs="Arial"/>
              <w:sz w:val="16"/>
              <w:szCs w:val="18"/>
              <w:lang w:val="en"/>
            </w:rPr>
            <w:t xml:space="preserve">For more information on Office of the Chief Economist research papers please access the Department’s website at: </w:t>
          </w:r>
          <w:hyperlink r:id="rId17" w:history="1">
            <w:r w:rsidRPr="00BC66DE">
              <w:rPr>
                <w:rFonts w:eastAsia="Calibri" w:cs="Arial"/>
                <w:color w:val="005CAF"/>
                <w:sz w:val="16"/>
                <w:szCs w:val="18"/>
                <w:lang w:val="en"/>
              </w:rPr>
              <w:t>www.industry.gov.au/OCE</w:t>
            </w:r>
          </w:hyperlink>
          <w:r>
            <w:rPr>
              <w:rFonts w:eastAsia="Calibri" w:cs="Arial"/>
              <w:color w:val="005CAF"/>
              <w:sz w:val="16"/>
              <w:szCs w:val="18"/>
              <w:lang w:val="en"/>
            </w:rPr>
            <w:t xml:space="preserve"> </w:t>
          </w:r>
        </w:p>
        <w:p w14:paraId="48D548B7" w14:textId="58FEDC6D" w:rsidR="00BC66DE" w:rsidRPr="00BC66DE" w:rsidRDefault="00BC66DE" w:rsidP="00BC66DE">
          <w:pPr>
            <w:pStyle w:val="DisclaimerHeading"/>
            <w:rPr>
              <w:rFonts w:eastAsia="Calibri" w:cs="Arial"/>
              <w:szCs w:val="18"/>
            </w:rPr>
          </w:pPr>
          <w:r w:rsidRPr="00BC66DE">
            <w:rPr>
              <w:rFonts w:eastAsia="Calibri"/>
            </w:rPr>
            <w:t>Acknowledgements</w:t>
          </w:r>
        </w:p>
        <w:p w14:paraId="67B5AADE" w14:textId="15ED153E" w:rsidR="00B56C69" w:rsidRPr="00172423" w:rsidRDefault="00A5447E" w:rsidP="00BC66DE">
          <w:pPr>
            <w:spacing w:after="100" w:line="240" w:lineRule="exact"/>
            <w:jc w:val="left"/>
            <w:sectPr w:rsidR="00B56C69" w:rsidRPr="00172423" w:rsidSect="00B564E1">
              <w:headerReference w:type="default" r:id="rId18"/>
              <w:footerReference w:type="default" r:id="rId19"/>
              <w:pgSz w:w="11906" w:h="16838" w:code="9"/>
              <w:pgMar w:top="1440" w:right="1440" w:bottom="1440" w:left="1440" w:header="709" w:footer="709" w:gutter="0"/>
              <w:pgNumType w:start="0"/>
              <w:cols w:space="708"/>
              <w:titlePg/>
              <w:docGrid w:linePitch="360"/>
            </w:sectPr>
          </w:pPr>
          <w:r w:rsidRPr="00172423">
            <w:rPr>
              <w:rStyle w:val="Hyperlink"/>
              <w:rFonts w:eastAsia="Calibri" w:cs="Arial"/>
              <w:color w:val="373737"/>
              <w:sz w:val="16"/>
              <w:szCs w:val="18"/>
              <w:lang w:val="en"/>
            </w:rPr>
            <w:t>We are grateful to the New Zealand Productivity Commission for providing statistics drawn from the NZ Longitudinal Business Database. We are especially grateful to Guanyu Zheng whose contribution allowed us to make direct comparisons between Australian and New Zealand firms</w:t>
          </w:r>
          <w:bookmarkEnd w:id="1"/>
          <w:r w:rsidR="00BC66DE" w:rsidRPr="00172423">
            <w:rPr>
              <w:rStyle w:val="Hyperlink"/>
              <w:color w:val="373737"/>
            </w:rPr>
            <w:t>.</w:t>
          </w:r>
        </w:p>
      </w:sdtContent>
    </w:sdt>
    <w:tbl>
      <w:tblPr>
        <w:tblW w:w="7456" w:type="dxa"/>
        <w:tblInd w:w="57" w:type="dxa"/>
        <w:shd w:val="clear" w:color="auto" w:fill="DEE8F1"/>
        <w:tblLayout w:type="fixed"/>
        <w:tblLook w:val="04A0" w:firstRow="1" w:lastRow="0" w:firstColumn="1" w:lastColumn="0" w:noHBand="0" w:noVBand="1"/>
      </w:tblPr>
      <w:tblGrid>
        <w:gridCol w:w="7456"/>
      </w:tblGrid>
      <w:tr w:rsidR="00D810A0" w14:paraId="5DA51F3C" w14:textId="77777777" w:rsidTr="00403DB1">
        <w:tc>
          <w:tcPr>
            <w:tcW w:w="7456" w:type="dxa"/>
            <w:shd w:val="clear" w:color="auto" w:fill="DEE8F1"/>
          </w:tcPr>
          <w:p w14:paraId="0025CC7A" w14:textId="3DFFF0DE" w:rsidR="00D810A0" w:rsidRPr="001835DD" w:rsidRDefault="00D810A0" w:rsidP="00FB2182">
            <w:pPr>
              <w:pStyle w:val="Keypointsheader"/>
            </w:pPr>
            <w:r w:rsidRPr="00AC3DDE">
              <w:lastRenderedPageBreak/>
              <w:t>Key points</w:t>
            </w:r>
          </w:p>
          <w:p w14:paraId="5D53C590" w14:textId="0318BC97" w:rsidR="000A620A" w:rsidRDefault="000A620A" w:rsidP="00FB2182">
            <w:pPr>
              <w:pStyle w:val="Keypointsbullet"/>
              <w:ind w:left="317" w:right="155" w:hanging="252"/>
            </w:pPr>
            <w:r>
              <w:t xml:space="preserve">A born global firm is </w:t>
            </w:r>
            <w:r w:rsidR="001F3F5E">
              <w:t xml:space="preserve">defined in this paper as </w:t>
            </w:r>
            <w:r>
              <w:t xml:space="preserve">a firm that enters export markets in </w:t>
            </w:r>
            <w:r w:rsidR="009F79E6">
              <w:t>its</w:t>
            </w:r>
            <w:r>
              <w:t xml:space="preserve"> first year of birth</w:t>
            </w:r>
            <w:r w:rsidR="00FA010B">
              <w:t>.</w:t>
            </w:r>
          </w:p>
          <w:p w14:paraId="45221673" w14:textId="2D2D85FA" w:rsidR="00D810A0" w:rsidRDefault="001F3F5E" w:rsidP="00FB2182">
            <w:pPr>
              <w:pStyle w:val="Keypointsbullet"/>
              <w:ind w:left="317" w:right="155" w:hanging="252"/>
            </w:pPr>
            <w:r>
              <w:t xml:space="preserve">The results </w:t>
            </w:r>
            <w:r w:rsidR="00196CD8">
              <w:t xml:space="preserve">on the characteristics of </w:t>
            </w:r>
            <w:r w:rsidR="00D810A0">
              <w:t>born global firms</w:t>
            </w:r>
            <w:r w:rsidR="00196CD8">
              <w:t xml:space="preserve"> </w:t>
            </w:r>
            <w:r w:rsidR="0093252F">
              <w:t xml:space="preserve">(BGFs) </w:t>
            </w:r>
            <w:r w:rsidR="00196CD8">
              <w:t>show that:</w:t>
            </w:r>
          </w:p>
          <w:p w14:paraId="47C4011C" w14:textId="216FA061" w:rsidR="00D810A0" w:rsidRDefault="00976549" w:rsidP="00196CD8">
            <w:pPr>
              <w:pStyle w:val="Keypointsbullet"/>
              <w:numPr>
                <w:ilvl w:val="1"/>
                <w:numId w:val="7"/>
              </w:numPr>
            </w:pPr>
            <w:r>
              <w:t>Most (two thirds) are non-employing</w:t>
            </w:r>
            <w:r w:rsidR="004040F7">
              <w:t>. The remain</w:t>
            </w:r>
            <w:r w:rsidR="000042E7">
              <w:t>der</w:t>
            </w:r>
            <w:r w:rsidR="00D810A0">
              <w:t xml:space="preserve"> are</w:t>
            </w:r>
            <w:r w:rsidR="00AF0489">
              <w:t xml:space="preserve"> </w:t>
            </w:r>
            <w:r w:rsidR="00AF0489" w:rsidRPr="00AF0489">
              <w:t>overwhelming</w:t>
            </w:r>
            <w:r w:rsidR="00A42BB8">
              <w:t>ly</w:t>
            </w:r>
            <w:r w:rsidR="00AF0489" w:rsidRPr="00AF0489">
              <w:t xml:space="preserve"> micr</w:t>
            </w:r>
            <w:r w:rsidR="00006AAA">
              <w:t>o in size (employing less than five</w:t>
            </w:r>
            <w:r w:rsidR="00AF0489" w:rsidRPr="00AF0489">
              <w:t xml:space="preserve"> people)</w:t>
            </w:r>
            <w:r w:rsidR="00AF0489">
              <w:t xml:space="preserve">, </w:t>
            </w:r>
            <w:r w:rsidR="000966C9">
              <w:t xml:space="preserve">concentrated in four industries, </w:t>
            </w:r>
            <w:r w:rsidR="00AF0489">
              <w:t>highly export</w:t>
            </w:r>
            <w:r w:rsidR="00196CD8">
              <w:t xml:space="preserve"> and capital</w:t>
            </w:r>
            <w:r w:rsidR="00AF0489">
              <w:t xml:space="preserve"> intensive</w:t>
            </w:r>
            <w:r w:rsidR="00F340A0">
              <w:t>, more persistent on export markets</w:t>
            </w:r>
            <w:r w:rsidR="003B6326">
              <w:t xml:space="preserve"> later in life</w:t>
            </w:r>
            <w:r w:rsidR="000966C9">
              <w:t>,</w:t>
            </w:r>
            <w:r w:rsidR="00A42BB8">
              <w:t xml:space="preserve"> but</w:t>
            </w:r>
            <w:r w:rsidR="00AF0489">
              <w:t xml:space="preserve"> have similar rates of R&amp;D activity and foreign ownership</w:t>
            </w:r>
            <w:r w:rsidR="00AF0489" w:rsidRPr="00AF0489">
              <w:t xml:space="preserve"> compared to exporters</w:t>
            </w:r>
            <w:r w:rsidR="00F119CB">
              <w:t xml:space="preserve"> in general</w:t>
            </w:r>
            <w:r w:rsidR="00AF0489" w:rsidRPr="00AF0489">
              <w:t>.</w:t>
            </w:r>
          </w:p>
          <w:p w14:paraId="5DE582C9" w14:textId="2C31B74F" w:rsidR="001F3F5E" w:rsidRPr="000A371D" w:rsidRDefault="00813A94" w:rsidP="00C243D5">
            <w:pPr>
              <w:pStyle w:val="Keypointsbullet"/>
              <w:numPr>
                <w:ilvl w:val="1"/>
                <w:numId w:val="7"/>
              </w:numPr>
            </w:pPr>
            <w:r>
              <w:t xml:space="preserve">The average and median export intensity of </w:t>
            </w:r>
            <w:r w:rsidR="0093252F">
              <w:t>BGFs</w:t>
            </w:r>
            <w:r>
              <w:t xml:space="preserve"> has risen sharply in recent years</w:t>
            </w:r>
            <w:r w:rsidR="000B7642">
              <w:t>.</w:t>
            </w:r>
            <w:r w:rsidR="00A412EC">
              <w:t xml:space="preserve"> </w:t>
            </w:r>
            <w:r w:rsidR="008432D8" w:rsidRPr="000A371D">
              <w:t xml:space="preserve">A </w:t>
            </w:r>
            <w:r w:rsidR="00827788" w:rsidRPr="000A371D">
              <w:t>quarter</w:t>
            </w:r>
            <w:r w:rsidR="00A412EC" w:rsidRPr="000A371D">
              <w:t xml:space="preserve"> of BGFs rely</w:t>
            </w:r>
            <w:r w:rsidR="00741ACC" w:rsidRPr="000A371D">
              <w:t xml:space="preserve"> solely</w:t>
            </w:r>
            <w:r w:rsidR="00A412EC" w:rsidRPr="000A371D">
              <w:t xml:space="preserve"> on overseas sales.</w:t>
            </w:r>
          </w:p>
          <w:p w14:paraId="7B576F3C" w14:textId="23D43C96" w:rsidR="00275CAB" w:rsidRDefault="009F79E6" w:rsidP="00196CD8">
            <w:pPr>
              <w:pStyle w:val="Keypointsbullet"/>
              <w:numPr>
                <w:ilvl w:val="1"/>
                <w:numId w:val="7"/>
              </w:numPr>
            </w:pPr>
            <w:r>
              <w:t>Principal m</w:t>
            </w:r>
            <w:r w:rsidR="00BC6CFB" w:rsidRPr="00BC6CFB">
              <w:t xml:space="preserve">anagers of </w:t>
            </w:r>
            <w:r w:rsidR="0093252F">
              <w:t>BGFs</w:t>
            </w:r>
            <w:r w:rsidR="00BC6CFB" w:rsidRPr="00BC6CFB">
              <w:t xml:space="preserve"> are on average older</w:t>
            </w:r>
            <w:r w:rsidR="007B15CD">
              <w:t xml:space="preserve"> and </w:t>
            </w:r>
            <w:r w:rsidR="00BC6CFB" w:rsidRPr="00BC6CFB">
              <w:t xml:space="preserve">have </w:t>
            </w:r>
            <w:r w:rsidR="00C243D5">
              <w:t>higher</w:t>
            </w:r>
            <w:r w:rsidR="00BC6CFB" w:rsidRPr="00BC6CFB">
              <w:t xml:space="preserve"> levels of educational attainment</w:t>
            </w:r>
            <w:r w:rsidR="00F85A61">
              <w:t xml:space="preserve">, compared to other </w:t>
            </w:r>
            <w:r w:rsidR="001B2654">
              <w:t xml:space="preserve">small </w:t>
            </w:r>
            <w:r w:rsidR="00F85A61">
              <w:t>exporters</w:t>
            </w:r>
            <w:r w:rsidR="00BC6CFB" w:rsidRPr="00BC6CFB">
              <w:t xml:space="preserve">.  </w:t>
            </w:r>
          </w:p>
          <w:p w14:paraId="0DBD3943" w14:textId="77777777" w:rsidR="00E14438" w:rsidRDefault="00E14438" w:rsidP="00196CD8">
            <w:pPr>
              <w:pStyle w:val="Keypointsbullet"/>
              <w:numPr>
                <w:ilvl w:val="1"/>
                <w:numId w:val="7"/>
              </w:numPr>
            </w:pPr>
            <w:r w:rsidRPr="00E14438">
              <w:t xml:space="preserve">BGFs are on average more likely to be home-based businesses and are more likely to target additional export markets compared to other small exporters. </w:t>
            </w:r>
          </w:p>
          <w:p w14:paraId="665DF7FF" w14:textId="77777777" w:rsidR="0093252F" w:rsidRDefault="0093252F" w:rsidP="00E14438">
            <w:pPr>
              <w:pStyle w:val="Keypointsbullet"/>
            </w:pPr>
            <w:r>
              <w:t>In terms of their relative performance, BGFs:</w:t>
            </w:r>
          </w:p>
          <w:p w14:paraId="40B35A9E" w14:textId="1004481D" w:rsidR="00C243D5" w:rsidRDefault="00171B0B" w:rsidP="00171B0B">
            <w:pPr>
              <w:pStyle w:val="Keypointsbullet"/>
              <w:numPr>
                <w:ilvl w:val="1"/>
                <w:numId w:val="7"/>
              </w:numPr>
            </w:pPr>
            <w:r>
              <w:t>D</w:t>
            </w:r>
            <w:r w:rsidRPr="00171B0B">
              <w:t xml:space="preserve">o not grow as fast as </w:t>
            </w:r>
            <w:r w:rsidR="001D5438">
              <w:t>other small</w:t>
            </w:r>
            <w:r w:rsidR="00DA0D6D" w:rsidRPr="00171B0B">
              <w:t xml:space="preserve"> </w:t>
            </w:r>
            <w:r w:rsidRPr="00171B0B">
              <w:t>exporters in terms of turnover growth, employment growth, capital expenditure growth and R&amp;D expenditure g</w:t>
            </w:r>
            <w:r>
              <w:t>rowth. However</w:t>
            </w:r>
            <w:r w:rsidR="00DA0D6D">
              <w:t>,</w:t>
            </w:r>
            <w:r>
              <w:t xml:space="preserve"> when</w:t>
            </w:r>
            <w:r w:rsidRPr="00171B0B">
              <w:t xml:space="preserve"> BGFs are mature, they experience a productivity growth premium compared to other exporters.</w:t>
            </w:r>
            <w:r>
              <w:t xml:space="preserve"> </w:t>
            </w:r>
          </w:p>
          <w:p w14:paraId="18857B71" w14:textId="7908BF65" w:rsidR="005C2B45" w:rsidRDefault="005C2B45" w:rsidP="005C2B45">
            <w:pPr>
              <w:pStyle w:val="Keypointsbullet"/>
              <w:numPr>
                <w:ilvl w:val="1"/>
                <w:numId w:val="7"/>
              </w:numPr>
            </w:pPr>
            <w:r>
              <w:t>O</w:t>
            </w:r>
            <w:r w:rsidRPr="005C2B45">
              <w:t>utperform non-exporting firms in R&amp;D expenditure growth and capital expenditure growth, but underperform in turnover growth and productivity growth.</w:t>
            </w:r>
          </w:p>
          <w:p w14:paraId="67D8A7A0" w14:textId="19A1B289" w:rsidR="009F79E6" w:rsidRDefault="009E793E" w:rsidP="0093252F">
            <w:pPr>
              <w:pStyle w:val="Keypointsbullet"/>
              <w:numPr>
                <w:ilvl w:val="1"/>
                <w:numId w:val="7"/>
              </w:numPr>
            </w:pPr>
            <w:r>
              <w:t>E</w:t>
            </w:r>
            <w:r w:rsidR="009F79E6">
              <w:t xml:space="preserve">xperience lower survival rates than </w:t>
            </w:r>
            <w:r w:rsidR="00885DBB">
              <w:t>other small</w:t>
            </w:r>
            <w:r w:rsidR="00557980">
              <w:t xml:space="preserve"> </w:t>
            </w:r>
            <w:r w:rsidR="009F79E6">
              <w:t>exporters</w:t>
            </w:r>
            <w:r w:rsidR="00331A10">
              <w:t xml:space="preserve">, but higher survival rates than the small employing </w:t>
            </w:r>
            <w:r w:rsidR="00DA0D6D">
              <w:t xml:space="preserve">business </w:t>
            </w:r>
            <w:r w:rsidR="00331A10">
              <w:t>population</w:t>
            </w:r>
            <w:r w:rsidR="009F79E6">
              <w:t xml:space="preserve">. </w:t>
            </w:r>
          </w:p>
          <w:p w14:paraId="5CCEEAB9" w14:textId="6A03F73C" w:rsidR="002A5461" w:rsidRDefault="002A5461" w:rsidP="0093252F">
            <w:pPr>
              <w:pStyle w:val="Keypointsbullet"/>
              <w:numPr>
                <w:ilvl w:val="1"/>
                <w:numId w:val="7"/>
              </w:numPr>
            </w:pPr>
            <w:r>
              <w:t>Have higher earnings and return on assets compared to other exporters</w:t>
            </w:r>
          </w:p>
          <w:p w14:paraId="1F5BFE29" w14:textId="4F3D0B62" w:rsidR="005B36BD" w:rsidRDefault="005B36BD" w:rsidP="0018604C">
            <w:pPr>
              <w:pStyle w:val="Keypointsbullet"/>
            </w:pPr>
            <w:r>
              <w:t>The growth premium to exporting decreas</w:t>
            </w:r>
            <w:r w:rsidRPr="009E793E">
              <w:t>e</w:t>
            </w:r>
            <w:r>
              <w:t>s with firm age.</w:t>
            </w:r>
          </w:p>
          <w:p w14:paraId="44DD524C" w14:textId="39C7BE8D" w:rsidR="008D1711" w:rsidRDefault="009E793E" w:rsidP="0018604C">
            <w:pPr>
              <w:pStyle w:val="Keypointsbullet"/>
            </w:pPr>
            <w:r>
              <w:t>The employment growth rate of y</w:t>
            </w:r>
            <w:r w:rsidR="008D1711">
              <w:t xml:space="preserve">oung exporters </w:t>
            </w:r>
            <w:r>
              <w:t xml:space="preserve">is </w:t>
            </w:r>
            <w:r w:rsidR="008D1711">
              <w:t>14.1 percent</w:t>
            </w:r>
            <w:r>
              <w:t>age points</w:t>
            </w:r>
            <w:r w:rsidR="008D1711">
              <w:t xml:space="preserve"> </w:t>
            </w:r>
            <w:r>
              <w:t>higher than that of</w:t>
            </w:r>
            <w:r w:rsidR="008D1711">
              <w:t xml:space="preserve"> non-exporting young firms.</w:t>
            </w:r>
          </w:p>
          <w:p w14:paraId="42193F7B" w14:textId="149DF53F" w:rsidR="004B197D" w:rsidRDefault="00275CAB" w:rsidP="0040620C">
            <w:pPr>
              <w:pStyle w:val="Keypointsbullet"/>
            </w:pPr>
            <w:r>
              <w:t xml:space="preserve">Smaller, younger </w:t>
            </w:r>
            <w:r w:rsidR="001F3F5E">
              <w:t xml:space="preserve">exporting </w:t>
            </w:r>
            <w:r>
              <w:t xml:space="preserve">firms are more resilient to exchange rate </w:t>
            </w:r>
            <w:r w:rsidR="0091724E">
              <w:t>fluctuations</w:t>
            </w:r>
            <w:r>
              <w:t xml:space="preserve"> than larger, older firms. </w:t>
            </w:r>
          </w:p>
        </w:tc>
      </w:tr>
    </w:tbl>
    <w:p w14:paraId="30B1E5A0" w14:textId="03CFA31F" w:rsidR="00DE09BF" w:rsidRDefault="00DE09BF">
      <w:pPr>
        <w:spacing w:after="200" w:line="276" w:lineRule="auto"/>
        <w:ind w:left="0"/>
        <w:jc w:val="left"/>
        <w:rPr>
          <w:rFonts w:asciiTheme="majorHAnsi" w:eastAsia="Times New Roman" w:hAnsiTheme="majorHAnsi" w:cs="Arial"/>
          <w:b/>
          <w:bCs/>
          <w:color w:val="005CAF"/>
          <w:kern w:val="32"/>
          <w:sz w:val="32"/>
          <w:szCs w:val="32"/>
        </w:rPr>
      </w:pPr>
    </w:p>
    <w:p w14:paraId="70829E9A" w14:textId="77777777" w:rsidR="003942A5" w:rsidRDefault="003942A5" w:rsidP="00672015">
      <w:pPr>
        <w:spacing w:after="200" w:line="276" w:lineRule="auto"/>
        <w:ind w:left="0"/>
        <w:jc w:val="center"/>
        <w:rPr>
          <w:rFonts w:asciiTheme="majorHAnsi" w:eastAsia="Times New Roman" w:hAnsiTheme="majorHAnsi" w:cs="Arial"/>
          <w:b/>
          <w:bCs/>
          <w:color w:val="005CAF"/>
          <w:kern w:val="32"/>
          <w:sz w:val="32"/>
          <w:szCs w:val="32"/>
        </w:rPr>
      </w:pPr>
    </w:p>
    <w:p w14:paraId="67B5AADF" w14:textId="769E445F" w:rsidR="00E24F34" w:rsidRDefault="00D20CEC" w:rsidP="00E24F34">
      <w:pPr>
        <w:pStyle w:val="Heading1"/>
      </w:pPr>
      <w:r>
        <w:t xml:space="preserve">Introduction </w:t>
      </w:r>
    </w:p>
    <w:p w14:paraId="7EDD2018" w14:textId="1004274A" w:rsidR="00644D23" w:rsidRDefault="009874B4" w:rsidP="009874B4">
      <w:pPr>
        <w:pStyle w:val="BodyText"/>
      </w:pPr>
      <w:r w:rsidRPr="001029E3">
        <w:t>Entrepreneurship and the entry of new firms into the market are important d</w:t>
      </w:r>
      <w:r w:rsidR="00FB04EC">
        <w:t>rivers of job creation and long-</w:t>
      </w:r>
      <w:r w:rsidRPr="001029E3">
        <w:t>term economic growth (Bakhtiari, 201</w:t>
      </w:r>
      <w:r w:rsidR="00D40052">
        <w:t>9a</w:t>
      </w:r>
      <w:r w:rsidRPr="001029E3">
        <w:t xml:space="preserve">). </w:t>
      </w:r>
      <w:r>
        <w:t xml:space="preserve">Growing interest in </w:t>
      </w:r>
      <w:r w:rsidRPr="001029E3">
        <w:t xml:space="preserve">new entrant firms that export from birth; so called, </w:t>
      </w:r>
      <w:r w:rsidRPr="00544CC4">
        <w:rPr>
          <w:i/>
        </w:rPr>
        <w:t>born global</w:t>
      </w:r>
      <w:r w:rsidRPr="001029E3">
        <w:t xml:space="preserve"> firms</w:t>
      </w:r>
      <w:r w:rsidR="003D7292">
        <w:t xml:space="preserve"> (BGFs)</w:t>
      </w:r>
      <w:r>
        <w:t xml:space="preserve">, has given rise to a new stream of research that combines the international business and the entrepreneurship fields (Acs et al.; 2003, Christensen, 2003; McDougall et al.; 2003; Young et al., 2003). </w:t>
      </w:r>
      <w:r w:rsidR="00FB6FD8" w:rsidRPr="00FB6FD8">
        <w:t xml:space="preserve">Previous studies have also referred to firms exporting from inception as international new ventures (McDougall et al., 1994), global start-ups (Oviatt &amp; McDougall, 1994) and instant exporters (McAuley, 1999), though </w:t>
      </w:r>
      <w:r w:rsidR="00FB6FD8">
        <w:t xml:space="preserve">this paper will use the </w:t>
      </w:r>
      <w:r w:rsidR="00FB6FD8" w:rsidRPr="00FB6FD8">
        <w:t>born global</w:t>
      </w:r>
      <w:r w:rsidR="00FB6FD8">
        <w:t xml:space="preserve"> term</w:t>
      </w:r>
      <w:r w:rsidR="00FB6FD8" w:rsidRPr="00FB6FD8">
        <w:t xml:space="preserve"> throughout. </w:t>
      </w:r>
      <w:r w:rsidRPr="001029E3">
        <w:t xml:space="preserve">Tuhin and Swanepoel (2016) found there are </w:t>
      </w:r>
      <w:r w:rsidR="00A42BB8">
        <w:t>approximately</w:t>
      </w:r>
      <w:r w:rsidRPr="001029E3">
        <w:t xml:space="preserve"> 3,000 of these firms born each year, representing </w:t>
      </w:r>
      <w:r w:rsidR="0020746E">
        <w:t>five</w:t>
      </w:r>
      <w:r w:rsidRPr="001029E3">
        <w:t xml:space="preserve"> per cent of all exporters in Austra</w:t>
      </w:r>
      <w:r w:rsidRPr="004B3481">
        <w:t>lia</w:t>
      </w:r>
      <w:r w:rsidR="00CD77B5" w:rsidRPr="004B3481">
        <w:t xml:space="preserve">, </w:t>
      </w:r>
      <w:r w:rsidR="00CD77B5">
        <w:t>h</w:t>
      </w:r>
      <w:r w:rsidR="00DC2B59" w:rsidRPr="00DC2B59">
        <w:t>owever</w:t>
      </w:r>
      <w:r w:rsidR="0089336F">
        <w:t xml:space="preserve"> little is </w:t>
      </w:r>
      <w:r w:rsidR="009956BD">
        <w:t xml:space="preserve">currently </w:t>
      </w:r>
      <w:r w:rsidR="0089336F">
        <w:t>known about</w:t>
      </w:r>
      <w:r w:rsidR="00DC2B59">
        <w:t xml:space="preserve"> </w:t>
      </w:r>
      <w:r w:rsidR="00A412EC">
        <w:t xml:space="preserve">the characteristics and performance of </w:t>
      </w:r>
      <w:r w:rsidR="00CD77B5">
        <w:t xml:space="preserve">these firms. </w:t>
      </w:r>
      <w:r w:rsidR="00CD77B5" w:rsidRPr="00F8597A">
        <w:t xml:space="preserve">Born global firms are important contributors to home economies (Mort &amp; Weerawardena, 2006; Kuivalainen et al. 2007; Knight &amp; Kim, 2009), </w:t>
      </w:r>
      <w:r w:rsidR="004B3481">
        <w:t>however empirical evidence that</w:t>
      </w:r>
      <w:r w:rsidR="00CD77B5" w:rsidRPr="00F8597A">
        <w:t xml:space="preserve"> firms that enter international markets early outperform other exporters</w:t>
      </w:r>
      <w:r w:rsidR="004B3481">
        <w:t xml:space="preserve"> is lacking</w:t>
      </w:r>
      <w:r w:rsidR="00CD77B5" w:rsidRPr="00F8597A">
        <w:t>.</w:t>
      </w:r>
      <w:r w:rsidR="00CD77B5" w:rsidRPr="00DC2B59">
        <w:t xml:space="preserve"> </w:t>
      </w:r>
    </w:p>
    <w:p w14:paraId="26DE0BB6" w14:textId="6C322D14" w:rsidR="007226D0" w:rsidRDefault="007226D0" w:rsidP="007226D0">
      <w:pPr>
        <w:pStyle w:val="BodyText"/>
      </w:pPr>
      <w:r>
        <w:t xml:space="preserve">The internationalisation of businesses has become a pervasive phenomenon, which underscores the importance of the born-global/global start-up concept and the need for policy makers to understand the factors that influence the success of firms that internationalise early in their life cycle. Moreover, policies aimed at supporting entrepreneurship can further drive employment growth. Findings from the Department of Industry, Innovation and Science </w:t>
      </w:r>
      <w:r w:rsidR="00115692">
        <w:t>for example show</w:t>
      </w:r>
      <w:r>
        <w:t xml:space="preserve"> that around 80 per cent of net jobs growth in Australia over the decade to 2014 is attributed to entrepreneurs and small young firms (Bakhtiari, 201</w:t>
      </w:r>
      <w:r w:rsidR="00115692">
        <w:t>9</w:t>
      </w:r>
      <w:r w:rsidR="00D40052">
        <w:t>a</w:t>
      </w:r>
      <w:r>
        <w:t>).</w:t>
      </w:r>
      <w:r w:rsidR="00880EA4">
        <w:t xml:space="preserve"> Updated analysis show that this contribution has been increasing over time (Bakhtiari, 2019</w:t>
      </w:r>
      <w:r w:rsidR="00306E7D">
        <w:t>d</w:t>
      </w:r>
      <w:r w:rsidR="00880EA4">
        <w:t>).</w:t>
      </w:r>
    </w:p>
    <w:p w14:paraId="50B301B3" w14:textId="6737CC19" w:rsidR="006645C6" w:rsidRDefault="004A15B9" w:rsidP="00115692">
      <w:pPr>
        <w:pStyle w:val="BodyText"/>
      </w:pPr>
      <w:r>
        <w:t xml:space="preserve">Australia has </w:t>
      </w:r>
      <w:r w:rsidR="00AC3F3B">
        <w:t>initiatives</w:t>
      </w:r>
      <w:r>
        <w:t xml:space="preserve"> in place to support young </w:t>
      </w:r>
      <w:r w:rsidR="006645C6">
        <w:t xml:space="preserve">and other exporting </w:t>
      </w:r>
      <w:r>
        <w:t>firms</w:t>
      </w:r>
      <w:r w:rsidR="006018C5">
        <w:t>. These include</w:t>
      </w:r>
      <w:r w:rsidR="006645C6">
        <w:t>:</w:t>
      </w:r>
    </w:p>
    <w:p w14:paraId="6FA87347" w14:textId="77777777" w:rsidR="006645C6" w:rsidRDefault="00E06264" w:rsidP="00811FC2">
      <w:pPr>
        <w:pStyle w:val="BodyText"/>
        <w:numPr>
          <w:ilvl w:val="0"/>
          <w:numId w:val="14"/>
        </w:numPr>
      </w:pPr>
      <w:r>
        <w:t xml:space="preserve">the </w:t>
      </w:r>
      <w:r w:rsidR="004A15B9">
        <w:t xml:space="preserve">Landing Pad </w:t>
      </w:r>
      <w:r>
        <w:t>initiative</w:t>
      </w:r>
      <w:r w:rsidR="004A15B9">
        <w:t xml:space="preserve"> that provides market-ready Australian start-ups and scale-ups with access to some of the world’s most renowned hubs</w:t>
      </w:r>
    </w:p>
    <w:p w14:paraId="6B19E220" w14:textId="238FA881" w:rsidR="006645C6" w:rsidRDefault="00E06264" w:rsidP="00811FC2">
      <w:pPr>
        <w:pStyle w:val="BodyText"/>
        <w:numPr>
          <w:ilvl w:val="0"/>
          <w:numId w:val="14"/>
        </w:numPr>
      </w:pPr>
      <w:r>
        <w:t xml:space="preserve">SME Export Hubs grants that support </w:t>
      </w:r>
      <w:r w:rsidR="00AC3F3B">
        <w:t>h</w:t>
      </w:r>
      <w:r w:rsidR="006645C6">
        <w:t>ubs in the development of local, regional and indigenous brands through business collaborations</w:t>
      </w:r>
    </w:p>
    <w:p w14:paraId="7C225AE2" w14:textId="27F35E6E" w:rsidR="006645C6" w:rsidRDefault="00E06264" w:rsidP="00811FC2">
      <w:pPr>
        <w:pStyle w:val="BodyText"/>
        <w:numPr>
          <w:ilvl w:val="0"/>
          <w:numId w:val="14"/>
        </w:numPr>
      </w:pPr>
      <w:r>
        <w:t>Export Market Development Grant</w:t>
      </w:r>
      <w:r w:rsidR="006645C6">
        <w:t xml:space="preserve">s that encourage businesses to increase international marketing and </w:t>
      </w:r>
      <w:r w:rsidR="00AC3F3B">
        <w:t xml:space="preserve">promotion expenditure; </w:t>
      </w:r>
      <w:r w:rsidR="006645C6">
        <w:t xml:space="preserve">and </w:t>
      </w:r>
      <w:r w:rsidR="00AC3F3B">
        <w:t xml:space="preserve">to </w:t>
      </w:r>
      <w:r w:rsidR="006645C6">
        <w:t>embed</w:t>
      </w:r>
      <w:r w:rsidR="00AC3F3B">
        <w:t xml:space="preserve"> businesses</w:t>
      </w:r>
      <w:r w:rsidR="006645C6">
        <w:t xml:space="preserve"> in global value chains </w:t>
      </w:r>
    </w:p>
    <w:p w14:paraId="0BB11995" w14:textId="047B48FE" w:rsidR="004A15B9" w:rsidRDefault="00AC3F3B" w:rsidP="00811FC2">
      <w:pPr>
        <w:pStyle w:val="BodyText"/>
        <w:numPr>
          <w:ilvl w:val="0"/>
          <w:numId w:val="14"/>
        </w:numPr>
      </w:pPr>
      <w:r>
        <w:t>Small Business Export Loans designed to help businesses finance a single export contract</w:t>
      </w:r>
      <w:r w:rsidR="004A15B9">
        <w:t>.</w:t>
      </w:r>
    </w:p>
    <w:p w14:paraId="3EE04767" w14:textId="6FC0293F" w:rsidR="000418A9" w:rsidRDefault="00AC3F3B" w:rsidP="00115692">
      <w:pPr>
        <w:pStyle w:val="BodyText"/>
      </w:pPr>
      <w:r>
        <w:t xml:space="preserve">The Australian government </w:t>
      </w:r>
      <w:r w:rsidR="006018C5">
        <w:t xml:space="preserve">is also running an Australia-wide outreach </w:t>
      </w:r>
      <w:r>
        <w:t>program</w:t>
      </w:r>
      <w:r w:rsidR="006018C5">
        <w:t xml:space="preserve"> that provides practical information on how businesses can benefit from Free Trade Agreements</w:t>
      </w:r>
      <w:r w:rsidR="007854B3">
        <w:t xml:space="preserve"> (FTAs)</w:t>
      </w:r>
      <w:r w:rsidR="006018C5">
        <w:t xml:space="preserve">. </w:t>
      </w:r>
      <w:r w:rsidR="004A15B9">
        <w:t xml:space="preserve">A recent </w:t>
      </w:r>
      <w:r w:rsidR="006018C5">
        <w:t>P</w:t>
      </w:r>
      <w:r w:rsidR="004A15B9">
        <w:t xml:space="preserve">arliamentary inquiry looked into </w:t>
      </w:r>
      <w:r w:rsidR="004A15B9">
        <w:lastRenderedPageBreak/>
        <w:t xml:space="preserve">supporting SMEs to leverage </w:t>
      </w:r>
      <w:r w:rsidR="007854B3">
        <w:t>FTAs</w:t>
      </w:r>
      <w:r w:rsidR="004A15B9">
        <w:t xml:space="preserve"> to pursue export opportunities (Parliament of Australia, 2019).</w:t>
      </w:r>
      <w:r w:rsidR="00E06264">
        <w:t xml:space="preserve"> </w:t>
      </w:r>
      <w:r w:rsidR="00204568">
        <w:t xml:space="preserve">The </w:t>
      </w:r>
      <w:r w:rsidR="000418A9">
        <w:t>Committee, amongst others,</w:t>
      </w:r>
      <w:r w:rsidR="00204568">
        <w:t xml:space="preserve"> </w:t>
      </w:r>
      <w:r w:rsidR="000418A9">
        <w:t>recommended:</w:t>
      </w:r>
    </w:p>
    <w:p w14:paraId="03B06140" w14:textId="62EB5A8F" w:rsidR="000418A9" w:rsidRDefault="000418A9" w:rsidP="00811FC2">
      <w:pPr>
        <w:pStyle w:val="BodyText"/>
        <w:numPr>
          <w:ilvl w:val="0"/>
          <w:numId w:val="15"/>
        </w:numPr>
      </w:pPr>
      <w:r>
        <w:t>Better targeting of EMDG gran</w:t>
      </w:r>
      <w:r w:rsidR="0007705C">
        <w:t>t</w:t>
      </w:r>
      <w:r>
        <w:t>s to high-growth SMEs</w:t>
      </w:r>
    </w:p>
    <w:p w14:paraId="38228E56" w14:textId="18142B29" w:rsidR="000418A9" w:rsidRDefault="000418A9" w:rsidP="00811FC2">
      <w:pPr>
        <w:pStyle w:val="BodyText"/>
        <w:numPr>
          <w:ilvl w:val="0"/>
          <w:numId w:val="15"/>
        </w:numPr>
      </w:pPr>
      <w:r>
        <w:t>s</w:t>
      </w:r>
      <w:r w:rsidRPr="000418A9">
        <w:t>trengthen</w:t>
      </w:r>
      <w:r>
        <w:t>ing</w:t>
      </w:r>
      <w:r w:rsidRPr="000418A9">
        <w:t xml:space="preserve"> capacity development of SMEs so </w:t>
      </w:r>
      <w:r>
        <w:t xml:space="preserve">that </w:t>
      </w:r>
      <w:r w:rsidRPr="000418A9">
        <w:t>they become more import/export ready, including knowing how to assess destinations and business partners, and using technology to support international en</w:t>
      </w:r>
      <w:r>
        <w:t>gagement and trading activities</w:t>
      </w:r>
    </w:p>
    <w:p w14:paraId="6176FED4" w14:textId="6236E4DA" w:rsidR="00AC7405" w:rsidRDefault="000418A9" w:rsidP="00811FC2">
      <w:pPr>
        <w:pStyle w:val="BodyText"/>
        <w:numPr>
          <w:ilvl w:val="0"/>
          <w:numId w:val="15"/>
        </w:numPr>
      </w:pPr>
      <w:r>
        <w:t>trialling</w:t>
      </w:r>
      <w:r w:rsidRPr="000418A9">
        <w:t xml:space="preserve"> a grant program in selected regional areas for clusters of businesses that wish to collaborate in pursuit of export opportunities, anchored to either geographical provenance or specific sectors.</w:t>
      </w:r>
    </w:p>
    <w:p w14:paraId="0F2587D6" w14:textId="3EDB513B" w:rsidR="000C65B1" w:rsidRDefault="00E95A5B" w:rsidP="00115692">
      <w:pPr>
        <w:pStyle w:val="BodyText"/>
      </w:pPr>
      <w:r>
        <w:t xml:space="preserve">The concept of BGFs was noted in the Parliamentary Inquiry report in the context of </w:t>
      </w:r>
      <w:r w:rsidR="007710BE">
        <w:t xml:space="preserve">high tech firms and </w:t>
      </w:r>
      <w:r>
        <w:t xml:space="preserve">new services and e-commerce offerings </w:t>
      </w:r>
      <w:r w:rsidR="007710BE">
        <w:t xml:space="preserve">that </w:t>
      </w:r>
      <w:r>
        <w:t>enable firms</w:t>
      </w:r>
      <w:r w:rsidR="007710BE">
        <w:t xml:space="preserve"> to be global from the start. </w:t>
      </w:r>
      <w:r w:rsidR="00E2472C">
        <w:t xml:space="preserve">This raises the question about </w:t>
      </w:r>
      <w:r w:rsidR="00C61406">
        <w:t xml:space="preserve">what can be done about existing challenges such as </w:t>
      </w:r>
      <w:r w:rsidR="00E2472C">
        <w:t>digital and other skill shortages</w:t>
      </w:r>
      <w:r w:rsidR="000C65B1">
        <w:t xml:space="preserve"> in </w:t>
      </w:r>
      <w:r w:rsidR="00DD5B16">
        <w:t xml:space="preserve">some </w:t>
      </w:r>
      <w:r w:rsidR="000C65B1">
        <w:t xml:space="preserve">young firms that might put them at a competitive disadvantage. The Australian Government’s </w:t>
      </w:r>
      <w:r w:rsidR="000C65B1" w:rsidRPr="000C65B1">
        <w:rPr>
          <w:i/>
        </w:rPr>
        <w:t>Tech Future report</w:t>
      </w:r>
      <w:r w:rsidR="000C65B1">
        <w:t xml:space="preserve"> for example point to skill shortages in key digital skills such as in cyber security, cloud computing, robotics, digital design and software design</w:t>
      </w:r>
      <w:r w:rsidR="00D169E3">
        <w:t xml:space="preserve"> (Australian Government, 2018)</w:t>
      </w:r>
      <w:r w:rsidR="000C65B1">
        <w:t xml:space="preserve">. </w:t>
      </w:r>
    </w:p>
    <w:p w14:paraId="5EAAD851" w14:textId="7F8B0A17" w:rsidR="00A412EC" w:rsidRDefault="00E06264" w:rsidP="009874B4">
      <w:pPr>
        <w:pStyle w:val="BodyText"/>
      </w:pPr>
      <w:r>
        <w:t>The findings of this study</w:t>
      </w:r>
      <w:r w:rsidR="006018C5">
        <w:t xml:space="preserve"> into</w:t>
      </w:r>
      <w:r w:rsidR="00AC7405">
        <w:t xml:space="preserve"> the characteristics and performance of Australia’s</w:t>
      </w:r>
      <w:r w:rsidR="006018C5">
        <w:t xml:space="preserve"> BGFs</w:t>
      </w:r>
      <w:r>
        <w:t xml:space="preserve"> are therefore well placed to inform policies</w:t>
      </w:r>
      <w:r w:rsidR="00F02D7D">
        <w:t xml:space="preserve"> that could be more effectively targeted </w:t>
      </w:r>
      <w:r w:rsidR="007B55EC">
        <w:t>to</w:t>
      </w:r>
      <w:r>
        <w:t xml:space="preserve"> support young firms who want to access</w:t>
      </w:r>
      <w:r w:rsidR="00AC7405">
        <w:t xml:space="preserve"> </w:t>
      </w:r>
      <w:r w:rsidR="007710BE">
        <w:t>new (</w:t>
      </w:r>
      <w:r w:rsidR="00AC7405">
        <w:t>or expand</w:t>
      </w:r>
      <w:r w:rsidR="007710BE">
        <w:t xml:space="preserve"> on existing)</w:t>
      </w:r>
      <w:r w:rsidR="00AC7405">
        <w:t xml:space="preserve"> </w:t>
      </w:r>
      <w:r>
        <w:t>international markets.</w:t>
      </w:r>
      <w:r w:rsidR="004A15B9">
        <w:t xml:space="preserve">  </w:t>
      </w:r>
    </w:p>
    <w:p w14:paraId="0C608F79" w14:textId="6BC2AD96" w:rsidR="008A36D6" w:rsidRDefault="00A412EC" w:rsidP="009874B4">
      <w:pPr>
        <w:pStyle w:val="BodyText"/>
      </w:pPr>
      <w:r>
        <w:t>T</w:t>
      </w:r>
      <w:r w:rsidR="00A42BB8">
        <w:t>his</w:t>
      </w:r>
      <w:r w:rsidR="0051537E">
        <w:t xml:space="preserve"> paper </w:t>
      </w:r>
      <w:r w:rsidR="00E462EF">
        <w:t>makes four key contributions</w:t>
      </w:r>
      <w:r w:rsidR="0071051C">
        <w:t xml:space="preserve"> using a census of Australian firms</w:t>
      </w:r>
      <w:r w:rsidR="00E462EF">
        <w:t xml:space="preserve">. </w:t>
      </w:r>
      <w:r w:rsidR="008A36D6" w:rsidRPr="008A36D6">
        <w:t xml:space="preserve">Firstly, </w:t>
      </w:r>
      <w:r w:rsidR="008A36D6">
        <w:t xml:space="preserve">we explore the </w:t>
      </w:r>
      <w:r w:rsidR="008A36D6" w:rsidRPr="008A36D6">
        <w:t xml:space="preserve">characteristics of </w:t>
      </w:r>
      <w:r w:rsidR="003D7292">
        <w:t>BGFs</w:t>
      </w:r>
      <w:r w:rsidR="008A36D6" w:rsidRPr="008A36D6">
        <w:t xml:space="preserve"> </w:t>
      </w:r>
      <w:r w:rsidR="008F7790">
        <w:t>compared</w:t>
      </w:r>
      <w:r w:rsidR="008A36D6">
        <w:t xml:space="preserve"> </w:t>
      </w:r>
      <w:r w:rsidR="008A36D6" w:rsidRPr="008A36D6">
        <w:t xml:space="preserve">to other exporters in the Australian context. Secondly, </w:t>
      </w:r>
      <w:r w:rsidR="005E6027">
        <w:t>we assess</w:t>
      </w:r>
      <w:r w:rsidR="00D36B41">
        <w:t xml:space="preserve"> whether </w:t>
      </w:r>
      <w:r w:rsidR="003D7292">
        <w:t>BGFs</w:t>
      </w:r>
      <w:r w:rsidR="00D36B41">
        <w:t xml:space="preserve"> outperform other firms </w:t>
      </w:r>
      <w:r w:rsidR="008A36D6" w:rsidRPr="008A36D6">
        <w:t>that internationalise later in their lif</w:t>
      </w:r>
      <w:r w:rsidR="008A36D6">
        <w:t>e</w:t>
      </w:r>
      <w:r w:rsidR="002D41B8">
        <w:t>, and test whether BGFs outperform non-exporting firms</w:t>
      </w:r>
      <w:r w:rsidR="008A36D6">
        <w:t xml:space="preserve">. The third contribution will </w:t>
      </w:r>
      <w:r w:rsidR="008A36D6" w:rsidRPr="008A36D6">
        <w:t>more broadly address the firm gr</w:t>
      </w:r>
      <w:r w:rsidR="009956BD">
        <w:t xml:space="preserve">owth literature by studying the </w:t>
      </w:r>
      <w:r w:rsidR="009956BD" w:rsidRPr="009956BD">
        <w:t xml:space="preserve">export status dimension in the firm growth-age-size relationship </w:t>
      </w:r>
      <w:r w:rsidR="008A36D6" w:rsidRPr="008A36D6">
        <w:t xml:space="preserve">in the Australian context. The fourth and </w:t>
      </w:r>
      <w:r w:rsidR="008A36D6">
        <w:t>final</w:t>
      </w:r>
      <w:r w:rsidR="008A36D6" w:rsidRPr="008A36D6">
        <w:t xml:space="preserve"> contribution of this </w:t>
      </w:r>
      <w:r w:rsidR="008A36D6">
        <w:t xml:space="preserve">paper provides </w:t>
      </w:r>
      <w:r w:rsidR="008A36D6" w:rsidRPr="008A36D6">
        <w:t xml:space="preserve">findings on the relationship between exchange rates and export sales </w:t>
      </w:r>
      <w:r w:rsidR="008A36D6">
        <w:t xml:space="preserve">and how this relationship varies between different types of exporters.  </w:t>
      </w:r>
    </w:p>
    <w:p w14:paraId="2A10C494" w14:textId="75D039E3" w:rsidR="007003E1" w:rsidRDefault="00CC20C0" w:rsidP="009874B4">
      <w:pPr>
        <w:pStyle w:val="BodyText"/>
      </w:pPr>
      <w:r w:rsidRPr="00CC20C0">
        <w:t xml:space="preserve">The </w:t>
      </w:r>
      <w:r w:rsidR="005E6027">
        <w:t>primary</w:t>
      </w:r>
      <w:r w:rsidRPr="00CC20C0">
        <w:t xml:space="preserve"> source of data </w:t>
      </w:r>
      <w:r w:rsidR="005E6027">
        <w:t>used is the</w:t>
      </w:r>
      <w:r w:rsidRPr="00CC20C0">
        <w:t xml:space="preserve"> Business Longitudinal Analysis Data Environment (BLADE) provided by the Australian Bureau of Statistics (ABS). The BLADE consists of firm-level data based on the administrative tax reports lodged annually by Australian businesses between 2001-02 and 20</w:t>
      </w:r>
      <w:r w:rsidR="00C10D98">
        <w:t>15–16</w:t>
      </w:r>
      <w:r w:rsidRPr="00CC20C0">
        <w:t xml:space="preserve">. Subsequently, the BLADE is the full universe of Australian firms registered for tax purposes, consisting of financial variables listed in Table </w:t>
      </w:r>
      <w:r w:rsidR="00367B97">
        <w:t>A.</w:t>
      </w:r>
      <w:r w:rsidRPr="00CC20C0">
        <w:t>1</w:t>
      </w:r>
      <w:r w:rsidR="00B046B1">
        <w:t>, Appendix A</w:t>
      </w:r>
      <w:r w:rsidRPr="00CC20C0">
        <w:t>. The main limitation</w:t>
      </w:r>
      <w:r w:rsidR="00A412EC">
        <w:t>s</w:t>
      </w:r>
      <w:r w:rsidRPr="00CC20C0">
        <w:t xml:space="preserve"> of the BLADE</w:t>
      </w:r>
      <w:r w:rsidR="00A412EC">
        <w:t xml:space="preserve"> in the context of this paper</w:t>
      </w:r>
      <w:r w:rsidRPr="00CC20C0">
        <w:t xml:space="preserve"> is </w:t>
      </w:r>
      <w:r w:rsidR="00A412EC">
        <w:t xml:space="preserve">i) </w:t>
      </w:r>
      <w:r w:rsidRPr="00CC20C0">
        <w:t>that it does not keep track of firms undergoing mergers or acquisitions</w:t>
      </w:r>
      <w:r w:rsidR="00A412EC">
        <w:t xml:space="preserve"> and ii) that it does not currently contain information on export products and export destinations</w:t>
      </w:r>
      <w:r w:rsidRPr="00CC20C0">
        <w:t>. For a full discussion on how the BLADE was constructed, its limitations and how it has contributed to evidence-based policy making in Australia, see Hansell and Rafi (2018).</w:t>
      </w:r>
      <w:r>
        <w:t xml:space="preserve"> </w:t>
      </w:r>
    </w:p>
    <w:p w14:paraId="3ED5BB22" w14:textId="7F7D47BD" w:rsidR="007003E1" w:rsidRDefault="00717714" w:rsidP="009874B4">
      <w:pPr>
        <w:pStyle w:val="BodyText"/>
      </w:pPr>
      <w:r>
        <w:lastRenderedPageBreak/>
        <w:t xml:space="preserve">The remainder of the paper is organised as follows: </w:t>
      </w:r>
      <w:r w:rsidR="007003E1">
        <w:t>S</w:t>
      </w:r>
      <w:r w:rsidR="007003E1">
        <w:rPr>
          <w:lang w:eastAsia="en-AU"/>
        </w:rPr>
        <w:t xml:space="preserve">ection 2 presents the characteristics of Australian </w:t>
      </w:r>
      <w:r w:rsidR="003D7292">
        <w:rPr>
          <w:lang w:eastAsia="en-AU"/>
        </w:rPr>
        <w:t>BGFs</w:t>
      </w:r>
      <w:r w:rsidR="007003E1">
        <w:rPr>
          <w:lang w:eastAsia="en-AU"/>
        </w:rPr>
        <w:t xml:space="preserve"> and provides evidence on the performance </w:t>
      </w:r>
      <w:r w:rsidR="00FB3CE2">
        <w:rPr>
          <w:lang w:eastAsia="en-AU"/>
        </w:rPr>
        <w:t>of</w:t>
      </w:r>
      <w:r w:rsidR="007003E1">
        <w:rPr>
          <w:lang w:eastAsia="en-AU"/>
        </w:rPr>
        <w:t xml:space="preserve"> </w:t>
      </w:r>
      <w:r w:rsidR="003D7292">
        <w:rPr>
          <w:lang w:eastAsia="en-AU"/>
        </w:rPr>
        <w:t>BGFs</w:t>
      </w:r>
      <w:r w:rsidR="007B25E5">
        <w:rPr>
          <w:lang w:eastAsia="en-AU"/>
        </w:rPr>
        <w:t xml:space="preserve"> </w:t>
      </w:r>
      <w:r w:rsidR="007003E1">
        <w:rPr>
          <w:lang w:eastAsia="en-AU"/>
        </w:rPr>
        <w:t xml:space="preserve">using the BLADE and other linked survey data. Section 3 compares the performance of </w:t>
      </w:r>
      <w:r w:rsidR="003D7292">
        <w:rPr>
          <w:lang w:eastAsia="en-AU"/>
        </w:rPr>
        <w:t>BGFs</w:t>
      </w:r>
      <w:r w:rsidR="007003E1">
        <w:rPr>
          <w:lang w:eastAsia="en-AU"/>
        </w:rPr>
        <w:t xml:space="preserve"> with other exporters. The relationship between firm age and export premiums is </w:t>
      </w:r>
      <w:r w:rsidR="0059532A">
        <w:rPr>
          <w:lang w:eastAsia="en-AU"/>
        </w:rPr>
        <w:t xml:space="preserve">covered in </w:t>
      </w:r>
      <w:r w:rsidR="007003E1">
        <w:rPr>
          <w:lang w:eastAsia="en-AU"/>
        </w:rPr>
        <w:t>Section 4. Section 5</w:t>
      </w:r>
      <w:r w:rsidR="0059532A">
        <w:rPr>
          <w:lang w:eastAsia="en-AU"/>
        </w:rPr>
        <w:t xml:space="preserve"> presents findings on the relationship between exchange rates and </w:t>
      </w:r>
      <w:r w:rsidR="002E1CFB">
        <w:rPr>
          <w:lang w:eastAsia="en-AU"/>
        </w:rPr>
        <w:t xml:space="preserve">export sales at the firm level and </w:t>
      </w:r>
      <w:r w:rsidR="0059532A">
        <w:rPr>
          <w:lang w:eastAsia="en-AU"/>
        </w:rPr>
        <w:t>Section 6</w:t>
      </w:r>
      <w:r w:rsidR="002E1CFB">
        <w:t xml:space="preserve"> discusses </w:t>
      </w:r>
      <w:r w:rsidR="002E1CFB">
        <w:rPr>
          <w:lang w:eastAsia="en-AU"/>
        </w:rPr>
        <w:t>i</w:t>
      </w:r>
      <w:r w:rsidR="002E1CFB" w:rsidRPr="002E1CFB">
        <w:rPr>
          <w:lang w:eastAsia="en-AU"/>
        </w:rPr>
        <w:t>mplications for entrepreneurship and exporting policies</w:t>
      </w:r>
      <w:r w:rsidR="002E1CFB">
        <w:rPr>
          <w:lang w:eastAsia="en-AU"/>
        </w:rPr>
        <w:t>. Section 7</w:t>
      </w:r>
      <w:r w:rsidR="0059532A">
        <w:rPr>
          <w:lang w:eastAsia="en-AU"/>
        </w:rPr>
        <w:t xml:space="preserve"> concludes the paper</w:t>
      </w:r>
      <w:r w:rsidR="00803DBD">
        <w:rPr>
          <w:lang w:eastAsia="en-AU"/>
        </w:rPr>
        <w:t>.</w:t>
      </w:r>
    </w:p>
    <w:p w14:paraId="258EF822" w14:textId="5C24C8A4" w:rsidR="009874B4" w:rsidRPr="009874B4" w:rsidRDefault="009874B4" w:rsidP="009874B4">
      <w:pPr>
        <w:pStyle w:val="BodyText"/>
      </w:pPr>
    </w:p>
    <w:p w14:paraId="67B5AAE5" w14:textId="54E80B88" w:rsidR="008C48CF" w:rsidRDefault="00780B5F" w:rsidP="008C48CF">
      <w:pPr>
        <w:pStyle w:val="Heading1"/>
      </w:pPr>
      <w:r>
        <w:t xml:space="preserve">Characteristics of born </w:t>
      </w:r>
      <w:r w:rsidR="0053799F">
        <w:t xml:space="preserve">global firms </w:t>
      </w:r>
    </w:p>
    <w:p w14:paraId="0E9E41F4" w14:textId="1495B04D" w:rsidR="00706365" w:rsidRDefault="00706365" w:rsidP="00220F2B">
      <w:pPr>
        <w:pStyle w:val="BodyText"/>
        <w:rPr>
          <w:lang w:eastAsia="en-AU"/>
        </w:rPr>
      </w:pPr>
      <w:r>
        <w:rPr>
          <w:lang w:eastAsia="en-AU"/>
        </w:rPr>
        <w:t xml:space="preserve">The born global </w:t>
      </w:r>
      <w:r w:rsidR="00443035">
        <w:rPr>
          <w:lang w:eastAsia="en-AU"/>
        </w:rPr>
        <w:t xml:space="preserve">firm </w:t>
      </w:r>
      <w:r>
        <w:rPr>
          <w:lang w:eastAsia="en-AU"/>
        </w:rPr>
        <w:t>literature shows differences in opinion regarding the speed from inception to entry into international markets required for a firm to qualify as ‘born global’, ranging from one year (Tuhin &amp; Swanepoel, 2016; Rennie, 1993) to three years (Knight &amp; Cavusgil, 1996), to six years (Zahra et al., 2000), to eight years (McDougall et al., 1994). Other studies have also placed an export intensity (export sales divided by total turnover) threshold to define born global firms, using an export intensity of 25 per</w:t>
      </w:r>
      <w:r w:rsidR="00443035">
        <w:rPr>
          <w:lang w:eastAsia="en-AU"/>
        </w:rPr>
        <w:t xml:space="preserve"> </w:t>
      </w:r>
      <w:r>
        <w:rPr>
          <w:lang w:eastAsia="en-AU"/>
        </w:rPr>
        <w:t xml:space="preserve">cent within two or three years (Choquette et al., 2017; Gabrielsson &amp; Kirpalani, 2012; Bals et al., 2008; Oviatt &amp; McDougall, 1997). Braunerhjelm and Halldin (2019) use </w:t>
      </w:r>
      <w:r w:rsidR="00443035">
        <w:rPr>
          <w:lang w:eastAsia="en-AU"/>
        </w:rPr>
        <w:t xml:space="preserve">a </w:t>
      </w:r>
      <w:r>
        <w:rPr>
          <w:lang w:eastAsia="en-AU"/>
        </w:rPr>
        <w:t xml:space="preserve">number of definitions, and this </w:t>
      </w:r>
      <w:r w:rsidR="000948F6">
        <w:rPr>
          <w:lang w:eastAsia="en-AU"/>
        </w:rPr>
        <w:t>paper</w:t>
      </w:r>
      <w:r>
        <w:rPr>
          <w:lang w:eastAsia="en-AU"/>
        </w:rPr>
        <w:t xml:space="preserve"> will take a similar approach</w:t>
      </w:r>
      <w:r w:rsidR="00443035">
        <w:rPr>
          <w:lang w:eastAsia="en-AU"/>
        </w:rPr>
        <w:t xml:space="preserve">. In this study, </w:t>
      </w:r>
      <w:r>
        <w:rPr>
          <w:lang w:eastAsia="en-AU"/>
        </w:rPr>
        <w:t xml:space="preserve">born global firms are defined as exporting up to </w:t>
      </w:r>
      <w:r w:rsidR="000948F6">
        <w:rPr>
          <w:lang w:eastAsia="en-AU"/>
        </w:rPr>
        <w:t>one year</w:t>
      </w:r>
      <w:r>
        <w:rPr>
          <w:lang w:eastAsia="en-AU"/>
        </w:rPr>
        <w:t xml:space="preserve"> from birth</w:t>
      </w:r>
      <w:r w:rsidR="000948F6">
        <w:rPr>
          <w:lang w:eastAsia="en-AU"/>
        </w:rPr>
        <w:t>, however sensitivity analyses will be conducted to determine how varying th</w:t>
      </w:r>
      <w:r w:rsidR="00443035">
        <w:rPr>
          <w:lang w:eastAsia="en-AU"/>
        </w:rPr>
        <w:t>is</w:t>
      </w:r>
      <w:r w:rsidR="000948F6">
        <w:rPr>
          <w:lang w:eastAsia="en-AU"/>
        </w:rPr>
        <w:t xml:space="preserve"> definition affects </w:t>
      </w:r>
      <w:r w:rsidR="00443035">
        <w:rPr>
          <w:lang w:eastAsia="en-AU"/>
        </w:rPr>
        <w:t xml:space="preserve">the results on business </w:t>
      </w:r>
      <w:r w:rsidR="005418CA">
        <w:rPr>
          <w:lang w:eastAsia="en-AU"/>
        </w:rPr>
        <w:t>characteristics</w:t>
      </w:r>
      <w:r w:rsidR="000948F6">
        <w:rPr>
          <w:lang w:eastAsia="en-AU"/>
        </w:rPr>
        <w:t xml:space="preserve"> and performance. </w:t>
      </w:r>
    </w:p>
    <w:p w14:paraId="2ADB9D36" w14:textId="4BFBA196" w:rsidR="002E6BA3" w:rsidRDefault="00220F2B" w:rsidP="00220F2B">
      <w:pPr>
        <w:pStyle w:val="BodyText"/>
        <w:rPr>
          <w:lang w:eastAsia="en-AU"/>
        </w:rPr>
      </w:pPr>
      <w:r>
        <w:rPr>
          <w:lang w:eastAsia="en-AU"/>
        </w:rPr>
        <w:t xml:space="preserve">The born global literature began in the early 1990s (Rennie, 1993), and has expanded rapidly since, in response to </w:t>
      </w:r>
      <w:r w:rsidR="003D7292">
        <w:rPr>
          <w:lang w:eastAsia="en-AU"/>
        </w:rPr>
        <w:t>BGFs</w:t>
      </w:r>
      <w:r>
        <w:rPr>
          <w:lang w:eastAsia="en-AU"/>
        </w:rPr>
        <w:t xml:space="preserve"> becoming increasingly common (Knight &amp; Cavusgil, 1996; Preece et al., 1999; Madsen &amp; Sevais, 1997; McDougall et al, 2003). Knight and Cavusgil (2015) argue the increased presence of </w:t>
      </w:r>
      <w:r w:rsidR="003D7292">
        <w:rPr>
          <w:lang w:eastAsia="en-AU"/>
        </w:rPr>
        <w:t>BGFs</w:t>
      </w:r>
      <w:r>
        <w:rPr>
          <w:lang w:eastAsia="en-AU"/>
        </w:rPr>
        <w:t xml:space="preserve"> can be attributed to structural chang</w:t>
      </w:r>
      <w:r w:rsidR="002E6BA3">
        <w:rPr>
          <w:lang w:eastAsia="en-AU"/>
        </w:rPr>
        <w:t xml:space="preserve">e and technological progress. </w:t>
      </w:r>
      <w:r>
        <w:rPr>
          <w:lang w:eastAsia="en-AU"/>
        </w:rPr>
        <w:t xml:space="preserve">Traditionally, only </w:t>
      </w:r>
      <w:r w:rsidR="003D7292">
        <w:rPr>
          <w:lang w:eastAsia="en-AU"/>
        </w:rPr>
        <w:t>BGFs</w:t>
      </w:r>
      <w:r>
        <w:rPr>
          <w:lang w:eastAsia="en-AU"/>
        </w:rPr>
        <w:t xml:space="preserve"> from high technology sectors have been studied, however more recently the born global literature has expanded to take a more comprehensive industry approach to include other manufacturing and other services firms (Chetty &amp; Campbell-Hunt, 2004; Liesch et al., 2007). The emphasis has been on the characteristics that lead to the rapid internationalisation of these firms. Taylor and Jack (2013) provide an extensive literature review of these studies and propose a conceptual framework incorporating six propositions relating to the key dimensions of the pace, scale and pattern of internationalisation of firms. </w:t>
      </w:r>
    </w:p>
    <w:p w14:paraId="71449FE5" w14:textId="6960AC1D" w:rsidR="00693FCA" w:rsidRDefault="00220F2B" w:rsidP="00220F2B">
      <w:pPr>
        <w:pStyle w:val="BodyText"/>
        <w:rPr>
          <w:lang w:eastAsia="en-AU"/>
        </w:rPr>
      </w:pPr>
      <w:r>
        <w:rPr>
          <w:lang w:eastAsia="en-AU"/>
        </w:rPr>
        <w:t xml:space="preserve">Even though these studies cover Australian firms, they are generally based on survey or interview responses, and therefore suffer small sample and other biases. Further, there is a lack of analysis on the performance of </w:t>
      </w:r>
      <w:r w:rsidR="003D7292">
        <w:rPr>
          <w:lang w:eastAsia="en-AU"/>
        </w:rPr>
        <w:t>BGFs</w:t>
      </w:r>
      <w:r>
        <w:rPr>
          <w:lang w:eastAsia="en-AU"/>
        </w:rPr>
        <w:t>, both in the Australian context and wider literature. Braunerhjelm and Halldin (2019) seeks to fill this gap using firm-level data on Swedish firms</w:t>
      </w:r>
      <w:r w:rsidR="002E6BA3">
        <w:rPr>
          <w:lang w:eastAsia="en-AU"/>
        </w:rPr>
        <w:t xml:space="preserve"> —</w:t>
      </w:r>
      <w:r>
        <w:rPr>
          <w:lang w:eastAsia="en-AU"/>
        </w:rPr>
        <w:t xml:space="preserve"> however, their study is limited to studying the performance of </w:t>
      </w:r>
      <w:r w:rsidR="00663001">
        <w:rPr>
          <w:lang w:eastAsia="en-AU"/>
        </w:rPr>
        <w:t xml:space="preserve">manufacturing </w:t>
      </w:r>
      <w:r w:rsidR="003D7292">
        <w:rPr>
          <w:lang w:eastAsia="en-AU"/>
        </w:rPr>
        <w:t>BGFs</w:t>
      </w:r>
      <w:r w:rsidR="00AD5BEA">
        <w:rPr>
          <w:lang w:eastAsia="en-AU"/>
        </w:rPr>
        <w:t xml:space="preserve"> between 1998 and 2006. </w:t>
      </w:r>
    </w:p>
    <w:p w14:paraId="03F54F07" w14:textId="1E0C4145" w:rsidR="00780B5F" w:rsidRPr="002542BE" w:rsidRDefault="002542BE" w:rsidP="00220F2B">
      <w:pPr>
        <w:pStyle w:val="BodyText"/>
        <w:rPr>
          <w:strike/>
          <w:lang w:eastAsia="en-AU"/>
        </w:rPr>
      </w:pPr>
      <w:r>
        <w:rPr>
          <w:lang w:eastAsia="en-AU"/>
        </w:rPr>
        <w:t xml:space="preserve">To shed light on the characteristics of BGFs, we make use of administrative tax data that provides information on business size, industry classification, foreign </w:t>
      </w:r>
      <w:r>
        <w:rPr>
          <w:lang w:eastAsia="en-AU"/>
        </w:rPr>
        <w:lastRenderedPageBreak/>
        <w:t>ownership status</w:t>
      </w:r>
      <w:r w:rsidR="00693AD7">
        <w:rPr>
          <w:lang w:eastAsia="en-AU"/>
        </w:rPr>
        <w:t>, capital intensity</w:t>
      </w:r>
      <w:r>
        <w:rPr>
          <w:lang w:eastAsia="en-AU"/>
        </w:rPr>
        <w:t xml:space="preserve"> etc. We also utilise ABS survey data such as the </w:t>
      </w:r>
      <w:r w:rsidRPr="002542BE">
        <w:rPr>
          <w:i/>
          <w:lang w:eastAsia="en-AU"/>
        </w:rPr>
        <w:t>Business Characteristics Survey</w:t>
      </w:r>
      <w:r>
        <w:rPr>
          <w:lang w:eastAsia="en-AU"/>
        </w:rPr>
        <w:t xml:space="preserve"> that provides information on the </w:t>
      </w:r>
      <w:r>
        <w:rPr>
          <w:rFonts w:ascii="Arial" w:hAnsi="Arial" w:cs="Arial"/>
        </w:rPr>
        <w:t xml:space="preserve">use of information technology and a broad range of other non-financial characteristics; and the </w:t>
      </w:r>
      <w:r w:rsidRPr="002542BE">
        <w:rPr>
          <w:i/>
          <w:lang w:eastAsia="en-AU"/>
        </w:rPr>
        <w:t>Management Capability Module</w:t>
      </w:r>
      <w:r>
        <w:rPr>
          <w:lang w:eastAsia="en-AU"/>
        </w:rPr>
        <w:t xml:space="preserve"> that provides information on the management and organisational capabilities of Australian firms.</w:t>
      </w:r>
    </w:p>
    <w:p w14:paraId="30B7306F" w14:textId="0169C3CD" w:rsidR="00C31420" w:rsidRDefault="00206092" w:rsidP="004C01D3">
      <w:pPr>
        <w:pStyle w:val="Heading2"/>
        <w:ind w:left="709"/>
      </w:pPr>
      <w:r>
        <w:t xml:space="preserve">Characteristics of born global firms </w:t>
      </w:r>
      <w:r w:rsidR="00D3015C">
        <w:t xml:space="preserve">based on administrative data </w:t>
      </w:r>
    </w:p>
    <w:p w14:paraId="776DB018" w14:textId="3F5B7DE8" w:rsidR="008F573B" w:rsidRPr="008F573B" w:rsidRDefault="008F573B" w:rsidP="008F573B">
      <w:pPr>
        <w:pStyle w:val="Heading3"/>
      </w:pPr>
      <w:r>
        <w:t>Counts</w:t>
      </w:r>
    </w:p>
    <w:p w14:paraId="23439F5E" w14:textId="18BFAB19" w:rsidR="0035410A" w:rsidRDefault="00FC42FD" w:rsidP="0035410A">
      <w:pPr>
        <w:pStyle w:val="BodyText"/>
      </w:pPr>
      <w:r>
        <w:t>The</w:t>
      </w:r>
      <w:r w:rsidR="00913390">
        <w:t xml:space="preserve"> </w:t>
      </w:r>
      <w:r w:rsidR="005D2589">
        <w:t>BGF</w:t>
      </w:r>
      <w:r>
        <w:t xml:space="preserve"> share of total exporters, the exporting business share and the general business entry rate are displayed in Figure 2.1.</w:t>
      </w:r>
      <w:r w:rsidR="000D0DCC">
        <w:rPr>
          <w:rStyle w:val="FootnoteReference"/>
        </w:rPr>
        <w:footnoteReference w:id="2"/>
      </w:r>
      <w:r>
        <w:t xml:space="preserve"> There was a</w:t>
      </w:r>
      <w:r w:rsidR="00913390">
        <w:t xml:space="preserve"> sharp decline in the share of</w:t>
      </w:r>
      <w:r>
        <w:t xml:space="preserve"> </w:t>
      </w:r>
      <w:r w:rsidR="003D7292">
        <w:t>BGFs</w:t>
      </w:r>
      <w:r>
        <w:t xml:space="preserve"> from 2006-07</w:t>
      </w:r>
      <w:r w:rsidR="00913390">
        <w:t>, and a recovery proceeding the 20</w:t>
      </w:r>
      <w:r w:rsidR="00C10D98">
        <w:t>12–13</w:t>
      </w:r>
      <w:r w:rsidR="00913390">
        <w:t xml:space="preserve"> year</w:t>
      </w:r>
      <w:r>
        <w:t xml:space="preserve">, </w:t>
      </w:r>
      <w:r w:rsidR="007C049E">
        <w:t>aligned with the</w:t>
      </w:r>
      <w:r>
        <w:t xml:space="preserve"> decline and recovery of the general </w:t>
      </w:r>
      <w:r w:rsidR="00365BB1">
        <w:t>business entry rate</w:t>
      </w:r>
      <w:r w:rsidR="00913390">
        <w:t xml:space="preserve">. This trend </w:t>
      </w:r>
      <w:r w:rsidR="00B44DA4">
        <w:t xml:space="preserve">is consistent with </w:t>
      </w:r>
      <w:r w:rsidR="00E255C0">
        <w:t>literature on</w:t>
      </w:r>
      <w:r w:rsidR="00B44DA4">
        <w:t xml:space="preserve"> </w:t>
      </w:r>
      <w:r w:rsidR="00DE1B21">
        <w:t xml:space="preserve">declining </w:t>
      </w:r>
      <w:r w:rsidR="00B44DA4">
        <w:t xml:space="preserve">entrepreneurship and </w:t>
      </w:r>
      <w:r w:rsidR="00BA355C">
        <w:t xml:space="preserve">the </w:t>
      </w:r>
      <w:r w:rsidR="00B44DA4">
        <w:t>subsequent recovery found in Australia and the US (</w:t>
      </w:r>
      <w:r w:rsidR="00E53AE6">
        <w:t>Bakhtiari</w:t>
      </w:r>
      <w:r w:rsidR="00B44DA4">
        <w:t>, 201</w:t>
      </w:r>
      <w:r w:rsidR="00D40052">
        <w:t>9a</w:t>
      </w:r>
      <w:r w:rsidR="00B44DA4">
        <w:t>; Decke</w:t>
      </w:r>
      <w:r w:rsidR="00E53AE6">
        <w:t xml:space="preserve">r et al., </w:t>
      </w:r>
      <w:r w:rsidR="00B44DA4">
        <w:t xml:space="preserve">2014). </w:t>
      </w:r>
      <w:r w:rsidR="0035410A">
        <w:t xml:space="preserve"> </w:t>
      </w:r>
      <w:r w:rsidR="00185BA4">
        <w:t xml:space="preserve">In contrast, the exporter share of the general business population </w:t>
      </w:r>
      <w:r w:rsidR="00A001BC">
        <w:t>increased only marginally over recent years</w:t>
      </w:r>
      <w:r w:rsidR="00365BB1">
        <w:t>.</w:t>
      </w:r>
    </w:p>
    <w:p w14:paraId="6F82A18A" w14:textId="51815146" w:rsidR="00960DA0" w:rsidRDefault="00A53FE6" w:rsidP="0035410A">
      <w:pPr>
        <w:pStyle w:val="BodyText"/>
      </w:pPr>
      <w:r>
        <w:t>W</w:t>
      </w:r>
      <w:r w:rsidR="00347BBD">
        <w:t>e compared</w:t>
      </w:r>
      <w:r>
        <w:t xml:space="preserve"> the </w:t>
      </w:r>
      <w:r w:rsidR="00347BBD">
        <w:t xml:space="preserve">Australian </w:t>
      </w:r>
      <w:r>
        <w:t xml:space="preserve">results on the share </w:t>
      </w:r>
      <w:r w:rsidR="00347BBD">
        <w:t>as well as the</w:t>
      </w:r>
      <w:r>
        <w:t xml:space="preserve"> export intensity of BGFs with New Zealand given the availability of data and the fact that the two countries are located in the same region, have similar </w:t>
      </w:r>
      <w:r w:rsidR="00347BBD">
        <w:t>enterprise birth</w:t>
      </w:r>
      <w:r>
        <w:t xml:space="preserve"> rates</w:t>
      </w:r>
      <w:r w:rsidR="00635B7C">
        <w:t xml:space="preserve"> and a similar degree of trade openness</w:t>
      </w:r>
      <w:r>
        <w:t xml:space="preserve">. </w:t>
      </w:r>
      <w:r w:rsidR="00960DA0">
        <w:t xml:space="preserve">Compared to New Zealand, </w:t>
      </w:r>
      <w:r>
        <w:t xml:space="preserve">the results show that </w:t>
      </w:r>
      <w:r w:rsidR="00960DA0">
        <w:t xml:space="preserve">Australia has a </w:t>
      </w:r>
      <w:r w:rsidR="003C05AB">
        <w:t xml:space="preserve">consistently </w:t>
      </w:r>
      <w:r w:rsidR="00960DA0">
        <w:t xml:space="preserve">higher share of </w:t>
      </w:r>
      <w:r w:rsidR="003D7292">
        <w:t>BGFs</w:t>
      </w:r>
      <w:r w:rsidR="003C05AB">
        <w:t>, and New Zealand has not experienced the same post-GFC recovery (Figure 2.2.)</w:t>
      </w:r>
      <w:r w:rsidR="001B7DD1">
        <w:t xml:space="preserve">. </w:t>
      </w:r>
    </w:p>
    <w:p w14:paraId="25E2529D" w14:textId="71313B09" w:rsidR="00CE412B" w:rsidRDefault="00CE412B" w:rsidP="00CE412B">
      <w:pPr>
        <w:pStyle w:val="Caption"/>
      </w:pPr>
      <w:r>
        <w:lastRenderedPageBreak/>
        <w:t>Figure</w:t>
      </w:r>
      <w:r w:rsidRPr="000618FB">
        <w:t xml:space="preserv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t xml:space="preserve">1: </w:t>
      </w:r>
      <w:r w:rsidR="00CF6058">
        <w:t xml:space="preserve">Born global share of exporters, exporting business share and </w:t>
      </w:r>
      <w:r w:rsidR="0034323E">
        <w:t xml:space="preserve">total </w:t>
      </w:r>
      <w:r w:rsidR="00CF6058">
        <w:t xml:space="preserve">business entry rate </w:t>
      </w:r>
    </w:p>
    <w:p w14:paraId="198CDF1C" w14:textId="35A9BEA7" w:rsidR="00CF6058" w:rsidRPr="00CF6058" w:rsidRDefault="000A1C30" w:rsidP="00CF6058">
      <w:pPr>
        <w:pStyle w:val="Placeholder"/>
      </w:pPr>
      <w:r>
        <w:rPr>
          <w:noProof/>
          <w:lang w:eastAsia="en-AU"/>
        </w:rPr>
        <w:drawing>
          <wp:inline distT="0" distB="0" distL="0" distR="0" wp14:anchorId="4C03CC6E" wp14:editId="06437D92">
            <wp:extent cx="4377690" cy="2632075"/>
            <wp:effectExtent l="0" t="0" r="3810" b="0"/>
            <wp:docPr id="12" name="Chart 12" descr="This graph shows three lines, and shows a decline and subsequent recovery of the total business entry rate, then the increasing born global share of exporters, then the relatively stable exporting business share." title="Born global share of exporters, exporting business share and total business entry rat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D93CEC" w14:textId="6447FFD0" w:rsidR="00B10057" w:rsidRDefault="00CE412B" w:rsidP="00CE412B">
      <w:pPr>
        <w:pStyle w:val="Source"/>
      </w:pPr>
      <w:r>
        <w:t xml:space="preserve">Source: </w:t>
      </w:r>
      <w:r w:rsidR="003B6B3E">
        <w:t>BLADE (2019)</w:t>
      </w:r>
      <w:r w:rsidR="0034323E">
        <w:t xml:space="preserve">, </w:t>
      </w:r>
      <w:r w:rsidR="007D0A11" w:rsidRPr="007D0A11">
        <w:rPr>
          <w:lang w:eastAsia="en-AU"/>
        </w:rPr>
        <w:t>Author’s calculations</w:t>
      </w:r>
      <w:r w:rsidR="00F947BF">
        <w:rPr>
          <w:lang w:eastAsia="en-AU"/>
        </w:rPr>
        <w:t xml:space="preserve">; ABS Cat. 8165.0 </w:t>
      </w:r>
    </w:p>
    <w:p w14:paraId="18CE1B15" w14:textId="4777EB6C" w:rsidR="00B653CE" w:rsidRDefault="00B653CE" w:rsidP="00B653CE">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rsidR="00180AA4">
        <w:t>2</w:t>
      </w:r>
      <w:r>
        <w:t xml:space="preserve">: International comparison in born global firm share of exporters: Australia and New Zealand </w:t>
      </w:r>
    </w:p>
    <w:p w14:paraId="35F1BE36" w14:textId="67633346" w:rsidR="00B653CE" w:rsidRPr="00CF6058" w:rsidRDefault="00B653CE" w:rsidP="00B653CE">
      <w:pPr>
        <w:pStyle w:val="Placeholder"/>
      </w:pPr>
      <w:r>
        <w:rPr>
          <w:noProof/>
          <w:lang w:eastAsia="en-AU"/>
        </w:rPr>
        <w:drawing>
          <wp:inline distT="0" distB="0" distL="0" distR="0" wp14:anchorId="63B2EC81" wp14:editId="1712B3CA">
            <wp:extent cx="4377690" cy="2626360"/>
            <wp:effectExtent l="0" t="0" r="3810" b="2540"/>
            <wp:docPr id="10" name="Chart 10" descr="This chart compares born global shares between Australian and New Zealand firms, and shows a decline in the share for NZ but a sharp increase for Australia. " title="International comparison in born global firm share of exporters: Australia and New Zealan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75F8A2" w14:textId="0F26B1B3" w:rsidR="00B653CE" w:rsidRPr="00B653CE" w:rsidRDefault="0044639E" w:rsidP="00ED3512">
      <w:pPr>
        <w:pStyle w:val="Source"/>
      </w:pPr>
      <w:r>
        <w:t xml:space="preserve">Source: </w:t>
      </w:r>
      <w:r w:rsidR="003B6B3E">
        <w:t>BLADE (2019)</w:t>
      </w:r>
      <w:r>
        <w:t>, NZ Productivity Commission</w:t>
      </w:r>
      <w:r w:rsidR="003B6B3E">
        <w:t xml:space="preserve"> (2019)</w:t>
      </w:r>
      <w:r w:rsidR="0034323E">
        <w:t>, Author’s calculations</w:t>
      </w:r>
    </w:p>
    <w:p w14:paraId="66CC8D15" w14:textId="20DFD12A" w:rsidR="00493604" w:rsidRDefault="00D35A05" w:rsidP="000D424D">
      <w:pPr>
        <w:pStyle w:val="Heading3"/>
        <w:numPr>
          <w:ilvl w:val="0"/>
          <w:numId w:val="0"/>
        </w:numPr>
        <w:rPr>
          <w:rFonts w:asciiTheme="minorHAnsi" w:eastAsiaTheme="minorHAnsi" w:hAnsiTheme="minorHAnsi" w:cstheme="minorBidi"/>
          <w:bCs w:val="0"/>
          <w:color w:val="373737"/>
          <w:sz w:val="20"/>
        </w:rPr>
      </w:pPr>
      <w:r w:rsidRPr="00C71991">
        <w:rPr>
          <w:rFonts w:asciiTheme="minorHAnsi" w:eastAsiaTheme="minorHAnsi" w:hAnsiTheme="minorHAnsi" w:cstheme="minorBidi"/>
          <w:bCs w:val="0"/>
          <w:color w:val="373737"/>
          <w:sz w:val="20"/>
        </w:rPr>
        <w:t xml:space="preserve">This </w:t>
      </w:r>
      <w:r w:rsidR="007854B3" w:rsidRPr="00C71991">
        <w:rPr>
          <w:rFonts w:asciiTheme="minorHAnsi" w:eastAsiaTheme="minorHAnsi" w:hAnsiTheme="minorHAnsi" w:cstheme="minorBidi"/>
          <w:bCs w:val="0"/>
          <w:color w:val="373737"/>
          <w:sz w:val="20"/>
        </w:rPr>
        <w:t>i</w:t>
      </w:r>
      <w:r w:rsidR="007854B3">
        <w:rPr>
          <w:rFonts w:asciiTheme="minorHAnsi" w:eastAsiaTheme="minorHAnsi" w:hAnsiTheme="minorHAnsi" w:cstheme="minorBidi"/>
          <w:bCs w:val="0"/>
          <w:color w:val="373737"/>
          <w:sz w:val="20"/>
        </w:rPr>
        <w:t>s</w:t>
      </w:r>
      <w:r w:rsidR="00710796">
        <w:rPr>
          <w:rFonts w:asciiTheme="minorHAnsi" w:eastAsiaTheme="minorHAnsi" w:hAnsiTheme="minorHAnsi" w:cstheme="minorBidi"/>
          <w:bCs w:val="0"/>
          <w:color w:val="373737"/>
          <w:sz w:val="20"/>
        </w:rPr>
        <w:t xml:space="preserve"> of</w:t>
      </w:r>
      <w:r w:rsidR="007854B3" w:rsidRPr="00C71991">
        <w:rPr>
          <w:rFonts w:asciiTheme="minorHAnsi" w:eastAsiaTheme="minorHAnsi" w:hAnsiTheme="minorHAnsi" w:cstheme="minorBidi"/>
          <w:bCs w:val="0"/>
          <w:color w:val="373737"/>
          <w:sz w:val="20"/>
        </w:rPr>
        <w:t xml:space="preserve"> </w:t>
      </w:r>
      <w:r w:rsidRPr="00C71991">
        <w:rPr>
          <w:rFonts w:asciiTheme="minorHAnsi" w:eastAsiaTheme="minorHAnsi" w:hAnsiTheme="minorHAnsi" w:cstheme="minorBidi"/>
          <w:bCs w:val="0"/>
          <w:color w:val="373737"/>
          <w:sz w:val="20"/>
        </w:rPr>
        <w:t xml:space="preserve">course just one measure of international presence. Collaborative work between LinkedIn and the Department of Industry, Innovation and Science for example shows that nearly </w:t>
      </w:r>
      <w:r w:rsidR="00EB63B7">
        <w:rPr>
          <w:rFonts w:asciiTheme="minorHAnsi" w:eastAsiaTheme="minorHAnsi" w:hAnsiTheme="minorHAnsi" w:cstheme="minorBidi"/>
          <w:bCs w:val="0"/>
          <w:color w:val="373737"/>
          <w:sz w:val="20"/>
        </w:rPr>
        <w:t>6</w:t>
      </w:r>
      <w:r w:rsidRPr="00C71991">
        <w:rPr>
          <w:rFonts w:asciiTheme="minorHAnsi" w:eastAsiaTheme="minorHAnsi" w:hAnsiTheme="minorHAnsi" w:cstheme="minorBidi"/>
          <w:bCs w:val="0"/>
          <w:color w:val="373737"/>
          <w:sz w:val="20"/>
        </w:rPr>
        <w:t xml:space="preserve"> per cent of Australia’s ventures has employees outside of the founding-country within </w:t>
      </w:r>
      <w:r w:rsidR="00F55026">
        <w:rPr>
          <w:rFonts w:asciiTheme="minorHAnsi" w:eastAsiaTheme="minorHAnsi" w:hAnsiTheme="minorHAnsi" w:cstheme="minorBidi"/>
          <w:bCs w:val="0"/>
          <w:color w:val="373737"/>
          <w:sz w:val="20"/>
        </w:rPr>
        <w:t>one</w:t>
      </w:r>
      <w:r w:rsidRPr="00C71991">
        <w:rPr>
          <w:rFonts w:asciiTheme="minorHAnsi" w:eastAsiaTheme="minorHAnsi" w:hAnsiTheme="minorHAnsi" w:cstheme="minorBidi"/>
          <w:bCs w:val="0"/>
          <w:color w:val="373737"/>
          <w:sz w:val="20"/>
        </w:rPr>
        <w:t xml:space="preserve"> year of starting. Based on this measure, Australia ranks lower than New Zealand (</w:t>
      </w:r>
      <w:r w:rsidR="00EB63B7">
        <w:rPr>
          <w:rFonts w:asciiTheme="minorHAnsi" w:eastAsiaTheme="minorHAnsi" w:hAnsiTheme="minorHAnsi" w:cstheme="minorBidi"/>
          <w:bCs w:val="0"/>
          <w:color w:val="373737"/>
          <w:sz w:val="20"/>
        </w:rPr>
        <w:t>9</w:t>
      </w:r>
      <w:r w:rsidRPr="00C71991">
        <w:rPr>
          <w:rFonts w:asciiTheme="minorHAnsi" w:eastAsiaTheme="minorHAnsi" w:hAnsiTheme="minorHAnsi" w:cstheme="minorBidi"/>
          <w:bCs w:val="0"/>
          <w:color w:val="373737"/>
          <w:sz w:val="20"/>
        </w:rPr>
        <w:t xml:space="preserve"> per cent), but </w:t>
      </w:r>
      <w:r w:rsidRPr="00C71991">
        <w:rPr>
          <w:rFonts w:asciiTheme="minorHAnsi" w:eastAsiaTheme="minorHAnsi" w:hAnsiTheme="minorHAnsi" w:cstheme="minorBidi"/>
          <w:bCs w:val="0"/>
          <w:color w:val="373737"/>
          <w:sz w:val="20"/>
        </w:rPr>
        <w:lastRenderedPageBreak/>
        <w:t>higher than the United States (</w:t>
      </w:r>
      <w:r w:rsidR="00EB63B7">
        <w:rPr>
          <w:rFonts w:asciiTheme="minorHAnsi" w:eastAsiaTheme="minorHAnsi" w:hAnsiTheme="minorHAnsi" w:cstheme="minorBidi"/>
          <w:bCs w:val="0"/>
          <w:color w:val="373737"/>
          <w:sz w:val="20"/>
        </w:rPr>
        <w:t>3</w:t>
      </w:r>
      <w:r w:rsidR="007854B3">
        <w:rPr>
          <w:rFonts w:asciiTheme="minorHAnsi" w:eastAsiaTheme="minorHAnsi" w:hAnsiTheme="minorHAnsi" w:cstheme="minorBidi"/>
          <w:bCs w:val="0"/>
          <w:color w:val="373737"/>
          <w:sz w:val="20"/>
        </w:rPr>
        <w:t xml:space="preserve"> per cent</w:t>
      </w:r>
      <w:r w:rsidR="007854B3" w:rsidRPr="00C71991">
        <w:rPr>
          <w:rFonts w:asciiTheme="minorHAnsi" w:eastAsiaTheme="minorHAnsi" w:hAnsiTheme="minorHAnsi" w:cstheme="minorBidi"/>
          <w:bCs w:val="0"/>
          <w:color w:val="373737"/>
          <w:sz w:val="20"/>
        </w:rPr>
        <w:t xml:space="preserve">), </w:t>
      </w:r>
      <w:r w:rsidR="00C71991" w:rsidRPr="00C71991">
        <w:rPr>
          <w:rFonts w:asciiTheme="minorHAnsi" w:eastAsiaTheme="minorHAnsi" w:hAnsiTheme="minorHAnsi" w:cstheme="minorBidi"/>
          <w:bCs w:val="0"/>
          <w:color w:val="373737"/>
          <w:sz w:val="20"/>
        </w:rPr>
        <w:t>the United Kingdom (</w:t>
      </w:r>
      <w:r w:rsidR="00EB63B7">
        <w:rPr>
          <w:rFonts w:asciiTheme="minorHAnsi" w:eastAsiaTheme="minorHAnsi" w:hAnsiTheme="minorHAnsi" w:cstheme="minorBidi"/>
          <w:bCs w:val="0"/>
          <w:color w:val="373737"/>
          <w:sz w:val="20"/>
        </w:rPr>
        <w:t>4</w:t>
      </w:r>
      <w:r w:rsidR="007854B3">
        <w:rPr>
          <w:rFonts w:asciiTheme="minorHAnsi" w:eastAsiaTheme="minorHAnsi" w:hAnsiTheme="minorHAnsi" w:cstheme="minorBidi"/>
          <w:bCs w:val="0"/>
          <w:color w:val="373737"/>
          <w:sz w:val="20"/>
        </w:rPr>
        <w:t xml:space="preserve"> per cent</w:t>
      </w:r>
      <w:r w:rsidR="007854B3" w:rsidRPr="00C71991">
        <w:rPr>
          <w:rFonts w:asciiTheme="minorHAnsi" w:eastAsiaTheme="minorHAnsi" w:hAnsiTheme="minorHAnsi" w:cstheme="minorBidi"/>
          <w:bCs w:val="0"/>
          <w:color w:val="373737"/>
          <w:sz w:val="20"/>
        </w:rPr>
        <w:t xml:space="preserve">) </w:t>
      </w:r>
      <w:r w:rsidR="00C71991" w:rsidRPr="00C71991">
        <w:rPr>
          <w:rFonts w:asciiTheme="minorHAnsi" w:eastAsiaTheme="minorHAnsi" w:hAnsiTheme="minorHAnsi" w:cstheme="minorBidi"/>
          <w:bCs w:val="0"/>
          <w:color w:val="373737"/>
          <w:sz w:val="20"/>
        </w:rPr>
        <w:t xml:space="preserve">and Germany </w:t>
      </w:r>
      <w:r w:rsidR="00EB63B7">
        <w:rPr>
          <w:rFonts w:asciiTheme="minorHAnsi" w:eastAsiaTheme="minorHAnsi" w:hAnsiTheme="minorHAnsi" w:cstheme="minorBidi"/>
          <w:bCs w:val="0"/>
          <w:color w:val="373737"/>
          <w:sz w:val="20"/>
        </w:rPr>
        <w:t>5</w:t>
      </w:r>
      <w:r w:rsidR="007854B3">
        <w:rPr>
          <w:rFonts w:asciiTheme="minorHAnsi" w:eastAsiaTheme="minorHAnsi" w:hAnsiTheme="minorHAnsi" w:cstheme="minorBidi"/>
          <w:bCs w:val="0"/>
          <w:color w:val="373737"/>
          <w:sz w:val="20"/>
        </w:rPr>
        <w:t xml:space="preserve"> per cent</w:t>
      </w:r>
      <w:r w:rsidR="007854B3" w:rsidRPr="00C71991">
        <w:rPr>
          <w:rFonts w:asciiTheme="minorHAnsi" w:eastAsiaTheme="minorHAnsi" w:hAnsiTheme="minorHAnsi" w:cstheme="minorBidi"/>
          <w:bCs w:val="0"/>
          <w:color w:val="373737"/>
          <w:sz w:val="20"/>
        </w:rPr>
        <w:t>)</w:t>
      </w:r>
      <w:r w:rsidR="007854B3">
        <w:rPr>
          <w:rFonts w:asciiTheme="minorHAnsi" w:eastAsiaTheme="minorHAnsi" w:hAnsiTheme="minorHAnsi" w:cstheme="minorBidi"/>
          <w:bCs w:val="0"/>
          <w:color w:val="373737"/>
          <w:sz w:val="20"/>
        </w:rPr>
        <w:t xml:space="preserve"> </w:t>
      </w:r>
      <w:r w:rsidR="00C71991">
        <w:rPr>
          <w:rFonts w:asciiTheme="minorHAnsi" w:eastAsiaTheme="minorHAnsi" w:hAnsiTheme="minorHAnsi" w:cstheme="minorBidi"/>
          <w:bCs w:val="0"/>
          <w:color w:val="373737"/>
          <w:sz w:val="20"/>
        </w:rPr>
        <w:t>(</w:t>
      </w:r>
      <w:r w:rsidR="007854B3">
        <w:rPr>
          <w:rFonts w:asciiTheme="minorHAnsi" w:eastAsiaTheme="minorHAnsi" w:hAnsiTheme="minorHAnsi" w:cstheme="minorBidi"/>
          <w:bCs w:val="0"/>
          <w:color w:val="373737"/>
          <w:sz w:val="20"/>
        </w:rPr>
        <w:t>Kaura and Suresh,</w:t>
      </w:r>
      <w:r w:rsidR="00C71991">
        <w:rPr>
          <w:rFonts w:asciiTheme="minorHAnsi" w:eastAsiaTheme="minorHAnsi" w:hAnsiTheme="minorHAnsi" w:cstheme="minorBidi"/>
          <w:bCs w:val="0"/>
          <w:color w:val="373737"/>
          <w:sz w:val="20"/>
        </w:rPr>
        <w:t xml:space="preserve"> 2019)</w:t>
      </w:r>
      <w:r w:rsidR="00C71991" w:rsidRPr="00C71991">
        <w:rPr>
          <w:rFonts w:asciiTheme="minorHAnsi" w:eastAsiaTheme="minorHAnsi" w:hAnsiTheme="minorHAnsi" w:cstheme="minorBidi"/>
          <w:bCs w:val="0"/>
          <w:color w:val="373737"/>
          <w:sz w:val="20"/>
        </w:rPr>
        <w:t>.</w:t>
      </w:r>
    </w:p>
    <w:p w14:paraId="270A3906" w14:textId="504D3DB6" w:rsidR="00D80E0B" w:rsidRDefault="00D80E0B" w:rsidP="000D424D">
      <w:pPr>
        <w:pStyle w:val="Heading3"/>
        <w:numPr>
          <w:ilvl w:val="0"/>
          <w:numId w:val="0"/>
        </w:numPr>
      </w:pPr>
      <w:r>
        <w:t xml:space="preserve">Characteristics </w:t>
      </w:r>
    </w:p>
    <w:p w14:paraId="7AA3B331" w14:textId="3CF3B8B4" w:rsidR="00CB2785" w:rsidRDefault="004E0BB0" w:rsidP="00CB2785">
      <w:pPr>
        <w:pStyle w:val="BodyText"/>
      </w:pPr>
      <w:r>
        <w:t xml:space="preserve">The majority (two thirds) of BGFs are non-employers. The remaining </w:t>
      </w:r>
      <w:r w:rsidR="003D7292">
        <w:t>BGFs</w:t>
      </w:r>
      <w:r w:rsidR="009A3750">
        <w:t xml:space="preserve"> are overwhelmingly m</w:t>
      </w:r>
      <w:r w:rsidR="00C764D2">
        <w:t xml:space="preserve">icro </w:t>
      </w:r>
      <w:r w:rsidR="009A3750">
        <w:t xml:space="preserve">in size (less than 5 employees) </w:t>
      </w:r>
      <w:r w:rsidR="00C764D2">
        <w:t xml:space="preserve">compared to </w:t>
      </w:r>
      <w:r w:rsidR="009A3750">
        <w:t xml:space="preserve">overall </w:t>
      </w:r>
      <w:r w:rsidR="00C764D2">
        <w:t>exporters</w:t>
      </w:r>
      <w:r w:rsidR="00CB2785">
        <w:t xml:space="preserve"> (Table 2.1). The size distribution of born global entrants has not changed a great deal over time, however </w:t>
      </w:r>
      <w:r w:rsidR="00692652">
        <w:t xml:space="preserve">the rise of </w:t>
      </w:r>
      <w:r w:rsidR="003D7292">
        <w:t>BGFs</w:t>
      </w:r>
      <w:r w:rsidR="00692652">
        <w:t xml:space="preserve"> in recent years has been driven by small firms</w:t>
      </w:r>
      <w:r w:rsidR="00CB2785">
        <w:t xml:space="preserve">. </w:t>
      </w:r>
      <w:r w:rsidR="00DE1699">
        <w:t>O</w:t>
      </w:r>
      <w:r w:rsidR="00EE4C22">
        <w:t>ther definitions of BGFs yield higher shares of micro firms</w:t>
      </w:r>
      <w:r w:rsidR="00DC3C86">
        <w:t xml:space="preserve"> (</w:t>
      </w:r>
      <w:r w:rsidR="00EE4C22">
        <w:t xml:space="preserve">Table B.1, at Appendix B). </w:t>
      </w:r>
    </w:p>
    <w:p w14:paraId="7B0C5B0D" w14:textId="41ADBF29" w:rsidR="00CA1E27" w:rsidRPr="00865869" w:rsidRDefault="002110C0" w:rsidP="00CA1E27">
      <w:pPr>
        <w:pStyle w:val="BodyText"/>
      </w:pPr>
      <w:r>
        <w:t xml:space="preserve">Similar to the overall exporting business population, </w:t>
      </w:r>
      <w:r w:rsidR="003D7292">
        <w:t>BGFs</w:t>
      </w:r>
      <w:r w:rsidR="007815B0">
        <w:t xml:space="preserve"> </w:t>
      </w:r>
      <w:r w:rsidR="00C764D2">
        <w:t xml:space="preserve">are concentrated in the Wholesale Trade, Professional, Scientific &amp; Technical Services, Retail Trade and Manufacturing </w:t>
      </w:r>
      <w:r w:rsidR="007815B0">
        <w:t xml:space="preserve">industries (Table 2.1). </w:t>
      </w:r>
      <w:r w:rsidR="00DE1699">
        <w:t xml:space="preserve">It is interesting to note that BGFs that rely solely on export sales are more concentrated in the Wholesale Trade industry (Table B.1, at Appendix B). </w:t>
      </w:r>
      <w:r w:rsidR="00692652">
        <w:t xml:space="preserve">There has been a rise in </w:t>
      </w:r>
      <w:r w:rsidR="003D7292">
        <w:t>BGFs</w:t>
      </w:r>
      <w:r w:rsidR="00692652">
        <w:t xml:space="preserve"> in the Retail Trade industry in recent years</w:t>
      </w:r>
      <w:r w:rsidR="00521487">
        <w:t>, which might be ascribed to a growing share of BGFs in the Food Retailing, Non-Store Retailing and Retail Commission-Based Buying and/or Selling; and Other Store-Based Retailing sectors (Table 2.</w:t>
      </w:r>
      <w:r w:rsidR="00CF43CA">
        <w:t>2</w:t>
      </w:r>
      <w:r w:rsidR="00521487">
        <w:t>)</w:t>
      </w:r>
      <w:r w:rsidR="00CA1E27">
        <w:t xml:space="preserve">. </w:t>
      </w:r>
      <w:r w:rsidR="00521487">
        <w:t>The concentration of BGFs in the top ten two-digit ANZSIC subindustries has grown consid</w:t>
      </w:r>
      <w:r w:rsidR="00C27FFE">
        <w:t>erably in the decade to 2015-16, with the largest number of firms found in the PST services (Except Computer Services) sector</w:t>
      </w:r>
      <w:r w:rsidR="00E9137B">
        <w:t xml:space="preserve">. </w:t>
      </w:r>
      <w:r w:rsidR="00C71F48">
        <w:t xml:space="preserve">One third of BGFs are in five industry classes, led by </w:t>
      </w:r>
      <w:r w:rsidR="00E9137B">
        <w:t>Management Advice and Related Consulting Services</w:t>
      </w:r>
      <w:r w:rsidR="00CA1E27">
        <w:t xml:space="preserve"> </w:t>
      </w:r>
      <w:r w:rsidR="00E9137B">
        <w:t>and Computer System Design and Related Services</w:t>
      </w:r>
      <w:r w:rsidR="00CF43CA">
        <w:t xml:space="preserve"> (Table 2.3)</w:t>
      </w:r>
      <w:r w:rsidR="00E9137B">
        <w:t>.</w:t>
      </w:r>
    </w:p>
    <w:p w14:paraId="6217DD0A" w14:textId="1E52B901" w:rsidR="0024437B" w:rsidRDefault="003D7292" w:rsidP="00B53BE0">
      <w:pPr>
        <w:pStyle w:val="BodyText"/>
      </w:pPr>
      <w:r>
        <w:t>BGFs</w:t>
      </w:r>
      <w:r w:rsidR="00C16108">
        <w:t xml:space="preserve"> </w:t>
      </w:r>
      <w:r w:rsidR="00B53BE0">
        <w:t xml:space="preserve">are highly export intensive and capital intensive compared to </w:t>
      </w:r>
      <w:r w:rsidR="00DE240B">
        <w:t>overall</w:t>
      </w:r>
      <w:r w:rsidR="00B53BE0">
        <w:t xml:space="preserve"> exporters (Table </w:t>
      </w:r>
      <w:r w:rsidR="00CF43CA">
        <w:t>2.4</w:t>
      </w:r>
      <w:r w:rsidR="000B3D14">
        <w:t>).</w:t>
      </w:r>
      <w:r w:rsidR="00B53BE0">
        <w:t xml:space="preserve"> </w:t>
      </w:r>
      <w:r w:rsidR="00FB4798">
        <w:t>Capital intensity is higher when the BGF definition is restricted via an export intensity threshold (Table B.1, at Appendix B).</w:t>
      </w:r>
      <w:r w:rsidR="00DC3C86">
        <w:t xml:space="preserve"> </w:t>
      </w:r>
      <w:r w:rsidR="00B53BE0">
        <w:t xml:space="preserve">Over time, new born global entrants are becoming more and more export intensive, </w:t>
      </w:r>
      <w:r w:rsidR="002E7F4A">
        <w:t xml:space="preserve">driven by growth in export sales, </w:t>
      </w:r>
      <w:r w:rsidR="00B53BE0">
        <w:t xml:space="preserve">whereas </w:t>
      </w:r>
      <w:r w:rsidR="002E7F4A">
        <w:t xml:space="preserve">export </w:t>
      </w:r>
      <w:r w:rsidR="002E7F4A" w:rsidRPr="002E7F4A">
        <w:t xml:space="preserve">intensities </w:t>
      </w:r>
      <w:r w:rsidR="002E7F4A">
        <w:t xml:space="preserve">for other exporters </w:t>
      </w:r>
      <w:r w:rsidR="002E7F4A" w:rsidRPr="002E7F4A">
        <w:t xml:space="preserve">have remained flat </w:t>
      </w:r>
      <w:r w:rsidR="00B53BE0">
        <w:t xml:space="preserve">(Figure </w:t>
      </w:r>
      <w:r w:rsidR="00CF43CA">
        <w:t>2.</w:t>
      </w:r>
      <w:r w:rsidR="005374E8">
        <w:t>3</w:t>
      </w:r>
      <w:r w:rsidR="00C4523E">
        <w:t>)</w:t>
      </w:r>
      <w:r w:rsidR="00DE240B">
        <w:t xml:space="preserve">. </w:t>
      </w:r>
      <w:r>
        <w:t>BGFs</w:t>
      </w:r>
      <w:r w:rsidR="00B53BE0">
        <w:t xml:space="preserve"> have similar rates of R&amp;D activity and foreign ownership as overall exporters.</w:t>
      </w:r>
      <w:r w:rsidR="000B3D14">
        <w:t xml:space="preserve"> Amongst R&amp;D-active firms, overall exporters are more R&amp;D intensive than born global R&amp;D active firms</w:t>
      </w:r>
      <w:r w:rsidR="00E45DC8">
        <w:t xml:space="preserve"> (Table 2.</w:t>
      </w:r>
      <w:r w:rsidR="005374E8">
        <w:t>4</w:t>
      </w:r>
      <w:r w:rsidR="00E45DC8">
        <w:t>)</w:t>
      </w:r>
      <w:r w:rsidR="000B3D14">
        <w:t xml:space="preserve">. </w:t>
      </w:r>
      <w:r w:rsidR="004F7ACD">
        <w:t xml:space="preserve">The same is true for BGFs with higher export intensity thresholds (Table B.1, at Appendix B). </w:t>
      </w:r>
    </w:p>
    <w:p w14:paraId="52475402" w14:textId="4056F84C" w:rsidR="0024437B" w:rsidRDefault="0024437B" w:rsidP="0024437B">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326788">
        <w:rPr>
          <w:noProof/>
        </w:rPr>
        <w:t>1</w:t>
      </w:r>
      <w:r>
        <w:rPr>
          <w:noProof/>
        </w:rPr>
        <w:fldChar w:fldCharType="end"/>
      </w:r>
      <w:r w:rsidRPr="000618FB">
        <w:t xml:space="preserve">: </w:t>
      </w:r>
      <w:r w:rsidR="00414D75">
        <w:t>Characteristics of born global, exporters and all firms</w:t>
      </w:r>
      <w:r>
        <w:t>, 20</w:t>
      </w:r>
      <w:r w:rsidR="00C10D98">
        <w:t>15–16</w:t>
      </w:r>
    </w:p>
    <w:tbl>
      <w:tblPr>
        <w:tblStyle w:val="OCETable"/>
        <w:tblW w:w="5000" w:type="pct"/>
        <w:tblLayout w:type="fixed"/>
        <w:tblLook w:val="04A0" w:firstRow="1" w:lastRow="0" w:firstColumn="1" w:lastColumn="0" w:noHBand="0" w:noVBand="1"/>
        <w:tblCaption w:val="Characteristics of born global, exporters and all firms, 2015–16"/>
        <w:tblDescription w:val="This table gives the industry, size and age distributions of BGFs, exporters and all firms in the Australian economy. "/>
      </w:tblPr>
      <w:tblGrid>
        <w:gridCol w:w="1985"/>
        <w:gridCol w:w="1559"/>
        <w:gridCol w:w="1711"/>
        <w:gridCol w:w="1639"/>
      </w:tblGrid>
      <w:tr w:rsidR="0024437B" w14:paraId="32C81274" w14:textId="77777777" w:rsidTr="004A25C0">
        <w:trPr>
          <w:cnfStyle w:val="100000000000" w:firstRow="1" w:lastRow="0" w:firstColumn="0" w:lastColumn="0" w:oddVBand="0" w:evenVBand="0" w:oddHBand="0" w:evenHBand="0" w:firstRowFirstColumn="0" w:firstRowLastColumn="0" w:lastRowFirstColumn="0" w:lastRowLastColumn="0"/>
          <w:trHeight w:val="621"/>
          <w:tblHeader/>
        </w:trPr>
        <w:tc>
          <w:tcPr>
            <w:tcW w:w="1985" w:type="dxa"/>
          </w:tcPr>
          <w:p w14:paraId="156EA459" w14:textId="77777777" w:rsidR="0024437B" w:rsidRDefault="0024437B" w:rsidP="00A62A0A">
            <w:pPr>
              <w:pStyle w:val="Tableheader"/>
              <w:rPr>
                <w:lang w:eastAsia="en-AU"/>
              </w:rPr>
            </w:pPr>
            <w:r>
              <w:rPr>
                <w:lang w:eastAsia="en-AU"/>
              </w:rPr>
              <w:t xml:space="preserve">Characteristic </w:t>
            </w:r>
          </w:p>
        </w:tc>
        <w:tc>
          <w:tcPr>
            <w:tcW w:w="1559" w:type="dxa"/>
          </w:tcPr>
          <w:p w14:paraId="50A3B915" w14:textId="5A93D104" w:rsidR="0024437B" w:rsidRDefault="003D7292" w:rsidP="00A62A0A">
            <w:pPr>
              <w:pStyle w:val="Tableheader"/>
              <w:jc w:val="right"/>
              <w:rPr>
                <w:lang w:eastAsia="en-AU"/>
              </w:rPr>
            </w:pPr>
            <w:r>
              <w:rPr>
                <w:lang w:eastAsia="en-AU"/>
              </w:rPr>
              <w:t>BGFs</w:t>
            </w:r>
            <w:r w:rsidR="00586754">
              <w:rPr>
                <w:lang w:eastAsia="en-AU"/>
              </w:rPr>
              <w:t>ª</w:t>
            </w:r>
          </w:p>
        </w:tc>
        <w:tc>
          <w:tcPr>
            <w:tcW w:w="1711" w:type="dxa"/>
          </w:tcPr>
          <w:p w14:paraId="340030CC" w14:textId="548690D8" w:rsidR="0024437B" w:rsidRDefault="0024437B" w:rsidP="00A62A0A">
            <w:pPr>
              <w:pStyle w:val="Tableheader"/>
              <w:jc w:val="right"/>
              <w:rPr>
                <w:lang w:eastAsia="en-AU"/>
              </w:rPr>
            </w:pPr>
            <w:r>
              <w:rPr>
                <w:lang w:eastAsia="en-AU"/>
              </w:rPr>
              <w:t>Exporters</w:t>
            </w:r>
            <w:r w:rsidR="00C92950">
              <w:rPr>
                <w:lang w:eastAsia="en-AU"/>
              </w:rPr>
              <w:t>ᵇ</w:t>
            </w:r>
            <w:r>
              <w:rPr>
                <w:lang w:eastAsia="en-AU"/>
              </w:rPr>
              <w:t xml:space="preserve"> </w:t>
            </w:r>
          </w:p>
        </w:tc>
        <w:tc>
          <w:tcPr>
            <w:tcW w:w="1639" w:type="dxa"/>
          </w:tcPr>
          <w:p w14:paraId="065CD79B" w14:textId="77777777" w:rsidR="0024437B" w:rsidRDefault="0024437B" w:rsidP="00A62A0A">
            <w:pPr>
              <w:pStyle w:val="Tableheader"/>
              <w:jc w:val="right"/>
              <w:rPr>
                <w:lang w:eastAsia="en-AU"/>
              </w:rPr>
            </w:pPr>
            <w:r>
              <w:rPr>
                <w:lang w:eastAsia="en-AU"/>
              </w:rPr>
              <w:t xml:space="preserve">All firms  </w:t>
            </w:r>
          </w:p>
        </w:tc>
      </w:tr>
      <w:tr w:rsidR="0024437B" w14:paraId="442849F7" w14:textId="77777777" w:rsidTr="004A25C0">
        <w:trPr>
          <w:cnfStyle w:val="000000100000" w:firstRow="0" w:lastRow="0" w:firstColumn="0" w:lastColumn="0" w:oddVBand="0" w:evenVBand="0" w:oddHBand="1" w:evenHBand="0" w:firstRowFirstColumn="0" w:firstRowLastColumn="0" w:lastRowFirstColumn="0" w:lastRowLastColumn="0"/>
          <w:trHeight w:val="322"/>
        </w:trPr>
        <w:tc>
          <w:tcPr>
            <w:tcW w:w="1985" w:type="dxa"/>
            <w:shd w:val="clear" w:color="auto" w:fill="BBE0F2" w:themeFill="accent2" w:themeFillTint="66"/>
          </w:tcPr>
          <w:p w14:paraId="4078A802" w14:textId="58BA7F1F" w:rsidR="0024437B" w:rsidRPr="00CC6987" w:rsidRDefault="0024437B" w:rsidP="002D7A8B">
            <w:pPr>
              <w:pStyle w:val="Tabletext"/>
              <w:rPr>
                <w:i/>
                <w:lang w:eastAsia="en-AU"/>
              </w:rPr>
            </w:pPr>
            <w:r>
              <w:rPr>
                <w:i/>
                <w:lang w:eastAsia="en-AU"/>
              </w:rPr>
              <w:t xml:space="preserve">Firm </w:t>
            </w:r>
            <w:r w:rsidR="004A25C0">
              <w:rPr>
                <w:i/>
                <w:lang w:eastAsia="en-AU"/>
              </w:rPr>
              <w:t>s</w:t>
            </w:r>
            <w:r>
              <w:rPr>
                <w:i/>
                <w:lang w:eastAsia="en-AU"/>
              </w:rPr>
              <w:t>ize</w:t>
            </w:r>
            <w:r w:rsidR="004A25C0">
              <w:rPr>
                <w:i/>
                <w:lang w:eastAsia="en-AU"/>
              </w:rPr>
              <w:t xml:space="preserve"> </w:t>
            </w:r>
            <w:r w:rsidR="002D7A8B">
              <w:rPr>
                <w:i/>
                <w:lang w:eastAsia="en-AU"/>
              </w:rPr>
              <w:t>share</w:t>
            </w:r>
            <w:r w:rsidR="00905882">
              <w:rPr>
                <w:lang w:eastAsia="en-AU"/>
              </w:rPr>
              <w:t>ᶜ</w:t>
            </w:r>
          </w:p>
        </w:tc>
        <w:tc>
          <w:tcPr>
            <w:tcW w:w="1559" w:type="dxa"/>
            <w:shd w:val="clear" w:color="auto" w:fill="BBE0F2" w:themeFill="accent2" w:themeFillTint="66"/>
          </w:tcPr>
          <w:p w14:paraId="6FD23395" w14:textId="77777777" w:rsidR="0024437B" w:rsidRDefault="0024437B" w:rsidP="00A62A0A">
            <w:pPr>
              <w:pStyle w:val="Tabletext"/>
              <w:jc w:val="right"/>
              <w:rPr>
                <w:lang w:eastAsia="en-AU"/>
              </w:rPr>
            </w:pPr>
          </w:p>
        </w:tc>
        <w:tc>
          <w:tcPr>
            <w:tcW w:w="1711" w:type="dxa"/>
            <w:shd w:val="clear" w:color="auto" w:fill="BBE0F2" w:themeFill="accent2" w:themeFillTint="66"/>
          </w:tcPr>
          <w:p w14:paraId="6E11D9AE" w14:textId="77777777" w:rsidR="0024437B" w:rsidRDefault="0024437B" w:rsidP="00A62A0A">
            <w:pPr>
              <w:pStyle w:val="Tabletext"/>
              <w:jc w:val="right"/>
              <w:rPr>
                <w:lang w:eastAsia="en-AU"/>
              </w:rPr>
            </w:pPr>
          </w:p>
        </w:tc>
        <w:tc>
          <w:tcPr>
            <w:tcW w:w="1639" w:type="dxa"/>
            <w:shd w:val="clear" w:color="auto" w:fill="BBE0F2" w:themeFill="accent2" w:themeFillTint="66"/>
          </w:tcPr>
          <w:p w14:paraId="3DD8E079" w14:textId="77777777" w:rsidR="0024437B" w:rsidRDefault="0024437B" w:rsidP="00A62A0A">
            <w:pPr>
              <w:pStyle w:val="Tabletext"/>
              <w:jc w:val="right"/>
              <w:rPr>
                <w:lang w:eastAsia="en-AU"/>
              </w:rPr>
            </w:pPr>
          </w:p>
        </w:tc>
      </w:tr>
      <w:tr w:rsidR="0024437B" w14:paraId="7BB88D21"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58AA518F" w14:textId="77777777" w:rsidR="0024437B" w:rsidRDefault="0024437B" w:rsidP="00A62A0A">
            <w:pPr>
              <w:pStyle w:val="Tabletext"/>
              <w:rPr>
                <w:lang w:eastAsia="en-AU"/>
              </w:rPr>
            </w:pPr>
            <w:r>
              <w:rPr>
                <w:lang w:eastAsia="en-AU"/>
              </w:rPr>
              <w:t xml:space="preserve">Micro </w:t>
            </w:r>
          </w:p>
        </w:tc>
        <w:tc>
          <w:tcPr>
            <w:tcW w:w="1559" w:type="dxa"/>
          </w:tcPr>
          <w:p w14:paraId="1907CA12" w14:textId="77777777" w:rsidR="0024437B" w:rsidRDefault="0024437B" w:rsidP="00A62A0A">
            <w:pPr>
              <w:pStyle w:val="Tabletext"/>
              <w:jc w:val="right"/>
              <w:rPr>
                <w:lang w:eastAsia="en-AU"/>
              </w:rPr>
            </w:pPr>
            <w:r>
              <w:rPr>
                <w:lang w:eastAsia="en-AU"/>
              </w:rPr>
              <w:t>63.3</w:t>
            </w:r>
          </w:p>
        </w:tc>
        <w:tc>
          <w:tcPr>
            <w:tcW w:w="1711" w:type="dxa"/>
          </w:tcPr>
          <w:p w14:paraId="5ADFD653" w14:textId="77777777" w:rsidR="0024437B" w:rsidRDefault="0024437B" w:rsidP="00A62A0A">
            <w:pPr>
              <w:pStyle w:val="Tabletext"/>
              <w:jc w:val="right"/>
              <w:rPr>
                <w:lang w:eastAsia="en-AU"/>
              </w:rPr>
            </w:pPr>
            <w:r>
              <w:rPr>
                <w:lang w:eastAsia="en-AU"/>
              </w:rPr>
              <w:t>44.3</w:t>
            </w:r>
          </w:p>
        </w:tc>
        <w:tc>
          <w:tcPr>
            <w:tcW w:w="1639" w:type="dxa"/>
          </w:tcPr>
          <w:p w14:paraId="582E1A6C" w14:textId="77777777" w:rsidR="0024437B" w:rsidRDefault="0024437B" w:rsidP="00A62A0A">
            <w:pPr>
              <w:pStyle w:val="Tabletext"/>
              <w:jc w:val="right"/>
              <w:rPr>
                <w:lang w:eastAsia="en-AU"/>
              </w:rPr>
            </w:pPr>
            <w:r>
              <w:rPr>
                <w:lang w:eastAsia="en-AU"/>
              </w:rPr>
              <w:t>65.6</w:t>
            </w:r>
          </w:p>
        </w:tc>
      </w:tr>
      <w:tr w:rsidR="0024437B" w14:paraId="75499023"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tcPr>
          <w:p w14:paraId="720B1A67" w14:textId="77777777" w:rsidR="0024437B" w:rsidRDefault="0024437B" w:rsidP="00A62A0A">
            <w:pPr>
              <w:pStyle w:val="Tabletext"/>
              <w:rPr>
                <w:lang w:eastAsia="en-AU"/>
              </w:rPr>
            </w:pPr>
            <w:r>
              <w:rPr>
                <w:lang w:eastAsia="en-AU"/>
              </w:rPr>
              <w:t>Small</w:t>
            </w:r>
          </w:p>
        </w:tc>
        <w:tc>
          <w:tcPr>
            <w:tcW w:w="1559" w:type="dxa"/>
          </w:tcPr>
          <w:p w14:paraId="2F00E585" w14:textId="77777777" w:rsidR="0024437B" w:rsidRDefault="0024437B" w:rsidP="00A62A0A">
            <w:pPr>
              <w:pStyle w:val="Tabletext"/>
              <w:jc w:val="right"/>
              <w:rPr>
                <w:lang w:eastAsia="en-AU"/>
              </w:rPr>
            </w:pPr>
            <w:r>
              <w:rPr>
                <w:lang w:eastAsia="en-AU"/>
              </w:rPr>
              <w:t>19.3</w:t>
            </w:r>
          </w:p>
        </w:tc>
        <w:tc>
          <w:tcPr>
            <w:tcW w:w="1711" w:type="dxa"/>
          </w:tcPr>
          <w:p w14:paraId="5071DBC8" w14:textId="77777777" w:rsidR="0024437B" w:rsidRDefault="0024437B" w:rsidP="00A62A0A">
            <w:pPr>
              <w:pStyle w:val="Tabletext"/>
              <w:jc w:val="right"/>
              <w:rPr>
                <w:lang w:eastAsia="en-AU"/>
              </w:rPr>
            </w:pPr>
            <w:r>
              <w:rPr>
                <w:lang w:eastAsia="en-AU"/>
              </w:rPr>
              <w:t>34.6</w:t>
            </w:r>
          </w:p>
        </w:tc>
        <w:tc>
          <w:tcPr>
            <w:tcW w:w="1639" w:type="dxa"/>
          </w:tcPr>
          <w:p w14:paraId="3B0977E6" w14:textId="77777777" w:rsidR="0024437B" w:rsidRDefault="0024437B" w:rsidP="00A62A0A">
            <w:pPr>
              <w:pStyle w:val="Tabletext"/>
              <w:jc w:val="right"/>
              <w:rPr>
                <w:lang w:eastAsia="en-AU"/>
              </w:rPr>
            </w:pPr>
            <w:r>
              <w:rPr>
                <w:lang w:eastAsia="en-AU"/>
              </w:rPr>
              <w:t>26.1</w:t>
            </w:r>
          </w:p>
        </w:tc>
      </w:tr>
      <w:tr w:rsidR="0024437B" w14:paraId="2B31EB93" w14:textId="77777777" w:rsidTr="004A25C0">
        <w:trPr>
          <w:cnfStyle w:val="000000010000" w:firstRow="0" w:lastRow="0" w:firstColumn="0" w:lastColumn="0" w:oddVBand="0" w:evenVBand="0" w:oddHBand="0" w:evenHBand="1" w:firstRowFirstColumn="0" w:firstRowLastColumn="0" w:lastRowFirstColumn="0" w:lastRowLastColumn="0"/>
          <w:trHeight w:val="509"/>
        </w:trPr>
        <w:tc>
          <w:tcPr>
            <w:tcW w:w="1985" w:type="dxa"/>
          </w:tcPr>
          <w:p w14:paraId="222B89E6" w14:textId="77777777" w:rsidR="0024437B" w:rsidRDefault="0024437B" w:rsidP="00A62A0A">
            <w:pPr>
              <w:pStyle w:val="Tabletext"/>
              <w:rPr>
                <w:lang w:eastAsia="en-AU"/>
              </w:rPr>
            </w:pPr>
            <w:r>
              <w:rPr>
                <w:lang w:eastAsia="en-AU"/>
              </w:rPr>
              <w:t>Medium</w:t>
            </w:r>
          </w:p>
        </w:tc>
        <w:tc>
          <w:tcPr>
            <w:tcW w:w="1559" w:type="dxa"/>
          </w:tcPr>
          <w:p w14:paraId="7B5607B4" w14:textId="3BEBD42F" w:rsidR="0024437B" w:rsidRDefault="0024437B" w:rsidP="00C92950">
            <w:pPr>
              <w:pStyle w:val="Tabletext"/>
              <w:jc w:val="right"/>
              <w:rPr>
                <w:lang w:eastAsia="en-AU"/>
              </w:rPr>
            </w:pPr>
            <w:r>
              <w:rPr>
                <w:lang w:eastAsia="en-AU"/>
              </w:rPr>
              <w:t>n/a</w:t>
            </w:r>
            <w:r w:rsidR="00905882">
              <w:rPr>
                <w:lang w:eastAsia="en-AU"/>
              </w:rPr>
              <w:t xml:space="preserve"> ͩ</w:t>
            </w:r>
          </w:p>
        </w:tc>
        <w:tc>
          <w:tcPr>
            <w:tcW w:w="1711" w:type="dxa"/>
          </w:tcPr>
          <w:p w14:paraId="2E728BB6" w14:textId="77777777" w:rsidR="0024437B" w:rsidRDefault="0024437B" w:rsidP="00A62A0A">
            <w:pPr>
              <w:pStyle w:val="Tabletext"/>
              <w:jc w:val="right"/>
              <w:rPr>
                <w:lang w:eastAsia="en-AU"/>
              </w:rPr>
            </w:pPr>
            <w:r>
              <w:rPr>
                <w:lang w:eastAsia="en-AU"/>
              </w:rPr>
              <w:t>20.0</w:t>
            </w:r>
          </w:p>
        </w:tc>
        <w:tc>
          <w:tcPr>
            <w:tcW w:w="1639" w:type="dxa"/>
          </w:tcPr>
          <w:p w14:paraId="7B66A0C0" w14:textId="77777777" w:rsidR="0024437B" w:rsidRDefault="0024437B" w:rsidP="00A62A0A">
            <w:pPr>
              <w:pStyle w:val="Tabletext"/>
              <w:jc w:val="right"/>
              <w:rPr>
                <w:lang w:eastAsia="en-AU"/>
              </w:rPr>
            </w:pPr>
            <w:r>
              <w:rPr>
                <w:lang w:eastAsia="en-AU"/>
              </w:rPr>
              <w:t>7.5</w:t>
            </w:r>
          </w:p>
        </w:tc>
      </w:tr>
      <w:tr w:rsidR="0024437B" w14:paraId="027C509F" w14:textId="77777777" w:rsidTr="004A25C0">
        <w:trPr>
          <w:cnfStyle w:val="000000100000" w:firstRow="0" w:lastRow="0" w:firstColumn="0" w:lastColumn="0" w:oddVBand="0" w:evenVBand="0" w:oddHBand="1" w:evenHBand="0" w:firstRowFirstColumn="0" w:firstRowLastColumn="0" w:lastRowFirstColumn="0" w:lastRowLastColumn="0"/>
          <w:trHeight w:val="509"/>
        </w:trPr>
        <w:tc>
          <w:tcPr>
            <w:tcW w:w="1985" w:type="dxa"/>
          </w:tcPr>
          <w:p w14:paraId="352729C4" w14:textId="77777777" w:rsidR="0024437B" w:rsidRDefault="0024437B" w:rsidP="00A62A0A">
            <w:pPr>
              <w:pStyle w:val="Tabletext"/>
              <w:rPr>
                <w:lang w:eastAsia="en-AU"/>
              </w:rPr>
            </w:pPr>
            <w:r>
              <w:rPr>
                <w:lang w:eastAsia="en-AU"/>
              </w:rPr>
              <w:t xml:space="preserve">Large </w:t>
            </w:r>
          </w:p>
        </w:tc>
        <w:tc>
          <w:tcPr>
            <w:tcW w:w="1559" w:type="dxa"/>
          </w:tcPr>
          <w:p w14:paraId="3A7A02FE" w14:textId="51262E29" w:rsidR="0024437B" w:rsidRDefault="0024437B" w:rsidP="00A62A0A">
            <w:pPr>
              <w:pStyle w:val="Tabletext"/>
              <w:jc w:val="right"/>
              <w:rPr>
                <w:lang w:eastAsia="en-AU"/>
              </w:rPr>
            </w:pPr>
            <w:r>
              <w:rPr>
                <w:lang w:eastAsia="en-AU"/>
              </w:rPr>
              <w:t>n/a</w:t>
            </w:r>
            <w:r w:rsidR="00905882">
              <w:rPr>
                <w:lang w:eastAsia="en-AU"/>
              </w:rPr>
              <w:t xml:space="preserve"> ͩ</w:t>
            </w:r>
          </w:p>
        </w:tc>
        <w:tc>
          <w:tcPr>
            <w:tcW w:w="1711" w:type="dxa"/>
          </w:tcPr>
          <w:p w14:paraId="75D1AC5A" w14:textId="77777777" w:rsidR="0024437B" w:rsidRDefault="0024437B" w:rsidP="00A62A0A">
            <w:pPr>
              <w:pStyle w:val="Tabletext"/>
              <w:jc w:val="right"/>
              <w:rPr>
                <w:lang w:eastAsia="en-AU"/>
              </w:rPr>
            </w:pPr>
            <w:r>
              <w:rPr>
                <w:lang w:eastAsia="en-AU"/>
              </w:rPr>
              <w:t>1.1</w:t>
            </w:r>
          </w:p>
        </w:tc>
        <w:tc>
          <w:tcPr>
            <w:tcW w:w="1639" w:type="dxa"/>
          </w:tcPr>
          <w:p w14:paraId="07CDEFFC" w14:textId="77777777" w:rsidR="0024437B" w:rsidRDefault="0024437B" w:rsidP="00A62A0A">
            <w:pPr>
              <w:pStyle w:val="Tabletext"/>
              <w:jc w:val="right"/>
              <w:rPr>
                <w:lang w:eastAsia="en-AU"/>
              </w:rPr>
            </w:pPr>
            <w:r>
              <w:rPr>
                <w:lang w:eastAsia="en-AU"/>
              </w:rPr>
              <w:t>0.8</w:t>
            </w:r>
          </w:p>
        </w:tc>
      </w:tr>
      <w:tr w:rsidR="0024437B" w14:paraId="6874E0C2" w14:textId="77777777" w:rsidTr="004A25C0">
        <w:trPr>
          <w:cnfStyle w:val="000000010000" w:firstRow="0" w:lastRow="0" w:firstColumn="0" w:lastColumn="0" w:oddVBand="0" w:evenVBand="0" w:oddHBand="0" w:evenHBand="1" w:firstRowFirstColumn="0" w:firstRowLastColumn="0" w:lastRowFirstColumn="0" w:lastRowLastColumn="0"/>
          <w:trHeight w:val="322"/>
        </w:trPr>
        <w:tc>
          <w:tcPr>
            <w:tcW w:w="1985" w:type="dxa"/>
            <w:shd w:val="clear" w:color="auto" w:fill="BBE0F2" w:themeFill="accent2" w:themeFillTint="66"/>
          </w:tcPr>
          <w:p w14:paraId="762D8E78" w14:textId="15AA32C9" w:rsidR="0024437B" w:rsidRPr="00CC6987" w:rsidRDefault="0024437B" w:rsidP="002D7A8B">
            <w:pPr>
              <w:pStyle w:val="Tabletext"/>
              <w:rPr>
                <w:i/>
                <w:lang w:eastAsia="en-AU"/>
              </w:rPr>
            </w:pPr>
            <w:r>
              <w:rPr>
                <w:i/>
                <w:lang w:eastAsia="en-AU"/>
              </w:rPr>
              <w:t xml:space="preserve">Firm age </w:t>
            </w:r>
            <w:r w:rsidR="002D7A8B">
              <w:rPr>
                <w:i/>
                <w:lang w:eastAsia="en-AU"/>
              </w:rPr>
              <w:t>share</w:t>
            </w:r>
          </w:p>
        </w:tc>
        <w:tc>
          <w:tcPr>
            <w:tcW w:w="1559" w:type="dxa"/>
            <w:shd w:val="clear" w:color="auto" w:fill="BBE0F2" w:themeFill="accent2" w:themeFillTint="66"/>
          </w:tcPr>
          <w:p w14:paraId="4CBF7FF7" w14:textId="77777777" w:rsidR="0024437B" w:rsidRDefault="0024437B" w:rsidP="00A62A0A">
            <w:pPr>
              <w:pStyle w:val="Tabletext"/>
              <w:jc w:val="right"/>
              <w:rPr>
                <w:lang w:eastAsia="en-AU"/>
              </w:rPr>
            </w:pPr>
          </w:p>
        </w:tc>
        <w:tc>
          <w:tcPr>
            <w:tcW w:w="1711" w:type="dxa"/>
            <w:shd w:val="clear" w:color="auto" w:fill="BBE0F2" w:themeFill="accent2" w:themeFillTint="66"/>
          </w:tcPr>
          <w:p w14:paraId="699D0690" w14:textId="77777777" w:rsidR="0024437B" w:rsidRDefault="0024437B" w:rsidP="00A62A0A">
            <w:pPr>
              <w:pStyle w:val="Tabletext"/>
              <w:jc w:val="right"/>
              <w:rPr>
                <w:lang w:eastAsia="en-AU"/>
              </w:rPr>
            </w:pPr>
          </w:p>
        </w:tc>
        <w:tc>
          <w:tcPr>
            <w:tcW w:w="1639" w:type="dxa"/>
            <w:shd w:val="clear" w:color="auto" w:fill="BBE0F2" w:themeFill="accent2" w:themeFillTint="66"/>
          </w:tcPr>
          <w:p w14:paraId="4811A85D" w14:textId="77777777" w:rsidR="0024437B" w:rsidRDefault="0024437B" w:rsidP="00A62A0A">
            <w:pPr>
              <w:pStyle w:val="Tabletext"/>
              <w:jc w:val="right"/>
              <w:rPr>
                <w:lang w:eastAsia="en-AU"/>
              </w:rPr>
            </w:pPr>
          </w:p>
        </w:tc>
      </w:tr>
      <w:tr w:rsidR="0024437B" w14:paraId="16E4513C"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tcPr>
          <w:p w14:paraId="66DF5EAC" w14:textId="77777777" w:rsidR="0024437B" w:rsidRDefault="0024437B" w:rsidP="00A62A0A">
            <w:pPr>
              <w:pStyle w:val="Tabletext"/>
              <w:rPr>
                <w:lang w:eastAsia="en-AU"/>
              </w:rPr>
            </w:pPr>
            <w:r>
              <w:rPr>
                <w:lang w:eastAsia="en-AU"/>
              </w:rPr>
              <w:t>Less than 5 years</w:t>
            </w:r>
          </w:p>
        </w:tc>
        <w:tc>
          <w:tcPr>
            <w:tcW w:w="1559" w:type="dxa"/>
          </w:tcPr>
          <w:p w14:paraId="223FD16A" w14:textId="77777777" w:rsidR="0024437B" w:rsidRDefault="0024437B" w:rsidP="00A62A0A">
            <w:pPr>
              <w:pStyle w:val="Tabletext"/>
              <w:jc w:val="right"/>
              <w:rPr>
                <w:lang w:eastAsia="en-AU"/>
              </w:rPr>
            </w:pPr>
            <w:r>
              <w:rPr>
                <w:lang w:eastAsia="en-AU"/>
              </w:rPr>
              <w:t>100.0</w:t>
            </w:r>
          </w:p>
        </w:tc>
        <w:tc>
          <w:tcPr>
            <w:tcW w:w="1711" w:type="dxa"/>
          </w:tcPr>
          <w:p w14:paraId="05519CB0" w14:textId="77777777" w:rsidR="0024437B" w:rsidRPr="00573346" w:rsidRDefault="0024437B" w:rsidP="00A62A0A">
            <w:pPr>
              <w:pStyle w:val="Tabletext"/>
              <w:jc w:val="right"/>
              <w:rPr>
                <w:lang w:eastAsia="en-AU"/>
              </w:rPr>
            </w:pPr>
            <w:r w:rsidRPr="00573346">
              <w:rPr>
                <w:lang w:eastAsia="en-AU"/>
              </w:rPr>
              <w:t>26.8</w:t>
            </w:r>
          </w:p>
        </w:tc>
        <w:tc>
          <w:tcPr>
            <w:tcW w:w="1639" w:type="dxa"/>
          </w:tcPr>
          <w:p w14:paraId="26F4C2DD" w14:textId="77777777" w:rsidR="0024437B" w:rsidRDefault="0024437B" w:rsidP="00A62A0A">
            <w:pPr>
              <w:pStyle w:val="Tabletext"/>
              <w:jc w:val="right"/>
              <w:rPr>
                <w:lang w:eastAsia="en-AU"/>
              </w:rPr>
            </w:pPr>
            <w:r>
              <w:rPr>
                <w:lang w:eastAsia="en-AU"/>
              </w:rPr>
              <w:t>36.4</w:t>
            </w:r>
          </w:p>
        </w:tc>
      </w:tr>
      <w:tr w:rsidR="0024437B" w14:paraId="5D0C60B3"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500D2012" w14:textId="77777777" w:rsidR="0024437B" w:rsidRDefault="0024437B" w:rsidP="00A62A0A">
            <w:pPr>
              <w:pStyle w:val="Tabletext"/>
              <w:rPr>
                <w:lang w:eastAsia="en-AU"/>
              </w:rPr>
            </w:pPr>
            <w:r>
              <w:rPr>
                <w:lang w:eastAsia="en-AU"/>
              </w:rPr>
              <w:t>5-10 years</w:t>
            </w:r>
          </w:p>
        </w:tc>
        <w:tc>
          <w:tcPr>
            <w:tcW w:w="1559" w:type="dxa"/>
          </w:tcPr>
          <w:p w14:paraId="22943200" w14:textId="77777777" w:rsidR="0024437B" w:rsidRDefault="0024437B" w:rsidP="00A62A0A">
            <w:pPr>
              <w:pStyle w:val="Tabletext"/>
              <w:jc w:val="right"/>
              <w:rPr>
                <w:lang w:eastAsia="en-AU"/>
              </w:rPr>
            </w:pPr>
            <w:r>
              <w:rPr>
                <w:lang w:eastAsia="en-AU"/>
              </w:rPr>
              <w:t>0</w:t>
            </w:r>
          </w:p>
        </w:tc>
        <w:tc>
          <w:tcPr>
            <w:tcW w:w="1711" w:type="dxa"/>
          </w:tcPr>
          <w:p w14:paraId="2A4EED36" w14:textId="77777777" w:rsidR="0024437B" w:rsidRPr="00573346" w:rsidRDefault="0024437B" w:rsidP="00A62A0A">
            <w:pPr>
              <w:pStyle w:val="Tabletext"/>
              <w:jc w:val="right"/>
              <w:rPr>
                <w:lang w:eastAsia="en-AU"/>
              </w:rPr>
            </w:pPr>
            <w:r w:rsidRPr="00573346">
              <w:rPr>
                <w:lang w:eastAsia="en-AU"/>
              </w:rPr>
              <w:t>26.3</w:t>
            </w:r>
          </w:p>
        </w:tc>
        <w:tc>
          <w:tcPr>
            <w:tcW w:w="1639" w:type="dxa"/>
          </w:tcPr>
          <w:p w14:paraId="30EF07D6" w14:textId="77777777" w:rsidR="0024437B" w:rsidRDefault="0024437B" w:rsidP="00A62A0A">
            <w:pPr>
              <w:pStyle w:val="Tabletext"/>
              <w:jc w:val="right"/>
              <w:rPr>
                <w:lang w:eastAsia="en-AU"/>
              </w:rPr>
            </w:pPr>
            <w:r>
              <w:rPr>
                <w:lang w:eastAsia="en-AU"/>
              </w:rPr>
              <w:t>30.9</w:t>
            </w:r>
          </w:p>
        </w:tc>
      </w:tr>
      <w:tr w:rsidR="0024437B" w14:paraId="029CD845"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tcPr>
          <w:p w14:paraId="3EE6A990" w14:textId="77777777" w:rsidR="0024437B" w:rsidRDefault="0024437B" w:rsidP="00A62A0A">
            <w:pPr>
              <w:pStyle w:val="Tabletext"/>
              <w:rPr>
                <w:lang w:eastAsia="en-AU"/>
              </w:rPr>
            </w:pPr>
            <w:r>
              <w:rPr>
                <w:lang w:eastAsia="en-AU"/>
              </w:rPr>
              <w:t>11-20 years</w:t>
            </w:r>
          </w:p>
        </w:tc>
        <w:tc>
          <w:tcPr>
            <w:tcW w:w="1559" w:type="dxa"/>
          </w:tcPr>
          <w:p w14:paraId="3203E0CA" w14:textId="77777777" w:rsidR="0024437B" w:rsidRDefault="0024437B" w:rsidP="00A62A0A">
            <w:pPr>
              <w:pStyle w:val="Tabletext"/>
              <w:jc w:val="right"/>
              <w:rPr>
                <w:lang w:eastAsia="en-AU"/>
              </w:rPr>
            </w:pPr>
            <w:r>
              <w:rPr>
                <w:lang w:eastAsia="en-AU"/>
              </w:rPr>
              <w:t>0</w:t>
            </w:r>
          </w:p>
        </w:tc>
        <w:tc>
          <w:tcPr>
            <w:tcW w:w="1711" w:type="dxa"/>
          </w:tcPr>
          <w:p w14:paraId="59D3794D" w14:textId="77777777" w:rsidR="0024437B" w:rsidRPr="00573346" w:rsidRDefault="0024437B" w:rsidP="00A62A0A">
            <w:pPr>
              <w:pStyle w:val="Tabletext"/>
              <w:jc w:val="right"/>
              <w:rPr>
                <w:lang w:eastAsia="en-AU"/>
              </w:rPr>
            </w:pPr>
            <w:r w:rsidRPr="00573346">
              <w:rPr>
                <w:lang w:eastAsia="en-AU"/>
              </w:rPr>
              <w:t>29.9</w:t>
            </w:r>
          </w:p>
        </w:tc>
        <w:tc>
          <w:tcPr>
            <w:tcW w:w="1639" w:type="dxa"/>
          </w:tcPr>
          <w:p w14:paraId="20E16999" w14:textId="77777777" w:rsidR="0024437B" w:rsidRDefault="0024437B" w:rsidP="00A62A0A">
            <w:pPr>
              <w:pStyle w:val="Tabletext"/>
              <w:jc w:val="right"/>
              <w:rPr>
                <w:lang w:eastAsia="en-AU"/>
              </w:rPr>
            </w:pPr>
            <w:r>
              <w:rPr>
                <w:lang w:eastAsia="en-AU"/>
              </w:rPr>
              <w:t>24.2</w:t>
            </w:r>
          </w:p>
        </w:tc>
      </w:tr>
      <w:tr w:rsidR="0024437B" w14:paraId="4EA6D3AA"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56217FB2" w14:textId="77777777" w:rsidR="0024437B" w:rsidRDefault="0024437B" w:rsidP="00A62A0A">
            <w:pPr>
              <w:pStyle w:val="Tabletext"/>
              <w:rPr>
                <w:lang w:eastAsia="en-AU"/>
              </w:rPr>
            </w:pPr>
            <w:r>
              <w:rPr>
                <w:lang w:eastAsia="en-AU"/>
              </w:rPr>
              <w:t>More than 20 years</w:t>
            </w:r>
          </w:p>
        </w:tc>
        <w:tc>
          <w:tcPr>
            <w:tcW w:w="1559" w:type="dxa"/>
          </w:tcPr>
          <w:p w14:paraId="5E2CA515" w14:textId="77777777" w:rsidR="0024437B" w:rsidRDefault="0024437B" w:rsidP="00A62A0A">
            <w:pPr>
              <w:pStyle w:val="Tabletext"/>
              <w:jc w:val="right"/>
              <w:rPr>
                <w:lang w:eastAsia="en-AU"/>
              </w:rPr>
            </w:pPr>
            <w:r>
              <w:rPr>
                <w:lang w:eastAsia="en-AU"/>
              </w:rPr>
              <w:t>0</w:t>
            </w:r>
          </w:p>
        </w:tc>
        <w:tc>
          <w:tcPr>
            <w:tcW w:w="1711" w:type="dxa"/>
          </w:tcPr>
          <w:p w14:paraId="71C60A2A" w14:textId="77777777" w:rsidR="0024437B" w:rsidRPr="00573346" w:rsidRDefault="0024437B" w:rsidP="00A62A0A">
            <w:pPr>
              <w:pStyle w:val="Tabletext"/>
              <w:jc w:val="right"/>
              <w:rPr>
                <w:lang w:eastAsia="en-AU"/>
              </w:rPr>
            </w:pPr>
            <w:r w:rsidRPr="00573346">
              <w:rPr>
                <w:lang w:eastAsia="en-AU"/>
              </w:rPr>
              <w:t>17.0</w:t>
            </w:r>
          </w:p>
        </w:tc>
        <w:tc>
          <w:tcPr>
            <w:tcW w:w="1639" w:type="dxa"/>
          </w:tcPr>
          <w:p w14:paraId="5580F0E8" w14:textId="77777777" w:rsidR="0024437B" w:rsidRDefault="0024437B" w:rsidP="00A62A0A">
            <w:pPr>
              <w:pStyle w:val="Tabletext"/>
              <w:jc w:val="right"/>
              <w:rPr>
                <w:lang w:eastAsia="en-AU"/>
              </w:rPr>
            </w:pPr>
            <w:r>
              <w:rPr>
                <w:lang w:eastAsia="en-AU"/>
              </w:rPr>
              <w:t>8.6</w:t>
            </w:r>
          </w:p>
        </w:tc>
      </w:tr>
      <w:tr w:rsidR="0024437B" w14:paraId="010F5837"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shd w:val="clear" w:color="auto" w:fill="BBE0F2" w:themeFill="accent2" w:themeFillTint="66"/>
          </w:tcPr>
          <w:p w14:paraId="7113035C" w14:textId="15560586" w:rsidR="0024437B" w:rsidRPr="00887BFC" w:rsidRDefault="0024437B" w:rsidP="002D7A8B">
            <w:pPr>
              <w:pStyle w:val="Tabletext"/>
              <w:rPr>
                <w:i/>
                <w:lang w:eastAsia="en-AU"/>
              </w:rPr>
            </w:pPr>
            <w:r w:rsidRPr="00887BFC">
              <w:rPr>
                <w:i/>
                <w:lang w:eastAsia="en-AU"/>
              </w:rPr>
              <w:t xml:space="preserve">Industry </w:t>
            </w:r>
            <w:r w:rsidR="002D7A8B">
              <w:rPr>
                <w:i/>
                <w:lang w:eastAsia="en-AU"/>
              </w:rPr>
              <w:t>share</w:t>
            </w:r>
          </w:p>
        </w:tc>
        <w:tc>
          <w:tcPr>
            <w:tcW w:w="1559" w:type="dxa"/>
            <w:shd w:val="clear" w:color="auto" w:fill="BBE0F2" w:themeFill="accent2" w:themeFillTint="66"/>
          </w:tcPr>
          <w:p w14:paraId="0174E220" w14:textId="77777777" w:rsidR="0024437B" w:rsidRDefault="0024437B" w:rsidP="00A62A0A">
            <w:pPr>
              <w:pStyle w:val="Tabletext"/>
              <w:jc w:val="right"/>
              <w:rPr>
                <w:lang w:eastAsia="en-AU"/>
              </w:rPr>
            </w:pPr>
          </w:p>
        </w:tc>
        <w:tc>
          <w:tcPr>
            <w:tcW w:w="1711" w:type="dxa"/>
            <w:shd w:val="clear" w:color="auto" w:fill="BBE0F2" w:themeFill="accent2" w:themeFillTint="66"/>
          </w:tcPr>
          <w:p w14:paraId="7C13A948" w14:textId="77777777" w:rsidR="0024437B" w:rsidRDefault="0024437B" w:rsidP="00A62A0A">
            <w:pPr>
              <w:pStyle w:val="Tabletext"/>
              <w:jc w:val="right"/>
              <w:rPr>
                <w:lang w:eastAsia="en-AU"/>
              </w:rPr>
            </w:pPr>
          </w:p>
        </w:tc>
        <w:tc>
          <w:tcPr>
            <w:tcW w:w="1639" w:type="dxa"/>
            <w:shd w:val="clear" w:color="auto" w:fill="BBE0F2" w:themeFill="accent2" w:themeFillTint="66"/>
          </w:tcPr>
          <w:p w14:paraId="19523030" w14:textId="77777777" w:rsidR="0024437B" w:rsidRDefault="0024437B" w:rsidP="00A62A0A">
            <w:pPr>
              <w:pStyle w:val="Tabletext"/>
              <w:jc w:val="right"/>
              <w:rPr>
                <w:lang w:eastAsia="en-AU"/>
              </w:rPr>
            </w:pPr>
          </w:p>
        </w:tc>
      </w:tr>
      <w:tr w:rsidR="00CA168D" w14:paraId="159E32CC"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44B7E0FD" w14:textId="5F3AC220" w:rsidR="00CA168D" w:rsidRPr="00B76848" w:rsidRDefault="00CA168D" w:rsidP="00CA168D">
            <w:pPr>
              <w:pStyle w:val="Tabletext"/>
              <w:rPr>
                <w:i/>
                <w:lang w:eastAsia="en-AU"/>
              </w:rPr>
            </w:pPr>
            <w:r>
              <w:rPr>
                <w:lang w:eastAsia="en-AU"/>
              </w:rPr>
              <w:t>Wholesale Trade</w:t>
            </w:r>
          </w:p>
        </w:tc>
        <w:tc>
          <w:tcPr>
            <w:tcW w:w="1559" w:type="dxa"/>
          </w:tcPr>
          <w:p w14:paraId="5D3F2DCA" w14:textId="55E2E909" w:rsidR="00CA168D" w:rsidRDefault="00CA168D" w:rsidP="00CA168D">
            <w:pPr>
              <w:pStyle w:val="Tabletext"/>
              <w:jc w:val="right"/>
              <w:rPr>
                <w:lang w:eastAsia="en-AU"/>
              </w:rPr>
            </w:pPr>
            <w:r>
              <w:rPr>
                <w:lang w:eastAsia="en-AU"/>
              </w:rPr>
              <w:t>23.5</w:t>
            </w:r>
          </w:p>
        </w:tc>
        <w:tc>
          <w:tcPr>
            <w:tcW w:w="1711" w:type="dxa"/>
          </w:tcPr>
          <w:p w14:paraId="5BCC888E" w14:textId="7D12E30B" w:rsidR="00CA168D" w:rsidRPr="00987DD1" w:rsidRDefault="00CA168D" w:rsidP="00CA168D">
            <w:pPr>
              <w:pStyle w:val="Tabletext"/>
              <w:jc w:val="right"/>
              <w:rPr>
                <w:lang w:eastAsia="en-AU"/>
              </w:rPr>
            </w:pPr>
            <w:r w:rsidRPr="00987DD1">
              <w:rPr>
                <w:lang w:eastAsia="en-AU"/>
              </w:rPr>
              <w:t>19.2</w:t>
            </w:r>
          </w:p>
        </w:tc>
        <w:tc>
          <w:tcPr>
            <w:tcW w:w="1639" w:type="dxa"/>
          </w:tcPr>
          <w:p w14:paraId="509F982F" w14:textId="1D3442BC" w:rsidR="00CA168D" w:rsidRDefault="009E1FA9" w:rsidP="00CA168D">
            <w:pPr>
              <w:pStyle w:val="Tabletext"/>
              <w:jc w:val="right"/>
              <w:rPr>
                <w:lang w:eastAsia="en-AU"/>
              </w:rPr>
            </w:pPr>
            <w:r>
              <w:rPr>
                <w:lang w:eastAsia="en-AU"/>
              </w:rPr>
              <w:t>3.4</w:t>
            </w:r>
          </w:p>
        </w:tc>
      </w:tr>
      <w:tr w:rsidR="00CA168D" w14:paraId="11F22C15"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tcPr>
          <w:p w14:paraId="710F68EA" w14:textId="77777777" w:rsidR="00CA168D" w:rsidRDefault="00CA168D" w:rsidP="00CA168D">
            <w:pPr>
              <w:pStyle w:val="Tabletext"/>
              <w:rPr>
                <w:lang w:eastAsia="en-AU"/>
              </w:rPr>
            </w:pPr>
            <w:r>
              <w:rPr>
                <w:lang w:eastAsia="en-AU"/>
              </w:rPr>
              <w:t>PST</w:t>
            </w:r>
          </w:p>
        </w:tc>
        <w:tc>
          <w:tcPr>
            <w:tcW w:w="1559" w:type="dxa"/>
          </w:tcPr>
          <w:p w14:paraId="7738CAAC" w14:textId="77777777" w:rsidR="00CA168D" w:rsidRDefault="00CA168D" w:rsidP="00CA168D">
            <w:pPr>
              <w:pStyle w:val="Tabletext"/>
              <w:jc w:val="right"/>
              <w:rPr>
                <w:lang w:eastAsia="en-AU"/>
              </w:rPr>
            </w:pPr>
            <w:r>
              <w:rPr>
                <w:lang w:eastAsia="en-AU"/>
              </w:rPr>
              <w:t>22.0</w:t>
            </w:r>
          </w:p>
        </w:tc>
        <w:tc>
          <w:tcPr>
            <w:tcW w:w="1711" w:type="dxa"/>
          </w:tcPr>
          <w:p w14:paraId="58C41774" w14:textId="77777777" w:rsidR="00CA168D" w:rsidRPr="00987DD1" w:rsidRDefault="00CA168D" w:rsidP="00CA168D">
            <w:pPr>
              <w:pStyle w:val="Tabletext"/>
              <w:jc w:val="right"/>
              <w:rPr>
                <w:lang w:eastAsia="en-AU"/>
              </w:rPr>
            </w:pPr>
            <w:r w:rsidRPr="00987DD1">
              <w:rPr>
                <w:lang w:eastAsia="en-AU"/>
              </w:rPr>
              <w:t>22.7</w:t>
            </w:r>
          </w:p>
        </w:tc>
        <w:tc>
          <w:tcPr>
            <w:tcW w:w="1639" w:type="dxa"/>
          </w:tcPr>
          <w:p w14:paraId="75C4976D" w14:textId="33D7AEDD" w:rsidR="00CA168D" w:rsidRDefault="009E1FA9" w:rsidP="00CA168D">
            <w:pPr>
              <w:pStyle w:val="Tabletext"/>
              <w:jc w:val="right"/>
              <w:rPr>
                <w:lang w:eastAsia="en-AU"/>
              </w:rPr>
            </w:pPr>
            <w:r>
              <w:rPr>
                <w:lang w:eastAsia="en-AU"/>
              </w:rPr>
              <w:t>11.8</w:t>
            </w:r>
          </w:p>
        </w:tc>
      </w:tr>
      <w:tr w:rsidR="00CA168D" w14:paraId="3D954339"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1291E24C" w14:textId="2EAA0761" w:rsidR="00CA168D" w:rsidRDefault="00CA168D" w:rsidP="00CA168D">
            <w:pPr>
              <w:pStyle w:val="Tabletext"/>
              <w:rPr>
                <w:lang w:eastAsia="en-AU"/>
              </w:rPr>
            </w:pPr>
            <w:r>
              <w:rPr>
                <w:lang w:eastAsia="en-AU"/>
              </w:rPr>
              <w:t xml:space="preserve">Retail Trade </w:t>
            </w:r>
          </w:p>
        </w:tc>
        <w:tc>
          <w:tcPr>
            <w:tcW w:w="1559" w:type="dxa"/>
          </w:tcPr>
          <w:p w14:paraId="01A327B9" w14:textId="645C8AAC" w:rsidR="00CA168D" w:rsidRDefault="00CA168D" w:rsidP="00CA168D">
            <w:pPr>
              <w:pStyle w:val="Tabletext"/>
              <w:jc w:val="right"/>
              <w:rPr>
                <w:lang w:eastAsia="en-AU"/>
              </w:rPr>
            </w:pPr>
            <w:r>
              <w:rPr>
                <w:lang w:eastAsia="en-AU"/>
              </w:rPr>
              <w:t>15.3</w:t>
            </w:r>
          </w:p>
        </w:tc>
        <w:tc>
          <w:tcPr>
            <w:tcW w:w="1711" w:type="dxa"/>
          </w:tcPr>
          <w:p w14:paraId="6B379AD4" w14:textId="28F313D9" w:rsidR="00CA168D" w:rsidRPr="00987DD1" w:rsidRDefault="00FD70A6" w:rsidP="00CA168D">
            <w:pPr>
              <w:pStyle w:val="Tabletext"/>
              <w:jc w:val="right"/>
              <w:rPr>
                <w:lang w:eastAsia="en-AU"/>
              </w:rPr>
            </w:pPr>
            <w:r>
              <w:rPr>
                <w:lang w:eastAsia="en-AU"/>
              </w:rPr>
              <w:t>9.5</w:t>
            </w:r>
          </w:p>
        </w:tc>
        <w:tc>
          <w:tcPr>
            <w:tcW w:w="1639" w:type="dxa"/>
          </w:tcPr>
          <w:p w14:paraId="4F3BA0D1" w14:textId="7B0511FE" w:rsidR="00CA168D" w:rsidRDefault="009E1FA9" w:rsidP="00CA168D">
            <w:pPr>
              <w:pStyle w:val="Tabletext"/>
              <w:jc w:val="right"/>
              <w:rPr>
                <w:lang w:eastAsia="en-AU"/>
              </w:rPr>
            </w:pPr>
            <w:r>
              <w:rPr>
                <w:lang w:eastAsia="en-AU"/>
              </w:rPr>
              <w:t>5.8</w:t>
            </w:r>
          </w:p>
        </w:tc>
      </w:tr>
      <w:tr w:rsidR="00CA168D" w14:paraId="300CA64D" w14:textId="77777777" w:rsidTr="004A25C0">
        <w:trPr>
          <w:cnfStyle w:val="000000100000" w:firstRow="0" w:lastRow="0" w:firstColumn="0" w:lastColumn="0" w:oddVBand="0" w:evenVBand="0" w:oddHBand="1" w:evenHBand="0" w:firstRowFirstColumn="0" w:firstRowLastColumn="0" w:lastRowFirstColumn="0" w:lastRowLastColumn="0"/>
          <w:trHeight w:val="310"/>
        </w:trPr>
        <w:tc>
          <w:tcPr>
            <w:tcW w:w="1985" w:type="dxa"/>
          </w:tcPr>
          <w:p w14:paraId="5CE46ADC" w14:textId="2F68C6B5" w:rsidR="00CA168D" w:rsidRDefault="00CA168D" w:rsidP="00CA168D">
            <w:pPr>
              <w:pStyle w:val="Tabletext"/>
              <w:rPr>
                <w:lang w:eastAsia="en-AU"/>
              </w:rPr>
            </w:pPr>
            <w:r>
              <w:rPr>
                <w:lang w:eastAsia="en-AU"/>
              </w:rPr>
              <w:t>Manufacturing</w:t>
            </w:r>
          </w:p>
        </w:tc>
        <w:tc>
          <w:tcPr>
            <w:tcW w:w="1559" w:type="dxa"/>
          </w:tcPr>
          <w:p w14:paraId="41E4599B" w14:textId="0ED511B5" w:rsidR="00CA168D" w:rsidRDefault="00CA168D" w:rsidP="00CA168D">
            <w:pPr>
              <w:pStyle w:val="Tabletext"/>
              <w:jc w:val="right"/>
              <w:rPr>
                <w:lang w:eastAsia="en-AU"/>
              </w:rPr>
            </w:pPr>
            <w:r>
              <w:rPr>
                <w:lang w:eastAsia="en-AU"/>
              </w:rPr>
              <w:t>5.6</w:t>
            </w:r>
          </w:p>
        </w:tc>
        <w:tc>
          <w:tcPr>
            <w:tcW w:w="1711" w:type="dxa"/>
          </w:tcPr>
          <w:p w14:paraId="704E676C" w14:textId="1F14FB10" w:rsidR="00CA168D" w:rsidRPr="00987DD1" w:rsidRDefault="00CA168D" w:rsidP="00CA168D">
            <w:pPr>
              <w:pStyle w:val="Tabletext"/>
              <w:jc w:val="right"/>
              <w:rPr>
                <w:lang w:eastAsia="en-AU"/>
              </w:rPr>
            </w:pPr>
            <w:r>
              <w:rPr>
                <w:lang w:eastAsia="en-AU"/>
              </w:rPr>
              <w:t>11.9</w:t>
            </w:r>
          </w:p>
        </w:tc>
        <w:tc>
          <w:tcPr>
            <w:tcW w:w="1639" w:type="dxa"/>
          </w:tcPr>
          <w:p w14:paraId="0AE28B74" w14:textId="0CFD74A2" w:rsidR="00CA168D" w:rsidRDefault="009E1FA9" w:rsidP="00CA168D">
            <w:pPr>
              <w:pStyle w:val="Tabletext"/>
              <w:jc w:val="right"/>
              <w:rPr>
                <w:lang w:eastAsia="en-AU"/>
              </w:rPr>
            </w:pPr>
            <w:r>
              <w:rPr>
                <w:lang w:eastAsia="en-AU"/>
              </w:rPr>
              <w:t>3.8</w:t>
            </w:r>
          </w:p>
        </w:tc>
      </w:tr>
      <w:tr w:rsidR="00CA168D" w14:paraId="70E4DC6F" w14:textId="77777777" w:rsidTr="004A25C0">
        <w:trPr>
          <w:cnfStyle w:val="000000010000" w:firstRow="0" w:lastRow="0" w:firstColumn="0" w:lastColumn="0" w:oddVBand="0" w:evenVBand="0" w:oddHBand="0" w:evenHBand="1" w:firstRowFirstColumn="0" w:firstRowLastColumn="0" w:lastRowFirstColumn="0" w:lastRowLastColumn="0"/>
          <w:trHeight w:val="310"/>
        </w:trPr>
        <w:tc>
          <w:tcPr>
            <w:tcW w:w="1985" w:type="dxa"/>
          </w:tcPr>
          <w:p w14:paraId="04398CD3" w14:textId="2C651614" w:rsidR="00CA168D" w:rsidRDefault="00CA168D" w:rsidP="00CA168D">
            <w:pPr>
              <w:pStyle w:val="Tabletext"/>
              <w:rPr>
                <w:lang w:eastAsia="en-AU"/>
              </w:rPr>
            </w:pPr>
            <w:r>
              <w:rPr>
                <w:lang w:eastAsia="en-AU"/>
              </w:rPr>
              <w:t>Other</w:t>
            </w:r>
          </w:p>
        </w:tc>
        <w:tc>
          <w:tcPr>
            <w:tcW w:w="1559" w:type="dxa"/>
          </w:tcPr>
          <w:p w14:paraId="2EDC231D" w14:textId="4D29CA82" w:rsidR="00CA168D" w:rsidRDefault="00CA168D" w:rsidP="00CA168D">
            <w:pPr>
              <w:pStyle w:val="Tabletext"/>
              <w:jc w:val="right"/>
              <w:rPr>
                <w:lang w:eastAsia="en-AU"/>
              </w:rPr>
            </w:pPr>
            <w:r>
              <w:rPr>
                <w:lang w:eastAsia="en-AU"/>
              </w:rPr>
              <w:t>33.6</w:t>
            </w:r>
          </w:p>
        </w:tc>
        <w:tc>
          <w:tcPr>
            <w:tcW w:w="1711" w:type="dxa"/>
          </w:tcPr>
          <w:p w14:paraId="4E3BECAC" w14:textId="5119AD68" w:rsidR="00CA168D" w:rsidRPr="00987DD1" w:rsidRDefault="00CA168D" w:rsidP="00CA168D">
            <w:pPr>
              <w:pStyle w:val="Tabletext"/>
              <w:jc w:val="right"/>
              <w:rPr>
                <w:lang w:eastAsia="en-AU"/>
              </w:rPr>
            </w:pPr>
            <w:r>
              <w:rPr>
                <w:lang w:eastAsia="en-AU"/>
              </w:rPr>
              <w:t>46</w:t>
            </w:r>
            <w:r w:rsidRPr="00987DD1">
              <w:rPr>
                <w:lang w:eastAsia="en-AU"/>
              </w:rPr>
              <w:t>.</w:t>
            </w:r>
            <w:r>
              <w:rPr>
                <w:lang w:eastAsia="en-AU"/>
              </w:rPr>
              <w:t>2</w:t>
            </w:r>
          </w:p>
        </w:tc>
        <w:tc>
          <w:tcPr>
            <w:tcW w:w="1639" w:type="dxa"/>
          </w:tcPr>
          <w:p w14:paraId="6BF353DB" w14:textId="5AE55E72" w:rsidR="00CA168D" w:rsidRDefault="00CA168D" w:rsidP="00CA168D">
            <w:pPr>
              <w:pStyle w:val="Tabletext"/>
              <w:jc w:val="right"/>
              <w:rPr>
                <w:lang w:eastAsia="en-AU"/>
              </w:rPr>
            </w:pPr>
            <w:r>
              <w:rPr>
                <w:lang w:eastAsia="en-AU"/>
              </w:rPr>
              <w:t>78.3</w:t>
            </w:r>
          </w:p>
        </w:tc>
      </w:tr>
    </w:tbl>
    <w:p w14:paraId="60763872" w14:textId="40789D17" w:rsidR="0024437B" w:rsidRDefault="0024437B" w:rsidP="0024437B">
      <w:pPr>
        <w:pStyle w:val="Note"/>
        <w:rPr>
          <w:lang w:eastAsia="en-AU"/>
        </w:rPr>
      </w:pPr>
      <w:r>
        <w:rPr>
          <w:lang w:eastAsia="en-AU"/>
        </w:rPr>
        <w:t xml:space="preserve">Notes: </w:t>
      </w:r>
      <w:r w:rsidR="00586754">
        <w:rPr>
          <w:lang w:eastAsia="en-AU"/>
        </w:rPr>
        <w:t>ª</w:t>
      </w:r>
      <w:r w:rsidR="00586754">
        <w:t>Born global entrants in 20</w:t>
      </w:r>
      <w:r w:rsidR="00C10D98">
        <w:t>15–</w:t>
      </w:r>
      <w:r w:rsidR="008B1BBC">
        <w:t>16 ᵇ</w:t>
      </w:r>
      <w:r w:rsidR="00C92950">
        <w:rPr>
          <w:lang w:eastAsia="en-AU"/>
        </w:rPr>
        <w:t xml:space="preserve">Firms that export more than $2,000 in </w:t>
      </w:r>
      <w:r w:rsidR="00E13F30">
        <w:rPr>
          <w:lang w:eastAsia="en-AU"/>
        </w:rPr>
        <w:t>value in</w:t>
      </w:r>
      <w:r w:rsidR="00C92950">
        <w:rPr>
          <w:lang w:eastAsia="en-AU"/>
        </w:rPr>
        <w:t xml:space="preserve"> 2015-16 ᶜ</w:t>
      </w:r>
      <w:r w:rsidR="00905882">
        <w:rPr>
          <w:lang w:eastAsia="en-AU"/>
        </w:rPr>
        <w:t>67 per cent of born global firms are non-employ</w:t>
      </w:r>
      <w:r w:rsidR="00B201C7">
        <w:rPr>
          <w:lang w:eastAsia="en-AU"/>
        </w:rPr>
        <w:t>ing</w:t>
      </w:r>
      <w:r w:rsidR="000F099E">
        <w:rPr>
          <w:lang w:eastAsia="en-AU"/>
        </w:rPr>
        <w:t>; the remainder are either Micro, Small, Medium or Large in size</w:t>
      </w:r>
      <w:r w:rsidR="00905882">
        <w:rPr>
          <w:lang w:eastAsia="en-AU"/>
        </w:rPr>
        <w:t xml:space="preserve">  ͩ </w:t>
      </w:r>
      <w:r w:rsidR="00E74473">
        <w:rPr>
          <w:lang w:eastAsia="en-AU"/>
        </w:rPr>
        <w:t xml:space="preserve">Suppressed due to legislative requirements. </w:t>
      </w:r>
      <w:r w:rsidR="003007F0">
        <w:rPr>
          <w:lang w:eastAsia="en-AU"/>
        </w:rPr>
        <w:t xml:space="preserve">17.4 per cent of born global firms are </w:t>
      </w:r>
      <w:r w:rsidR="00E74473">
        <w:rPr>
          <w:lang w:eastAsia="en-AU"/>
        </w:rPr>
        <w:t>either medium or large in size</w:t>
      </w:r>
      <w:r w:rsidR="00BD1002">
        <w:rPr>
          <w:lang w:eastAsia="en-AU"/>
        </w:rPr>
        <w:t>.</w:t>
      </w:r>
    </w:p>
    <w:p w14:paraId="793A1951" w14:textId="7B0B7A91" w:rsidR="00F05116" w:rsidRDefault="0024437B" w:rsidP="008F573B">
      <w:pPr>
        <w:pStyle w:val="Source"/>
        <w:rPr>
          <w:lang w:eastAsia="en-AU"/>
        </w:rPr>
      </w:pPr>
      <w:r>
        <w:rPr>
          <w:lang w:eastAsia="en-AU"/>
        </w:rPr>
        <w:t xml:space="preserve">Source: </w:t>
      </w:r>
      <w:r w:rsidR="00016982">
        <w:rPr>
          <w:lang w:eastAsia="en-AU"/>
        </w:rPr>
        <w:t>BLADE (2019)</w:t>
      </w:r>
      <w:r w:rsidR="00D2197C">
        <w:rPr>
          <w:lang w:eastAsia="en-AU"/>
        </w:rPr>
        <w:t>, Author’s calculations</w:t>
      </w:r>
    </w:p>
    <w:p w14:paraId="4738BE68" w14:textId="12C4A086" w:rsidR="004F362A" w:rsidRDefault="001879AD" w:rsidP="0062727B">
      <w:pPr>
        <w:pStyle w:val="Caption"/>
        <w:pBdr>
          <w:top w:val="single" w:sz="2" w:space="0" w:color="595A5B"/>
        </w:pBdr>
      </w:pPr>
      <w:r>
        <w:lastRenderedPageBreak/>
        <w:t>Table 2.2</w:t>
      </w:r>
      <w:r w:rsidR="00AB7613">
        <w:t xml:space="preserve">: </w:t>
      </w:r>
      <w:r w:rsidR="00C574FD">
        <w:t>Top ten t</w:t>
      </w:r>
      <w:r w:rsidR="00AB7613">
        <w:t>wo</w:t>
      </w:r>
      <w:r w:rsidR="004C35C1">
        <w:t>-</w:t>
      </w:r>
      <w:r w:rsidR="00AB7613">
        <w:t>digit ANZSIC sub</w:t>
      </w:r>
      <w:r w:rsidR="00075E53">
        <w:t>industries</w:t>
      </w:r>
      <w:r w:rsidR="00AB7613">
        <w:t xml:space="preserve"> of born global firms</w:t>
      </w:r>
      <w:r w:rsidR="00661A58">
        <w:t xml:space="preserve">, </w:t>
      </w:r>
      <w:r w:rsidR="008D180D">
        <w:t>20</w:t>
      </w:r>
      <w:r w:rsidR="00C10D98">
        <w:t>15–16</w:t>
      </w:r>
      <w:r w:rsidR="008D180D">
        <w:t xml:space="preserve"> (compared to 20</w:t>
      </w:r>
      <w:r w:rsidR="00C10D98">
        <w:t>05–06</w:t>
      </w:r>
      <w:r w:rsidR="008D180D">
        <w:t xml:space="preserve">) </w:t>
      </w:r>
      <w:r w:rsidR="00AB7613">
        <w:t xml:space="preserve"> </w:t>
      </w:r>
    </w:p>
    <w:tbl>
      <w:tblPr>
        <w:tblStyle w:val="OCETable"/>
        <w:tblW w:w="5031" w:type="pct"/>
        <w:tblLayout w:type="fixed"/>
        <w:tblLook w:val="04A0" w:firstRow="1" w:lastRow="0" w:firstColumn="1" w:lastColumn="0" w:noHBand="0" w:noVBand="1"/>
        <w:tblCaption w:val="Top ten two-digit ANZSIC subindustries of born global firms, 2015–16 (compared to 2005–06)  "/>
        <w:tblDescription w:val="This table shows that there has been little compositional shift in born global firm top industries. "/>
      </w:tblPr>
      <w:tblGrid>
        <w:gridCol w:w="4193"/>
        <w:gridCol w:w="1372"/>
        <w:gridCol w:w="1372"/>
      </w:tblGrid>
      <w:tr w:rsidR="00AC76E3" w14:paraId="2ADBC3BA" w14:textId="525A72BC" w:rsidTr="001E3044">
        <w:trPr>
          <w:cnfStyle w:val="100000000000" w:firstRow="1" w:lastRow="0" w:firstColumn="0" w:lastColumn="0" w:oddVBand="0" w:evenVBand="0" w:oddHBand="0" w:evenHBand="0" w:firstRowFirstColumn="0" w:firstRowLastColumn="0" w:lastRowFirstColumn="0" w:lastRowLastColumn="0"/>
          <w:trHeight w:val="475"/>
          <w:tblHeader/>
        </w:trPr>
        <w:tc>
          <w:tcPr>
            <w:tcW w:w="4193" w:type="dxa"/>
          </w:tcPr>
          <w:p w14:paraId="3F699B6E" w14:textId="24CE0C75" w:rsidR="00AC76E3" w:rsidRDefault="00AC76E3" w:rsidP="00AC76E3">
            <w:pPr>
              <w:pStyle w:val="Tableheader"/>
              <w:rPr>
                <w:lang w:eastAsia="en-AU"/>
              </w:rPr>
            </w:pPr>
            <w:r>
              <w:rPr>
                <w:lang w:eastAsia="en-AU"/>
              </w:rPr>
              <w:t xml:space="preserve">Industry  </w:t>
            </w:r>
          </w:p>
        </w:tc>
        <w:tc>
          <w:tcPr>
            <w:tcW w:w="1372" w:type="dxa"/>
          </w:tcPr>
          <w:p w14:paraId="517C9178" w14:textId="35ABF7DE" w:rsidR="00AC76E3" w:rsidRDefault="00AC76E3" w:rsidP="00AC76E3">
            <w:pPr>
              <w:pStyle w:val="Tableheader"/>
              <w:jc w:val="right"/>
              <w:rPr>
                <w:lang w:eastAsia="en-AU"/>
              </w:rPr>
            </w:pPr>
            <w:r>
              <w:rPr>
                <w:lang w:eastAsia="en-AU"/>
              </w:rPr>
              <w:t>20</w:t>
            </w:r>
            <w:r w:rsidR="00C10D98">
              <w:rPr>
                <w:lang w:eastAsia="en-AU"/>
              </w:rPr>
              <w:t>05–06</w:t>
            </w:r>
            <w:r>
              <w:rPr>
                <w:lang w:eastAsia="en-AU"/>
              </w:rPr>
              <w:t xml:space="preserve"> </w:t>
            </w:r>
          </w:p>
        </w:tc>
        <w:tc>
          <w:tcPr>
            <w:tcW w:w="1372" w:type="dxa"/>
          </w:tcPr>
          <w:p w14:paraId="1E23D906" w14:textId="0FAB8778" w:rsidR="00AC76E3" w:rsidRDefault="00AC76E3" w:rsidP="00AC76E3">
            <w:pPr>
              <w:pStyle w:val="Tableheader"/>
              <w:jc w:val="right"/>
              <w:rPr>
                <w:lang w:eastAsia="en-AU"/>
              </w:rPr>
            </w:pPr>
            <w:r>
              <w:rPr>
                <w:lang w:eastAsia="en-AU"/>
              </w:rPr>
              <w:t>20</w:t>
            </w:r>
            <w:r w:rsidR="00C10D98">
              <w:rPr>
                <w:lang w:eastAsia="en-AU"/>
              </w:rPr>
              <w:t>15–16</w:t>
            </w:r>
            <w:r>
              <w:rPr>
                <w:lang w:eastAsia="en-AU"/>
              </w:rPr>
              <w:t xml:space="preserve"> </w:t>
            </w:r>
          </w:p>
        </w:tc>
      </w:tr>
      <w:tr w:rsidR="00AC76E3" w14:paraId="6CED28E7" w14:textId="7A823310" w:rsidTr="001E3044">
        <w:trPr>
          <w:cnfStyle w:val="000000100000" w:firstRow="0" w:lastRow="0" w:firstColumn="0" w:lastColumn="0" w:oddVBand="0" w:evenVBand="0" w:oddHBand="1" w:evenHBand="0" w:firstRowFirstColumn="0" w:firstRowLastColumn="0" w:lastRowFirstColumn="0" w:lastRowLastColumn="0"/>
          <w:trHeight w:val="237"/>
        </w:trPr>
        <w:tc>
          <w:tcPr>
            <w:tcW w:w="4193" w:type="dxa"/>
          </w:tcPr>
          <w:p w14:paraId="4BF0761C" w14:textId="2E6F7222" w:rsidR="00AC76E3" w:rsidRDefault="00AC76E3" w:rsidP="00AC76E3">
            <w:pPr>
              <w:pStyle w:val="Tabletext"/>
              <w:rPr>
                <w:lang w:eastAsia="en-AU"/>
              </w:rPr>
            </w:pPr>
            <w:r w:rsidRPr="008613BC">
              <w:rPr>
                <w:lang w:eastAsia="en-AU"/>
              </w:rPr>
              <w:t>PST services (Except Computer Services)</w:t>
            </w:r>
          </w:p>
        </w:tc>
        <w:tc>
          <w:tcPr>
            <w:tcW w:w="1372" w:type="dxa"/>
            <w:vAlign w:val="bottom"/>
          </w:tcPr>
          <w:p w14:paraId="62EFEB35" w14:textId="2E5E9C2D" w:rsidR="00AC76E3" w:rsidRDefault="00E71C77" w:rsidP="00AC76E3">
            <w:pPr>
              <w:pStyle w:val="Tabletext"/>
              <w:jc w:val="right"/>
              <w:rPr>
                <w:lang w:eastAsia="en-AU"/>
              </w:rPr>
            </w:pPr>
            <w:r>
              <w:rPr>
                <w:lang w:eastAsia="en-AU"/>
              </w:rPr>
              <w:t>17.2</w:t>
            </w:r>
          </w:p>
        </w:tc>
        <w:tc>
          <w:tcPr>
            <w:tcW w:w="1372" w:type="dxa"/>
            <w:vAlign w:val="bottom"/>
          </w:tcPr>
          <w:p w14:paraId="6725B86B" w14:textId="44FD674D" w:rsidR="00AC76E3" w:rsidRDefault="00803990" w:rsidP="00AC76E3">
            <w:pPr>
              <w:pStyle w:val="Tabletext"/>
              <w:jc w:val="right"/>
              <w:rPr>
                <w:lang w:eastAsia="en-AU"/>
              </w:rPr>
            </w:pPr>
            <w:r>
              <w:rPr>
                <w:lang w:eastAsia="en-AU"/>
              </w:rPr>
              <w:t>16.2</w:t>
            </w:r>
          </w:p>
        </w:tc>
      </w:tr>
      <w:tr w:rsidR="00AF55D9" w14:paraId="558AE518" w14:textId="2C0EB303" w:rsidTr="00AF55D9">
        <w:trPr>
          <w:cnfStyle w:val="000000010000" w:firstRow="0" w:lastRow="0" w:firstColumn="0" w:lastColumn="0" w:oddVBand="0" w:evenVBand="0" w:oddHBand="0" w:evenHBand="1" w:firstRowFirstColumn="0" w:firstRowLastColumn="0" w:lastRowFirstColumn="0" w:lastRowLastColumn="0"/>
          <w:trHeight w:val="237"/>
        </w:trPr>
        <w:tc>
          <w:tcPr>
            <w:tcW w:w="4193" w:type="dxa"/>
          </w:tcPr>
          <w:p w14:paraId="6147060D" w14:textId="119DA27A" w:rsidR="00AF55D9" w:rsidRDefault="00AF55D9" w:rsidP="00AF55D9">
            <w:pPr>
              <w:pStyle w:val="Tabletext"/>
              <w:rPr>
                <w:lang w:eastAsia="en-AU"/>
              </w:rPr>
            </w:pPr>
            <w:r w:rsidRPr="003A3865">
              <w:t>Computer System Design and Related Services</w:t>
            </w:r>
          </w:p>
        </w:tc>
        <w:tc>
          <w:tcPr>
            <w:tcW w:w="1372" w:type="dxa"/>
          </w:tcPr>
          <w:p w14:paraId="7CBFFC5B" w14:textId="06CF19E0" w:rsidR="00AF55D9" w:rsidRDefault="006C41E7" w:rsidP="00AF55D9">
            <w:pPr>
              <w:pStyle w:val="Tabletext"/>
              <w:jc w:val="right"/>
              <w:rPr>
                <w:lang w:eastAsia="en-AU"/>
              </w:rPr>
            </w:pPr>
            <w:r>
              <w:t>6.8</w:t>
            </w:r>
          </w:p>
        </w:tc>
        <w:tc>
          <w:tcPr>
            <w:tcW w:w="1372" w:type="dxa"/>
          </w:tcPr>
          <w:p w14:paraId="519DC92C" w14:textId="27F46C18" w:rsidR="00AF55D9" w:rsidRDefault="00AF55D9" w:rsidP="00AF55D9">
            <w:pPr>
              <w:pStyle w:val="Tabletext"/>
              <w:jc w:val="right"/>
              <w:rPr>
                <w:lang w:eastAsia="en-AU"/>
              </w:rPr>
            </w:pPr>
            <w:r w:rsidRPr="003A3865">
              <w:t>6.</w:t>
            </w:r>
            <w:r w:rsidR="000B1196">
              <w:t>3</w:t>
            </w:r>
          </w:p>
        </w:tc>
      </w:tr>
      <w:tr w:rsidR="00AF55D9" w14:paraId="71862759" w14:textId="0BDFBF08" w:rsidTr="00AF55D9">
        <w:trPr>
          <w:cnfStyle w:val="000000100000" w:firstRow="0" w:lastRow="0" w:firstColumn="0" w:lastColumn="0" w:oddVBand="0" w:evenVBand="0" w:oddHBand="1" w:evenHBand="0" w:firstRowFirstColumn="0" w:firstRowLastColumn="0" w:lastRowFirstColumn="0" w:lastRowLastColumn="0"/>
          <w:trHeight w:val="476"/>
        </w:trPr>
        <w:tc>
          <w:tcPr>
            <w:tcW w:w="4193" w:type="dxa"/>
          </w:tcPr>
          <w:p w14:paraId="4C83B2C5" w14:textId="48E23361" w:rsidR="00AF55D9" w:rsidRDefault="00AF55D9" w:rsidP="00AF55D9">
            <w:pPr>
              <w:pStyle w:val="Tabletext"/>
              <w:rPr>
                <w:lang w:eastAsia="en-AU"/>
              </w:rPr>
            </w:pPr>
            <w:r w:rsidRPr="003A3865">
              <w:t xml:space="preserve">Other Store-Based Retailing </w:t>
            </w:r>
          </w:p>
        </w:tc>
        <w:tc>
          <w:tcPr>
            <w:tcW w:w="1372" w:type="dxa"/>
          </w:tcPr>
          <w:p w14:paraId="736DFC5D" w14:textId="69F29944" w:rsidR="00AF55D9" w:rsidRDefault="00AF55D9" w:rsidP="00AF55D9">
            <w:pPr>
              <w:pStyle w:val="Tabletext"/>
              <w:jc w:val="right"/>
              <w:rPr>
                <w:lang w:eastAsia="en-AU"/>
              </w:rPr>
            </w:pPr>
            <w:r w:rsidRPr="003A3865">
              <w:t>7.</w:t>
            </w:r>
            <w:r w:rsidR="000B0ED8">
              <w:t>5</w:t>
            </w:r>
          </w:p>
        </w:tc>
        <w:tc>
          <w:tcPr>
            <w:tcW w:w="1372" w:type="dxa"/>
          </w:tcPr>
          <w:p w14:paraId="12A72DE4" w14:textId="2376C299" w:rsidR="00AF55D9" w:rsidRDefault="000B1196" w:rsidP="00AF55D9">
            <w:pPr>
              <w:pStyle w:val="Tabletext"/>
              <w:jc w:val="right"/>
              <w:rPr>
                <w:lang w:eastAsia="en-AU"/>
              </w:rPr>
            </w:pPr>
            <w:r>
              <w:t>6.1</w:t>
            </w:r>
          </w:p>
        </w:tc>
      </w:tr>
      <w:tr w:rsidR="00AF55D9" w14:paraId="2F7E8E4A" w14:textId="4B0D148A" w:rsidTr="00AF55D9">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42A07266" w14:textId="1421182F" w:rsidR="00AF55D9" w:rsidRDefault="00AF55D9" w:rsidP="00AF55D9">
            <w:pPr>
              <w:pStyle w:val="Tabletext"/>
              <w:rPr>
                <w:lang w:eastAsia="en-AU"/>
              </w:rPr>
            </w:pPr>
            <w:r w:rsidRPr="003A3865">
              <w:t>Property Operators and Real Estate Services</w:t>
            </w:r>
          </w:p>
        </w:tc>
        <w:tc>
          <w:tcPr>
            <w:tcW w:w="1372" w:type="dxa"/>
          </w:tcPr>
          <w:p w14:paraId="205190A4" w14:textId="083467E4" w:rsidR="00AF55D9" w:rsidRDefault="006C41E7" w:rsidP="00AF55D9">
            <w:pPr>
              <w:pStyle w:val="Tabletext"/>
              <w:jc w:val="right"/>
              <w:rPr>
                <w:lang w:eastAsia="en-AU"/>
              </w:rPr>
            </w:pPr>
            <w:r>
              <w:t>2.3</w:t>
            </w:r>
          </w:p>
        </w:tc>
        <w:tc>
          <w:tcPr>
            <w:tcW w:w="1372" w:type="dxa"/>
          </w:tcPr>
          <w:p w14:paraId="55F2256A" w14:textId="253C9680" w:rsidR="00AF55D9" w:rsidRDefault="00AF55D9" w:rsidP="00AF55D9">
            <w:pPr>
              <w:pStyle w:val="Tabletext"/>
              <w:jc w:val="right"/>
              <w:rPr>
                <w:lang w:eastAsia="en-AU"/>
              </w:rPr>
            </w:pPr>
            <w:r w:rsidRPr="003A3865">
              <w:t>4.</w:t>
            </w:r>
            <w:r w:rsidR="003C5430">
              <w:t>8</w:t>
            </w:r>
          </w:p>
        </w:tc>
      </w:tr>
      <w:tr w:rsidR="00AF55D9" w14:paraId="515DBD3E" w14:textId="6C0E1092" w:rsidTr="00AF55D9">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252568FA" w14:textId="03A50184" w:rsidR="00AF55D9" w:rsidRDefault="00AF55D9" w:rsidP="00AF55D9">
            <w:pPr>
              <w:pStyle w:val="Tabletext"/>
              <w:rPr>
                <w:lang w:eastAsia="en-AU"/>
              </w:rPr>
            </w:pPr>
            <w:r w:rsidRPr="003A3865">
              <w:t>Grocery, Liquor and Tobacco Product Wholesaling</w:t>
            </w:r>
          </w:p>
        </w:tc>
        <w:tc>
          <w:tcPr>
            <w:tcW w:w="1372" w:type="dxa"/>
          </w:tcPr>
          <w:p w14:paraId="27390C39" w14:textId="716EEDAD" w:rsidR="00AF55D9" w:rsidRDefault="006C41E7" w:rsidP="00AF55D9">
            <w:pPr>
              <w:pStyle w:val="Tabletext"/>
              <w:jc w:val="right"/>
              <w:rPr>
                <w:lang w:eastAsia="en-AU"/>
              </w:rPr>
            </w:pPr>
            <w:r>
              <w:rPr>
                <w:lang w:eastAsia="en-AU"/>
              </w:rPr>
              <w:t>3.0</w:t>
            </w:r>
          </w:p>
        </w:tc>
        <w:tc>
          <w:tcPr>
            <w:tcW w:w="1372" w:type="dxa"/>
          </w:tcPr>
          <w:p w14:paraId="6B3805EE" w14:textId="2066629A" w:rsidR="00AF55D9" w:rsidRDefault="003C5430" w:rsidP="00AF55D9">
            <w:pPr>
              <w:pStyle w:val="Tabletext"/>
              <w:jc w:val="right"/>
              <w:rPr>
                <w:lang w:eastAsia="en-AU"/>
              </w:rPr>
            </w:pPr>
            <w:r>
              <w:t>4.1</w:t>
            </w:r>
          </w:p>
        </w:tc>
      </w:tr>
      <w:tr w:rsidR="00AF55D9" w14:paraId="10878B03" w14:textId="2208349D" w:rsidTr="00AF55D9">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1431C892" w14:textId="3E6D66F3" w:rsidR="00AF55D9" w:rsidRDefault="00AF55D9" w:rsidP="00AF55D9">
            <w:pPr>
              <w:pStyle w:val="Tabletext"/>
              <w:rPr>
                <w:lang w:eastAsia="en-AU"/>
              </w:rPr>
            </w:pPr>
            <w:r w:rsidRPr="003A3865">
              <w:t>Non-Store Retailing and Retail Commission-Based Buying and/or Selling</w:t>
            </w:r>
          </w:p>
        </w:tc>
        <w:tc>
          <w:tcPr>
            <w:tcW w:w="1372" w:type="dxa"/>
          </w:tcPr>
          <w:p w14:paraId="54E842BC" w14:textId="1680AD5B" w:rsidR="00AF55D9" w:rsidRDefault="00AF55D9" w:rsidP="006C41E7">
            <w:pPr>
              <w:pStyle w:val="Tabletext"/>
              <w:jc w:val="right"/>
              <w:rPr>
                <w:lang w:eastAsia="en-AU"/>
              </w:rPr>
            </w:pPr>
            <w:r w:rsidRPr="003A3865">
              <w:t>1.</w:t>
            </w:r>
            <w:r w:rsidR="006C41E7">
              <w:t>2</w:t>
            </w:r>
          </w:p>
        </w:tc>
        <w:tc>
          <w:tcPr>
            <w:tcW w:w="1372" w:type="dxa"/>
          </w:tcPr>
          <w:p w14:paraId="70936CC0" w14:textId="39A56295" w:rsidR="00AF55D9" w:rsidRDefault="00AF55D9" w:rsidP="003C5430">
            <w:pPr>
              <w:pStyle w:val="Tabletext"/>
              <w:jc w:val="right"/>
              <w:rPr>
                <w:lang w:eastAsia="en-AU"/>
              </w:rPr>
            </w:pPr>
            <w:r w:rsidRPr="003A3865">
              <w:t>3.</w:t>
            </w:r>
            <w:r w:rsidR="003C5430">
              <w:t>7</w:t>
            </w:r>
          </w:p>
        </w:tc>
      </w:tr>
      <w:tr w:rsidR="00AF55D9" w14:paraId="39CB8C08" w14:textId="79F210C4" w:rsidTr="00AF55D9">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3AECA62A" w14:textId="257B2693" w:rsidR="00AF55D9" w:rsidRDefault="00AF55D9" w:rsidP="00AF55D9">
            <w:pPr>
              <w:pStyle w:val="Tabletext"/>
              <w:rPr>
                <w:lang w:eastAsia="en-AU"/>
              </w:rPr>
            </w:pPr>
            <w:r w:rsidRPr="003A3865">
              <w:t>Food Retailing</w:t>
            </w:r>
          </w:p>
        </w:tc>
        <w:tc>
          <w:tcPr>
            <w:tcW w:w="1372" w:type="dxa"/>
          </w:tcPr>
          <w:p w14:paraId="23AF7C51" w14:textId="3F131128" w:rsidR="00AF55D9" w:rsidRDefault="006C41E7" w:rsidP="00AF55D9">
            <w:pPr>
              <w:pStyle w:val="Tabletext"/>
              <w:jc w:val="right"/>
              <w:rPr>
                <w:lang w:eastAsia="en-AU"/>
              </w:rPr>
            </w:pPr>
            <w:r>
              <w:t>1.8</w:t>
            </w:r>
          </w:p>
        </w:tc>
        <w:tc>
          <w:tcPr>
            <w:tcW w:w="1372" w:type="dxa"/>
          </w:tcPr>
          <w:p w14:paraId="5FEBDDAA" w14:textId="2EA652F2" w:rsidR="00AF55D9" w:rsidRDefault="00AF55D9" w:rsidP="00AF55D9">
            <w:pPr>
              <w:pStyle w:val="Tabletext"/>
              <w:jc w:val="right"/>
              <w:rPr>
                <w:lang w:eastAsia="en-AU"/>
              </w:rPr>
            </w:pPr>
            <w:r w:rsidRPr="003A3865">
              <w:t>3.</w:t>
            </w:r>
            <w:r w:rsidR="003C5430">
              <w:t>4</w:t>
            </w:r>
          </w:p>
        </w:tc>
      </w:tr>
      <w:tr w:rsidR="00AF55D9" w14:paraId="27D2A848" w14:textId="6360164F" w:rsidTr="00AF55D9">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50C7CF7E" w14:textId="02C6A14A" w:rsidR="00AF55D9" w:rsidRDefault="00AF55D9" w:rsidP="00AF55D9">
            <w:pPr>
              <w:pStyle w:val="Tabletext"/>
              <w:tabs>
                <w:tab w:val="left" w:pos="930"/>
              </w:tabs>
              <w:rPr>
                <w:lang w:eastAsia="en-AU"/>
              </w:rPr>
            </w:pPr>
            <w:r w:rsidRPr="003A3865">
              <w:t>Other Goods Wholesaling</w:t>
            </w:r>
          </w:p>
        </w:tc>
        <w:tc>
          <w:tcPr>
            <w:tcW w:w="1372" w:type="dxa"/>
          </w:tcPr>
          <w:p w14:paraId="1C7004A5" w14:textId="11398D15" w:rsidR="00AF55D9" w:rsidRDefault="006C41E7" w:rsidP="00AF55D9">
            <w:pPr>
              <w:pStyle w:val="Tabletext"/>
              <w:jc w:val="right"/>
              <w:rPr>
                <w:lang w:eastAsia="en-AU"/>
              </w:rPr>
            </w:pPr>
            <w:r>
              <w:t>7.0</w:t>
            </w:r>
          </w:p>
        </w:tc>
        <w:tc>
          <w:tcPr>
            <w:tcW w:w="1372" w:type="dxa"/>
          </w:tcPr>
          <w:p w14:paraId="67E1BD18" w14:textId="3DC8D94B" w:rsidR="00AF55D9" w:rsidRDefault="00AF55D9" w:rsidP="003C5430">
            <w:pPr>
              <w:pStyle w:val="Tabletext"/>
              <w:jc w:val="right"/>
              <w:rPr>
                <w:lang w:eastAsia="en-AU"/>
              </w:rPr>
            </w:pPr>
            <w:r w:rsidRPr="003A3865">
              <w:t>3.</w:t>
            </w:r>
            <w:r w:rsidR="003C5430">
              <w:t>2</w:t>
            </w:r>
          </w:p>
        </w:tc>
      </w:tr>
      <w:tr w:rsidR="00AF55D9" w14:paraId="340935BA" w14:textId="0316E881" w:rsidTr="00AF55D9">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578E9E5B" w14:textId="09121CFF" w:rsidR="00AF55D9" w:rsidRDefault="00AF55D9" w:rsidP="00AF55D9">
            <w:pPr>
              <w:pStyle w:val="Tabletext"/>
              <w:rPr>
                <w:lang w:eastAsia="en-AU"/>
              </w:rPr>
            </w:pPr>
            <w:r w:rsidRPr="003A3865">
              <w:t xml:space="preserve">Administrative Services </w:t>
            </w:r>
          </w:p>
        </w:tc>
        <w:tc>
          <w:tcPr>
            <w:tcW w:w="1372" w:type="dxa"/>
          </w:tcPr>
          <w:p w14:paraId="155DFED9" w14:textId="4235035F" w:rsidR="00AF55D9" w:rsidRDefault="007355BA" w:rsidP="00AF55D9">
            <w:pPr>
              <w:pStyle w:val="Tabletext"/>
              <w:jc w:val="right"/>
              <w:rPr>
                <w:lang w:eastAsia="en-AU"/>
              </w:rPr>
            </w:pPr>
            <w:r>
              <w:t>3.4</w:t>
            </w:r>
          </w:p>
        </w:tc>
        <w:tc>
          <w:tcPr>
            <w:tcW w:w="1372" w:type="dxa"/>
          </w:tcPr>
          <w:p w14:paraId="183BD429" w14:textId="13B3133D" w:rsidR="00AF55D9" w:rsidRDefault="00603BE9" w:rsidP="00AF55D9">
            <w:pPr>
              <w:pStyle w:val="Tabletext"/>
              <w:jc w:val="right"/>
              <w:rPr>
                <w:lang w:eastAsia="en-AU"/>
              </w:rPr>
            </w:pPr>
            <w:r>
              <w:t>3.0</w:t>
            </w:r>
          </w:p>
        </w:tc>
      </w:tr>
      <w:tr w:rsidR="00AC76E3" w14:paraId="151A289D" w14:textId="586EA143" w:rsidTr="001E3044">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2756EB69" w14:textId="40C5E87A" w:rsidR="00AC76E3" w:rsidRDefault="002262CF" w:rsidP="00AC76E3">
            <w:pPr>
              <w:pStyle w:val="Tabletext"/>
              <w:rPr>
                <w:lang w:eastAsia="en-AU"/>
              </w:rPr>
            </w:pPr>
            <w:r>
              <w:rPr>
                <w:lang w:eastAsia="en-AU"/>
              </w:rPr>
              <w:t>Finance</w:t>
            </w:r>
          </w:p>
        </w:tc>
        <w:tc>
          <w:tcPr>
            <w:tcW w:w="1372" w:type="dxa"/>
            <w:vAlign w:val="bottom"/>
          </w:tcPr>
          <w:p w14:paraId="4C91EC11" w14:textId="7C4ED30D" w:rsidR="00AC76E3" w:rsidRPr="00EA5020" w:rsidRDefault="00DB664F" w:rsidP="00AC76E3">
            <w:pPr>
              <w:pStyle w:val="Tabletext"/>
              <w:jc w:val="right"/>
              <w:rPr>
                <w:lang w:eastAsia="en-AU"/>
              </w:rPr>
            </w:pPr>
            <w:r>
              <w:rPr>
                <w:lang w:eastAsia="en-AU"/>
              </w:rPr>
              <w:t>1.7</w:t>
            </w:r>
          </w:p>
        </w:tc>
        <w:tc>
          <w:tcPr>
            <w:tcW w:w="1372" w:type="dxa"/>
            <w:vAlign w:val="bottom"/>
          </w:tcPr>
          <w:p w14:paraId="2D3E9F81" w14:textId="3F87F73D" w:rsidR="00AC76E3" w:rsidRDefault="002262CF" w:rsidP="00AC76E3">
            <w:pPr>
              <w:pStyle w:val="Tabletext"/>
              <w:jc w:val="right"/>
              <w:rPr>
                <w:lang w:eastAsia="en-AU"/>
              </w:rPr>
            </w:pPr>
            <w:r>
              <w:rPr>
                <w:lang w:eastAsia="en-AU"/>
              </w:rPr>
              <w:t>2.2</w:t>
            </w:r>
          </w:p>
        </w:tc>
      </w:tr>
      <w:tr w:rsidR="00AC76E3" w14:paraId="50D959AA" w14:textId="415E5F5C" w:rsidTr="001E3044">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605EE31B" w14:textId="7A470BB7" w:rsidR="00AC76E3" w:rsidRDefault="00AC76E3" w:rsidP="00AC76E3">
            <w:pPr>
              <w:pStyle w:val="Tabletext"/>
              <w:rPr>
                <w:lang w:eastAsia="en-AU"/>
              </w:rPr>
            </w:pPr>
            <w:r>
              <w:rPr>
                <w:lang w:eastAsia="en-AU"/>
              </w:rPr>
              <w:t xml:space="preserve">Total </w:t>
            </w:r>
          </w:p>
        </w:tc>
        <w:tc>
          <w:tcPr>
            <w:tcW w:w="1372" w:type="dxa"/>
            <w:vAlign w:val="bottom"/>
          </w:tcPr>
          <w:p w14:paraId="333B680A" w14:textId="599AFCE3" w:rsidR="00AC76E3" w:rsidRDefault="00B111F1" w:rsidP="00AC76E3">
            <w:pPr>
              <w:pStyle w:val="Tabletext"/>
              <w:jc w:val="right"/>
              <w:rPr>
                <w:lang w:eastAsia="en-AU"/>
              </w:rPr>
            </w:pPr>
            <w:r>
              <w:rPr>
                <w:lang w:eastAsia="en-AU"/>
              </w:rPr>
              <w:t>48.9</w:t>
            </w:r>
          </w:p>
        </w:tc>
        <w:tc>
          <w:tcPr>
            <w:tcW w:w="1372" w:type="dxa"/>
            <w:vAlign w:val="bottom"/>
          </w:tcPr>
          <w:p w14:paraId="6EFE44AA" w14:textId="6EF94C5B" w:rsidR="00AC76E3" w:rsidRDefault="00AC76E3" w:rsidP="00AC76E3">
            <w:pPr>
              <w:pStyle w:val="Tabletext"/>
              <w:jc w:val="right"/>
              <w:rPr>
                <w:lang w:eastAsia="en-AU"/>
              </w:rPr>
            </w:pPr>
            <w:r>
              <w:rPr>
                <w:lang w:eastAsia="en-AU"/>
              </w:rPr>
              <w:t>61.9</w:t>
            </w:r>
          </w:p>
        </w:tc>
      </w:tr>
    </w:tbl>
    <w:p w14:paraId="50898247" w14:textId="6D7560E4" w:rsidR="00865731" w:rsidRPr="00C62F3A" w:rsidRDefault="00CE040D" w:rsidP="00865731">
      <w:pPr>
        <w:pStyle w:val="Note"/>
      </w:pPr>
      <w:r>
        <w:t xml:space="preserve">Notes: </w:t>
      </w:r>
      <w:r w:rsidR="0056490C">
        <w:t xml:space="preserve">Commission-based </w:t>
      </w:r>
      <w:r w:rsidR="002E1B01">
        <w:t xml:space="preserve">wholesaling </w:t>
      </w:r>
      <w:r w:rsidR="00BA7E16">
        <w:t xml:space="preserve">(subdivision 38) </w:t>
      </w:r>
      <w:r w:rsidR="002E1B01">
        <w:t xml:space="preserve">has </w:t>
      </w:r>
      <w:r w:rsidR="00677104">
        <w:t xml:space="preserve">been omitted due to </w:t>
      </w:r>
      <w:r w:rsidR="00BA7E16">
        <w:t xml:space="preserve">a major revision </w:t>
      </w:r>
      <w:r w:rsidR="00023C30">
        <w:t xml:space="preserve">– see cat 1292.0 </w:t>
      </w:r>
      <w:r w:rsidR="00C34745">
        <w:t xml:space="preserve">Australian and New Zealand Standard Industrial Classification (ANZSIC) 2006 (Revision 1.0). </w:t>
      </w:r>
    </w:p>
    <w:p w14:paraId="738C6ECB" w14:textId="5153EC45" w:rsidR="006A2ADB" w:rsidRDefault="00865731" w:rsidP="00E064AE">
      <w:pPr>
        <w:pStyle w:val="Source"/>
        <w:rPr>
          <w:lang w:eastAsia="en-AU"/>
        </w:rPr>
      </w:pPr>
      <w:r>
        <w:t xml:space="preserve">Source: </w:t>
      </w:r>
      <w:r w:rsidR="00016982">
        <w:t>BLADE (2019)</w:t>
      </w:r>
    </w:p>
    <w:p w14:paraId="01E88B79" w14:textId="1C4EF2B9" w:rsidR="005C2851" w:rsidRDefault="005C2851" w:rsidP="005C2851">
      <w:pPr>
        <w:pStyle w:val="Caption"/>
        <w:pBdr>
          <w:top w:val="single" w:sz="2" w:space="0" w:color="595A5B"/>
        </w:pBdr>
      </w:pPr>
      <w:r>
        <w:t>Table 2.</w:t>
      </w:r>
      <w:r w:rsidR="00CF43CA">
        <w:t>3</w:t>
      </w:r>
      <w:r w:rsidR="00665193">
        <w:t>: Top five</w:t>
      </w:r>
      <w:r>
        <w:t xml:space="preserve"> </w:t>
      </w:r>
      <w:r w:rsidR="00AD6D58">
        <w:t>four</w:t>
      </w:r>
      <w:r>
        <w:t xml:space="preserve">-digit ANZSIC </w:t>
      </w:r>
      <w:r w:rsidR="00E34B36">
        <w:t xml:space="preserve">industry </w:t>
      </w:r>
      <w:r w:rsidR="00AD6D58">
        <w:t>classes</w:t>
      </w:r>
      <w:r>
        <w:t xml:space="preserve"> of </w:t>
      </w:r>
      <w:r w:rsidR="00AD6D58">
        <w:t>BGFs</w:t>
      </w:r>
      <w:r>
        <w:t xml:space="preserve">, 2015–16 </w:t>
      </w:r>
      <w:r w:rsidR="00017D7E">
        <w:t xml:space="preserve">(compared to 2005–06)  </w:t>
      </w:r>
    </w:p>
    <w:tbl>
      <w:tblPr>
        <w:tblStyle w:val="OCETable"/>
        <w:tblW w:w="5031" w:type="pct"/>
        <w:tblLayout w:type="fixed"/>
        <w:tblLook w:val="04A0" w:firstRow="1" w:lastRow="0" w:firstColumn="1" w:lastColumn="0" w:noHBand="0" w:noVBand="1"/>
        <w:tblCaption w:val="Top five four-digit ANZSIC industry classes of BGFs, 2015–16 (compared to 2005–06)  "/>
        <w:tblDescription w:val="Like Table 2.2, the industry composition of BGFs at the 4-digit ANZSIC level has not changed greatly over the decade. "/>
      </w:tblPr>
      <w:tblGrid>
        <w:gridCol w:w="4193"/>
        <w:gridCol w:w="1372"/>
        <w:gridCol w:w="1372"/>
      </w:tblGrid>
      <w:tr w:rsidR="005C2851" w14:paraId="652F0780" w14:textId="77777777" w:rsidTr="00F17D8E">
        <w:trPr>
          <w:cnfStyle w:val="100000000000" w:firstRow="1" w:lastRow="0" w:firstColumn="0" w:lastColumn="0" w:oddVBand="0" w:evenVBand="0" w:oddHBand="0" w:evenHBand="0" w:firstRowFirstColumn="0" w:firstRowLastColumn="0" w:lastRowFirstColumn="0" w:lastRowLastColumn="0"/>
          <w:trHeight w:val="475"/>
          <w:tblHeader/>
        </w:trPr>
        <w:tc>
          <w:tcPr>
            <w:tcW w:w="4193" w:type="dxa"/>
          </w:tcPr>
          <w:p w14:paraId="513B4A9E" w14:textId="77777777" w:rsidR="005C2851" w:rsidRDefault="005C2851" w:rsidP="00F17D8E">
            <w:pPr>
              <w:pStyle w:val="Tableheader"/>
              <w:rPr>
                <w:lang w:eastAsia="en-AU"/>
              </w:rPr>
            </w:pPr>
            <w:r>
              <w:rPr>
                <w:lang w:eastAsia="en-AU"/>
              </w:rPr>
              <w:t xml:space="preserve">Industry  </w:t>
            </w:r>
          </w:p>
        </w:tc>
        <w:tc>
          <w:tcPr>
            <w:tcW w:w="1372" w:type="dxa"/>
          </w:tcPr>
          <w:p w14:paraId="6AAA68F0" w14:textId="77777777" w:rsidR="005C2851" w:rsidRDefault="005C2851" w:rsidP="00F17D8E">
            <w:pPr>
              <w:pStyle w:val="Tableheader"/>
              <w:jc w:val="right"/>
              <w:rPr>
                <w:lang w:eastAsia="en-AU"/>
              </w:rPr>
            </w:pPr>
            <w:r>
              <w:rPr>
                <w:lang w:eastAsia="en-AU"/>
              </w:rPr>
              <w:t xml:space="preserve">2005–06 </w:t>
            </w:r>
          </w:p>
        </w:tc>
        <w:tc>
          <w:tcPr>
            <w:tcW w:w="1372" w:type="dxa"/>
          </w:tcPr>
          <w:p w14:paraId="2688B25B" w14:textId="77777777" w:rsidR="005C2851" w:rsidRDefault="005C2851" w:rsidP="00F17D8E">
            <w:pPr>
              <w:pStyle w:val="Tableheader"/>
              <w:jc w:val="right"/>
              <w:rPr>
                <w:lang w:eastAsia="en-AU"/>
              </w:rPr>
            </w:pPr>
            <w:r>
              <w:rPr>
                <w:lang w:eastAsia="en-AU"/>
              </w:rPr>
              <w:t xml:space="preserve">2015–16 </w:t>
            </w:r>
          </w:p>
        </w:tc>
      </w:tr>
      <w:tr w:rsidR="00017D7E" w14:paraId="3AF91ADD" w14:textId="77777777" w:rsidTr="003F2344">
        <w:trPr>
          <w:cnfStyle w:val="000000100000" w:firstRow="0" w:lastRow="0" w:firstColumn="0" w:lastColumn="0" w:oddVBand="0" w:evenVBand="0" w:oddHBand="1" w:evenHBand="0" w:firstRowFirstColumn="0" w:firstRowLastColumn="0" w:lastRowFirstColumn="0" w:lastRowLastColumn="0"/>
          <w:trHeight w:val="237"/>
        </w:trPr>
        <w:tc>
          <w:tcPr>
            <w:tcW w:w="4193" w:type="dxa"/>
          </w:tcPr>
          <w:p w14:paraId="583FAD6A" w14:textId="0F797A60" w:rsidR="00017D7E" w:rsidRDefault="00A348C6" w:rsidP="00017D7E">
            <w:pPr>
              <w:pStyle w:val="Tabletext"/>
              <w:rPr>
                <w:lang w:eastAsia="en-AU"/>
              </w:rPr>
            </w:pPr>
            <w:r>
              <w:t>Management Advice and Related Consulting Services</w:t>
            </w:r>
          </w:p>
        </w:tc>
        <w:tc>
          <w:tcPr>
            <w:tcW w:w="1372" w:type="dxa"/>
            <w:vAlign w:val="center"/>
          </w:tcPr>
          <w:p w14:paraId="1D6A9E29" w14:textId="77777777" w:rsidR="00ED0D47" w:rsidRDefault="00ED0D47" w:rsidP="003F2344">
            <w:pPr>
              <w:pStyle w:val="Tabletext"/>
              <w:jc w:val="right"/>
            </w:pPr>
          </w:p>
          <w:p w14:paraId="1DEC9546" w14:textId="58D1A34A" w:rsidR="00017D7E" w:rsidRDefault="00017D7E" w:rsidP="003F2344">
            <w:pPr>
              <w:pStyle w:val="Tabletext"/>
              <w:jc w:val="right"/>
            </w:pPr>
            <w:r w:rsidRPr="00E626C4">
              <w:t>13.1</w:t>
            </w:r>
          </w:p>
        </w:tc>
        <w:tc>
          <w:tcPr>
            <w:tcW w:w="1372" w:type="dxa"/>
            <w:vAlign w:val="center"/>
          </w:tcPr>
          <w:p w14:paraId="18276923" w14:textId="09EBE33F" w:rsidR="00017D7E" w:rsidRDefault="00017D7E" w:rsidP="003F2344">
            <w:pPr>
              <w:pStyle w:val="Tabletext"/>
              <w:jc w:val="right"/>
            </w:pPr>
            <w:r w:rsidRPr="00EA4A86">
              <w:t>10.9</w:t>
            </w:r>
          </w:p>
        </w:tc>
      </w:tr>
      <w:tr w:rsidR="00017D7E" w14:paraId="596E393F" w14:textId="77777777" w:rsidTr="003F2344">
        <w:trPr>
          <w:cnfStyle w:val="000000010000" w:firstRow="0" w:lastRow="0" w:firstColumn="0" w:lastColumn="0" w:oddVBand="0" w:evenVBand="0" w:oddHBand="0" w:evenHBand="1" w:firstRowFirstColumn="0" w:firstRowLastColumn="0" w:lastRowFirstColumn="0" w:lastRowLastColumn="0"/>
          <w:trHeight w:val="237"/>
        </w:trPr>
        <w:tc>
          <w:tcPr>
            <w:tcW w:w="4193" w:type="dxa"/>
          </w:tcPr>
          <w:p w14:paraId="01885E24" w14:textId="732637C7" w:rsidR="00017D7E" w:rsidRDefault="00795D0D" w:rsidP="00017D7E">
            <w:pPr>
              <w:pStyle w:val="Tabletext"/>
              <w:rPr>
                <w:lang w:eastAsia="en-AU"/>
              </w:rPr>
            </w:pPr>
            <w:r>
              <w:t>Computer System Design and Related Services</w:t>
            </w:r>
          </w:p>
        </w:tc>
        <w:tc>
          <w:tcPr>
            <w:tcW w:w="1372" w:type="dxa"/>
            <w:vAlign w:val="center"/>
          </w:tcPr>
          <w:p w14:paraId="679033FD" w14:textId="7D723EA5" w:rsidR="00017D7E" w:rsidRDefault="00017D7E" w:rsidP="003F2344">
            <w:pPr>
              <w:pStyle w:val="Tabletext"/>
              <w:jc w:val="right"/>
            </w:pPr>
            <w:r w:rsidRPr="00E626C4">
              <w:t>12.4</w:t>
            </w:r>
          </w:p>
        </w:tc>
        <w:tc>
          <w:tcPr>
            <w:tcW w:w="1372" w:type="dxa"/>
            <w:vAlign w:val="center"/>
          </w:tcPr>
          <w:p w14:paraId="2227517F" w14:textId="7B321A9F" w:rsidR="00017D7E" w:rsidRDefault="00017D7E" w:rsidP="003F2344">
            <w:pPr>
              <w:pStyle w:val="Tabletext"/>
              <w:jc w:val="right"/>
            </w:pPr>
            <w:r w:rsidRPr="00EA4A86">
              <w:t>9.7</w:t>
            </w:r>
          </w:p>
        </w:tc>
      </w:tr>
      <w:tr w:rsidR="00017D7E" w14:paraId="4F3845A9" w14:textId="77777777" w:rsidTr="003F2344">
        <w:trPr>
          <w:cnfStyle w:val="000000100000" w:firstRow="0" w:lastRow="0" w:firstColumn="0" w:lastColumn="0" w:oddVBand="0" w:evenVBand="0" w:oddHBand="1" w:evenHBand="0" w:firstRowFirstColumn="0" w:firstRowLastColumn="0" w:lastRowFirstColumn="0" w:lastRowLastColumn="0"/>
          <w:trHeight w:val="476"/>
        </w:trPr>
        <w:tc>
          <w:tcPr>
            <w:tcW w:w="4193" w:type="dxa"/>
          </w:tcPr>
          <w:p w14:paraId="749703FE" w14:textId="7053F648" w:rsidR="00017D7E" w:rsidRDefault="00F6229B" w:rsidP="00017D7E">
            <w:pPr>
              <w:pStyle w:val="Tabletext"/>
              <w:rPr>
                <w:lang w:eastAsia="en-AU"/>
              </w:rPr>
            </w:pPr>
            <w:r>
              <w:t xml:space="preserve">Other Specialised Food Retailing </w:t>
            </w:r>
          </w:p>
        </w:tc>
        <w:tc>
          <w:tcPr>
            <w:tcW w:w="1372" w:type="dxa"/>
            <w:vAlign w:val="center"/>
          </w:tcPr>
          <w:p w14:paraId="60812CDE" w14:textId="22DA4E4F" w:rsidR="00017D7E" w:rsidRDefault="00017D7E" w:rsidP="003F2344">
            <w:pPr>
              <w:pStyle w:val="Tabletext"/>
              <w:jc w:val="right"/>
            </w:pPr>
            <w:r w:rsidRPr="00E626C4">
              <w:t>0.0</w:t>
            </w:r>
          </w:p>
        </w:tc>
        <w:tc>
          <w:tcPr>
            <w:tcW w:w="1372" w:type="dxa"/>
            <w:vAlign w:val="center"/>
          </w:tcPr>
          <w:p w14:paraId="56A33BC1" w14:textId="6FC97B68" w:rsidR="00017D7E" w:rsidRDefault="00017D7E" w:rsidP="003F2344">
            <w:pPr>
              <w:pStyle w:val="Tabletext"/>
              <w:jc w:val="right"/>
            </w:pPr>
            <w:r w:rsidRPr="00EA4A86">
              <w:t>4.7</w:t>
            </w:r>
          </w:p>
        </w:tc>
      </w:tr>
      <w:tr w:rsidR="00017D7E" w14:paraId="29215130" w14:textId="77777777" w:rsidTr="003F2344">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3CD54979" w14:textId="0A2FB7E7" w:rsidR="00017D7E" w:rsidRDefault="009D3EAA" w:rsidP="00017D7E">
            <w:pPr>
              <w:pStyle w:val="Tabletext"/>
              <w:rPr>
                <w:lang w:eastAsia="en-AU"/>
              </w:rPr>
            </w:pPr>
            <w:r>
              <w:t>Non-Store Retailing</w:t>
            </w:r>
          </w:p>
        </w:tc>
        <w:tc>
          <w:tcPr>
            <w:tcW w:w="1372" w:type="dxa"/>
            <w:vAlign w:val="center"/>
          </w:tcPr>
          <w:p w14:paraId="5D708212" w14:textId="2BFAE4AC" w:rsidR="00017D7E" w:rsidRDefault="00017D7E" w:rsidP="003F2344">
            <w:pPr>
              <w:pStyle w:val="Tabletext"/>
              <w:jc w:val="right"/>
            </w:pPr>
            <w:r w:rsidRPr="00E626C4">
              <w:t>1.1</w:t>
            </w:r>
          </w:p>
        </w:tc>
        <w:tc>
          <w:tcPr>
            <w:tcW w:w="1372" w:type="dxa"/>
            <w:vAlign w:val="center"/>
          </w:tcPr>
          <w:p w14:paraId="403AC195" w14:textId="49BFA574" w:rsidR="00017D7E" w:rsidRDefault="00017D7E" w:rsidP="003F2344">
            <w:pPr>
              <w:pStyle w:val="Tabletext"/>
              <w:jc w:val="right"/>
            </w:pPr>
            <w:r w:rsidRPr="00EA4A86">
              <w:t>4.4</w:t>
            </w:r>
          </w:p>
        </w:tc>
      </w:tr>
      <w:tr w:rsidR="00017D7E" w14:paraId="5AD21ECB" w14:textId="77777777" w:rsidTr="003F2344">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7E347307" w14:textId="5CEFE895" w:rsidR="00017D7E" w:rsidRDefault="009D3EAA" w:rsidP="00017D7E">
            <w:pPr>
              <w:pStyle w:val="Tabletext"/>
              <w:rPr>
                <w:lang w:eastAsia="en-AU"/>
              </w:rPr>
            </w:pPr>
            <w:r>
              <w:t>Other Grocery Wholesaling</w:t>
            </w:r>
          </w:p>
        </w:tc>
        <w:tc>
          <w:tcPr>
            <w:tcW w:w="1372" w:type="dxa"/>
            <w:vAlign w:val="center"/>
          </w:tcPr>
          <w:p w14:paraId="3D2DD685" w14:textId="53236842" w:rsidR="00017D7E" w:rsidRDefault="00017D7E" w:rsidP="003F2344">
            <w:pPr>
              <w:pStyle w:val="Tabletext"/>
              <w:jc w:val="right"/>
            </w:pPr>
            <w:r w:rsidRPr="00E626C4">
              <w:t>1.6</w:t>
            </w:r>
          </w:p>
        </w:tc>
        <w:tc>
          <w:tcPr>
            <w:tcW w:w="1372" w:type="dxa"/>
            <w:vAlign w:val="center"/>
          </w:tcPr>
          <w:p w14:paraId="228B7347" w14:textId="224EF96D" w:rsidR="00017D7E" w:rsidRDefault="00017D7E" w:rsidP="003F2344">
            <w:pPr>
              <w:pStyle w:val="Tabletext"/>
              <w:jc w:val="right"/>
            </w:pPr>
            <w:r w:rsidRPr="00EA4A86">
              <w:t>4.3</w:t>
            </w:r>
          </w:p>
        </w:tc>
      </w:tr>
      <w:tr w:rsidR="00017D7E" w14:paraId="6192AB9C" w14:textId="77777777" w:rsidTr="003F2344">
        <w:trPr>
          <w:cnfStyle w:val="000000010000" w:firstRow="0" w:lastRow="0" w:firstColumn="0" w:lastColumn="0" w:oddVBand="0" w:evenVBand="0" w:oddHBand="0" w:evenHBand="1" w:firstRowFirstColumn="0" w:firstRowLastColumn="0" w:lastRowFirstColumn="0" w:lastRowLastColumn="0"/>
          <w:trHeight w:val="389"/>
        </w:trPr>
        <w:tc>
          <w:tcPr>
            <w:tcW w:w="4193" w:type="dxa"/>
          </w:tcPr>
          <w:p w14:paraId="49F42DD5" w14:textId="3E1130F8" w:rsidR="00017D7E" w:rsidRDefault="007E1405" w:rsidP="00017D7E">
            <w:pPr>
              <w:pStyle w:val="Tabletext"/>
              <w:rPr>
                <w:lang w:eastAsia="en-AU"/>
              </w:rPr>
            </w:pPr>
            <w:r>
              <w:t>Engineering Design and Engineering Consulting Services</w:t>
            </w:r>
          </w:p>
        </w:tc>
        <w:tc>
          <w:tcPr>
            <w:tcW w:w="1372" w:type="dxa"/>
            <w:vAlign w:val="center"/>
          </w:tcPr>
          <w:p w14:paraId="378F2749" w14:textId="10639AA6" w:rsidR="00017D7E" w:rsidRDefault="00017D7E" w:rsidP="003F2344">
            <w:pPr>
              <w:pStyle w:val="Tabletext"/>
              <w:jc w:val="right"/>
            </w:pPr>
            <w:r w:rsidRPr="00E626C4">
              <w:t>4.2</w:t>
            </w:r>
          </w:p>
        </w:tc>
        <w:tc>
          <w:tcPr>
            <w:tcW w:w="1372" w:type="dxa"/>
            <w:vAlign w:val="center"/>
          </w:tcPr>
          <w:p w14:paraId="09E2EC5F" w14:textId="51DE8A7B" w:rsidR="00017D7E" w:rsidRDefault="00017D7E" w:rsidP="003F2344">
            <w:pPr>
              <w:pStyle w:val="Tabletext"/>
              <w:jc w:val="right"/>
            </w:pPr>
            <w:r w:rsidRPr="00EA4A86">
              <w:t>3.4</w:t>
            </w:r>
          </w:p>
        </w:tc>
      </w:tr>
      <w:tr w:rsidR="00017D7E" w14:paraId="41AFAB43" w14:textId="77777777" w:rsidTr="003F2344">
        <w:trPr>
          <w:cnfStyle w:val="000000100000" w:firstRow="0" w:lastRow="0" w:firstColumn="0" w:lastColumn="0" w:oddVBand="0" w:evenVBand="0" w:oddHBand="1" w:evenHBand="0" w:firstRowFirstColumn="0" w:firstRowLastColumn="0" w:lastRowFirstColumn="0" w:lastRowLastColumn="0"/>
          <w:trHeight w:val="389"/>
        </w:trPr>
        <w:tc>
          <w:tcPr>
            <w:tcW w:w="4193" w:type="dxa"/>
          </w:tcPr>
          <w:p w14:paraId="0CEBAD73" w14:textId="77777777" w:rsidR="00017D7E" w:rsidRDefault="00017D7E" w:rsidP="00017D7E">
            <w:pPr>
              <w:pStyle w:val="Tabletext"/>
              <w:rPr>
                <w:lang w:eastAsia="en-AU"/>
              </w:rPr>
            </w:pPr>
            <w:r>
              <w:rPr>
                <w:lang w:eastAsia="en-AU"/>
              </w:rPr>
              <w:t xml:space="preserve">Total </w:t>
            </w:r>
          </w:p>
        </w:tc>
        <w:tc>
          <w:tcPr>
            <w:tcW w:w="1372" w:type="dxa"/>
            <w:vAlign w:val="center"/>
          </w:tcPr>
          <w:p w14:paraId="4869D717" w14:textId="34992E81" w:rsidR="00017D7E" w:rsidRDefault="00AD6876" w:rsidP="003F2344">
            <w:pPr>
              <w:pStyle w:val="Tabletext"/>
              <w:jc w:val="right"/>
            </w:pPr>
            <w:r>
              <w:t>32.4</w:t>
            </w:r>
          </w:p>
        </w:tc>
        <w:tc>
          <w:tcPr>
            <w:tcW w:w="1372" w:type="dxa"/>
            <w:vAlign w:val="center"/>
          </w:tcPr>
          <w:p w14:paraId="1F6D5DAE" w14:textId="02DB141F" w:rsidR="00017D7E" w:rsidRDefault="00F01D1A" w:rsidP="003F2344">
            <w:pPr>
              <w:pStyle w:val="Tabletext"/>
              <w:jc w:val="right"/>
            </w:pPr>
            <w:r>
              <w:t>34.0</w:t>
            </w:r>
          </w:p>
        </w:tc>
      </w:tr>
    </w:tbl>
    <w:p w14:paraId="0B49F505" w14:textId="03A78F30" w:rsidR="005C2851" w:rsidRPr="00C62F3A" w:rsidRDefault="005C2851" w:rsidP="005C2851">
      <w:pPr>
        <w:pStyle w:val="Note"/>
      </w:pPr>
      <w:r>
        <w:t xml:space="preserve">Notes: Commission-based wholesaling (subdivision 38) has </w:t>
      </w:r>
      <w:r w:rsidR="00BF617E">
        <w:t>been omitted due to</w:t>
      </w:r>
      <w:r>
        <w:t xml:space="preserve"> a major revision – see cat 1292.0 Australian and New Zealand Standard Industrial Classification (ANZSIC) 2006 (Revision 1.0). </w:t>
      </w:r>
    </w:p>
    <w:p w14:paraId="2F4985D4" w14:textId="0500AF63" w:rsidR="005C2851" w:rsidRDefault="005C2851" w:rsidP="005C2851">
      <w:pPr>
        <w:pStyle w:val="Source"/>
      </w:pPr>
      <w:r>
        <w:t>Source: BLADE (2019)</w:t>
      </w:r>
    </w:p>
    <w:p w14:paraId="10ECB8EE" w14:textId="77777777" w:rsidR="005C2851" w:rsidRPr="00EA4A86" w:rsidRDefault="005C2851" w:rsidP="00E9137B">
      <w:pPr>
        <w:pStyle w:val="BodyText"/>
        <w:rPr>
          <w:lang w:val="en" w:eastAsia="en-AU"/>
        </w:rPr>
      </w:pPr>
    </w:p>
    <w:p w14:paraId="0FE4C97B" w14:textId="389E3E3B" w:rsidR="007D0FF3" w:rsidRDefault="007D0FF3" w:rsidP="007D0FF3">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rsidR="00CF43CA">
        <w:rPr>
          <w:noProof/>
        </w:rPr>
        <w:t>4</w:t>
      </w:r>
      <w:r>
        <w:rPr>
          <w:noProof/>
        </w:rPr>
        <w:t>:</w:t>
      </w:r>
      <w:r w:rsidRPr="000618FB">
        <w:t xml:space="preserve"> </w:t>
      </w:r>
      <w:r>
        <w:t>Additional characteristics of born global, exporters and all firms, 20</w:t>
      </w:r>
      <w:r w:rsidR="00C10D98">
        <w:t>15–16</w:t>
      </w:r>
    </w:p>
    <w:tbl>
      <w:tblPr>
        <w:tblStyle w:val="OCETable"/>
        <w:tblW w:w="5000" w:type="pct"/>
        <w:tblLayout w:type="fixed"/>
        <w:tblLook w:val="04A0" w:firstRow="1" w:lastRow="0" w:firstColumn="1" w:lastColumn="0" w:noHBand="0" w:noVBand="1"/>
        <w:tblCaption w:val="Additional characteristics of born global, exporters and all firms, 2015–16"/>
        <w:tblDescription w:val="This table shows the wage to turnover ratios, export intensities, foreign ownership rates and R&amp;D activity rates of BGFs, exporters and all firms. "/>
      </w:tblPr>
      <w:tblGrid>
        <w:gridCol w:w="3633"/>
        <w:gridCol w:w="1117"/>
        <w:gridCol w:w="1145"/>
        <w:gridCol w:w="999"/>
      </w:tblGrid>
      <w:tr w:rsidR="009B0EF6" w14:paraId="40C96900" w14:textId="77777777" w:rsidTr="004C01D3">
        <w:trPr>
          <w:cnfStyle w:val="100000000000" w:firstRow="1" w:lastRow="0" w:firstColumn="0" w:lastColumn="0" w:oddVBand="0" w:evenVBand="0" w:oddHBand="0" w:evenHBand="0" w:firstRowFirstColumn="0" w:firstRowLastColumn="0" w:lastRowFirstColumn="0" w:lastRowLastColumn="0"/>
          <w:trHeight w:val="523"/>
          <w:tblHeader/>
        </w:trPr>
        <w:tc>
          <w:tcPr>
            <w:tcW w:w="3692" w:type="dxa"/>
          </w:tcPr>
          <w:p w14:paraId="57121E3E" w14:textId="77777777" w:rsidR="009B0EF6" w:rsidRDefault="009B0EF6" w:rsidP="004166EE">
            <w:pPr>
              <w:pStyle w:val="Tableheader"/>
              <w:rPr>
                <w:lang w:eastAsia="en-AU"/>
              </w:rPr>
            </w:pPr>
            <w:r>
              <w:rPr>
                <w:lang w:eastAsia="en-AU"/>
              </w:rPr>
              <w:t xml:space="preserve">Characteristic </w:t>
            </w:r>
          </w:p>
        </w:tc>
        <w:tc>
          <w:tcPr>
            <w:tcW w:w="1132" w:type="dxa"/>
          </w:tcPr>
          <w:p w14:paraId="6D1F10F4" w14:textId="33C009A9" w:rsidR="009B0EF6" w:rsidRDefault="009B0EF6" w:rsidP="004166EE">
            <w:pPr>
              <w:pStyle w:val="Tableheader"/>
              <w:jc w:val="right"/>
              <w:rPr>
                <w:lang w:eastAsia="en-AU"/>
              </w:rPr>
            </w:pPr>
            <w:r>
              <w:rPr>
                <w:lang w:eastAsia="en-AU"/>
              </w:rPr>
              <w:t>BGFs 1 yearª</w:t>
            </w:r>
          </w:p>
        </w:tc>
        <w:tc>
          <w:tcPr>
            <w:tcW w:w="1161" w:type="dxa"/>
          </w:tcPr>
          <w:p w14:paraId="5BDA5813" w14:textId="318F8E26" w:rsidR="009B0EF6" w:rsidRDefault="009B0EF6" w:rsidP="004166EE">
            <w:pPr>
              <w:pStyle w:val="Tableheader"/>
              <w:jc w:val="right"/>
              <w:rPr>
                <w:lang w:eastAsia="en-AU"/>
              </w:rPr>
            </w:pPr>
            <w:r>
              <w:rPr>
                <w:lang w:eastAsia="en-AU"/>
              </w:rPr>
              <w:t>Exporters</w:t>
            </w:r>
            <w:r w:rsidR="00B862E8" w:rsidRPr="00B862E8">
              <w:rPr>
                <w:lang w:eastAsia="en-AU"/>
              </w:rPr>
              <w:t>ᵇ</w:t>
            </w:r>
            <w:r>
              <w:rPr>
                <w:lang w:eastAsia="en-AU"/>
              </w:rPr>
              <w:t xml:space="preserve"> </w:t>
            </w:r>
          </w:p>
        </w:tc>
        <w:tc>
          <w:tcPr>
            <w:tcW w:w="1012" w:type="dxa"/>
          </w:tcPr>
          <w:p w14:paraId="6271BF6B" w14:textId="77777777" w:rsidR="009B0EF6" w:rsidRDefault="009B0EF6" w:rsidP="004166EE">
            <w:pPr>
              <w:pStyle w:val="Tableheader"/>
              <w:jc w:val="right"/>
              <w:rPr>
                <w:lang w:eastAsia="en-AU"/>
              </w:rPr>
            </w:pPr>
            <w:r>
              <w:rPr>
                <w:lang w:eastAsia="en-AU"/>
              </w:rPr>
              <w:t xml:space="preserve">All firms  </w:t>
            </w:r>
          </w:p>
        </w:tc>
      </w:tr>
      <w:tr w:rsidR="009B0EF6" w14:paraId="72BC3F6D"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shd w:val="clear" w:color="auto" w:fill="BBE0F2" w:themeFill="accent2" w:themeFillTint="66"/>
          </w:tcPr>
          <w:p w14:paraId="09CE0BE1" w14:textId="08C5CBFB" w:rsidR="009B0EF6" w:rsidRPr="00BF5A62" w:rsidRDefault="009B0EF6" w:rsidP="00E95DB8">
            <w:pPr>
              <w:pStyle w:val="Tabletext"/>
              <w:rPr>
                <w:i/>
                <w:lang w:eastAsia="en-AU"/>
              </w:rPr>
            </w:pPr>
            <w:r>
              <w:rPr>
                <w:i/>
                <w:lang w:eastAsia="en-AU"/>
              </w:rPr>
              <w:t>Wage</w:t>
            </w:r>
            <w:r w:rsidR="00C917DF">
              <w:rPr>
                <w:i/>
                <w:lang w:eastAsia="en-AU"/>
              </w:rPr>
              <w:t xml:space="preserve"> to </w:t>
            </w:r>
            <w:r>
              <w:rPr>
                <w:i/>
                <w:lang w:eastAsia="en-AU"/>
              </w:rPr>
              <w:t>turnover ratio</w:t>
            </w:r>
            <w:r>
              <w:rPr>
                <w:lang w:eastAsia="en-AU"/>
              </w:rPr>
              <w:t>ᶜ</w:t>
            </w:r>
          </w:p>
        </w:tc>
        <w:tc>
          <w:tcPr>
            <w:tcW w:w="1132" w:type="dxa"/>
            <w:shd w:val="clear" w:color="auto" w:fill="BBE0F2" w:themeFill="accent2" w:themeFillTint="66"/>
          </w:tcPr>
          <w:p w14:paraId="40AA7946" w14:textId="77777777" w:rsidR="009B0EF6" w:rsidRDefault="009B0EF6" w:rsidP="004166EE">
            <w:pPr>
              <w:pStyle w:val="Tabletext"/>
              <w:jc w:val="right"/>
              <w:rPr>
                <w:lang w:eastAsia="en-AU"/>
              </w:rPr>
            </w:pPr>
          </w:p>
        </w:tc>
        <w:tc>
          <w:tcPr>
            <w:tcW w:w="1161" w:type="dxa"/>
            <w:shd w:val="clear" w:color="auto" w:fill="BBE0F2" w:themeFill="accent2" w:themeFillTint="66"/>
          </w:tcPr>
          <w:p w14:paraId="66FB57A8" w14:textId="5060F71D" w:rsidR="009B0EF6" w:rsidRDefault="009B0EF6" w:rsidP="004166EE">
            <w:pPr>
              <w:pStyle w:val="Tabletext"/>
              <w:jc w:val="right"/>
              <w:rPr>
                <w:lang w:eastAsia="en-AU"/>
              </w:rPr>
            </w:pPr>
          </w:p>
        </w:tc>
        <w:tc>
          <w:tcPr>
            <w:tcW w:w="1012" w:type="dxa"/>
            <w:shd w:val="clear" w:color="auto" w:fill="BBE0F2" w:themeFill="accent2" w:themeFillTint="66"/>
          </w:tcPr>
          <w:p w14:paraId="535EB114" w14:textId="77777777" w:rsidR="009B0EF6" w:rsidRDefault="009B0EF6" w:rsidP="004166EE">
            <w:pPr>
              <w:pStyle w:val="Tabletext"/>
              <w:jc w:val="right"/>
              <w:rPr>
                <w:lang w:eastAsia="en-AU"/>
              </w:rPr>
            </w:pPr>
          </w:p>
        </w:tc>
      </w:tr>
      <w:tr w:rsidR="009B0EF6" w14:paraId="19E56661"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tcPr>
          <w:p w14:paraId="3ADA3FC5" w14:textId="77777777" w:rsidR="009B0EF6" w:rsidRDefault="009B0EF6" w:rsidP="00663580">
            <w:pPr>
              <w:pStyle w:val="Tabletext"/>
              <w:rPr>
                <w:lang w:eastAsia="en-AU"/>
              </w:rPr>
            </w:pPr>
            <w:r>
              <w:rPr>
                <w:lang w:eastAsia="en-AU"/>
              </w:rPr>
              <w:t xml:space="preserve">Median </w:t>
            </w:r>
          </w:p>
        </w:tc>
        <w:tc>
          <w:tcPr>
            <w:tcW w:w="1132" w:type="dxa"/>
          </w:tcPr>
          <w:p w14:paraId="61CD361E" w14:textId="59342E3B" w:rsidR="009B0EF6" w:rsidRDefault="009B0EF6" w:rsidP="00663580">
            <w:pPr>
              <w:pStyle w:val="Tabletext"/>
              <w:jc w:val="right"/>
              <w:rPr>
                <w:lang w:eastAsia="en-AU"/>
              </w:rPr>
            </w:pPr>
            <w:r w:rsidRPr="00DD4DDC">
              <w:t>0.12</w:t>
            </w:r>
          </w:p>
        </w:tc>
        <w:tc>
          <w:tcPr>
            <w:tcW w:w="1161" w:type="dxa"/>
          </w:tcPr>
          <w:p w14:paraId="18A1F6AA" w14:textId="185FCA68" w:rsidR="009B0EF6" w:rsidRDefault="009B0EF6" w:rsidP="00663580">
            <w:pPr>
              <w:pStyle w:val="Tabletext"/>
              <w:jc w:val="right"/>
              <w:rPr>
                <w:lang w:eastAsia="en-AU"/>
              </w:rPr>
            </w:pPr>
            <w:r>
              <w:rPr>
                <w:lang w:eastAsia="en-AU"/>
              </w:rPr>
              <w:t>11.11</w:t>
            </w:r>
          </w:p>
        </w:tc>
        <w:tc>
          <w:tcPr>
            <w:tcW w:w="1012" w:type="dxa"/>
          </w:tcPr>
          <w:p w14:paraId="1880A277" w14:textId="77777777" w:rsidR="009B0EF6" w:rsidRDefault="009B0EF6" w:rsidP="00663580">
            <w:pPr>
              <w:pStyle w:val="Tabletext"/>
              <w:jc w:val="right"/>
              <w:rPr>
                <w:lang w:eastAsia="en-AU"/>
              </w:rPr>
            </w:pPr>
            <w:r>
              <w:rPr>
                <w:lang w:eastAsia="en-AU"/>
              </w:rPr>
              <w:t>8.59</w:t>
            </w:r>
          </w:p>
        </w:tc>
      </w:tr>
      <w:tr w:rsidR="009B0EF6" w14:paraId="32CE10FD"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tcPr>
          <w:p w14:paraId="10956518" w14:textId="77777777" w:rsidR="009B0EF6" w:rsidRDefault="009B0EF6" w:rsidP="00663580">
            <w:pPr>
              <w:pStyle w:val="Tabletext"/>
              <w:ind w:left="720" w:hanging="720"/>
              <w:rPr>
                <w:lang w:eastAsia="en-AU"/>
              </w:rPr>
            </w:pPr>
            <w:r>
              <w:rPr>
                <w:lang w:eastAsia="en-AU"/>
              </w:rPr>
              <w:t xml:space="preserve">Average </w:t>
            </w:r>
          </w:p>
        </w:tc>
        <w:tc>
          <w:tcPr>
            <w:tcW w:w="1132" w:type="dxa"/>
          </w:tcPr>
          <w:p w14:paraId="4E53F2A1" w14:textId="160B6CD7" w:rsidR="009B0EF6" w:rsidRDefault="009B0EF6" w:rsidP="00663580">
            <w:pPr>
              <w:pStyle w:val="Tabletext"/>
              <w:ind w:left="720" w:hanging="720"/>
              <w:jc w:val="right"/>
              <w:rPr>
                <w:lang w:eastAsia="en-AU"/>
              </w:rPr>
            </w:pPr>
            <w:r w:rsidRPr="00B32661">
              <w:t>0.35</w:t>
            </w:r>
          </w:p>
        </w:tc>
        <w:tc>
          <w:tcPr>
            <w:tcW w:w="1161" w:type="dxa"/>
          </w:tcPr>
          <w:p w14:paraId="058FEB13" w14:textId="65ED7F7B" w:rsidR="009B0EF6" w:rsidRDefault="009B0EF6" w:rsidP="00663580">
            <w:pPr>
              <w:pStyle w:val="Tabletext"/>
              <w:ind w:left="720" w:hanging="720"/>
              <w:jc w:val="right"/>
              <w:rPr>
                <w:lang w:eastAsia="en-AU"/>
              </w:rPr>
            </w:pPr>
            <w:r>
              <w:rPr>
                <w:lang w:eastAsia="en-AU"/>
              </w:rPr>
              <w:t>249.47</w:t>
            </w:r>
          </w:p>
        </w:tc>
        <w:tc>
          <w:tcPr>
            <w:tcW w:w="1012" w:type="dxa"/>
          </w:tcPr>
          <w:p w14:paraId="7D39F08B" w14:textId="77777777" w:rsidR="009B0EF6" w:rsidRDefault="009B0EF6" w:rsidP="00663580">
            <w:pPr>
              <w:pStyle w:val="Tabletext"/>
              <w:ind w:left="720" w:hanging="720"/>
              <w:jc w:val="right"/>
              <w:rPr>
                <w:lang w:eastAsia="en-AU"/>
              </w:rPr>
            </w:pPr>
            <w:r>
              <w:rPr>
                <w:lang w:eastAsia="en-AU"/>
              </w:rPr>
              <w:t>180.54</w:t>
            </w:r>
          </w:p>
        </w:tc>
      </w:tr>
      <w:tr w:rsidR="009B0EF6" w14:paraId="3E5A569E"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shd w:val="clear" w:color="auto" w:fill="BBE0F2" w:themeFill="accent2" w:themeFillTint="66"/>
          </w:tcPr>
          <w:p w14:paraId="266E8391" w14:textId="77777777" w:rsidR="009B0EF6" w:rsidRDefault="009B0EF6" w:rsidP="004166EE">
            <w:pPr>
              <w:pStyle w:val="Tabletext"/>
              <w:ind w:left="720" w:hanging="720"/>
              <w:rPr>
                <w:lang w:eastAsia="en-AU"/>
              </w:rPr>
            </w:pPr>
            <w:r>
              <w:rPr>
                <w:i/>
                <w:lang w:eastAsia="en-AU"/>
              </w:rPr>
              <w:t xml:space="preserve">Export intensity </w:t>
            </w:r>
          </w:p>
        </w:tc>
        <w:tc>
          <w:tcPr>
            <w:tcW w:w="1132" w:type="dxa"/>
            <w:shd w:val="clear" w:color="auto" w:fill="BBE0F2" w:themeFill="accent2" w:themeFillTint="66"/>
          </w:tcPr>
          <w:p w14:paraId="78BA1A5A" w14:textId="77777777" w:rsidR="009B0EF6" w:rsidRDefault="009B0EF6" w:rsidP="004166EE">
            <w:pPr>
              <w:pStyle w:val="Tabletext"/>
              <w:ind w:left="720" w:hanging="720"/>
              <w:jc w:val="right"/>
              <w:rPr>
                <w:lang w:eastAsia="en-AU"/>
              </w:rPr>
            </w:pPr>
          </w:p>
        </w:tc>
        <w:tc>
          <w:tcPr>
            <w:tcW w:w="1161" w:type="dxa"/>
            <w:shd w:val="clear" w:color="auto" w:fill="BBE0F2" w:themeFill="accent2" w:themeFillTint="66"/>
          </w:tcPr>
          <w:p w14:paraId="1691F63E" w14:textId="6BB5D249" w:rsidR="009B0EF6" w:rsidRDefault="009B0EF6" w:rsidP="004166EE">
            <w:pPr>
              <w:pStyle w:val="Tabletext"/>
              <w:ind w:left="720" w:hanging="720"/>
              <w:jc w:val="right"/>
              <w:rPr>
                <w:lang w:eastAsia="en-AU"/>
              </w:rPr>
            </w:pPr>
          </w:p>
        </w:tc>
        <w:tc>
          <w:tcPr>
            <w:tcW w:w="1012" w:type="dxa"/>
            <w:shd w:val="clear" w:color="auto" w:fill="BBE0F2" w:themeFill="accent2" w:themeFillTint="66"/>
          </w:tcPr>
          <w:p w14:paraId="78A072A0" w14:textId="77777777" w:rsidR="009B0EF6" w:rsidRDefault="009B0EF6" w:rsidP="004166EE">
            <w:pPr>
              <w:pStyle w:val="Tabletext"/>
              <w:ind w:left="720" w:hanging="720"/>
              <w:jc w:val="right"/>
              <w:rPr>
                <w:lang w:eastAsia="en-AU"/>
              </w:rPr>
            </w:pPr>
          </w:p>
        </w:tc>
      </w:tr>
      <w:tr w:rsidR="009B0EF6" w14:paraId="3CB6B2E4"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tcPr>
          <w:p w14:paraId="2AB9B3DB" w14:textId="77777777" w:rsidR="009B0EF6" w:rsidRDefault="009B0EF6" w:rsidP="004166EE">
            <w:pPr>
              <w:pStyle w:val="Tabletext"/>
              <w:ind w:left="720" w:hanging="720"/>
              <w:rPr>
                <w:lang w:eastAsia="en-AU"/>
              </w:rPr>
            </w:pPr>
            <w:r>
              <w:rPr>
                <w:lang w:eastAsia="en-AU"/>
              </w:rPr>
              <w:t xml:space="preserve">Median </w:t>
            </w:r>
          </w:p>
        </w:tc>
        <w:tc>
          <w:tcPr>
            <w:tcW w:w="1132" w:type="dxa"/>
          </w:tcPr>
          <w:p w14:paraId="3135A4D6" w14:textId="77777777" w:rsidR="009B0EF6" w:rsidRDefault="009B0EF6" w:rsidP="004166EE">
            <w:pPr>
              <w:pStyle w:val="Tabletext"/>
              <w:ind w:left="720" w:hanging="720"/>
              <w:jc w:val="right"/>
              <w:rPr>
                <w:lang w:eastAsia="en-AU"/>
              </w:rPr>
            </w:pPr>
            <w:r>
              <w:rPr>
                <w:lang w:eastAsia="en-AU"/>
              </w:rPr>
              <w:t>0.44</w:t>
            </w:r>
          </w:p>
        </w:tc>
        <w:tc>
          <w:tcPr>
            <w:tcW w:w="1161" w:type="dxa"/>
          </w:tcPr>
          <w:p w14:paraId="72017C22" w14:textId="0A0F390A" w:rsidR="009B0EF6" w:rsidRDefault="009B0EF6" w:rsidP="004166EE">
            <w:pPr>
              <w:pStyle w:val="Tabletext"/>
              <w:ind w:left="720" w:hanging="720"/>
              <w:jc w:val="right"/>
              <w:rPr>
                <w:lang w:eastAsia="en-AU"/>
              </w:rPr>
            </w:pPr>
            <w:r>
              <w:rPr>
                <w:lang w:eastAsia="en-AU"/>
              </w:rPr>
              <w:t>0.14</w:t>
            </w:r>
          </w:p>
        </w:tc>
        <w:tc>
          <w:tcPr>
            <w:tcW w:w="1012" w:type="dxa"/>
          </w:tcPr>
          <w:p w14:paraId="3E040EC0" w14:textId="77777777" w:rsidR="009B0EF6" w:rsidRDefault="009B0EF6" w:rsidP="004166EE">
            <w:pPr>
              <w:pStyle w:val="Tabletext"/>
              <w:ind w:left="720" w:hanging="720"/>
              <w:jc w:val="right"/>
              <w:rPr>
                <w:lang w:eastAsia="en-AU"/>
              </w:rPr>
            </w:pPr>
            <w:r>
              <w:rPr>
                <w:lang w:eastAsia="en-AU"/>
              </w:rPr>
              <w:t>-</w:t>
            </w:r>
          </w:p>
        </w:tc>
      </w:tr>
      <w:tr w:rsidR="009B0EF6" w14:paraId="551D8D2A"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tcPr>
          <w:p w14:paraId="47F9B82F" w14:textId="77777777" w:rsidR="009B0EF6" w:rsidRDefault="009B0EF6" w:rsidP="004166EE">
            <w:pPr>
              <w:pStyle w:val="Tabletext"/>
              <w:rPr>
                <w:lang w:eastAsia="en-AU"/>
              </w:rPr>
            </w:pPr>
            <w:r>
              <w:rPr>
                <w:lang w:eastAsia="en-AU"/>
              </w:rPr>
              <w:t>Average</w:t>
            </w:r>
          </w:p>
        </w:tc>
        <w:tc>
          <w:tcPr>
            <w:tcW w:w="1132" w:type="dxa"/>
          </w:tcPr>
          <w:p w14:paraId="521BB75E" w14:textId="77777777" w:rsidR="009B0EF6" w:rsidRDefault="009B0EF6" w:rsidP="004166EE">
            <w:pPr>
              <w:pStyle w:val="Tabletext"/>
              <w:jc w:val="right"/>
              <w:rPr>
                <w:lang w:eastAsia="en-AU"/>
              </w:rPr>
            </w:pPr>
            <w:r>
              <w:rPr>
                <w:lang w:eastAsia="en-AU"/>
              </w:rPr>
              <w:t>0.49</w:t>
            </w:r>
          </w:p>
        </w:tc>
        <w:tc>
          <w:tcPr>
            <w:tcW w:w="1161" w:type="dxa"/>
          </w:tcPr>
          <w:p w14:paraId="0C567841" w14:textId="44E7AB64" w:rsidR="009B0EF6" w:rsidRDefault="009B0EF6" w:rsidP="004166EE">
            <w:pPr>
              <w:pStyle w:val="Tabletext"/>
              <w:jc w:val="right"/>
              <w:rPr>
                <w:lang w:eastAsia="en-AU"/>
              </w:rPr>
            </w:pPr>
            <w:r>
              <w:rPr>
                <w:lang w:eastAsia="en-AU"/>
              </w:rPr>
              <w:t>0.31</w:t>
            </w:r>
          </w:p>
        </w:tc>
        <w:tc>
          <w:tcPr>
            <w:tcW w:w="1012" w:type="dxa"/>
          </w:tcPr>
          <w:p w14:paraId="6C5006B0" w14:textId="77777777" w:rsidR="009B0EF6" w:rsidRDefault="009B0EF6" w:rsidP="004166EE">
            <w:pPr>
              <w:pStyle w:val="Tabletext"/>
              <w:jc w:val="right"/>
              <w:rPr>
                <w:lang w:eastAsia="en-AU"/>
              </w:rPr>
            </w:pPr>
            <w:r>
              <w:rPr>
                <w:lang w:eastAsia="en-AU"/>
              </w:rPr>
              <w:t>-</w:t>
            </w:r>
          </w:p>
        </w:tc>
      </w:tr>
      <w:tr w:rsidR="009B0EF6" w14:paraId="7EA34549"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shd w:val="clear" w:color="auto" w:fill="BBE0F2" w:themeFill="accent2" w:themeFillTint="66"/>
          </w:tcPr>
          <w:p w14:paraId="69BD6E94" w14:textId="3DE6ABD7" w:rsidR="009B0EF6" w:rsidRPr="00AB69FB" w:rsidRDefault="009B0EF6" w:rsidP="004166EE">
            <w:pPr>
              <w:pStyle w:val="Tabletext"/>
              <w:rPr>
                <w:i/>
                <w:lang w:eastAsia="en-AU"/>
              </w:rPr>
            </w:pPr>
            <w:r w:rsidRPr="00AB69FB">
              <w:rPr>
                <w:i/>
                <w:lang w:eastAsia="en-AU"/>
              </w:rPr>
              <w:t>Foreign ownership</w:t>
            </w:r>
            <w:r>
              <w:rPr>
                <w:i/>
                <w:lang w:eastAsia="en-AU"/>
              </w:rPr>
              <w:t xml:space="preserve"> (share)</w:t>
            </w:r>
          </w:p>
        </w:tc>
        <w:tc>
          <w:tcPr>
            <w:tcW w:w="1132" w:type="dxa"/>
            <w:shd w:val="clear" w:color="auto" w:fill="BBE0F2" w:themeFill="accent2" w:themeFillTint="66"/>
          </w:tcPr>
          <w:p w14:paraId="23481A4E" w14:textId="77777777" w:rsidR="009B0EF6" w:rsidRDefault="009B0EF6" w:rsidP="004166EE">
            <w:pPr>
              <w:pStyle w:val="Tabletext"/>
              <w:jc w:val="right"/>
              <w:rPr>
                <w:lang w:eastAsia="en-AU"/>
              </w:rPr>
            </w:pPr>
          </w:p>
        </w:tc>
        <w:tc>
          <w:tcPr>
            <w:tcW w:w="1161" w:type="dxa"/>
            <w:shd w:val="clear" w:color="auto" w:fill="BBE0F2" w:themeFill="accent2" w:themeFillTint="66"/>
          </w:tcPr>
          <w:p w14:paraId="2025E373" w14:textId="0B3C162A" w:rsidR="009B0EF6" w:rsidRDefault="009B0EF6" w:rsidP="004166EE">
            <w:pPr>
              <w:pStyle w:val="Tabletext"/>
              <w:jc w:val="right"/>
              <w:rPr>
                <w:lang w:eastAsia="en-AU"/>
              </w:rPr>
            </w:pPr>
          </w:p>
        </w:tc>
        <w:tc>
          <w:tcPr>
            <w:tcW w:w="1012" w:type="dxa"/>
            <w:shd w:val="clear" w:color="auto" w:fill="BBE0F2" w:themeFill="accent2" w:themeFillTint="66"/>
          </w:tcPr>
          <w:p w14:paraId="689386B2" w14:textId="77777777" w:rsidR="009B0EF6" w:rsidRDefault="009B0EF6" w:rsidP="004166EE">
            <w:pPr>
              <w:pStyle w:val="Tabletext"/>
              <w:jc w:val="right"/>
              <w:rPr>
                <w:lang w:eastAsia="en-AU"/>
              </w:rPr>
            </w:pPr>
          </w:p>
        </w:tc>
      </w:tr>
      <w:tr w:rsidR="009B0EF6" w14:paraId="45C9379F"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tcPr>
          <w:p w14:paraId="58A5ED91" w14:textId="77777777" w:rsidR="009B0EF6" w:rsidRPr="00AB69FB" w:rsidRDefault="009B0EF6" w:rsidP="00520A08">
            <w:pPr>
              <w:pStyle w:val="Tabletext"/>
              <w:rPr>
                <w:lang w:eastAsia="en-AU"/>
              </w:rPr>
            </w:pPr>
            <w:r w:rsidRPr="00AB69FB">
              <w:rPr>
                <w:lang w:eastAsia="en-AU"/>
              </w:rPr>
              <w:t xml:space="preserve">Any </w:t>
            </w:r>
          </w:p>
        </w:tc>
        <w:tc>
          <w:tcPr>
            <w:tcW w:w="1132" w:type="dxa"/>
          </w:tcPr>
          <w:p w14:paraId="7097AAD1" w14:textId="3E30BAB2" w:rsidR="009B0EF6" w:rsidRPr="00AB69FB" w:rsidRDefault="009B0EF6" w:rsidP="00520A08">
            <w:pPr>
              <w:pStyle w:val="Tabletext"/>
              <w:jc w:val="right"/>
              <w:rPr>
                <w:i/>
                <w:lang w:eastAsia="en-AU"/>
              </w:rPr>
            </w:pPr>
            <w:r w:rsidRPr="00C04540">
              <w:t>4.76</w:t>
            </w:r>
          </w:p>
        </w:tc>
        <w:tc>
          <w:tcPr>
            <w:tcW w:w="1161" w:type="dxa"/>
          </w:tcPr>
          <w:p w14:paraId="0580F749" w14:textId="7F6C9AA0" w:rsidR="009B0EF6" w:rsidRPr="00AB69FB" w:rsidRDefault="009B0EF6" w:rsidP="00520A08">
            <w:pPr>
              <w:pStyle w:val="Tabletext"/>
              <w:jc w:val="right"/>
              <w:rPr>
                <w:i/>
                <w:lang w:eastAsia="en-AU"/>
              </w:rPr>
            </w:pPr>
            <w:r>
              <w:rPr>
                <w:lang w:eastAsia="en-AU"/>
              </w:rPr>
              <w:t>4.98</w:t>
            </w:r>
          </w:p>
        </w:tc>
        <w:tc>
          <w:tcPr>
            <w:tcW w:w="1012" w:type="dxa"/>
          </w:tcPr>
          <w:p w14:paraId="3F9B599A" w14:textId="77777777" w:rsidR="009B0EF6" w:rsidRPr="00AB69FB" w:rsidRDefault="009B0EF6" w:rsidP="00520A08">
            <w:pPr>
              <w:pStyle w:val="Tabletext"/>
              <w:jc w:val="right"/>
              <w:rPr>
                <w:i/>
                <w:lang w:eastAsia="en-AU"/>
              </w:rPr>
            </w:pPr>
            <w:r>
              <w:rPr>
                <w:lang w:eastAsia="en-AU"/>
              </w:rPr>
              <w:t>0.49</w:t>
            </w:r>
          </w:p>
        </w:tc>
      </w:tr>
      <w:tr w:rsidR="009B0EF6" w14:paraId="0FD3742E"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tcPr>
          <w:p w14:paraId="53679DF6" w14:textId="77777777" w:rsidR="009B0EF6" w:rsidRDefault="009B0EF6" w:rsidP="00520A08">
            <w:pPr>
              <w:pStyle w:val="Tabletext"/>
              <w:rPr>
                <w:i/>
                <w:lang w:eastAsia="en-AU"/>
              </w:rPr>
            </w:pPr>
            <w:r>
              <w:t xml:space="preserve">More than 50% </w:t>
            </w:r>
          </w:p>
        </w:tc>
        <w:tc>
          <w:tcPr>
            <w:tcW w:w="1132" w:type="dxa"/>
          </w:tcPr>
          <w:p w14:paraId="4923BFFB" w14:textId="1012CC77" w:rsidR="009B0EF6" w:rsidRDefault="009B0EF6" w:rsidP="00520A08">
            <w:pPr>
              <w:pStyle w:val="Tabletext"/>
              <w:jc w:val="right"/>
              <w:rPr>
                <w:lang w:eastAsia="en-AU"/>
              </w:rPr>
            </w:pPr>
            <w:r w:rsidRPr="00A257A5">
              <w:t>1.83</w:t>
            </w:r>
          </w:p>
        </w:tc>
        <w:tc>
          <w:tcPr>
            <w:tcW w:w="1161" w:type="dxa"/>
          </w:tcPr>
          <w:p w14:paraId="7B88E34F" w14:textId="7A25FFFC" w:rsidR="009B0EF6" w:rsidRDefault="009B0EF6" w:rsidP="00520A08">
            <w:pPr>
              <w:pStyle w:val="Tabletext"/>
              <w:jc w:val="right"/>
              <w:rPr>
                <w:lang w:eastAsia="en-AU"/>
              </w:rPr>
            </w:pPr>
            <w:r w:rsidRPr="00D15DDE">
              <w:t>3.19</w:t>
            </w:r>
          </w:p>
        </w:tc>
        <w:tc>
          <w:tcPr>
            <w:tcW w:w="1012" w:type="dxa"/>
          </w:tcPr>
          <w:p w14:paraId="4D8559D1" w14:textId="77777777" w:rsidR="009B0EF6" w:rsidRDefault="009B0EF6" w:rsidP="00520A08">
            <w:pPr>
              <w:pStyle w:val="Tabletext"/>
              <w:jc w:val="right"/>
              <w:rPr>
                <w:lang w:eastAsia="en-AU"/>
              </w:rPr>
            </w:pPr>
            <w:r w:rsidRPr="00D15DDE">
              <w:t>0.34</w:t>
            </w:r>
          </w:p>
        </w:tc>
      </w:tr>
      <w:tr w:rsidR="009B0EF6" w14:paraId="1CD6322E"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shd w:val="clear" w:color="auto" w:fill="BBE0F2" w:themeFill="accent2" w:themeFillTint="66"/>
          </w:tcPr>
          <w:p w14:paraId="3E1CC69A" w14:textId="77777777" w:rsidR="009B0EF6" w:rsidRPr="00AB69FB" w:rsidRDefault="009B0EF6" w:rsidP="004166EE">
            <w:pPr>
              <w:pStyle w:val="Tabletext"/>
              <w:tabs>
                <w:tab w:val="center" w:pos="750"/>
              </w:tabs>
              <w:rPr>
                <w:i/>
                <w:lang w:eastAsia="en-AU"/>
              </w:rPr>
            </w:pPr>
            <w:r w:rsidRPr="00AB69FB">
              <w:rPr>
                <w:i/>
                <w:lang w:eastAsia="en-AU"/>
              </w:rPr>
              <w:t xml:space="preserve">R&amp;D activity </w:t>
            </w:r>
            <w:r w:rsidRPr="00AB69FB">
              <w:rPr>
                <w:i/>
                <w:lang w:eastAsia="en-AU"/>
              </w:rPr>
              <w:tab/>
            </w:r>
          </w:p>
        </w:tc>
        <w:tc>
          <w:tcPr>
            <w:tcW w:w="1132" w:type="dxa"/>
            <w:shd w:val="clear" w:color="auto" w:fill="BBE0F2" w:themeFill="accent2" w:themeFillTint="66"/>
          </w:tcPr>
          <w:p w14:paraId="70FBDD21" w14:textId="77777777" w:rsidR="009B0EF6" w:rsidRDefault="009B0EF6" w:rsidP="004166EE">
            <w:pPr>
              <w:pStyle w:val="Tabletext"/>
              <w:jc w:val="right"/>
              <w:rPr>
                <w:lang w:eastAsia="en-AU"/>
              </w:rPr>
            </w:pPr>
          </w:p>
        </w:tc>
        <w:tc>
          <w:tcPr>
            <w:tcW w:w="1161" w:type="dxa"/>
            <w:shd w:val="clear" w:color="auto" w:fill="BBE0F2" w:themeFill="accent2" w:themeFillTint="66"/>
          </w:tcPr>
          <w:p w14:paraId="095F3D5E" w14:textId="10C364D9" w:rsidR="009B0EF6" w:rsidRDefault="009B0EF6" w:rsidP="004166EE">
            <w:pPr>
              <w:pStyle w:val="Tabletext"/>
              <w:jc w:val="right"/>
              <w:rPr>
                <w:lang w:eastAsia="en-AU"/>
              </w:rPr>
            </w:pPr>
          </w:p>
        </w:tc>
        <w:tc>
          <w:tcPr>
            <w:tcW w:w="1012" w:type="dxa"/>
            <w:shd w:val="clear" w:color="auto" w:fill="BBE0F2" w:themeFill="accent2" w:themeFillTint="66"/>
          </w:tcPr>
          <w:p w14:paraId="25C1F4B9" w14:textId="77777777" w:rsidR="009B0EF6" w:rsidRDefault="009B0EF6" w:rsidP="004166EE">
            <w:pPr>
              <w:pStyle w:val="Tabletext"/>
              <w:jc w:val="right"/>
              <w:rPr>
                <w:lang w:eastAsia="en-AU"/>
              </w:rPr>
            </w:pPr>
          </w:p>
        </w:tc>
      </w:tr>
      <w:tr w:rsidR="009B0EF6" w14:paraId="744D9E10"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tcPr>
          <w:p w14:paraId="604FC170" w14:textId="39D3219B" w:rsidR="009B0EF6" w:rsidRDefault="009B0EF6" w:rsidP="00520A08">
            <w:pPr>
              <w:pStyle w:val="Tabletext"/>
              <w:rPr>
                <w:lang w:eastAsia="en-AU"/>
              </w:rPr>
            </w:pPr>
            <w:r>
              <w:rPr>
                <w:lang w:eastAsia="en-AU"/>
              </w:rPr>
              <w:t>R&amp;D active share</w:t>
            </w:r>
          </w:p>
        </w:tc>
        <w:tc>
          <w:tcPr>
            <w:tcW w:w="1132" w:type="dxa"/>
          </w:tcPr>
          <w:p w14:paraId="6EBCBE66" w14:textId="2CF86D97" w:rsidR="009B0EF6" w:rsidRPr="007A4CDA" w:rsidRDefault="009B0EF6" w:rsidP="00520A08">
            <w:pPr>
              <w:pStyle w:val="Tabletext"/>
              <w:jc w:val="right"/>
              <w:rPr>
                <w:lang w:eastAsia="en-AU"/>
              </w:rPr>
            </w:pPr>
            <w:r w:rsidRPr="00197583">
              <w:t>5.1</w:t>
            </w:r>
            <w:r>
              <w:t>0</w:t>
            </w:r>
          </w:p>
        </w:tc>
        <w:tc>
          <w:tcPr>
            <w:tcW w:w="1161" w:type="dxa"/>
          </w:tcPr>
          <w:p w14:paraId="59E151A7" w14:textId="31953A16" w:rsidR="009B0EF6" w:rsidRDefault="009B0EF6" w:rsidP="00520A08">
            <w:pPr>
              <w:pStyle w:val="Tabletext"/>
              <w:jc w:val="right"/>
              <w:rPr>
                <w:lang w:eastAsia="en-AU"/>
              </w:rPr>
            </w:pPr>
            <w:r>
              <w:rPr>
                <w:lang w:eastAsia="en-AU"/>
              </w:rPr>
              <w:t>6.55</w:t>
            </w:r>
          </w:p>
        </w:tc>
        <w:tc>
          <w:tcPr>
            <w:tcW w:w="1012" w:type="dxa"/>
          </w:tcPr>
          <w:p w14:paraId="34066496" w14:textId="77777777" w:rsidR="009B0EF6" w:rsidRDefault="009B0EF6" w:rsidP="00520A08">
            <w:pPr>
              <w:pStyle w:val="Tabletext"/>
              <w:jc w:val="right"/>
              <w:rPr>
                <w:lang w:eastAsia="en-AU"/>
              </w:rPr>
            </w:pPr>
            <w:r>
              <w:rPr>
                <w:lang w:eastAsia="en-AU"/>
              </w:rPr>
              <w:t>0.65</w:t>
            </w:r>
          </w:p>
        </w:tc>
      </w:tr>
      <w:tr w:rsidR="009B0EF6" w14:paraId="5437B9B7" w14:textId="77777777" w:rsidTr="004C01D3">
        <w:trPr>
          <w:cnfStyle w:val="000000010000" w:firstRow="0" w:lastRow="0" w:firstColumn="0" w:lastColumn="0" w:oddVBand="0" w:evenVBand="0" w:oddHBand="0" w:evenHBand="1" w:firstRowFirstColumn="0" w:firstRowLastColumn="0" w:lastRowFirstColumn="0" w:lastRowLastColumn="0"/>
          <w:trHeight w:val="260"/>
        </w:trPr>
        <w:tc>
          <w:tcPr>
            <w:tcW w:w="3692" w:type="dxa"/>
          </w:tcPr>
          <w:p w14:paraId="60B5C844" w14:textId="77777777" w:rsidR="009B0EF6" w:rsidRDefault="009B0EF6" w:rsidP="00520A08">
            <w:pPr>
              <w:pStyle w:val="Tabletext"/>
              <w:rPr>
                <w:lang w:eastAsia="en-AU"/>
              </w:rPr>
            </w:pPr>
            <w:r>
              <w:rPr>
                <w:lang w:eastAsia="en-AU"/>
              </w:rPr>
              <w:t xml:space="preserve">R&amp;D intensity (median)  </w:t>
            </w:r>
          </w:p>
        </w:tc>
        <w:tc>
          <w:tcPr>
            <w:tcW w:w="1132" w:type="dxa"/>
          </w:tcPr>
          <w:p w14:paraId="38D0CDAB" w14:textId="58B3242C" w:rsidR="009B0EF6" w:rsidRDefault="009B0EF6" w:rsidP="00520A08">
            <w:pPr>
              <w:pStyle w:val="Tabletext"/>
              <w:jc w:val="right"/>
              <w:rPr>
                <w:lang w:eastAsia="en-AU"/>
              </w:rPr>
            </w:pPr>
            <w:r w:rsidRPr="00412243">
              <w:t>0.01</w:t>
            </w:r>
          </w:p>
        </w:tc>
        <w:tc>
          <w:tcPr>
            <w:tcW w:w="1161" w:type="dxa"/>
          </w:tcPr>
          <w:p w14:paraId="3D6EE15A" w14:textId="169C76A2" w:rsidR="009B0EF6" w:rsidRDefault="009B0EF6" w:rsidP="00520A08">
            <w:pPr>
              <w:pStyle w:val="Tabletext"/>
              <w:jc w:val="right"/>
              <w:rPr>
                <w:lang w:eastAsia="en-AU"/>
              </w:rPr>
            </w:pPr>
            <w:r>
              <w:rPr>
                <w:lang w:eastAsia="en-AU"/>
              </w:rPr>
              <w:t>0.09</w:t>
            </w:r>
          </w:p>
        </w:tc>
        <w:tc>
          <w:tcPr>
            <w:tcW w:w="1012" w:type="dxa"/>
          </w:tcPr>
          <w:p w14:paraId="61C8176E" w14:textId="77777777" w:rsidR="009B0EF6" w:rsidRDefault="009B0EF6" w:rsidP="00520A08">
            <w:pPr>
              <w:pStyle w:val="Tabletext"/>
              <w:jc w:val="right"/>
              <w:rPr>
                <w:lang w:eastAsia="en-AU"/>
              </w:rPr>
            </w:pPr>
            <w:r>
              <w:rPr>
                <w:lang w:eastAsia="en-AU"/>
              </w:rPr>
              <w:t>0.11</w:t>
            </w:r>
          </w:p>
        </w:tc>
      </w:tr>
      <w:tr w:rsidR="009B0EF6" w14:paraId="1AA048A9" w14:textId="77777777" w:rsidTr="004C01D3">
        <w:trPr>
          <w:cnfStyle w:val="000000100000" w:firstRow="0" w:lastRow="0" w:firstColumn="0" w:lastColumn="0" w:oddVBand="0" w:evenVBand="0" w:oddHBand="1" w:evenHBand="0" w:firstRowFirstColumn="0" w:firstRowLastColumn="0" w:lastRowFirstColumn="0" w:lastRowLastColumn="0"/>
          <w:trHeight w:val="260"/>
        </w:trPr>
        <w:tc>
          <w:tcPr>
            <w:tcW w:w="3692" w:type="dxa"/>
          </w:tcPr>
          <w:p w14:paraId="78DC8AC0" w14:textId="77777777" w:rsidR="009B0EF6" w:rsidRDefault="009B0EF6" w:rsidP="00520A08">
            <w:pPr>
              <w:pStyle w:val="Tabletext"/>
              <w:rPr>
                <w:lang w:eastAsia="en-AU"/>
              </w:rPr>
            </w:pPr>
            <w:r>
              <w:rPr>
                <w:lang w:eastAsia="en-AU"/>
              </w:rPr>
              <w:t>R&amp;D intensity (average)</w:t>
            </w:r>
          </w:p>
        </w:tc>
        <w:tc>
          <w:tcPr>
            <w:tcW w:w="1132" w:type="dxa"/>
          </w:tcPr>
          <w:p w14:paraId="3FC3EFD2" w14:textId="2E53963A" w:rsidR="009B0EF6" w:rsidRDefault="009B0EF6" w:rsidP="00520A08">
            <w:pPr>
              <w:pStyle w:val="Tabletext"/>
              <w:jc w:val="right"/>
              <w:rPr>
                <w:lang w:eastAsia="en-AU"/>
              </w:rPr>
            </w:pPr>
            <w:r w:rsidRPr="0016656A">
              <w:t>0.10</w:t>
            </w:r>
          </w:p>
        </w:tc>
        <w:tc>
          <w:tcPr>
            <w:tcW w:w="1161" w:type="dxa"/>
          </w:tcPr>
          <w:p w14:paraId="5AD41FBB" w14:textId="11178327" w:rsidR="009B0EF6" w:rsidRDefault="009B0EF6" w:rsidP="00520A08">
            <w:pPr>
              <w:pStyle w:val="Tabletext"/>
              <w:jc w:val="right"/>
              <w:rPr>
                <w:lang w:eastAsia="en-AU"/>
              </w:rPr>
            </w:pPr>
            <w:r>
              <w:rPr>
                <w:lang w:eastAsia="en-AU"/>
              </w:rPr>
              <w:t>0.18</w:t>
            </w:r>
          </w:p>
        </w:tc>
        <w:tc>
          <w:tcPr>
            <w:tcW w:w="1012" w:type="dxa"/>
          </w:tcPr>
          <w:p w14:paraId="16D23DF9" w14:textId="51760ECE" w:rsidR="009B0EF6" w:rsidRDefault="009B0EF6" w:rsidP="00520A08">
            <w:pPr>
              <w:pStyle w:val="Tabletext"/>
              <w:jc w:val="right"/>
              <w:rPr>
                <w:lang w:eastAsia="en-AU"/>
              </w:rPr>
            </w:pPr>
            <w:r>
              <w:rPr>
                <w:lang w:eastAsia="en-AU"/>
              </w:rPr>
              <w:t>0.21</w:t>
            </w:r>
          </w:p>
        </w:tc>
      </w:tr>
    </w:tbl>
    <w:p w14:paraId="12102EA6" w14:textId="5712729F" w:rsidR="007D0FF3" w:rsidRPr="00BD1002" w:rsidRDefault="007D0FF3" w:rsidP="007D0FF3">
      <w:pPr>
        <w:pStyle w:val="Note"/>
        <w:rPr>
          <w:lang w:eastAsia="en-AU"/>
        </w:rPr>
      </w:pPr>
      <w:r>
        <w:rPr>
          <w:lang w:eastAsia="en-AU"/>
        </w:rPr>
        <w:t>Notes: ª</w:t>
      </w:r>
      <w:r>
        <w:t>Born global entrants in 20</w:t>
      </w:r>
      <w:r w:rsidR="00C10D98">
        <w:t>15–16</w:t>
      </w:r>
      <w:r>
        <w:rPr>
          <w:lang w:eastAsia="en-AU"/>
        </w:rPr>
        <w:t xml:space="preserve"> </w:t>
      </w:r>
      <w:r w:rsidR="00D26398" w:rsidRPr="00D26398">
        <w:rPr>
          <w:b/>
          <w:lang w:eastAsia="en-AU"/>
        </w:rPr>
        <w:t>ᵇ</w:t>
      </w:r>
      <w:r w:rsidR="00D26398">
        <w:rPr>
          <w:lang w:eastAsia="en-AU"/>
        </w:rPr>
        <w:t xml:space="preserve">Firms that export more than $2,000 in </w:t>
      </w:r>
      <w:r w:rsidR="00E13F30">
        <w:rPr>
          <w:lang w:eastAsia="en-AU"/>
        </w:rPr>
        <w:t>value</w:t>
      </w:r>
      <w:r w:rsidR="00D26398">
        <w:rPr>
          <w:lang w:eastAsia="en-AU"/>
        </w:rPr>
        <w:t xml:space="preserve"> in 2015-16 ᶜ</w:t>
      </w:r>
      <w:r w:rsidR="00FB0C12">
        <w:rPr>
          <w:lang w:eastAsia="en-AU"/>
        </w:rPr>
        <w:t>T</w:t>
      </w:r>
      <w:r w:rsidR="00CC66A1" w:rsidRPr="00BD1002">
        <w:rPr>
          <w:lang w:eastAsia="en-AU"/>
        </w:rPr>
        <w:t xml:space="preserve">otal wages paid divided by </w:t>
      </w:r>
      <w:r w:rsidR="00FB0C12">
        <w:rPr>
          <w:lang w:eastAsia="en-AU"/>
        </w:rPr>
        <w:t>turnover</w:t>
      </w:r>
    </w:p>
    <w:p w14:paraId="11DA5313" w14:textId="73BD0F20" w:rsidR="007D0FF3" w:rsidRDefault="007D0FF3" w:rsidP="007D0FF3">
      <w:pPr>
        <w:pStyle w:val="Source"/>
        <w:rPr>
          <w:lang w:eastAsia="en-AU"/>
        </w:rPr>
      </w:pPr>
      <w:r>
        <w:rPr>
          <w:lang w:eastAsia="en-AU"/>
        </w:rPr>
        <w:t xml:space="preserve">Source: </w:t>
      </w:r>
      <w:r w:rsidR="004A66BA">
        <w:rPr>
          <w:lang w:eastAsia="en-AU"/>
        </w:rPr>
        <w:t>BLADE (2019)</w:t>
      </w:r>
      <w:r w:rsidR="00341E58">
        <w:rPr>
          <w:lang w:eastAsia="en-AU"/>
        </w:rPr>
        <w:t>, Author’s calculations</w:t>
      </w:r>
    </w:p>
    <w:p w14:paraId="1E3CD1DC" w14:textId="36FA2AF9" w:rsidR="00D74168" w:rsidRDefault="00433837" w:rsidP="00D74168">
      <w:pPr>
        <w:pStyle w:val="Caption"/>
      </w:pPr>
      <w:r>
        <w:t>Figure</w:t>
      </w:r>
      <w:r w:rsidRPr="000618FB">
        <w:t xml:space="preserve"> </w:t>
      </w:r>
      <w:r w:rsidR="00E6495E">
        <w:rPr>
          <w:noProof/>
        </w:rPr>
        <w:fldChar w:fldCharType="begin"/>
      </w:r>
      <w:r w:rsidR="00E6495E">
        <w:rPr>
          <w:noProof/>
        </w:rPr>
        <w:instrText xml:space="preserve"> STYLEREF 1 \s </w:instrText>
      </w:r>
      <w:r w:rsidR="00E6495E">
        <w:rPr>
          <w:noProof/>
        </w:rPr>
        <w:fldChar w:fldCharType="separate"/>
      </w:r>
      <w:r w:rsidR="00326788">
        <w:rPr>
          <w:noProof/>
        </w:rPr>
        <w:t>2</w:t>
      </w:r>
      <w:r w:rsidR="00E6495E">
        <w:rPr>
          <w:noProof/>
        </w:rPr>
        <w:fldChar w:fldCharType="end"/>
      </w:r>
      <w:r w:rsidRPr="000618FB">
        <w:t>.</w:t>
      </w:r>
      <w:r w:rsidR="00D905C5">
        <w:t>3</w:t>
      </w:r>
      <w:r>
        <w:t>: Export intensity – born global versus other exporters</w:t>
      </w:r>
      <w:r w:rsidR="00D016B6">
        <w:t>, median and averages</w:t>
      </w:r>
      <w:r w:rsidR="00EB7A34">
        <w:t xml:space="preserve"> </w:t>
      </w:r>
    </w:p>
    <w:p w14:paraId="2A7A01F9" w14:textId="610DFDB6" w:rsidR="00433837" w:rsidRPr="00433837" w:rsidRDefault="00D74168" w:rsidP="00D74168">
      <w:pPr>
        <w:pStyle w:val="Placeholder"/>
        <w:jc w:val="both"/>
      </w:pPr>
      <w:r>
        <w:rPr>
          <w:noProof/>
          <w:lang w:eastAsia="en-AU"/>
        </w:rPr>
        <w:drawing>
          <wp:anchor distT="0" distB="0" distL="114300" distR="114300" simplePos="0" relativeHeight="251658242" behindDoc="0" locked="0" layoutInCell="1" allowOverlap="1" wp14:anchorId="4BEFE7DA" wp14:editId="7A023881">
            <wp:simplePos x="0" y="0"/>
            <wp:positionH relativeFrom="margin">
              <wp:posOffset>0</wp:posOffset>
            </wp:positionH>
            <wp:positionV relativeFrom="paragraph">
              <wp:posOffset>132715</wp:posOffset>
            </wp:positionV>
            <wp:extent cx="4377690" cy="2978785"/>
            <wp:effectExtent l="0" t="0" r="3810" b="0"/>
            <wp:wrapTopAndBottom/>
            <wp:docPr id="4" name="Chart 4" descr="This graph shows the median and mean of BGFs export intensities has increased sharply in recent years while for other exporters the mean and averages of export intensities has remained flat. " title="Export intensity – born global versus other exporters, median and averag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10C068B0" w14:textId="364F5F1C" w:rsidR="00433837" w:rsidRDefault="00433837" w:rsidP="00B564E1">
      <w:pPr>
        <w:pStyle w:val="Source"/>
      </w:pPr>
      <w:r>
        <w:t xml:space="preserve">Source: </w:t>
      </w:r>
      <w:r w:rsidR="004A66BA">
        <w:t>BLADE (2019)</w:t>
      </w:r>
    </w:p>
    <w:p w14:paraId="326B0CD4" w14:textId="2E129A9A" w:rsidR="00792B83" w:rsidRPr="00792B83" w:rsidRDefault="0063274B" w:rsidP="0063274B">
      <w:pPr>
        <w:pStyle w:val="BodyText"/>
        <w:rPr>
          <w:lang w:val="en"/>
        </w:rPr>
      </w:pPr>
      <w:r>
        <w:rPr>
          <w:lang w:val="en"/>
        </w:rPr>
        <w:t xml:space="preserve">New Zealand </w:t>
      </w:r>
      <w:r w:rsidR="003D7292">
        <w:rPr>
          <w:lang w:val="en"/>
        </w:rPr>
        <w:t>BGFs</w:t>
      </w:r>
      <w:r>
        <w:rPr>
          <w:lang w:val="en"/>
        </w:rPr>
        <w:t xml:space="preserve"> are more export intensive than Australian </w:t>
      </w:r>
      <w:r w:rsidR="003D7292">
        <w:rPr>
          <w:lang w:val="en"/>
        </w:rPr>
        <w:t>BGFs</w:t>
      </w:r>
      <w:r w:rsidR="00F45F14">
        <w:rPr>
          <w:lang w:val="en"/>
        </w:rPr>
        <w:t xml:space="preserve"> (Figure 2.4)</w:t>
      </w:r>
      <w:r>
        <w:rPr>
          <w:lang w:val="en"/>
        </w:rPr>
        <w:t xml:space="preserve">. </w:t>
      </w:r>
      <w:r w:rsidR="00C11258">
        <w:rPr>
          <w:lang w:val="en"/>
        </w:rPr>
        <w:t>The</w:t>
      </w:r>
      <w:r w:rsidR="00E36DD4">
        <w:rPr>
          <w:lang w:val="en"/>
        </w:rPr>
        <w:t xml:space="preserve">re is a </w:t>
      </w:r>
      <w:r>
        <w:rPr>
          <w:lang w:val="en"/>
        </w:rPr>
        <w:t>wide</w:t>
      </w:r>
      <w:r w:rsidR="00F45F14">
        <w:rPr>
          <w:lang w:val="en"/>
        </w:rPr>
        <w:t>ning</w:t>
      </w:r>
      <w:r w:rsidR="00C11258">
        <w:rPr>
          <w:lang w:val="en"/>
        </w:rPr>
        <w:t xml:space="preserve"> gap </w:t>
      </w:r>
      <w:r w:rsidR="00F45F14">
        <w:rPr>
          <w:lang w:val="en"/>
        </w:rPr>
        <w:t>along the</w:t>
      </w:r>
      <w:r w:rsidR="00E36DD4">
        <w:rPr>
          <w:lang w:val="en"/>
        </w:rPr>
        <w:t xml:space="preserve"> distributions </w:t>
      </w:r>
      <w:r w:rsidR="00F45F14">
        <w:rPr>
          <w:lang w:val="en"/>
        </w:rPr>
        <w:t xml:space="preserve">between </w:t>
      </w:r>
      <w:r w:rsidR="003D7292">
        <w:rPr>
          <w:lang w:val="en"/>
        </w:rPr>
        <w:t>BGFs</w:t>
      </w:r>
      <w:r w:rsidR="00E36DD4">
        <w:rPr>
          <w:lang w:val="en"/>
        </w:rPr>
        <w:t xml:space="preserve"> and other </w:t>
      </w:r>
      <w:r w:rsidR="00E36DD4">
        <w:rPr>
          <w:lang w:val="en"/>
        </w:rPr>
        <w:lastRenderedPageBreak/>
        <w:t>exporters in both Australian and New Zealand export markets</w:t>
      </w:r>
      <w:r w:rsidR="00F45F14">
        <w:rPr>
          <w:lang w:val="en"/>
        </w:rPr>
        <w:t>, respectively</w:t>
      </w:r>
      <w:r w:rsidR="00070A37">
        <w:rPr>
          <w:lang w:val="en"/>
        </w:rPr>
        <w:t>, until the 75</w:t>
      </w:r>
      <w:r w:rsidR="00070A37" w:rsidRPr="00A72D93">
        <w:rPr>
          <w:vertAlign w:val="superscript"/>
          <w:lang w:val="en"/>
        </w:rPr>
        <w:t>th</w:t>
      </w:r>
      <w:r w:rsidR="00070A37">
        <w:rPr>
          <w:lang w:val="en"/>
        </w:rPr>
        <w:t xml:space="preserve"> percentile</w:t>
      </w:r>
      <w:r w:rsidR="00C5698B">
        <w:rPr>
          <w:lang w:val="en"/>
        </w:rPr>
        <w:t>.</w:t>
      </w:r>
      <w:r w:rsidR="00E36DD4">
        <w:rPr>
          <w:lang w:val="en"/>
        </w:rPr>
        <w:t xml:space="preserve"> </w:t>
      </w:r>
    </w:p>
    <w:p w14:paraId="3D3BF31D" w14:textId="1E00880C" w:rsidR="004709FD" w:rsidRPr="00433837" w:rsidRDefault="00706A15" w:rsidP="00706A15">
      <w:pPr>
        <w:pStyle w:val="Caption"/>
      </w:pPr>
      <w:r>
        <w:rPr>
          <w:noProof/>
          <w:lang w:eastAsia="en-AU"/>
        </w:rPr>
        <w:drawing>
          <wp:anchor distT="0" distB="0" distL="114300" distR="114300" simplePos="0" relativeHeight="251658243" behindDoc="0" locked="0" layoutInCell="1" allowOverlap="1" wp14:anchorId="38119C8B" wp14:editId="28016F35">
            <wp:simplePos x="0" y="0"/>
            <wp:positionH relativeFrom="margin">
              <wp:align>left</wp:align>
            </wp:positionH>
            <wp:positionV relativeFrom="paragraph">
              <wp:posOffset>530350</wp:posOffset>
            </wp:positionV>
            <wp:extent cx="4377690" cy="2626360"/>
            <wp:effectExtent l="0" t="0" r="3810" b="2540"/>
            <wp:wrapTopAndBottom/>
            <wp:docPr id="21" name="Chart 21" descr="New Zealand BGFs are more export intensive than Australian BGFs. There is a widening gap along the distributions between BGFs and other exporters in both Australian and New Zealand export markets, respectively, until the 75th percentile. " title="Distribution of export intensity for born global firms and other exporters in Australia and New Zealan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4709FD">
        <w:t>Figure</w:t>
      </w:r>
      <w:r w:rsidR="004709FD" w:rsidRPr="000618FB">
        <w:t xml:space="preserve"> </w:t>
      </w:r>
      <w:r w:rsidR="004709FD">
        <w:rPr>
          <w:noProof/>
        </w:rPr>
        <w:fldChar w:fldCharType="begin"/>
      </w:r>
      <w:r w:rsidR="004709FD">
        <w:rPr>
          <w:noProof/>
        </w:rPr>
        <w:instrText xml:space="preserve"> STYLEREF 1 \s </w:instrText>
      </w:r>
      <w:r w:rsidR="004709FD">
        <w:rPr>
          <w:noProof/>
        </w:rPr>
        <w:fldChar w:fldCharType="separate"/>
      </w:r>
      <w:r w:rsidR="00326788">
        <w:rPr>
          <w:noProof/>
        </w:rPr>
        <w:t>2</w:t>
      </w:r>
      <w:r w:rsidR="004709FD">
        <w:rPr>
          <w:noProof/>
        </w:rPr>
        <w:fldChar w:fldCharType="end"/>
      </w:r>
      <w:r w:rsidR="004709FD" w:rsidRPr="000618FB">
        <w:t>.</w:t>
      </w:r>
      <w:r w:rsidR="004709FD">
        <w:t xml:space="preserve">4: </w:t>
      </w:r>
      <w:r w:rsidR="004709FD" w:rsidRPr="00762A19">
        <w:t xml:space="preserve">Distribution of </w:t>
      </w:r>
      <w:r w:rsidR="004709FD">
        <w:t xml:space="preserve">export </w:t>
      </w:r>
      <w:r w:rsidR="004709FD" w:rsidRPr="00762A19">
        <w:t xml:space="preserve">intensity </w:t>
      </w:r>
      <w:r w:rsidR="004709FD">
        <w:t xml:space="preserve">for </w:t>
      </w:r>
      <w:r w:rsidR="003F2D26">
        <w:t>born global firms and other</w:t>
      </w:r>
      <w:r w:rsidR="00EA2E5D">
        <w:t xml:space="preserve"> exporters</w:t>
      </w:r>
      <w:r w:rsidR="004709FD">
        <w:t xml:space="preserve"> </w:t>
      </w:r>
      <w:r w:rsidR="003F2D26">
        <w:t xml:space="preserve">in Australia and New Zealand </w:t>
      </w:r>
    </w:p>
    <w:p w14:paraId="3FEA7840" w14:textId="6C5BE99F" w:rsidR="004709FD" w:rsidRPr="00C62F3A" w:rsidRDefault="0058595E" w:rsidP="004709FD">
      <w:pPr>
        <w:pStyle w:val="Note"/>
      </w:pPr>
      <w:r>
        <w:t>Notes: 20</w:t>
      </w:r>
      <w:r w:rsidR="00C10D98">
        <w:t>15–16</w:t>
      </w:r>
      <w:r>
        <w:t xml:space="preserve"> </w:t>
      </w:r>
      <w:r w:rsidR="00230565">
        <w:t xml:space="preserve">financial year </w:t>
      </w:r>
      <w:r>
        <w:t xml:space="preserve">for Australia, 2014-15 </w:t>
      </w:r>
      <w:r w:rsidR="00230565">
        <w:t xml:space="preserve">financial year </w:t>
      </w:r>
      <w:r>
        <w:t>for NZ</w:t>
      </w:r>
    </w:p>
    <w:p w14:paraId="5FD6365B" w14:textId="0FB9BE00" w:rsidR="004709FD" w:rsidRPr="004709FD" w:rsidRDefault="003019F4" w:rsidP="00D80E0B">
      <w:pPr>
        <w:pStyle w:val="Source"/>
      </w:pPr>
      <w:r>
        <w:t xml:space="preserve">Source: </w:t>
      </w:r>
      <w:r w:rsidR="00626AA2">
        <w:t>BLADE (2019)</w:t>
      </w:r>
      <w:r w:rsidR="004B6751">
        <w:t>, New Zealand Productivity Commission</w:t>
      </w:r>
    </w:p>
    <w:p w14:paraId="444E4B07" w14:textId="219D0E98" w:rsidR="00577C93" w:rsidRDefault="00577C93" w:rsidP="00577C93">
      <w:pPr>
        <w:pStyle w:val="Heading3"/>
      </w:pPr>
      <w:r>
        <w:t xml:space="preserve">Persistence </w:t>
      </w:r>
      <w:r w:rsidR="00CA297D">
        <w:t>and Market Concentration</w:t>
      </w:r>
    </w:p>
    <w:p w14:paraId="11921D41" w14:textId="31DDCE74" w:rsidR="008F7603" w:rsidRDefault="003D7292" w:rsidP="00463128">
      <w:pPr>
        <w:pStyle w:val="BodyText"/>
      </w:pPr>
      <w:r>
        <w:t>BGFs</w:t>
      </w:r>
      <w:r w:rsidR="00EC4557">
        <w:t xml:space="preserve"> </w:t>
      </w:r>
      <w:r w:rsidR="00F40A27">
        <w:t>are more persist</w:t>
      </w:r>
      <w:r w:rsidR="00E11E8B">
        <w:t>en</w:t>
      </w:r>
      <w:r w:rsidR="00F40A27">
        <w:t>t on export markets</w:t>
      </w:r>
      <w:r w:rsidR="00EC4557">
        <w:t xml:space="preserve"> than other exporters</w:t>
      </w:r>
      <w:r w:rsidR="00F40A27">
        <w:t>, which is unsurprising given BGFs are hig</w:t>
      </w:r>
      <w:r w:rsidR="00E11E8B">
        <w:t>h</w:t>
      </w:r>
      <w:r w:rsidR="00F40A27">
        <w:t>ly export focused</w:t>
      </w:r>
      <w:r w:rsidR="00EC4557">
        <w:t xml:space="preserve">. The transitional probability </w:t>
      </w:r>
      <w:r w:rsidR="00F41197">
        <w:t>o</w:t>
      </w:r>
      <w:r w:rsidR="004B4CED">
        <w:t>f</w:t>
      </w:r>
      <w:r w:rsidR="00F41197">
        <w:t xml:space="preserve"> </w:t>
      </w:r>
      <w:r w:rsidR="004B4CED">
        <w:t>an exporter remaining an exporter in the following year is 61 per c</w:t>
      </w:r>
      <w:r w:rsidR="00FF64DA">
        <w:t>ent, whereas the probability of</w:t>
      </w:r>
      <w:r w:rsidR="004B4CED">
        <w:t xml:space="preserve"> a born global exporter remaining an exporter in the</w:t>
      </w:r>
      <w:r w:rsidR="00D80E0B">
        <w:t xml:space="preserve"> following year is 78 per cent. </w:t>
      </w:r>
      <w:r w:rsidR="00F424F2">
        <w:t>The transitional probability of a firm exporting in the following year if they are an exporter in the current year increases with both firm age and firm size</w:t>
      </w:r>
      <w:r w:rsidR="00263181">
        <w:t xml:space="preserve">. </w:t>
      </w:r>
    </w:p>
    <w:p w14:paraId="6CBA1965" w14:textId="0965D503" w:rsidR="00180F1D" w:rsidRPr="00463128" w:rsidRDefault="00180F1D" w:rsidP="00463128">
      <w:pPr>
        <w:pStyle w:val="BodyText"/>
      </w:pPr>
      <w:r>
        <w:t>Recent work on market concentration by Bakhtiari (2019</w:t>
      </w:r>
      <w:r w:rsidR="00D40052">
        <w:t>b</w:t>
      </w:r>
      <w:r>
        <w:t>) finds export intens</w:t>
      </w:r>
      <w:r w:rsidR="00D15FB2">
        <w:t xml:space="preserve">ive industries tend to be </w:t>
      </w:r>
      <w:r w:rsidR="002A3377">
        <w:t xml:space="preserve">more </w:t>
      </w:r>
      <w:r w:rsidR="00D15FB2">
        <w:t xml:space="preserve">concentrated, and export intensity </w:t>
      </w:r>
      <w:r>
        <w:t xml:space="preserve">accelerates the increase in </w:t>
      </w:r>
      <w:r w:rsidR="00E816DF">
        <w:t xml:space="preserve">industry </w:t>
      </w:r>
      <w:r>
        <w:t>market concentration</w:t>
      </w:r>
      <w:r w:rsidR="00E816DF">
        <w:t>.</w:t>
      </w:r>
    </w:p>
    <w:p w14:paraId="4101B146" w14:textId="22B3A7E1" w:rsidR="003868DF" w:rsidRDefault="00C053C6" w:rsidP="004C01D3">
      <w:pPr>
        <w:pStyle w:val="Heading2"/>
        <w:ind w:left="709"/>
      </w:pPr>
      <w:r>
        <w:t>Characteristics of expo</w:t>
      </w:r>
      <w:r w:rsidR="006E71AC">
        <w:t>rters and born global firms based on ABS</w:t>
      </w:r>
      <w:r>
        <w:t xml:space="preserve"> survey data </w:t>
      </w:r>
    </w:p>
    <w:p w14:paraId="07932473" w14:textId="77777777" w:rsidR="003868DF" w:rsidRDefault="009B280C" w:rsidP="003868DF">
      <w:pPr>
        <w:pStyle w:val="BodyText"/>
      </w:pPr>
      <w:r>
        <w:t>F</w:t>
      </w:r>
      <w:r w:rsidR="003868DF">
        <w:t>irm-level</w:t>
      </w:r>
      <w:r>
        <w:t xml:space="preserve"> survey data</w:t>
      </w:r>
      <w:r w:rsidR="003868DF">
        <w:t xml:space="preserve"> </w:t>
      </w:r>
      <w:r w:rsidR="003868DF" w:rsidRPr="00CC20C0">
        <w:t>linked to the BLADE include</w:t>
      </w:r>
      <w:r>
        <w:t>s</w:t>
      </w:r>
      <w:r w:rsidR="003868DF" w:rsidRPr="00CC20C0">
        <w:t xml:space="preserve"> the Business Characteristics Survey (BCS) and the </w:t>
      </w:r>
      <w:r w:rsidR="00F51DD4">
        <w:t>Management Capability M</w:t>
      </w:r>
      <w:r w:rsidR="00AC6484">
        <w:t>odule</w:t>
      </w:r>
      <w:r w:rsidR="003868DF" w:rsidRPr="00CC20C0">
        <w:t xml:space="preserve"> (</w:t>
      </w:r>
      <w:r w:rsidR="00AC6484" w:rsidRPr="00CC20C0">
        <w:t>MC</w:t>
      </w:r>
      <w:r w:rsidR="00AC6484">
        <w:t>M</w:t>
      </w:r>
      <w:r w:rsidR="003868DF" w:rsidRPr="00CC20C0">
        <w:t xml:space="preserve">). The BCS is an annual ABS survey </w:t>
      </w:r>
      <w:r w:rsidR="005807B5">
        <w:t>conducted from 20</w:t>
      </w:r>
      <w:r w:rsidR="00C10D98">
        <w:t>05–06</w:t>
      </w:r>
      <w:r w:rsidR="005807B5">
        <w:t xml:space="preserve">, </w:t>
      </w:r>
      <w:r w:rsidR="003868DF" w:rsidRPr="00CC20C0">
        <w:t xml:space="preserve">measuring the use of information technology, innovation and an extensive range of other non-financial characteristics (see Table </w:t>
      </w:r>
      <w:r w:rsidR="0049608B">
        <w:t>A</w:t>
      </w:r>
      <w:r w:rsidR="00367B97">
        <w:t>.</w:t>
      </w:r>
      <w:r w:rsidR="003868DF" w:rsidRPr="00CC20C0">
        <w:t>2</w:t>
      </w:r>
      <w:r w:rsidR="0049608B">
        <w:t>, at Appendix A</w:t>
      </w:r>
      <w:r w:rsidR="003868DF" w:rsidRPr="00CC20C0">
        <w:t xml:space="preserve">). The </w:t>
      </w:r>
      <w:r w:rsidR="00AC6484" w:rsidRPr="00CC20C0">
        <w:t>MC</w:t>
      </w:r>
      <w:r w:rsidR="00AC6484">
        <w:t>M</w:t>
      </w:r>
      <w:r w:rsidR="00AC6484" w:rsidRPr="00CC20C0">
        <w:t xml:space="preserve"> </w:t>
      </w:r>
      <w:r w:rsidR="005807B5">
        <w:t>is</w:t>
      </w:r>
      <w:r w:rsidR="003868DF" w:rsidRPr="00CC20C0">
        <w:t xml:space="preserve"> an extension of the BCS in 20</w:t>
      </w:r>
      <w:r w:rsidR="00C10D98">
        <w:t>15–16</w:t>
      </w:r>
      <w:r w:rsidR="003868DF" w:rsidRPr="00CC20C0">
        <w:t xml:space="preserve">, and contains key indicators of management and organisation capabilities (see Table </w:t>
      </w:r>
      <w:r w:rsidR="0049608B">
        <w:t>A</w:t>
      </w:r>
      <w:r w:rsidR="00367B97">
        <w:t>.</w:t>
      </w:r>
      <w:r w:rsidR="003868DF" w:rsidRPr="00CC20C0">
        <w:t>3</w:t>
      </w:r>
      <w:r w:rsidR="0049608B">
        <w:t>, at Appendix A</w:t>
      </w:r>
      <w:r w:rsidR="003868DF" w:rsidRPr="00CC20C0">
        <w:t>).</w:t>
      </w:r>
    </w:p>
    <w:p w14:paraId="490469CC" w14:textId="3BD659FB" w:rsidR="00421CF3" w:rsidRPr="003C7CCA" w:rsidRDefault="00DA3289" w:rsidP="00421CF3">
      <w:pPr>
        <w:pStyle w:val="BodyText"/>
      </w:pPr>
      <w:r>
        <w:t xml:space="preserve">We compare born global outcomes with those of other </w:t>
      </w:r>
      <w:r w:rsidR="000E2D47">
        <w:t xml:space="preserve">small </w:t>
      </w:r>
      <w:r>
        <w:t xml:space="preserve">exporters, to control for </w:t>
      </w:r>
      <w:r w:rsidR="000C426A">
        <w:t>the self-selection into export markets</w:t>
      </w:r>
      <w:r>
        <w:t xml:space="preserve">. </w:t>
      </w:r>
      <w:r w:rsidR="0093372B">
        <w:t xml:space="preserve">The analysis presented in this </w:t>
      </w:r>
      <w:r w:rsidR="0093372B">
        <w:lastRenderedPageBreak/>
        <w:t>section is based on four industries that represent to bulk of Australia’s exporting business population.</w:t>
      </w:r>
      <w:r w:rsidR="006901EE">
        <w:t xml:space="preserve"> A sensitivity analysis is also provided </w:t>
      </w:r>
      <w:r w:rsidR="00C51B19">
        <w:t xml:space="preserve">at Appendix C </w:t>
      </w:r>
      <w:r w:rsidR="006901EE">
        <w:t>to compare results across different definitions of BGFs.</w:t>
      </w:r>
    </w:p>
    <w:p w14:paraId="42973145" w14:textId="5955D6BF" w:rsidR="008D33D8" w:rsidRDefault="008D33D8" w:rsidP="00421CF3">
      <w:pPr>
        <w:pStyle w:val="Heading3"/>
      </w:pPr>
      <w:r>
        <w:t>Business Characteristics Survey</w:t>
      </w:r>
    </w:p>
    <w:p w14:paraId="48AEDA5D" w14:textId="43DE8EC4" w:rsidR="008F78D5" w:rsidRDefault="008F78D5" w:rsidP="008F78D5">
      <w:pPr>
        <w:pStyle w:val="BodyText"/>
      </w:pPr>
      <w:r>
        <w:t xml:space="preserve">We determine the difference in business characteristics firstly between BGFs and other small </w:t>
      </w:r>
      <w:r w:rsidR="00174C56">
        <w:t xml:space="preserve">(but more mature) </w:t>
      </w:r>
      <w:r>
        <w:t>exporters, then repeat this between exporters and non-exporters. Controls for business size (number of full-time equivalent employees), business age and industry-specific effects (</w:t>
      </w:r>
      <m:oMath>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 xml:space="preserve">) </m:t>
        </m:r>
      </m:oMath>
      <w:r>
        <w:t>are included in a probit regression model:</w:t>
      </w:r>
    </w:p>
    <w:p w14:paraId="4DA377EC" w14:textId="58A82F4A" w:rsidR="00B5221C" w:rsidRDefault="00326788" w:rsidP="00B5221C">
      <w:pPr>
        <w:pStyle w:val="BodyText"/>
        <w:rPr>
          <w:rFonts w:eastAsiaTheme="minorEastAsia"/>
        </w:rPr>
      </w:pPr>
      <m:oMath>
        <m:sSub>
          <m:sSubPr>
            <m:ctrlPr>
              <w:rPr>
                <w:rFonts w:ascii="Cambria Math" w:hAnsi="Cambria Math"/>
              </w:rPr>
            </m:ctrlPr>
          </m:sSubPr>
          <m:e>
            <m:r>
              <w:rPr>
                <w:rFonts w:ascii="Cambria Math" w:hAnsi="Cambria Math"/>
              </w:rPr>
              <m:t>Probability(X</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func>
          <m:funcPr>
            <m:ctrlPr>
              <w:rPr>
                <w:rFonts w:ascii="Cambria Math" w:hAnsi="Cambria Math"/>
                <w:i/>
              </w:rPr>
            </m:ctrlPr>
          </m:funcPr>
          <m:fName>
            <m:r>
              <w:rPr>
                <w:rFonts w:ascii="Cambria Math" w:hAnsi="Cambria Math"/>
              </w:rPr>
              <m:t>borngloba</m:t>
            </m:r>
            <m:sSub>
              <m:sSubPr>
                <m:ctrlPr>
                  <w:rPr>
                    <w:rFonts w:ascii="Cambria Math" w:hAnsi="Cambria Math"/>
                    <w:i/>
                  </w:rPr>
                </m:ctrlPr>
              </m:sSubPr>
              <m:e>
                <m:r>
                  <w:rPr>
                    <w:rFonts w:ascii="Cambria Math" w:hAnsi="Cambria Math"/>
                  </w:rPr>
                  <m:t>l</m:t>
                </m:r>
              </m:e>
              <m:sub>
                <m:r>
                  <w:rPr>
                    <w:rFonts w:ascii="Cambria Math" w:hAnsi="Cambria Math"/>
                  </w:rPr>
                  <m:t>i</m:t>
                </m:r>
              </m:sub>
            </m:sSub>
          </m:fName>
          <m:e>
            <m:r>
              <w:rPr>
                <w:rFonts w:ascii="Cambria Math" w:hAnsi="Cambria Math"/>
              </w:rPr>
              <m:t xml:space="preserve"> </m:t>
            </m:r>
          </m:e>
        </m:func>
        <m:sSub>
          <m:sSubPr>
            <m:ctrlPr>
              <w:rPr>
                <w:rFonts w:ascii="Cambria Math" w:hAnsi="Cambria Math"/>
              </w:rPr>
            </m:ctrlPr>
          </m:sSubPr>
          <m:e>
            <m:r>
              <w:rPr>
                <w:rFonts w:ascii="Cambria Math" w:hAnsi="Cambria Math"/>
              </w:rPr>
              <m:t>+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m:t>
                </m:r>
              </m:sub>
            </m:sSub>
          </m:e>
        </m:func>
        <m:r>
          <w:rPr>
            <w:rFonts w:ascii="Cambria Math" w:hAnsi="Cambria Math"/>
          </w:rPr>
          <m:t xml:space="preserve"> </m:t>
        </m:r>
        <m:sSub>
          <m:sSubPr>
            <m:ctrlPr>
              <w:rPr>
                <w:rFonts w:ascii="Cambria Math" w:hAnsi="Cambria Math"/>
              </w:rPr>
            </m:ctrlPr>
          </m:sSubPr>
          <m:e>
            <m:r>
              <w:rPr>
                <w:rFonts w:ascii="Cambria Math" w:hAnsi="Cambria Math"/>
              </w:rPr>
              <m:t>+ β</m:t>
            </m:r>
          </m:e>
          <m:sub>
            <m:r>
              <w:rPr>
                <w:rFonts w:ascii="Cambria Math" w:hAnsi="Cambria Math"/>
              </w:rPr>
              <m:t>3</m:t>
            </m:r>
          </m:sub>
        </m:sSub>
        <m:func>
          <m:funcPr>
            <m:ctrlPr>
              <w:rPr>
                <w:rFonts w:ascii="Cambria Math" w:hAnsi="Cambria Math"/>
                <w:i/>
              </w:rPr>
            </m:ctrlPr>
          </m:funcPr>
          <m:fName>
            <m:sSub>
              <m:sSubPr>
                <m:ctrlPr>
                  <w:rPr>
                    <w:rFonts w:ascii="Cambria Math" w:hAnsi="Cambria Math"/>
                    <w:i/>
                  </w:rPr>
                </m:ctrlPr>
              </m:sSubPr>
              <m:e>
                <m:r>
                  <w:rPr>
                    <w:rFonts w:ascii="Cambria Math" w:hAnsi="Cambria Math"/>
                  </w:rPr>
                  <m:t>age</m:t>
                </m:r>
              </m:e>
              <m:sub>
                <m:r>
                  <w:rPr>
                    <w:rFonts w:ascii="Cambria Math" w:hAnsi="Cambria Math"/>
                  </w:rPr>
                  <m:t>i,t</m:t>
                </m:r>
              </m:sub>
            </m:sSub>
          </m:fName>
          <m:e>
            <m:r>
              <w:rPr>
                <w:rFonts w:ascii="Cambria Math" w:hAnsi="Cambria Math"/>
              </w:rPr>
              <m:t>+</m:t>
            </m:r>
          </m:e>
        </m:func>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ϵ</m:t>
            </m:r>
          </m:e>
          <m:sub>
            <m:r>
              <w:rPr>
                <w:rFonts w:ascii="Cambria Math" w:hAnsi="Cambria Math"/>
              </w:rPr>
              <m:t>i,t</m:t>
            </m:r>
          </m:sub>
        </m:sSub>
      </m:oMath>
      <w:r w:rsidR="008A2884">
        <w:rPr>
          <w:rFonts w:eastAsiaTheme="minorEastAsia"/>
        </w:rPr>
        <w:t xml:space="preserve"> </w:t>
      </w:r>
      <w:r w:rsidR="002201B2">
        <w:rPr>
          <w:rFonts w:eastAsiaTheme="minorEastAsia"/>
        </w:rPr>
        <w:t xml:space="preserve">                                                                                       </w:t>
      </w:r>
      <w:r w:rsidR="002201B2">
        <w:rPr>
          <w:rFonts w:eastAsiaTheme="minorEastAsia"/>
        </w:rPr>
        <w:tab/>
      </w:r>
      <w:r w:rsidR="002201B2">
        <w:rPr>
          <w:rFonts w:eastAsiaTheme="minorEastAsia"/>
        </w:rPr>
        <w:tab/>
      </w:r>
      <w:r w:rsidR="002201B2">
        <w:rPr>
          <w:rFonts w:eastAsiaTheme="minorEastAsia"/>
        </w:rPr>
        <w:tab/>
      </w:r>
      <w:r w:rsidR="005F0228">
        <w:rPr>
          <w:rFonts w:eastAsiaTheme="minorEastAsia"/>
        </w:rPr>
        <w:tab/>
      </w:r>
      <w:r w:rsidR="005F0228">
        <w:rPr>
          <w:rFonts w:eastAsiaTheme="minorEastAsia"/>
        </w:rPr>
        <w:tab/>
      </w:r>
      <w:r w:rsidR="005F0228">
        <w:rPr>
          <w:rFonts w:eastAsiaTheme="minorEastAsia"/>
        </w:rPr>
        <w:tab/>
      </w:r>
      <w:r w:rsidR="005F0228">
        <w:rPr>
          <w:rFonts w:eastAsiaTheme="minorEastAsia"/>
        </w:rPr>
        <w:tab/>
      </w:r>
      <w:r w:rsidR="005F0228">
        <w:rPr>
          <w:rFonts w:eastAsiaTheme="minorEastAsia"/>
        </w:rPr>
        <w:tab/>
        <w:t xml:space="preserve">                </w:t>
      </w:r>
      <w:r w:rsidR="00C42C1D">
        <w:rPr>
          <w:rFonts w:eastAsiaTheme="minorEastAsia"/>
        </w:rPr>
        <w:t>(1</w:t>
      </w:r>
      <w:r w:rsidR="002201B2">
        <w:rPr>
          <w:rFonts w:eastAsiaTheme="minorEastAsia"/>
        </w:rPr>
        <w:t>)</w:t>
      </w:r>
    </w:p>
    <w:p w14:paraId="133C71AE" w14:textId="77777777" w:rsidR="00B5221C" w:rsidRDefault="00B5221C" w:rsidP="00B5221C">
      <w:pPr>
        <w:pStyle w:val="BodyText"/>
        <w:rPr>
          <w:rFonts w:eastAsiaTheme="minorEastAsia"/>
        </w:rPr>
      </w:pPr>
      <w:r>
        <w:rPr>
          <w:rFonts w:eastAsiaTheme="minorEastAsia"/>
        </w:rPr>
        <w:t xml:space="preserve">or  </w:t>
      </w:r>
    </w:p>
    <w:p w14:paraId="10E1DBA2" w14:textId="53C9ED9C" w:rsidR="00B5221C" w:rsidRPr="009853F8" w:rsidRDefault="00326788" w:rsidP="00B5221C">
      <w:pPr>
        <w:pStyle w:val="BodyText"/>
        <w:rPr>
          <w:rFonts w:eastAsiaTheme="minorEastAsia"/>
        </w:rPr>
      </w:pPr>
      <m:oMath>
        <m:sSub>
          <m:sSubPr>
            <m:ctrlPr>
              <w:rPr>
                <w:rFonts w:ascii="Cambria Math" w:hAnsi="Cambria Math"/>
              </w:rPr>
            </m:ctrlPr>
          </m:sSubPr>
          <m:e>
            <m:r>
              <w:rPr>
                <w:rFonts w:ascii="Cambria Math" w:hAnsi="Cambria Math"/>
              </w:rPr>
              <m:t>Probability(X</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func>
          <m:funcPr>
            <m:ctrlPr>
              <w:rPr>
                <w:rFonts w:ascii="Cambria Math" w:hAnsi="Cambria Math"/>
                <w:i/>
              </w:rPr>
            </m:ctrlPr>
          </m:funcPr>
          <m:fName>
            <m:r>
              <w:rPr>
                <w:rFonts w:ascii="Cambria Math" w:hAnsi="Cambria Math"/>
              </w:rPr>
              <m:t>exporte</m:t>
            </m:r>
            <m:sSub>
              <m:sSubPr>
                <m:ctrlPr>
                  <w:rPr>
                    <w:rFonts w:ascii="Cambria Math" w:hAnsi="Cambria Math"/>
                    <w:i/>
                  </w:rPr>
                </m:ctrlPr>
              </m:sSubPr>
              <m:e>
                <m:r>
                  <w:rPr>
                    <w:rFonts w:ascii="Cambria Math" w:hAnsi="Cambria Math"/>
                  </w:rPr>
                  <m:t>r</m:t>
                </m:r>
              </m:e>
              <m:sub>
                <m:r>
                  <w:rPr>
                    <w:rFonts w:ascii="Cambria Math" w:hAnsi="Cambria Math"/>
                  </w:rPr>
                  <m:t>i</m:t>
                </m:r>
              </m:sub>
            </m:sSub>
          </m:fName>
          <m:e>
            <m:r>
              <w:rPr>
                <w:rFonts w:ascii="Cambria Math" w:hAnsi="Cambria Math"/>
              </w:rPr>
              <m:t xml:space="preserve"> </m:t>
            </m:r>
          </m:e>
        </m:func>
        <m:sSub>
          <m:sSubPr>
            <m:ctrlPr>
              <w:rPr>
                <w:rFonts w:ascii="Cambria Math" w:hAnsi="Cambria Math"/>
              </w:rPr>
            </m:ctrlPr>
          </m:sSubPr>
          <m:e>
            <m:r>
              <w:rPr>
                <w:rFonts w:ascii="Cambria Math" w:hAnsi="Cambria Math"/>
              </w:rPr>
              <m:t>+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m:t>
                </m:r>
              </m:sub>
            </m:sSub>
          </m:e>
        </m:func>
        <m:sSub>
          <m:sSubPr>
            <m:ctrlPr>
              <w:rPr>
                <w:rFonts w:ascii="Cambria Math" w:hAnsi="Cambria Math"/>
              </w:rPr>
            </m:ctrlPr>
          </m:sSubPr>
          <m:e>
            <m:r>
              <w:rPr>
                <w:rFonts w:ascii="Cambria Math" w:hAnsi="Cambria Math"/>
              </w:rPr>
              <m:t>+ β</m:t>
            </m:r>
          </m:e>
          <m:sub>
            <m:r>
              <w:rPr>
                <w:rFonts w:ascii="Cambria Math" w:hAnsi="Cambria Math"/>
              </w:rPr>
              <m:t>3</m:t>
            </m:r>
          </m:sub>
        </m:sSub>
        <m:func>
          <m:funcPr>
            <m:ctrlPr>
              <w:rPr>
                <w:rFonts w:ascii="Cambria Math" w:hAnsi="Cambria Math"/>
                <w:i/>
              </w:rPr>
            </m:ctrlPr>
          </m:funcPr>
          <m:fName>
            <m:sSub>
              <m:sSubPr>
                <m:ctrlPr>
                  <w:rPr>
                    <w:rFonts w:ascii="Cambria Math" w:hAnsi="Cambria Math"/>
                    <w:i/>
                  </w:rPr>
                </m:ctrlPr>
              </m:sSubPr>
              <m:e>
                <m:r>
                  <w:rPr>
                    <w:rFonts w:ascii="Cambria Math" w:hAnsi="Cambria Math"/>
                  </w:rPr>
                  <m:t>age</m:t>
                </m:r>
              </m:e>
              <m:sub>
                <m:r>
                  <w:rPr>
                    <w:rFonts w:ascii="Cambria Math" w:hAnsi="Cambria Math"/>
                  </w:rPr>
                  <m:t>i,t</m:t>
                </m:r>
              </m:sub>
            </m:sSub>
          </m:fName>
          <m:e>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ϵ</m:t>
            </m:r>
          </m:e>
          <m:sub>
            <m:r>
              <w:rPr>
                <w:rFonts w:ascii="Cambria Math" w:hAnsi="Cambria Math"/>
              </w:rPr>
              <m:t>i,t</m:t>
            </m:r>
          </m:sub>
        </m:sSub>
      </m:oMath>
      <w:r w:rsidR="00D27626">
        <w:rPr>
          <w:rFonts w:eastAsiaTheme="minorEastAsia"/>
        </w:rPr>
        <w:t xml:space="preserve">   </w:t>
      </w:r>
      <w:r w:rsidR="00C42C1D">
        <w:rPr>
          <w:rFonts w:eastAsiaTheme="minorEastAsia"/>
        </w:rPr>
        <w:t>(2</w:t>
      </w:r>
      <w:r w:rsidR="005F0228">
        <w:rPr>
          <w:rFonts w:eastAsiaTheme="minorEastAsia"/>
        </w:rPr>
        <w:t>)</w:t>
      </w:r>
      <w:r w:rsidR="002201B2">
        <w:rPr>
          <w:rFonts w:eastAsiaTheme="minorEastAsia"/>
        </w:rPr>
        <w:t xml:space="preserve">      </w:t>
      </w:r>
    </w:p>
    <w:p w14:paraId="43B38AE7" w14:textId="449FF109" w:rsidR="00B5221C" w:rsidRDefault="00B5221C" w:rsidP="00B5221C">
      <w:pPr>
        <w:pStyle w:val="BodyText"/>
      </w:pPr>
      <w:r>
        <w:t xml:space="preserve">Where </w:t>
      </w:r>
      <m:oMath>
        <m:sSub>
          <m:sSubPr>
            <m:ctrlPr>
              <w:rPr>
                <w:rFonts w:ascii="Cambria Math" w:hAnsi="Cambria Math"/>
              </w:rPr>
            </m:ctrlPr>
          </m:sSubPr>
          <m:e>
            <m:r>
              <w:rPr>
                <w:rFonts w:ascii="Cambria Math" w:hAnsi="Cambria Math"/>
              </w:rPr>
              <m:t>X</m:t>
            </m:r>
          </m:e>
          <m:sub>
            <m:r>
              <w:rPr>
                <w:rFonts w:ascii="Cambria Math" w:hAnsi="Cambria Math"/>
              </w:rPr>
              <m:t>i</m:t>
            </m:r>
          </m:sub>
        </m:sSub>
      </m:oMath>
      <w:r>
        <w:rPr>
          <w:rFonts w:eastAsiaTheme="minorEastAsia"/>
        </w:rPr>
        <w:t xml:space="preserve"> is a vector of all BCS characteristics tested for each firm </w:t>
      </w:r>
      <m:oMath>
        <m:r>
          <m:rPr>
            <m:sty m:val="p"/>
          </m:rPr>
          <w:rPr>
            <w:rFonts w:ascii="Cambria Math" w:hAnsi="Cambria Math"/>
          </w:rPr>
          <w:softHyphen/>
        </m:r>
        <m:r>
          <m:rPr>
            <m:sty m:val="p"/>
          </m:rPr>
          <w:rPr>
            <w:rFonts w:ascii="Cambria Math" w:hAnsi="Cambria Math"/>
          </w:rPr>
          <w:softHyphen/>
        </m:r>
        <m:r>
          <w:rPr>
            <w:rFonts w:ascii="Cambria Math" w:hAnsi="Cambria Math"/>
          </w:rPr>
          <m:t>i.</m:t>
        </m:r>
      </m:oMath>
      <w:r>
        <w:rPr>
          <w:rFonts w:eastAsiaTheme="minorEastAsia"/>
        </w:rPr>
        <w:t xml:space="preserve">   </w:t>
      </w:r>
    </w:p>
    <w:p w14:paraId="177E7039" w14:textId="02728162" w:rsidR="008D33D8" w:rsidRDefault="00B972FF" w:rsidP="008D33D8">
      <w:pPr>
        <w:pStyle w:val="BodyText"/>
      </w:pPr>
      <w:r>
        <w:t>A s</w:t>
      </w:r>
      <w:r w:rsidR="00931E0F">
        <w:t xml:space="preserve">ummary </w:t>
      </w:r>
      <w:r>
        <w:t xml:space="preserve">of </w:t>
      </w:r>
      <w:r w:rsidR="00931E0F">
        <w:t xml:space="preserve">results are provided in </w:t>
      </w:r>
      <w:r w:rsidR="008D33D8">
        <w:t>Table 2.</w:t>
      </w:r>
      <w:r w:rsidR="00DC1FCB">
        <w:t>5</w:t>
      </w:r>
      <w:r>
        <w:t>.</w:t>
      </w:r>
    </w:p>
    <w:p w14:paraId="4CE177CD" w14:textId="4D3955CD" w:rsidR="00CF75EE" w:rsidRPr="000D7A25" w:rsidRDefault="007B3AA0" w:rsidP="003E23BA">
      <w:pPr>
        <w:pStyle w:val="BodyText"/>
      </w:pPr>
      <w:r w:rsidRPr="000D7A25">
        <w:t xml:space="preserve">The </w:t>
      </w:r>
      <w:r w:rsidR="00D7209E">
        <w:t xml:space="preserve">small </w:t>
      </w:r>
      <w:r w:rsidRPr="000D7A25">
        <w:t>exporter popula</w:t>
      </w:r>
      <w:r w:rsidR="00BC058C" w:rsidRPr="000D7A25">
        <w:t>tion is on average more likely</w:t>
      </w:r>
      <w:r w:rsidRPr="000D7A25">
        <w:t xml:space="preserve"> to </w:t>
      </w:r>
      <w:r w:rsidR="00837159" w:rsidRPr="000D7A25">
        <w:t xml:space="preserve">have </w:t>
      </w:r>
      <w:r w:rsidR="00DC688D" w:rsidRPr="000D7A25">
        <w:t xml:space="preserve">collaborative </w:t>
      </w:r>
      <w:r w:rsidR="008B5FFD" w:rsidRPr="000D7A25">
        <w:t>arrangements including joint marketing or distribution and joint research and development</w:t>
      </w:r>
      <w:r w:rsidR="00BC058C" w:rsidRPr="000D7A25">
        <w:t xml:space="preserve">, compared to </w:t>
      </w:r>
      <w:r w:rsidR="00D7209E">
        <w:t>small non-exporting firms</w:t>
      </w:r>
      <w:r w:rsidR="001B73E1" w:rsidRPr="000D7A25">
        <w:t xml:space="preserve">. Exporters are </w:t>
      </w:r>
      <w:r w:rsidR="00C1445F">
        <w:t>not more or less likely</w:t>
      </w:r>
      <w:r w:rsidR="001B73E1" w:rsidRPr="000D7A25">
        <w:t xml:space="preserve"> to have sought</w:t>
      </w:r>
      <w:r w:rsidR="000D59BF" w:rsidRPr="000D7A25">
        <w:t xml:space="preserve"> </w:t>
      </w:r>
      <w:r w:rsidR="00503287">
        <w:t>or obtained</w:t>
      </w:r>
      <w:r w:rsidR="00ED44DF" w:rsidRPr="000D7A25">
        <w:t xml:space="preserve"> </w:t>
      </w:r>
      <w:r w:rsidR="001B73E1" w:rsidRPr="000D7A25">
        <w:t>finance</w:t>
      </w:r>
      <w:r w:rsidR="003908A7">
        <w:t>, however are</w:t>
      </w:r>
      <w:r w:rsidR="002E01F1" w:rsidRPr="000D7A25">
        <w:t xml:space="preserve"> </w:t>
      </w:r>
      <w:r w:rsidR="003908A7">
        <w:t xml:space="preserve">more likely to </w:t>
      </w:r>
      <w:r w:rsidR="002E01F1" w:rsidRPr="000D7A25">
        <w:t>introduce new or sig</w:t>
      </w:r>
      <w:r w:rsidR="00A46B0B" w:rsidRPr="000D7A25">
        <w:t xml:space="preserve">nificantly improved goods to market, and new to </w:t>
      </w:r>
      <w:r w:rsidR="00434E3A" w:rsidRPr="000D7A25">
        <w:t xml:space="preserve">the </w:t>
      </w:r>
      <w:r w:rsidR="007512FE">
        <w:t xml:space="preserve">world goods or services. </w:t>
      </w:r>
      <w:r w:rsidR="00015F41" w:rsidRPr="000D7A25">
        <w:t>Exporting firms are more likely to have a web presence</w:t>
      </w:r>
      <w:r w:rsidR="00C1445F">
        <w:t xml:space="preserve"> and</w:t>
      </w:r>
      <w:r w:rsidR="00015F41" w:rsidRPr="000D7A25">
        <w:t xml:space="preserve"> a social media presence</w:t>
      </w:r>
      <w:r w:rsidR="00F428CE">
        <w:t>, and are more likely to</w:t>
      </w:r>
      <w:r w:rsidR="007512FE">
        <w:t xml:space="preserve"> </w:t>
      </w:r>
      <w:r w:rsidR="00C1445F">
        <w:t xml:space="preserve">cite increased export </w:t>
      </w:r>
      <w:r w:rsidR="00C12E16">
        <w:t>opportunities</w:t>
      </w:r>
      <w:r w:rsidR="00C1445F">
        <w:t xml:space="preserve"> as a main reason for innovating. </w:t>
      </w:r>
      <w:r w:rsidR="00CD3290">
        <w:t>Exporting firms are more likely to cite IT use in marketing, however this is a</w:t>
      </w:r>
      <w:r w:rsidR="00E17023">
        <w:t xml:space="preserve"> statistically</w:t>
      </w:r>
      <w:r w:rsidR="00CD3290">
        <w:t xml:space="preserve"> weak result. </w:t>
      </w:r>
    </w:p>
    <w:p w14:paraId="43F74C5F" w14:textId="2940EC46" w:rsidR="007B3AA0" w:rsidRDefault="003D7292" w:rsidP="007B3AA0">
      <w:pPr>
        <w:pStyle w:val="BodyText"/>
      </w:pPr>
      <w:r>
        <w:t>BGFs</w:t>
      </w:r>
      <w:r w:rsidR="00A61416">
        <w:t xml:space="preserve"> </w:t>
      </w:r>
      <w:r w:rsidR="00A61416" w:rsidRPr="00A61416">
        <w:t xml:space="preserve">are </w:t>
      </w:r>
      <w:r w:rsidR="003E3016">
        <w:t xml:space="preserve">on average </w:t>
      </w:r>
      <w:r w:rsidR="00801A81">
        <w:t xml:space="preserve">more likely to be home-based businesses and are more likely to target additional export markets compared to other small exporters. </w:t>
      </w:r>
      <w:r w:rsidR="00B50695">
        <w:t xml:space="preserve">For many survey questions, there are no statistical differences between responses of BGFs and other exporters, particularly when </w:t>
      </w:r>
      <w:r w:rsidR="004E7740">
        <w:t xml:space="preserve">business </w:t>
      </w:r>
      <w:r w:rsidR="009E2FC3">
        <w:t xml:space="preserve">age is included as a control. </w:t>
      </w:r>
      <w:r w:rsidR="00B972FF">
        <w:t>Results are generally robust across the BGF</w:t>
      </w:r>
      <w:r w:rsidR="00FE2B8B">
        <w:t xml:space="preserve"> definition</w:t>
      </w:r>
      <w:r w:rsidR="00B972FF">
        <w:t xml:space="preserve"> tested, however we note that when e</w:t>
      </w:r>
      <w:r w:rsidR="00B972FF" w:rsidRPr="00B972FF">
        <w:t xml:space="preserve">xtending the BGF definition </w:t>
      </w:r>
      <w:r w:rsidR="00D84F49">
        <w:t>(</w:t>
      </w:r>
      <w:r w:rsidR="00A727C3">
        <w:t xml:space="preserve">up </w:t>
      </w:r>
      <w:r w:rsidR="00D84F49">
        <w:t xml:space="preserve">to </w:t>
      </w:r>
      <w:r w:rsidR="00A727C3">
        <w:t>three</w:t>
      </w:r>
      <w:r w:rsidR="00D84F49">
        <w:t xml:space="preserve"> years, 25% export intensity threshold)</w:t>
      </w:r>
      <w:r w:rsidR="00B972FF" w:rsidRPr="00B972FF">
        <w:t>, BGFs more likely to have joint research and development collaboration and more likely to introduce any new or significantly improved goods</w:t>
      </w:r>
      <w:r w:rsidR="00AB3F3B">
        <w:t xml:space="preserve"> (see Table C</w:t>
      </w:r>
      <w:r w:rsidR="00F6505E">
        <w:t>.</w:t>
      </w:r>
      <w:r w:rsidR="00AB3F3B">
        <w:t>1, at Appendix C)</w:t>
      </w:r>
      <w:r w:rsidR="00B972FF" w:rsidRPr="00B972FF">
        <w:t xml:space="preserve">.  </w:t>
      </w:r>
    </w:p>
    <w:p w14:paraId="2E91AD55" w14:textId="220F87A6" w:rsidR="00A9250B" w:rsidRDefault="00A9250B" w:rsidP="00A9250B">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rsidR="00DC1FCB">
        <w:rPr>
          <w:noProof/>
        </w:rPr>
        <w:t>5</w:t>
      </w:r>
      <w:r w:rsidRPr="000618FB">
        <w:t xml:space="preserve">: </w:t>
      </w:r>
      <w:r w:rsidR="00A360CF">
        <w:t>Business C</w:t>
      </w:r>
      <w:r w:rsidRPr="00A9250B">
        <w:t>haracteristics Survey</w:t>
      </w:r>
    </w:p>
    <w:tbl>
      <w:tblPr>
        <w:tblStyle w:val="OCETable"/>
        <w:tblW w:w="5000" w:type="pct"/>
        <w:tblInd w:w="57" w:type="dxa"/>
        <w:tblLayout w:type="fixed"/>
        <w:tblLook w:val="04A0" w:firstRow="1" w:lastRow="0" w:firstColumn="1" w:lastColumn="0" w:noHBand="0" w:noVBand="1"/>
        <w:tblCaption w:val="Business Characteristics Survey results "/>
        <w:tblDescription w:val="The small exporter population is on average more likely to have collaborative arrangements including joint marketing or distribution and joint research and development, compared to small non-exporting firms. Exporters are not more or less likely to have sought or obtained finance, however are more likely to introduce new or significantly improved goods to market, and new to the world goods or services. Exporting firms are more likely to have a web presence and a social media presence, and are more likely to cite increased export opportunities as a main reason for innovating. Exporting firms are more likely to cite IT use in marketing, however this is a statistically weak result. &#10;BGFs are on average more likely to be home-based businesses and are more likely to target additional export markets compared to other small exporters. For many survey questions, there are no statistical differences between responses of BGFs and other exporters, particularly when business age is included as a control. Results are generally robust across the BGF definition tested, however we note that when extending the BGF definition (up to three years, 25% export intensity threshold), BGFs more likely to have joint research and development collaboration and more likely to introduce any new or significantly improved goods (see Table C.1, at Appendix C).  &#10;"/>
      </w:tblPr>
      <w:tblGrid>
        <w:gridCol w:w="2298"/>
        <w:gridCol w:w="2298"/>
        <w:gridCol w:w="2298"/>
      </w:tblGrid>
      <w:tr w:rsidR="003C6315" w14:paraId="6622FA6B" w14:textId="77777777" w:rsidTr="003C6315">
        <w:trPr>
          <w:cnfStyle w:val="100000000000" w:firstRow="1" w:lastRow="0" w:firstColumn="0" w:lastColumn="0" w:oddVBand="0" w:evenVBand="0" w:oddHBand="0" w:evenHBand="0" w:firstRowFirstColumn="0" w:firstRowLastColumn="0" w:lastRowFirstColumn="0" w:lastRowLastColumn="0"/>
          <w:trHeight w:val="618"/>
          <w:tblHeader/>
        </w:trPr>
        <w:tc>
          <w:tcPr>
            <w:tcW w:w="2298" w:type="dxa"/>
          </w:tcPr>
          <w:p w14:paraId="105B6033" w14:textId="77777777" w:rsidR="003C6315" w:rsidRDefault="003C6315" w:rsidP="00865869">
            <w:pPr>
              <w:pStyle w:val="Tableheader"/>
              <w:rPr>
                <w:lang w:eastAsia="en-AU"/>
              </w:rPr>
            </w:pPr>
            <w:r>
              <w:rPr>
                <w:lang w:eastAsia="en-AU"/>
              </w:rPr>
              <w:t xml:space="preserve">Characteristic </w:t>
            </w:r>
          </w:p>
        </w:tc>
        <w:tc>
          <w:tcPr>
            <w:tcW w:w="2298" w:type="dxa"/>
          </w:tcPr>
          <w:p w14:paraId="1C863D7A" w14:textId="6098F1E5" w:rsidR="003C6315" w:rsidRDefault="005D2589" w:rsidP="00E4673F">
            <w:pPr>
              <w:pStyle w:val="Tableheader"/>
              <w:rPr>
                <w:lang w:eastAsia="en-AU"/>
              </w:rPr>
            </w:pPr>
            <w:r>
              <w:rPr>
                <w:lang w:eastAsia="en-AU"/>
              </w:rPr>
              <w:t>BGFs</w:t>
            </w:r>
            <w:r w:rsidR="003C6315">
              <w:rPr>
                <w:lang w:eastAsia="en-AU"/>
              </w:rPr>
              <w:t>ª</w:t>
            </w:r>
          </w:p>
        </w:tc>
        <w:tc>
          <w:tcPr>
            <w:tcW w:w="2298" w:type="dxa"/>
          </w:tcPr>
          <w:p w14:paraId="64F12698" w14:textId="566F5BFC" w:rsidR="003C6315" w:rsidRDefault="003C6315" w:rsidP="00E4673F">
            <w:pPr>
              <w:pStyle w:val="Tableheader"/>
              <w:rPr>
                <w:lang w:eastAsia="en-AU"/>
              </w:rPr>
            </w:pPr>
            <w:r>
              <w:rPr>
                <w:lang w:eastAsia="en-AU"/>
              </w:rPr>
              <w:t>Exporters</w:t>
            </w:r>
            <w:r w:rsidR="00FF6BD0">
              <w:rPr>
                <w:lang w:eastAsia="en-AU"/>
              </w:rPr>
              <w:t>ᵇ</w:t>
            </w:r>
            <w:r>
              <w:rPr>
                <w:lang w:eastAsia="en-AU"/>
              </w:rPr>
              <w:t xml:space="preserve"> </w:t>
            </w:r>
          </w:p>
        </w:tc>
      </w:tr>
      <w:tr w:rsidR="00225498" w14:paraId="278B5C5F" w14:textId="77777777" w:rsidTr="003C6315">
        <w:trPr>
          <w:cnfStyle w:val="000000100000" w:firstRow="0" w:lastRow="0" w:firstColumn="0" w:lastColumn="0" w:oddVBand="0" w:evenVBand="0" w:oddHBand="1" w:evenHBand="0" w:firstRowFirstColumn="0" w:firstRowLastColumn="0" w:lastRowFirstColumn="0" w:lastRowLastColumn="0"/>
          <w:trHeight w:val="308"/>
        </w:trPr>
        <w:tc>
          <w:tcPr>
            <w:tcW w:w="2298" w:type="dxa"/>
          </w:tcPr>
          <w:p w14:paraId="66EDD873" w14:textId="63E9E7D7" w:rsidR="00225498" w:rsidRDefault="00225498" w:rsidP="00225498">
            <w:pPr>
              <w:pStyle w:val="Tabletext"/>
              <w:rPr>
                <w:lang w:eastAsia="en-AU"/>
              </w:rPr>
            </w:pPr>
            <w:r>
              <w:rPr>
                <w:lang w:eastAsia="en-AU"/>
              </w:rPr>
              <w:t>Collaborative arrangements</w:t>
            </w:r>
          </w:p>
        </w:tc>
        <w:tc>
          <w:tcPr>
            <w:tcW w:w="2298" w:type="dxa"/>
          </w:tcPr>
          <w:p w14:paraId="4D959E1A" w14:textId="57A1C7BF" w:rsidR="00225498" w:rsidRDefault="00225498" w:rsidP="00E4673F">
            <w:pPr>
              <w:pStyle w:val="Tabletext"/>
              <w:rPr>
                <w:lang w:eastAsia="en-AU"/>
              </w:rPr>
            </w:pPr>
            <w:r>
              <w:rPr>
                <w:lang w:eastAsia="en-AU"/>
              </w:rPr>
              <w:t>No statistical difference</w:t>
            </w:r>
          </w:p>
        </w:tc>
        <w:tc>
          <w:tcPr>
            <w:tcW w:w="2298" w:type="dxa"/>
          </w:tcPr>
          <w:p w14:paraId="7FDF1B9D" w14:textId="31F81244" w:rsidR="00225498" w:rsidRDefault="00536C45" w:rsidP="00E4673F">
            <w:pPr>
              <w:pStyle w:val="Tabletext"/>
              <w:rPr>
                <w:lang w:eastAsia="en-AU"/>
              </w:rPr>
            </w:pPr>
            <w:r>
              <w:rPr>
                <w:lang w:eastAsia="en-AU"/>
              </w:rPr>
              <w:t>Greater use</w:t>
            </w:r>
          </w:p>
        </w:tc>
      </w:tr>
      <w:tr w:rsidR="002D42C1" w14:paraId="1872BF77" w14:textId="77777777" w:rsidTr="003C6315">
        <w:trPr>
          <w:cnfStyle w:val="000000010000" w:firstRow="0" w:lastRow="0" w:firstColumn="0" w:lastColumn="0" w:oddVBand="0" w:evenVBand="0" w:oddHBand="0" w:evenHBand="1" w:firstRowFirstColumn="0" w:firstRowLastColumn="0" w:lastRowFirstColumn="0" w:lastRowLastColumn="0"/>
          <w:trHeight w:val="308"/>
        </w:trPr>
        <w:tc>
          <w:tcPr>
            <w:tcW w:w="2298" w:type="dxa"/>
          </w:tcPr>
          <w:p w14:paraId="29754F83" w14:textId="320D1DCA" w:rsidR="002D42C1" w:rsidRDefault="002D42C1" w:rsidP="002D42C1">
            <w:pPr>
              <w:pStyle w:val="Tabletext"/>
              <w:rPr>
                <w:lang w:eastAsia="en-AU"/>
              </w:rPr>
            </w:pPr>
            <w:r>
              <w:rPr>
                <w:lang w:eastAsia="en-AU"/>
              </w:rPr>
              <w:t>Home based business</w:t>
            </w:r>
          </w:p>
        </w:tc>
        <w:tc>
          <w:tcPr>
            <w:tcW w:w="2298" w:type="dxa"/>
          </w:tcPr>
          <w:p w14:paraId="147816FB" w14:textId="1C1000B8" w:rsidR="002D42C1" w:rsidRDefault="002D42C1" w:rsidP="00E4673F">
            <w:pPr>
              <w:pStyle w:val="Tabletext"/>
              <w:rPr>
                <w:lang w:eastAsia="en-AU"/>
              </w:rPr>
            </w:pPr>
            <w:r>
              <w:rPr>
                <w:lang w:eastAsia="en-AU"/>
              </w:rPr>
              <w:t xml:space="preserve">More likely </w:t>
            </w:r>
          </w:p>
        </w:tc>
        <w:tc>
          <w:tcPr>
            <w:tcW w:w="2298" w:type="dxa"/>
          </w:tcPr>
          <w:p w14:paraId="5E164C1C" w14:textId="7F09B261" w:rsidR="002D42C1" w:rsidRDefault="002D42C1" w:rsidP="00E4673F">
            <w:pPr>
              <w:pStyle w:val="Tabletext"/>
              <w:rPr>
                <w:lang w:eastAsia="en-AU"/>
              </w:rPr>
            </w:pPr>
            <w:r>
              <w:rPr>
                <w:lang w:eastAsia="en-AU"/>
              </w:rPr>
              <w:t>No statistical difference</w:t>
            </w:r>
          </w:p>
        </w:tc>
      </w:tr>
      <w:tr w:rsidR="002D42C1" w14:paraId="7EBFE337" w14:textId="77777777" w:rsidTr="003C6315">
        <w:trPr>
          <w:cnfStyle w:val="000000100000" w:firstRow="0" w:lastRow="0" w:firstColumn="0" w:lastColumn="0" w:oddVBand="0" w:evenVBand="0" w:oddHBand="1" w:evenHBand="0" w:firstRowFirstColumn="0" w:firstRowLastColumn="0" w:lastRowFirstColumn="0" w:lastRowLastColumn="0"/>
          <w:trHeight w:val="308"/>
        </w:trPr>
        <w:tc>
          <w:tcPr>
            <w:tcW w:w="2298" w:type="dxa"/>
          </w:tcPr>
          <w:p w14:paraId="286373BE" w14:textId="4F6A6416" w:rsidR="002D42C1" w:rsidRDefault="002D42C1" w:rsidP="002D42C1">
            <w:pPr>
              <w:pStyle w:val="Tabletext"/>
              <w:rPr>
                <w:lang w:eastAsia="en-AU"/>
              </w:rPr>
            </w:pPr>
            <w:r>
              <w:rPr>
                <w:lang w:eastAsia="en-AU"/>
              </w:rPr>
              <w:t>Business focus</w:t>
            </w:r>
          </w:p>
        </w:tc>
        <w:tc>
          <w:tcPr>
            <w:tcW w:w="2298" w:type="dxa"/>
          </w:tcPr>
          <w:p w14:paraId="0A5C0197" w14:textId="71B7169D" w:rsidR="002D42C1" w:rsidRDefault="00775466" w:rsidP="00E4673F">
            <w:pPr>
              <w:pStyle w:val="Tabletext"/>
              <w:rPr>
                <w:lang w:eastAsia="en-AU"/>
              </w:rPr>
            </w:pPr>
            <w:r>
              <w:rPr>
                <w:lang w:eastAsia="en-AU"/>
              </w:rPr>
              <w:t xml:space="preserve">More likely to target additional export markets  </w:t>
            </w:r>
          </w:p>
        </w:tc>
        <w:tc>
          <w:tcPr>
            <w:tcW w:w="2298" w:type="dxa"/>
          </w:tcPr>
          <w:p w14:paraId="06B5AEDD" w14:textId="3D1EF80D" w:rsidR="002D42C1" w:rsidRDefault="00775466" w:rsidP="00E4673F">
            <w:pPr>
              <w:pStyle w:val="Tabletext"/>
              <w:rPr>
                <w:lang w:eastAsia="en-AU"/>
              </w:rPr>
            </w:pPr>
            <w:r>
              <w:rPr>
                <w:lang w:eastAsia="en-AU"/>
              </w:rPr>
              <w:t>More likely to have innovation measures</w:t>
            </w:r>
          </w:p>
        </w:tc>
      </w:tr>
      <w:tr w:rsidR="0033683C" w14:paraId="078FD82B" w14:textId="77777777" w:rsidTr="003C6315">
        <w:trPr>
          <w:cnfStyle w:val="000000010000" w:firstRow="0" w:lastRow="0" w:firstColumn="0" w:lastColumn="0" w:oddVBand="0" w:evenVBand="0" w:oddHBand="0" w:evenHBand="1" w:firstRowFirstColumn="0" w:firstRowLastColumn="0" w:lastRowFirstColumn="0" w:lastRowLastColumn="0"/>
          <w:trHeight w:val="619"/>
        </w:trPr>
        <w:tc>
          <w:tcPr>
            <w:tcW w:w="2298" w:type="dxa"/>
          </w:tcPr>
          <w:p w14:paraId="227CC393" w14:textId="00FF2D95" w:rsidR="0033683C" w:rsidRDefault="0033683C" w:rsidP="0033683C">
            <w:pPr>
              <w:pStyle w:val="Tabletext"/>
              <w:rPr>
                <w:lang w:eastAsia="en-AU"/>
              </w:rPr>
            </w:pPr>
            <w:r>
              <w:rPr>
                <w:lang w:eastAsia="en-AU"/>
              </w:rPr>
              <w:t>Sought finance</w:t>
            </w:r>
          </w:p>
        </w:tc>
        <w:tc>
          <w:tcPr>
            <w:tcW w:w="2298" w:type="dxa"/>
          </w:tcPr>
          <w:p w14:paraId="27679BEC" w14:textId="6BCBE426" w:rsidR="0033683C" w:rsidRDefault="00B31EED" w:rsidP="00E4673F">
            <w:pPr>
              <w:pStyle w:val="Tabletext"/>
              <w:rPr>
                <w:lang w:eastAsia="en-AU"/>
              </w:rPr>
            </w:pPr>
            <w:r>
              <w:rPr>
                <w:lang w:eastAsia="en-AU"/>
              </w:rPr>
              <w:t>No statistical difference</w:t>
            </w:r>
          </w:p>
        </w:tc>
        <w:tc>
          <w:tcPr>
            <w:tcW w:w="2298" w:type="dxa"/>
          </w:tcPr>
          <w:p w14:paraId="4CD56514" w14:textId="681EE42F" w:rsidR="0033683C" w:rsidRDefault="0033683C" w:rsidP="00E4673F">
            <w:pPr>
              <w:pStyle w:val="Tabletext"/>
              <w:rPr>
                <w:lang w:eastAsia="en-AU"/>
              </w:rPr>
            </w:pPr>
            <w:r>
              <w:rPr>
                <w:lang w:eastAsia="en-AU"/>
              </w:rPr>
              <w:t>No statistical difference</w:t>
            </w:r>
          </w:p>
        </w:tc>
      </w:tr>
      <w:tr w:rsidR="0033683C" w14:paraId="501CA3D6" w14:textId="77777777" w:rsidTr="003C6315">
        <w:trPr>
          <w:cnfStyle w:val="000000100000" w:firstRow="0" w:lastRow="0" w:firstColumn="0" w:lastColumn="0" w:oddVBand="0" w:evenVBand="0" w:oddHBand="1" w:evenHBand="0" w:firstRowFirstColumn="0" w:firstRowLastColumn="0" w:lastRowFirstColumn="0" w:lastRowLastColumn="0"/>
          <w:trHeight w:val="506"/>
        </w:trPr>
        <w:tc>
          <w:tcPr>
            <w:tcW w:w="2298" w:type="dxa"/>
          </w:tcPr>
          <w:p w14:paraId="3464A9D6" w14:textId="76D947E7" w:rsidR="0033683C" w:rsidRDefault="0033683C" w:rsidP="0033683C">
            <w:pPr>
              <w:pStyle w:val="Tabletext"/>
              <w:rPr>
                <w:lang w:eastAsia="en-AU"/>
              </w:rPr>
            </w:pPr>
            <w:r>
              <w:rPr>
                <w:lang w:eastAsia="en-AU"/>
              </w:rPr>
              <w:t>Competition</w:t>
            </w:r>
          </w:p>
        </w:tc>
        <w:tc>
          <w:tcPr>
            <w:tcW w:w="2298" w:type="dxa"/>
          </w:tcPr>
          <w:p w14:paraId="14D443C5" w14:textId="5E887B6F" w:rsidR="0033683C" w:rsidRDefault="00B31EED" w:rsidP="00E4673F">
            <w:pPr>
              <w:pStyle w:val="Tabletext"/>
              <w:rPr>
                <w:lang w:eastAsia="en-AU"/>
              </w:rPr>
            </w:pPr>
            <w:r>
              <w:rPr>
                <w:lang w:eastAsia="en-AU"/>
              </w:rPr>
              <w:t>No statistical difference</w:t>
            </w:r>
          </w:p>
        </w:tc>
        <w:tc>
          <w:tcPr>
            <w:tcW w:w="2298" w:type="dxa"/>
          </w:tcPr>
          <w:p w14:paraId="2E38ABEB" w14:textId="14E4407C" w:rsidR="0033683C" w:rsidRDefault="0033683C" w:rsidP="00E4673F">
            <w:pPr>
              <w:pStyle w:val="Tabletext"/>
              <w:rPr>
                <w:lang w:eastAsia="en-AU"/>
              </w:rPr>
            </w:pPr>
            <w:r>
              <w:rPr>
                <w:lang w:eastAsia="en-AU"/>
              </w:rPr>
              <w:t>No statistical difference</w:t>
            </w:r>
          </w:p>
        </w:tc>
      </w:tr>
      <w:tr w:rsidR="00AA4D5D" w14:paraId="742D0DBF" w14:textId="77777777" w:rsidTr="003C6315">
        <w:trPr>
          <w:cnfStyle w:val="000000010000" w:firstRow="0" w:lastRow="0" w:firstColumn="0" w:lastColumn="0" w:oddVBand="0" w:evenVBand="0" w:oddHBand="0" w:evenHBand="1" w:firstRowFirstColumn="0" w:firstRowLastColumn="0" w:lastRowFirstColumn="0" w:lastRowLastColumn="0"/>
          <w:trHeight w:val="506"/>
        </w:trPr>
        <w:tc>
          <w:tcPr>
            <w:tcW w:w="2298" w:type="dxa"/>
          </w:tcPr>
          <w:p w14:paraId="40D0A72E" w14:textId="39AC5619" w:rsidR="00AA4D5D" w:rsidRDefault="00AA4D5D" w:rsidP="00AA4D5D">
            <w:pPr>
              <w:pStyle w:val="Tabletext"/>
              <w:rPr>
                <w:lang w:eastAsia="en-AU"/>
              </w:rPr>
            </w:pPr>
            <w:r>
              <w:rPr>
                <w:lang w:eastAsia="en-AU"/>
              </w:rPr>
              <w:t>Market share</w:t>
            </w:r>
          </w:p>
        </w:tc>
        <w:tc>
          <w:tcPr>
            <w:tcW w:w="2298" w:type="dxa"/>
          </w:tcPr>
          <w:p w14:paraId="1FAA6295" w14:textId="44131B61" w:rsidR="00AA4D5D" w:rsidDel="0033683C" w:rsidRDefault="00AA4D5D" w:rsidP="00E4673F">
            <w:pPr>
              <w:pStyle w:val="Tabletext"/>
              <w:rPr>
                <w:lang w:eastAsia="en-AU"/>
              </w:rPr>
            </w:pPr>
            <w:r>
              <w:rPr>
                <w:lang w:eastAsia="en-AU"/>
              </w:rPr>
              <w:t>No statistical difference</w:t>
            </w:r>
          </w:p>
        </w:tc>
        <w:tc>
          <w:tcPr>
            <w:tcW w:w="2298" w:type="dxa"/>
          </w:tcPr>
          <w:p w14:paraId="6694C3EB" w14:textId="60C5F74C" w:rsidR="00AA4D5D" w:rsidRDefault="00AA4D5D" w:rsidP="00E4673F">
            <w:pPr>
              <w:pStyle w:val="Tabletext"/>
              <w:rPr>
                <w:lang w:eastAsia="en-AU"/>
              </w:rPr>
            </w:pPr>
            <w:r>
              <w:rPr>
                <w:lang w:eastAsia="en-AU"/>
              </w:rPr>
              <w:t xml:space="preserve">Higher market share </w:t>
            </w:r>
          </w:p>
        </w:tc>
      </w:tr>
      <w:tr w:rsidR="00AA4D5D" w14:paraId="62951497" w14:textId="77777777" w:rsidTr="003C6315">
        <w:trPr>
          <w:cnfStyle w:val="000000100000" w:firstRow="0" w:lastRow="0" w:firstColumn="0" w:lastColumn="0" w:oddVBand="0" w:evenVBand="0" w:oddHBand="1" w:evenHBand="0" w:firstRowFirstColumn="0" w:firstRowLastColumn="0" w:lastRowFirstColumn="0" w:lastRowLastColumn="0"/>
          <w:trHeight w:val="506"/>
        </w:trPr>
        <w:tc>
          <w:tcPr>
            <w:tcW w:w="2298" w:type="dxa"/>
          </w:tcPr>
          <w:p w14:paraId="75C62F3E" w14:textId="33BDDC50" w:rsidR="00AA4D5D" w:rsidRDefault="00AA4D5D" w:rsidP="00AA4D5D">
            <w:pPr>
              <w:pStyle w:val="Tabletext"/>
              <w:rPr>
                <w:lang w:eastAsia="en-AU"/>
              </w:rPr>
            </w:pPr>
            <w:r>
              <w:rPr>
                <w:lang w:eastAsia="en-AU"/>
              </w:rPr>
              <w:t>Business introduced any new or significantly improved goods/services</w:t>
            </w:r>
          </w:p>
        </w:tc>
        <w:tc>
          <w:tcPr>
            <w:tcW w:w="2298" w:type="dxa"/>
          </w:tcPr>
          <w:p w14:paraId="4F0F49F2" w14:textId="45B09691" w:rsidR="00AA4D5D" w:rsidRDefault="00AA4D5D" w:rsidP="00E4673F">
            <w:pPr>
              <w:pStyle w:val="Tabletext"/>
              <w:rPr>
                <w:lang w:eastAsia="en-AU"/>
              </w:rPr>
            </w:pPr>
            <w:r>
              <w:rPr>
                <w:lang w:eastAsia="en-AU"/>
              </w:rPr>
              <w:t>No statistical difference</w:t>
            </w:r>
          </w:p>
        </w:tc>
        <w:tc>
          <w:tcPr>
            <w:tcW w:w="2298" w:type="dxa"/>
          </w:tcPr>
          <w:p w14:paraId="18949C76" w14:textId="66C4FDE0" w:rsidR="00AA4D5D" w:rsidRDefault="00AA4D5D" w:rsidP="00E4673F">
            <w:pPr>
              <w:pStyle w:val="Tabletext"/>
              <w:rPr>
                <w:lang w:eastAsia="en-AU"/>
              </w:rPr>
            </w:pPr>
            <w:r>
              <w:rPr>
                <w:lang w:eastAsia="en-AU"/>
              </w:rPr>
              <w:t>More likely</w:t>
            </w:r>
          </w:p>
        </w:tc>
      </w:tr>
      <w:tr w:rsidR="001A518A" w14:paraId="48873C40" w14:textId="77777777" w:rsidTr="003C6315">
        <w:trPr>
          <w:cnfStyle w:val="000000010000" w:firstRow="0" w:lastRow="0" w:firstColumn="0" w:lastColumn="0" w:oddVBand="0" w:evenVBand="0" w:oddHBand="0" w:evenHBand="1" w:firstRowFirstColumn="0" w:firstRowLastColumn="0" w:lastRowFirstColumn="0" w:lastRowLastColumn="0"/>
          <w:trHeight w:val="506"/>
        </w:trPr>
        <w:tc>
          <w:tcPr>
            <w:tcW w:w="2298" w:type="dxa"/>
          </w:tcPr>
          <w:p w14:paraId="0C556978" w14:textId="67B7E086" w:rsidR="001A518A" w:rsidRDefault="001A518A" w:rsidP="001A518A">
            <w:pPr>
              <w:pStyle w:val="Tabletext"/>
              <w:rPr>
                <w:lang w:eastAsia="en-AU"/>
              </w:rPr>
            </w:pPr>
            <w:r>
              <w:rPr>
                <w:lang w:eastAsia="en-AU"/>
              </w:rPr>
              <w:t>New to world</w:t>
            </w:r>
          </w:p>
        </w:tc>
        <w:tc>
          <w:tcPr>
            <w:tcW w:w="2298" w:type="dxa"/>
          </w:tcPr>
          <w:p w14:paraId="43BBDBA4" w14:textId="5EE54D91" w:rsidR="001A518A" w:rsidRDefault="001A518A" w:rsidP="00E4673F">
            <w:pPr>
              <w:pStyle w:val="Tabletext"/>
              <w:rPr>
                <w:lang w:eastAsia="en-AU"/>
              </w:rPr>
            </w:pPr>
            <w:r>
              <w:rPr>
                <w:lang w:eastAsia="en-AU"/>
              </w:rPr>
              <w:t>No statistical difference</w:t>
            </w:r>
          </w:p>
        </w:tc>
        <w:tc>
          <w:tcPr>
            <w:tcW w:w="2298" w:type="dxa"/>
          </w:tcPr>
          <w:p w14:paraId="18E5F225" w14:textId="5FFC28D8" w:rsidR="001A518A" w:rsidRDefault="001A518A" w:rsidP="00E4673F">
            <w:pPr>
              <w:pStyle w:val="Tabletext"/>
              <w:rPr>
                <w:lang w:eastAsia="en-AU"/>
              </w:rPr>
            </w:pPr>
            <w:r>
              <w:rPr>
                <w:lang w:eastAsia="en-AU"/>
              </w:rPr>
              <w:t xml:space="preserve">More likely </w:t>
            </w:r>
          </w:p>
        </w:tc>
      </w:tr>
      <w:tr w:rsidR="001A518A" w14:paraId="64B658B2" w14:textId="77777777" w:rsidTr="003C6315">
        <w:trPr>
          <w:cnfStyle w:val="000000100000" w:firstRow="0" w:lastRow="0" w:firstColumn="0" w:lastColumn="0" w:oddVBand="0" w:evenVBand="0" w:oddHBand="1" w:evenHBand="0" w:firstRowFirstColumn="0" w:firstRowLastColumn="0" w:lastRowFirstColumn="0" w:lastRowLastColumn="0"/>
          <w:trHeight w:val="506"/>
        </w:trPr>
        <w:tc>
          <w:tcPr>
            <w:tcW w:w="2298" w:type="dxa"/>
          </w:tcPr>
          <w:p w14:paraId="0C43E057" w14:textId="36870821" w:rsidR="001A518A" w:rsidRDefault="001A518A" w:rsidP="001A518A">
            <w:pPr>
              <w:pStyle w:val="Tabletext"/>
              <w:rPr>
                <w:lang w:eastAsia="en-AU"/>
              </w:rPr>
            </w:pPr>
            <w:r>
              <w:rPr>
                <w:lang w:eastAsia="en-AU"/>
              </w:rPr>
              <w:t xml:space="preserve">New to Australia </w:t>
            </w:r>
          </w:p>
        </w:tc>
        <w:tc>
          <w:tcPr>
            <w:tcW w:w="2298" w:type="dxa"/>
          </w:tcPr>
          <w:p w14:paraId="23022A45" w14:textId="7F64A8FA" w:rsidR="001A518A" w:rsidRDefault="001A518A" w:rsidP="00E4673F">
            <w:pPr>
              <w:pStyle w:val="Tabletext"/>
              <w:rPr>
                <w:lang w:eastAsia="en-AU"/>
              </w:rPr>
            </w:pPr>
            <w:r>
              <w:rPr>
                <w:lang w:eastAsia="en-AU"/>
              </w:rPr>
              <w:t>No statistical difference</w:t>
            </w:r>
          </w:p>
        </w:tc>
        <w:tc>
          <w:tcPr>
            <w:tcW w:w="2298" w:type="dxa"/>
          </w:tcPr>
          <w:p w14:paraId="251C698B" w14:textId="4E3A882D" w:rsidR="001A518A" w:rsidRDefault="001A518A" w:rsidP="00E4673F">
            <w:pPr>
              <w:pStyle w:val="Tabletext"/>
              <w:rPr>
                <w:lang w:eastAsia="en-AU"/>
              </w:rPr>
            </w:pPr>
            <w:r>
              <w:rPr>
                <w:lang w:eastAsia="en-AU"/>
              </w:rPr>
              <w:t>No statistical difference</w:t>
            </w:r>
          </w:p>
        </w:tc>
      </w:tr>
      <w:tr w:rsidR="00867B56" w14:paraId="2213C30D" w14:textId="77777777" w:rsidTr="003C6315">
        <w:trPr>
          <w:cnfStyle w:val="000000010000" w:firstRow="0" w:lastRow="0" w:firstColumn="0" w:lastColumn="0" w:oddVBand="0" w:evenVBand="0" w:oddHBand="0" w:evenHBand="1" w:firstRowFirstColumn="0" w:firstRowLastColumn="0" w:lastRowFirstColumn="0" w:lastRowLastColumn="0"/>
          <w:trHeight w:val="506"/>
        </w:trPr>
        <w:tc>
          <w:tcPr>
            <w:tcW w:w="2298" w:type="dxa"/>
          </w:tcPr>
          <w:p w14:paraId="427590C9" w14:textId="061D8101" w:rsidR="00867B56" w:rsidRDefault="00867B56" w:rsidP="00867B56">
            <w:pPr>
              <w:pStyle w:val="Tabletext"/>
              <w:rPr>
                <w:lang w:eastAsia="en-AU"/>
              </w:rPr>
            </w:pPr>
            <w:r>
              <w:rPr>
                <w:lang w:eastAsia="en-AU"/>
              </w:rPr>
              <w:t>IT use in production/service operations</w:t>
            </w:r>
          </w:p>
        </w:tc>
        <w:tc>
          <w:tcPr>
            <w:tcW w:w="2298" w:type="dxa"/>
          </w:tcPr>
          <w:p w14:paraId="33404CFB" w14:textId="138AA167" w:rsidR="00867B56" w:rsidRDefault="00867B56" w:rsidP="00E4673F">
            <w:pPr>
              <w:pStyle w:val="Tabletext"/>
              <w:rPr>
                <w:lang w:eastAsia="en-AU"/>
              </w:rPr>
            </w:pPr>
            <w:r>
              <w:rPr>
                <w:lang w:eastAsia="en-AU"/>
              </w:rPr>
              <w:t>No statistical difference</w:t>
            </w:r>
          </w:p>
        </w:tc>
        <w:tc>
          <w:tcPr>
            <w:tcW w:w="2298" w:type="dxa"/>
          </w:tcPr>
          <w:p w14:paraId="44D60A7B" w14:textId="753B7C53" w:rsidR="00867B56" w:rsidRDefault="00867B56" w:rsidP="00E4673F">
            <w:pPr>
              <w:pStyle w:val="Tabletext"/>
              <w:rPr>
                <w:lang w:eastAsia="en-AU"/>
              </w:rPr>
            </w:pPr>
            <w:r>
              <w:rPr>
                <w:lang w:eastAsia="en-AU"/>
              </w:rPr>
              <w:t>No statistical difference</w:t>
            </w:r>
          </w:p>
        </w:tc>
      </w:tr>
      <w:tr w:rsidR="00EC7C3D" w14:paraId="09ACDF6E" w14:textId="77777777" w:rsidTr="003C6315">
        <w:trPr>
          <w:cnfStyle w:val="000000100000" w:firstRow="0" w:lastRow="0" w:firstColumn="0" w:lastColumn="0" w:oddVBand="0" w:evenVBand="0" w:oddHBand="1" w:evenHBand="0" w:firstRowFirstColumn="0" w:firstRowLastColumn="0" w:lastRowFirstColumn="0" w:lastRowLastColumn="0"/>
          <w:trHeight w:val="506"/>
        </w:trPr>
        <w:tc>
          <w:tcPr>
            <w:tcW w:w="2298" w:type="dxa"/>
          </w:tcPr>
          <w:p w14:paraId="6B2E939A" w14:textId="64C85A42" w:rsidR="00EC7C3D" w:rsidRDefault="00EC7C3D" w:rsidP="00EC7C3D">
            <w:pPr>
              <w:pStyle w:val="Tabletext"/>
              <w:rPr>
                <w:lang w:eastAsia="en-AU"/>
              </w:rPr>
            </w:pPr>
            <w:r>
              <w:rPr>
                <w:lang w:eastAsia="en-AU"/>
              </w:rPr>
              <w:t>IT use in Marketing</w:t>
            </w:r>
          </w:p>
        </w:tc>
        <w:tc>
          <w:tcPr>
            <w:tcW w:w="2298" w:type="dxa"/>
          </w:tcPr>
          <w:p w14:paraId="74E15887" w14:textId="485EA36A" w:rsidR="00EC7C3D" w:rsidRDefault="00EC7C3D" w:rsidP="00E4673F">
            <w:pPr>
              <w:pStyle w:val="Tabletext"/>
              <w:rPr>
                <w:lang w:eastAsia="en-AU"/>
              </w:rPr>
            </w:pPr>
            <w:r>
              <w:rPr>
                <w:lang w:eastAsia="en-AU"/>
              </w:rPr>
              <w:t>No statistical difference</w:t>
            </w:r>
          </w:p>
        </w:tc>
        <w:tc>
          <w:tcPr>
            <w:tcW w:w="2298" w:type="dxa"/>
          </w:tcPr>
          <w:p w14:paraId="040E2E4E" w14:textId="34F43B59" w:rsidR="00EC7C3D" w:rsidRDefault="00E27D64" w:rsidP="00E4673F">
            <w:pPr>
              <w:pStyle w:val="Tabletext"/>
              <w:rPr>
                <w:lang w:eastAsia="en-AU"/>
              </w:rPr>
            </w:pPr>
            <w:r>
              <w:rPr>
                <w:lang w:eastAsia="en-AU"/>
              </w:rPr>
              <w:t>More likelyᶜ</w:t>
            </w:r>
          </w:p>
        </w:tc>
      </w:tr>
      <w:tr w:rsidR="001A518A" w14:paraId="6874FDCD" w14:textId="77777777" w:rsidTr="003C6315">
        <w:trPr>
          <w:cnfStyle w:val="000000010000" w:firstRow="0" w:lastRow="0" w:firstColumn="0" w:lastColumn="0" w:oddVBand="0" w:evenVBand="0" w:oddHBand="0" w:evenHBand="1" w:firstRowFirstColumn="0" w:firstRowLastColumn="0" w:lastRowFirstColumn="0" w:lastRowLastColumn="0"/>
          <w:trHeight w:val="506"/>
        </w:trPr>
        <w:tc>
          <w:tcPr>
            <w:tcW w:w="2298" w:type="dxa"/>
          </w:tcPr>
          <w:p w14:paraId="48043057" w14:textId="09BE5A0B" w:rsidR="001A518A" w:rsidRDefault="001A518A" w:rsidP="001A518A">
            <w:pPr>
              <w:pStyle w:val="Tabletext"/>
              <w:rPr>
                <w:lang w:eastAsia="en-AU"/>
              </w:rPr>
            </w:pPr>
            <w:r>
              <w:rPr>
                <w:lang w:eastAsia="en-AU"/>
              </w:rPr>
              <w:t xml:space="preserve">Web presence </w:t>
            </w:r>
          </w:p>
        </w:tc>
        <w:tc>
          <w:tcPr>
            <w:tcW w:w="2298" w:type="dxa"/>
          </w:tcPr>
          <w:p w14:paraId="63BF47FB" w14:textId="49EF36C1" w:rsidR="001A518A" w:rsidRDefault="00E13D20" w:rsidP="00E4673F">
            <w:pPr>
              <w:pStyle w:val="Tabletext"/>
              <w:rPr>
                <w:lang w:eastAsia="en-AU"/>
              </w:rPr>
            </w:pPr>
            <w:r>
              <w:rPr>
                <w:lang w:eastAsia="en-AU"/>
              </w:rPr>
              <w:t>No statistical difference</w:t>
            </w:r>
          </w:p>
        </w:tc>
        <w:tc>
          <w:tcPr>
            <w:tcW w:w="2298" w:type="dxa"/>
          </w:tcPr>
          <w:p w14:paraId="3C3941E0" w14:textId="3F8FC67C" w:rsidR="001A518A" w:rsidRDefault="001A518A" w:rsidP="00E4673F">
            <w:pPr>
              <w:pStyle w:val="Tabletext"/>
              <w:rPr>
                <w:lang w:eastAsia="en-AU"/>
              </w:rPr>
            </w:pPr>
            <w:r>
              <w:rPr>
                <w:lang w:eastAsia="en-AU"/>
              </w:rPr>
              <w:t>Greater use</w:t>
            </w:r>
          </w:p>
        </w:tc>
      </w:tr>
      <w:tr w:rsidR="001A518A" w14:paraId="0840BF8F" w14:textId="77777777" w:rsidTr="005519F6">
        <w:trPr>
          <w:cnfStyle w:val="000000100000" w:firstRow="0" w:lastRow="0" w:firstColumn="0" w:lastColumn="0" w:oddVBand="0" w:evenVBand="0" w:oddHBand="1" w:evenHBand="0" w:firstRowFirstColumn="0" w:firstRowLastColumn="0" w:lastRowFirstColumn="0" w:lastRowLastColumn="0"/>
          <w:trHeight w:val="506"/>
        </w:trPr>
        <w:tc>
          <w:tcPr>
            <w:tcW w:w="2298" w:type="dxa"/>
            <w:shd w:val="clear" w:color="auto" w:fill="auto"/>
          </w:tcPr>
          <w:p w14:paraId="65C2A324" w14:textId="343DBD31" w:rsidR="001A518A" w:rsidRDefault="001A518A" w:rsidP="001A518A">
            <w:pPr>
              <w:pStyle w:val="Tabletext"/>
              <w:rPr>
                <w:lang w:eastAsia="en-AU"/>
              </w:rPr>
            </w:pPr>
            <w:r>
              <w:rPr>
                <w:lang w:eastAsia="en-AU"/>
              </w:rPr>
              <w:t xml:space="preserve">Social media presence </w:t>
            </w:r>
          </w:p>
        </w:tc>
        <w:tc>
          <w:tcPr>
            <w:tcW w:w="2298" w:type="dxa"/>
            <w:shd w:val="clear" w:color="auto" w:fill="auto"/>
          </w:tcPr>
          <w:p w14:paraId="76F98FD7" w14:textId="694D8E72" w:rsidR="001A518A" w:rsidRDefault="00E13D20" w:rsidP="00E4673F">
            <w:pPr>
              <w:pStyle w:val="Tabletext"/>
              <w:rPr>
                <w:lang w:eastAsia="en-AU"/>
              </w:rPr>
            </w:pPr>
            <w:r>
              <w:rPr>
                <w:lang w:eastAsia="en-AU"/>
              </w:rPr>
              <w:t>No statistical difference</w:t>
            </w:r>
          </w:p>
        </w:tc>
        <w:tc>
          <w:tcPr>
            <w:tcW w:w="2298" w:type="dxa"/>
            <w:shd w:val="clear" w:color="auto" w:fill="auto"/>
          </w:tcPr>
          <w:p w14:paraId="5F101D4B" w14:textId="55F1B1C5" w:rsidR="001A518A" w:rsidRDefault="001A518A" w:rsidP="00E4673F">
            <w:pPr>
              <w:pStyle w:val="Tabletext"/>
              <w:rPr>
                <w:lang w:eastAsia="en-AU"/>
              </w:rPr>
            </w:pPr>
            <w:r>
              <w:rPr>
                <w:lang w:eastAsia="en-AU"/>
              </w:rPr>
              <w:t>Greater use</w:t>
            </w:r>
          </w:p>
        </w:tc>
      </w:tr>
      <w:tr w:rsidR="004257E0" w14:paraId="1BB0C968" w14:textId="77777777" w:rsidTr="005519F6">
        <w:trPr>
          <w:cnfStyle w:val="000000010000" w:firstRow="0" w:lastRow="0" w:firstColumn="0" w:lastColumn="0" w:oddVBand="0" w:evenVBand="0" w:oddHBand="0" w:evenHBand="1" w:firstRowFirstColumn="0" w:firstRowLastColumn="0" w:lastRowFirstColumn="0" w:lastRowLastColumn="0"/>
          <w:trHeight w:val="506"/>
        </w:trPr>
        <w:tc>
          <w:tcPr>
            <w:tcW w:w="2298" w:type="dxa"/>
            <w:shd w:val="clear" w:color="auto" w:fill="auto"/>
          </w:tcPr>
          <w:p w14:paraId="72EC8B4B" w14:textId="3B7D78A1" w:rsidR="004257E0" w:rsidRDefault="004257E0" w:rsidP="001A518A">
            <w:pPr>
              <w:pStyle w:val="Tabletext"/>
              <w:rPr>
                <w:lang w:eastAsia="en-AU"/>
              </w:rPr>
            </w:pPr>
            <w:r>
              <w:rPr>
                <w:lang w:eastAsia="en-AU"/>
              </w:rPr>
              <w:t>Counts</w:t>
            </w:r>
          </w:p>
        </w:tc>
        <w:tc>
          <w:tcPr>
            <w:tcW w:w="2298" w:type="dxa"/>
            <w:shd w:val="clear" w:color="auto" w:fill="auto"/>
          </w:tcPr>
          <w:p w14:paraId="77A8BB79" w14:textId="7F37B72A" w:rsidR="004257E0" w:rsidRDefault="004257E0" w:rsidP="00E4673F">
            <w:pPr>
              <w:pStyle w:val="Tabletext"/>
              <w:rPr>
                <w:lang w:eastAsia="en-AU"/>
              </w:rPr>
            </w:pPr>
            <w:r>
              <w:rPr>
                <w:lang w:eastAsia="en-AU"/>
              </w:rPr>
              <w:t>444</w:t>
            </w:r>
          </w:p>
        </w:tc>
        <w:tc>
          <w:tcPr>
            <w:tcW w:w="2298" w:type="dxa"/>
            <w:shd w:val="clear" w:color="auto" w:fill="auto"/>
          </w:tcPr>
          <w:p w14:paraId="1F2CFB48" w14:textId="5A0B8669" w:rsidR="004257E0" w:rsidRDefault="004257E0" w:rsidP="00E4673F">
            <w:pPr>
              <w:pStyle w:val="Tabletext"/>
              <w:rPr>
                <w:lang w:eastAsia="en-AU"/>
              </w:rPr>
            </w:pPr>
            <w:r>
              <w:rPr>
                <w:lang w:eastAsia="en-AU"/>
              </w:rPr>
              <w:t>1,096</w:t>
            </w:r>
          </w:p>
        </w:tc>
      </w:tr>
    </w:tbl>
    <w:p w14:paraId="22A362B2" w14:textId="381989CA" w:rsidR="00A9250B" w:rsidRDefault="00A9250B" w:rsidP="00A9250B">
      <w:pPr>
        <w:pStyle w:val="Note"/>
        <w:rPr>
          <w:lang w:eastAsia="en-AU"/>
        </w:rPr>
      </w:pPr>
      <w:r>
        <w:rPr>
          <w:lang w:eastAsia="en-AU"/>
        </w:rPr>
        <w:t xml:space="preserve">Notes: </w:t>
      </w:r>
      <w:r w:rsidR="007A7B55">
        <w:rPr>
          <w:lang w:eastAsia="en-AU"/>
        </w:rPr>
        <w:t xml:space="preserve">ªStock of </w:t>
      </w:r>
      <w:r w:rsidR="00D91AA3">
        <w:rPr>
          <w:lang w:eastAsia="en-AU"/>
        </w:rPr>
        <w:t xml:space="preserve">small </w:t>
      </w:r>
      <w:r w:rsidR="007A7B55">
        <w:t>born global firm</w:t>
      </w:r>
      <w:r w:rsidR="005A3B3A">
        <w:t>s from 20</w:t>
      </w:r>
      <w:r w:rsidR="007F3E9F">
        <w:t>05</w:t>
      </w:r>
      <w:r w:rsidR="005A3B3A">
        <w:t>-</w:t>
      </w:r>
      <w:r w:rsidR="007F3E9F">
        <w:t>06</w:t>
      </w:r>
      <w:r w:rsidR="005A3B3A">
        <w:t xml:space="preserve"> to 20</w:t>
      </w:r>
      <w:r w:rsidR="00C10D98">
        <w:t>15–</w:t>
      </w:r>
      <w:r w:rsidR="008B1BBC">
        <w:t>16 ᵇ</w:t>
      </w:r>
      <w:r w:rsidR="007A7B55">
        <w:rPr>
          <w:lang w:eastAsia="en-AU"/>
        </w:rPr>
        <w:t xml:space="preserve">Stock of </w:t>
      </w:r>
      <w:r w:rsidR="00D91AA3">
        <w:rPr>
          <w:lang w:eastAsia="en-AU"/>
        </w:rPr>
        <w:t xml:space="preserve">small </w:t>
      </w:r>
      <w:r w:rsidR="007A7B55">
        <w:rPr>
          <w:lang w:eastAsia="en-AU"/>
        </w:rPr>
        <w:t>exporters from 20</w:t>
      </w:r>
      <w:r w:rsidR="007F3E9F">
        <w:rPr>
          <w:lang w:eastAsia="en-AU"/>
        </w:rPr>
        <w:t>05</w:t>
      </w:r>
      <w:r w:rsidR="007A7B55">
        <w:rPr>
          <w:lang w:eastAsia="en-AU"/>
        </w:rPr>
        <w:t>-</w:t>
      </w:r>
      <w:r w:rsidR="007F3E9F">
        <w:rPr>
          <w:lang w:eastAsia="en-AU"/>
        </w:rPr>
        <w:t>06</w:t>
      </w:r>
      <w:r w:rsidR="007A7B55">
        <w:rPr>
          <w:lang w:eastAsia="en-AU"/>
        </w:rPr>
        <w:t xml:space="preserve"> to 20</w:t>
      </w:r>
      <w:r w:rsidR="00C10D98">
        <w:rPr>
          <w:lang w:eastAsia="en-AU"/>
        </w:rPr>
        <w:t>15–16</w:t>
      </w:r>
      <w:r w:rsidR="00AC787F">
        <w:rPr>
          <w:lang w:eastAsia="en-AU"/>
        </w:rPr>
        <w:t xml:space="preserve">. </w:t>
      </w:r>
      <w:r w:rsidR="00AC787F" w:rsidRPr="004757E9">
        <w:t>Restricted to four major industries: Manufacturing, Wholesale Trade, Retail Trade &amp; Professional, Scientific and Technical Services.</w:t>
      </w:r>
      <w:r w:rsidR="00E27D64">
        <w:t xml:space="preserve"> </w:t>
      </w:r>
      <w:r w:rsidR="00E27D64">
        <w:rPr>
          <w:lang w:eastAsia="en-AU"/>
        </w:rPr>
        <w:t>ᶜWeaker finding (statistically significant at 10%)</w:t>
      </w:r>
    </w:p>
    <w:p w14:paraId="215DAF67" w14:textId="1CDF4191" w:rsidR="003C7CCA" w:rsidRDefault="00A9250B" w:rsidP="00945EBF">
      <w:pPr>
        <w:pStyle w:val="Source"/>
        <w:rPr>
          <w:lang w:eastAsia="en-AU"/>
        </w:rPr>
      </w:pPr>
      <w:r>
        <w:rPr>
          <w:lang w:eastAsia="en-AU"/>
        </w:rPr>
        <w:t xml:space="preserve">Source: </w:t>
      </w:r>
      <w:r w:rsidR="004304E0">
        <w:rPr>
          <w:lang w:eastAsia="en-AU"/>
        </w:rPr>
        <w:t>BLADE (2019)</w:t>
      </w:r>
      <w:r w:rsidR="00CA3399">
        <w:rPr>
          <w:lang w:eastAsia="en-AU"/>
        </w:rPr>
        <w:t>;</w:t>
      </w:r>
      <w:r w:rsidR="004304E0">
        <w:rPr>
          <w:lang w:eastAsia="en-AU"/>
        </w:rPr>
        <w:t xml:space="preserve"> </w:t>
      </w:r>
      <w:r w:rsidR="005A4C3F">
        <w:rPr>
          <w:lang w:eastAsia="en-AU"/>
        </w:rPr>
        <w:t>BCS (2019)</w:t>
      </w:r>
    </w:p>
    <w:p w14:paraId="221EC75B" w14:textId="77777777" w:rsidR="003C7CCA" w:rsidRDefault="003C7CCA" w:rsidP="003C7CCA">
      <w:pPr>
        <w:pStyle w:val="Heading3"/>
      </w:pPr>
      <w:r>
        <w:t>Management Capability Module</w:t>
      </w:r>
    </w:p>
    <w:p w14:paraId="2FA86037" w14:textId="5A17266F" w:rsidR="008F78D5" w:rsidRDefault="008F78D5" w:rsidP="008F78D5">
      <w:pPr>
        <w:pStyle w:val="BodyText"/>
      </w:pPr>
      <w:r>
        <w:t>The same probit models are applied using the MCM data:</w:t>
      </w:r>
    </w:p>
    <w:p w14:paraId="592CCF33" w14:textId="41F0F852" w:rsidR="003C7CCA" w:rsidRDefault="00326788" w:rsidP="003C7CCA">
      <w:pPr>
        <w:pStyle w:val="BodyText"/>
        <w:rPr>
          <w:rFonts w:eastAsiaTheme="minorEastAsia"/>
        </w:rPr>
      </w:pPr>
      <m:oMath>
        <m:sSub>
          <m:sSubPr>
            <m:ctrlPr>
              <w:rPr>
                <w:rFonts w:ascii="Cambria Math" w:hAnsi="Cambria Math"/>
              </w:rPr>
            </m:ctrlPr>
          </m:sSubPr>
          <m:e>
            <m:r>
              <w:rPr>
                <w:rFonts w:ascii="Cambria Math" w:hAnsi="Cambria Math"/>
              </w:rPr>
              <m:t>Probability(X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func>
          <m:funcPr>
            <m:ctrlPr>
              <w:rPr>
                <w:rFonts w:ascii="Cambria Math" w:hAnsi="Cambria Math"/>
                <w:i/>
              </w:rPr>
            </m:ctrlPr>
          </m:funcPr>
          <m:fName>
            <m:r>
              <w:rPr>
                <w:rFonts w:ascii="Cambria Math" w:hAnsi="Cambria Math"/>
              </w:rPr>
              <m:t>borngloba</m:t>
            </m:r>
            <m:sSub>
              <m:sSubPr>
                <m:ctrlPr>
                  <w:rPr>
                    <w:rFonts w:ascii="Cambria Math" w:hAnsi="Cambria Math"/>
                    <w:i/>
                  </w:rPr>
                </m:ctrlPr>
              </m:sSubPr>
              <m:e>
                <m:r>
                  <w:rPr>
                    <w:rFonts w:ascii="Cambria Math" w:hAnsi="Cambria Math"/>
                  </w:rPr>
                  <m:t>l</m:t>
                </m:r>
              </m:e>
              <m:sub>
                <m:r>
                  <w:rPr>
                    <w:rFonts w:ascii="Cambria Math" w:hAnsi="Cambria Math"/>
                  </w:rPr>
                  <m:t>i</m:t>
                </m:r>
              </m:sub>
            </m:sSub>
          </m:fName>
          <m:e>
            <m:r>
              <w:rPr>
                <w:rFonts w:ascii="Cambria Math" w:hAnsi="Cambria Math"/>
              </w:rPr>
              <m:t xml:space="preserve"> </m:t>
            </m:r>
          </m:e>
        </m:func>
        <m:sSub>
          <m:sSubPr>
            <m:ctrlPr>
              <w:rPr>
                <w:rFonts w:ascii="Cambria Math" w:hAnsi="Cambria Math"/>
              </w:rPr>
            </m:ctrlPr>
          </m:sSubPr>
          <m:e>
            <m:r>
              <w:rPr>
                <w:rFonts w:ascii="Cambria Math" w:hAnsi="Cambria Math"/>
              </w:rPr>
              <m:t>+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m:t>
                </m:r>
              </m:sub>
            </m:sSub>
          </m:e>
        </m:func>
        <m:sSub>
          <m:sSubPr>
            <m:ctrlPr>
              <w:rPr>
                <w:rFonts w:ascii="Cambria Math" w:hAnsi="Cambria Math"/>
              </w:rPr>
            </m:ctrlPr>
          </m:sSubPr>
          <m:e>
            <m:r>
              <w:rPr>
                <w:rFonts w:ascii="Cambria Math" w:hAnsi="Cambria Math"/>
              </w:rPr>
              <m:t>+ β</m:t>
            </m:r>
          </m:e>
          <m:sub>
            <m:r>
              <w:rPr>
                <w:rFonts w:ascii="Cambria Math" w:hAnsi="Cambria Math"/>
              </w:rPr>
              <m:t>3</m:t>
            </m:r>
          </m:sub>
        </m:sSub>
        <m:func>
          <m:funcPr>
            <m:ctrlPr>
              <w:rPr>
                <w:rFonts w:ascii="Cambria Math" w:hAnsi="Cambria Math"/>
                <w:i/>
              </w:rPr>
            </m:ctrlPr>
          </m:funcPr>
          <m:fName>
            <m:sSub>
              <m:sSubPr>
                <m:ctrlPr>
                  <w:rPr>
                    <w:rFonts w:ascii="Cambria Math" w:hAnsi="Cambria Math"/>
                    <w:i/>
                  </w:rPr>
                </m:ctrlPr>
              </m:sSubPr>
              <m:e>
                <m:r>
                  <w:rPr>
                    <w:rFonts w:ascii="Cambria Math" w:hAnsi="Cambria Math"/>
                  </w:rPr>
                  <m:t>age</m:t>
                </m:r>
              </m:e>
              <m:sub>
                <m:r>
                  <w:rPr>
                    <w:rFonts w:ascii="Cambria Math" w:hAnsi="Cambria Math"/>
                  </w:rPr>
                  <m:t>i</m:t>
                </m:r>
              </m:sub>
            </m:sSub>
          </m:fName>
          <m:e>
            <m:r>
              <w:rPr>
                <w:rFonts w:ascii="Cambria Math" w:hAnsi="Cambria Math"/>
              </w:rPr>
              <m:t>+</m:t>
            </m:r>
          </m:e>
        </m:func>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sub>
        </m:sSub>
        <m:r>
          <w:rPr>
            <w:rFonts w:ascii="Cambria Math" w:hAnsi="Cambria Math"/>
          </w:rPr>
          <m:t>,</m:t>
        </m:r>
      </m:oMath>
      <w:r w:rsidR="003C7CCA">
        <w:rPr>
          <w:rFonts w:eastAsiaTheme="minorEastAsia"/>
        </w:rPr>
        <w:t xml:space="preserve"> </w:t>
      </w:r>
      <w:r w:rsidR="00A71A62">
        <w:rPr>
          <w:rFonts w:eastAsiaTheme="minorEastAsia"/>
        </w:rPr>
        <w:tab/>
        <w:t xml:space="preserve">   </w:t>
      </w:r>
      <w:r w:rsidR="00C42C1D">
        <w:rPr>
          <w:rFonts w:eastAsiaTheme="minorEastAsia"/>
        </w:rPr>
        <w:t>(3</w:t>
      </w:r>
      <w:r w:rsidR="003C7CCA">
        <w:rPr>
          <w:rFonts w:eastAsiaTheme="minorEastAsia"/>
        </w:rPr>
        <w:t>)</w:t>
      </w:r>
    </w:p>
    <w:p w14:paraId="2715B052" w14:textId="77777777" w:rsidR="003C7CCA" w:rsidRDefault="003C7CCA" w:rsidP="003C7CCA">
      <w:pPr>
        <w:pStyle w:val="BodyText"/>
        <w:rPr>
          <w:rFonts w:eastAsiaTheme="minorEastAsia"/>
        </w:rPr>
      </w:pPr>
      <w:r>
        <w:rPr>
          <w:rFonts w:eastAsiaTheme="minorEastAsia"/>
        </w:rPr>
        <w:t xml:space="preserve">or  </w:t>
      </w:r>
    </w:p>
    <w:p w14:paraId="0619F6A2" w14:textId="140D6E66" w:rsidR="003C7CCA" w:rsidRPr="009853F8" w:rsidRDefault="00326788" w:rsidP="003C7CCA">
      <w:pPr>
        <w:pStyle w:val="BodyText"/>
        <w:rPr>
          <w:rFonts w:eastAsiaTheme="minorEastAsia"/>
        </w:rPr>
      </w:pPr>
      <m:oMath>
        <m:sSub>
          <m:sSubPr>
            <m:ctrlPr>
              <w:rPr>
                <w:rFonts w:ascii="Cambria Math" w:hAnsi="Cambria Math"/>
              </w:rPr>
            </m:ctrlPr>
          </m:sSubPr>
          <m:e>
            <m:r>
              <w:rPr>
                <w:rFonts w:ascii="Cambria Math" w:hAnsi="Cambria Math"/>
              </w:rPr>
              <m:t>Probability(X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func>
          <m:funcPr>
            <m:ctrlPr>
              <w:rPr>
                <w:rFonts w:ascii="Cambria Math" w:hAnsi="Cambria Math"/>
                <w:i/>
              </w:rPr>
            </m:ctrlPr>
          </m:funcPr>
          <m:fName>
            <m:r>
              <w:rPr>
                <w:rFonts w:ascii="Cambria Math" w:hAnsi="Cambria Math"/>
              </w:rPr>
              <m:t>exporte</m:t>
            </m:r>
            <m:sSub>
              <m:sSubPr>
                <m:ctrlPr>
                  <w:rPr>
                    <w:rFonts w:ascii="Cambria Math" w:hAnsi="Cambria Math"/>
                    <w:i/>
                  </w:rPr>
                </m:ctrlPr>
              </m:sSubPr>
              <m:e>
                <m:r>
                  <w:rPr>
                    <w:rFonts w:ascii="Cambria Math" w:hAnsi="Cambria Math"/>
                  </w:rPr>
                  <m:t>r</m:t>
                </m:r>
              </m:e>
              <m:sub>
                <m:r>
                  <w:rPr>
                    <w:rFonts w:ascii="Cambria Math" w:hAnsi="Cambria Math"/>
                  </w:rPr>
                  <m:t>i</m:t>
                </m:r>
              </m:sub>
            </m:sSub>
          </m:fName>
          <m:e>
            <m:r>
              <w:rPr>
                <w:rFonts w:ascii="Cambria Math" w:hAnsi="Cambria Math"/>
              </w:rPr>
              <m:t xml:space="preserve"> </m:t>
            </m:r>
          </m:e>
        </m:func>
        <m:sSub>
          <m:sSubPr>
            <m:ctrlPr>
              <w:rPr>
                <w:rFonts w:ascii="Cambria Math" w:hAnsi="Cambria Math"/>
              </w:rPr>
            </m:ctrlPr>
          </m:sSubPr>
          <m:e>
            <m:r>
              <w:rPr>
                <w:rFonts w:ascii="Cambria Math" w:hAnsi="Cambria Math"/>
              </w:rPr>
              <m:t>+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m:t>
                </m:r>
              </m:sub>
            </m:sSub>
          </m:e>
        </m:func>
        <m:sSub>
          <m:sSubPr>
            <m:ctrlPr>
              <w:rPr>
                <w:rFonts w:ascii="Cambria Math" w:hAnsi="Cambria Math"/>
              </w:rPr>
            </m:ctrlPr>
          </m:sSubPr>
          <m:e>
            <m:r>
              <w:rPr>
                <w:rFonts w:ascii="Cambria Math" w:hAnsi="Cambria Math"/>
              </w:rPr>
              <m:t>+ β</m:t>
            </m:r>
          </m:e>
          <m:sub>
            <m:r>
              <w:rPr>
                <w:rFonts w:ascii="Cambria Math" w:hAnsi="Cambria Math"/>
              </w:rPr>
              <m:t>3</m:t>
            </m:r>
          </m:sub>
        </m:sSub>
        <m:func>
          <m:funcPr>
            <m:ctrlPr>
              <w:rPr>
                <w:rFonts w:ascii="Cambria Math" w:hAnsi="Cambria Math"/>
                <w:i/>
              </w:rPr>
            </m:ctrlPr>
          </m:funcPr>
          <m:fName>
            <m:sSub>
              <m:sSubPr>
                <m:ctrlPr>
                  <w:rPr>
                    <w:rFonts w:ascii="Cambria Math" w:hAnsi="Cambria Math"/>
                    <w:i/>
                  </w:rPr>
                </m:ctrlPr>
              </m:sSubPr>
              <m:e>
                <m:r>
                  <w:rPr>
                    <w:rFonts w:ascii="Cambria Math" w:hAnsi="Cambria Math"/>
                  </w:rPr>
                  <m:t>age</m:t>
                </m:r>
              </m:e>
              <m:sub>
                <m:r>
                  <w:rPr>
                    <w:rFonts w:ascii="Cambria Math" w:hAnsi="Cambria Math"/>
                  </w:rPr>
                  <m:t>i</m:t>
                </m:r>
              </m:sub>
            </m:sSub>
          </m:fName>
          <m:e>
            <m:r>
              <w:rPr>
                <w:rFonts w:ascii="Cambria Math" w:hAnsi="Cambria Math"/>
              </w:rPr>
              <m:t>+</m:t>
            </m:r>
          </m:e>
        </m:func>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ϵ</m:t>
            </m:r>
          </m:e>
          <m:sub>
            <m:r>
              <w:rPr>
                <w:rFonts w:ascii="Cambria Math" w:hAnsi="Cambria Math"/>
              </w:rPr>
              <m:t>i</m:t>
            </m:r>
          </m:sub>
        </m:sSub>
      </m:oMath>
      <w:r w:rsidR="003C7CCA">
        <w:rPr>
          <w:rFonts w:eastAsiaTheme="minorEastAsia"/>
        </w:rPr>
        <w:t xml:space="preserve">    </w:t>
      </w:r>
      <w:r w:rsidR="00A71A62">
        <w:rPr>
          <w:rFonts w:eastAsiaTheme="minorEastAsia"/>
        </w:rPr>
        <w:tab/>
      </w:r>
      <w:r w:rsidR="003C7CCA">
        <w:rPr>
          <w:rFonts w:eastAsiaTheme="minorEastAsia"/>
        </w:rPr>
        <w:t xml:space="preserve"> </w:t>
      </w:r>
      <w:r w:rsidR="00A71A62">
        <w:rPr>
          <w:rFonts w:eastAsiaTheme="minorEastAsia"/>
        </w:rPr>
        <w:t xml:space="preserve"> </w:t>
      </w:r>
      <w:r w:rsidR="003C7CCA">
        <w:rPr>
          <w:rFonts w:eastAsiaTheme="minorEastAsia"/>
        </w:rPr>
        <w:t xml:space="preserve"> </w:t>
      </w:r>
      <w:r w:rsidR="00C42C1D">
        <w:rPr>
          <w:rFonts w:eastAsiaTheme="minorEastAsia"/>
        </w:rPr>
        <w:t>(4</w:t>
      </w:r>
      <w:r w:rsidR="003C7CCA">
        <w:rPr>
          <w:rFonts w:eastAsiaTheme="minorEastAsia"/>
        </w:rPr>
        <w:t>)</w:t>
      </w:r>
    </w:p>
    <w:p w14:paraId="2D176B36" w14:textId="77777777" w:rsidR="003C7CCA" w:rsidRDefault="003C7CCA" w:rsidP="003C7CCA">
      <w:pPr>
        <w:pStyle w:val="BodyText"/>
      </w:pPr>
      <w:r>
        <w:t xml:space="preserve">Where </w:t>
      </w:r>
      <m:oMath>
        <m:sSub>
          <m:sSubPr>
            <m:ctrlPr>
              <w:rPr>
                <w:rFonts w:ascii="Cambria Math" w:hAnsi="Cambria Math"/>
              </w:rPr>
            </m:ctrlPr>
          </m:sSubPr>
          <m:e>
            <m:r>
              <w:rPr>
                <w:rFonts w:ascii="Cambria Math" w:hAnsi="Cambria Math"/>
              </w:rPr>
              <m:t>X</m:t>
            </m:r>
          </m:e>
          <m:sub>
            <m:r>
              <w:rPr>
                <w:rFonts w:ascii="Cambria Math" w:hAnsi="Cambria Math"/>
              </w:rPr>
              <m:t>i</m:t>
            </m:r>
          </m:sub>
        </m:sSub>
      </m:oMath>
      <w:r>
        <w:rPr>
          <w:rFonts w:eastAsiaTheme="minorEastAsia"/>
        </w:rPr>
        <w:t xml:space="preserve"> is a vector of all managerial characteristics tested for each firm </w:t>
      </w:r>
      <m:oMath>
        <m:r>
          <m:rPr>
            <m:sty m:val="p"/>
          </m:rPr>
          <w:rPr>
            <w:rFonts w:ascii="Cambria Math" w:hAnsi="Cambria Math"/>
          </w:rPr>
          <w:softHyphen/>
        </m:r>
        <m:r>
          <m:rPr>
            <m:sty m:val="p"/>
          </m:rPr>
          <w:rPr>
            <w:rFonts w:ascii="Cambria Math" w:hAnsi="Cambria Math"/>
          </w:rPr>
          <w:softHyphen/>
        </m:r>
        <m:r>
          <w:rPr>
            <w:rFonts w:ascii="Cambria Math" w:hAnsi="Cambria Math"/>
          </w:rPr>
          <m:t>i.</m:t>
        </m:r>
      </m:oMath>
      <w:r>
        <w:rPr>
          <w:rFonts w:eastAsiaTheme="minorEastAsia"/>
        </w:rPr>
        <w:t xml:space="preserve">   </w:t>
      </w:r>
    </w:p>
    <w:p w14:paraId="7678BF98" w14:textId="5D5EC49D" w:rsidR="003C7CCA" w:rsidRDefault="003C7CCA" w:rsidP="003C7CCA">
      <w:pPr>
        <w:pStyle w:val="BodyText"/>
      </w:pPr>
      <w:r>
        <w:t xml:space="preserve">It is important to note the MCM only measures managerial characteristics in the 2015–16 financial year. Therefore we restrict the sample to firms born from </w:t>
      </w:r>
      <w:r>
        <w:lastRenderedPageBreak/>
        <w:t>the 2010-11 financial year, so only firms that fill out the MCM survey at or before age five are included.</w:t>
      </w:r>
      <w:r w:rsidR="00844726">
        <w:t xml:space="preserve"> Due to the small sample size, it is more difficult to measure </w:t>
      </w:r>
      <w:r w:rsidR="00F81045">
        <w:t xml:space="preserve">MCM </w:t>
      </w:r>
      <w:r w:rsidR="00844726">
        <w:t>survey outcomes between BGFs and other small exporters.</w:t>
      </w:r>
      <w:r>
        <w:t xml:space="preserve"> A summary of results are</w:t>
      </w:r>
      <w:r w:rsidR="00DF7187">
        <w:t xml:space="preserve"> provided in Table 2.</w:t>
      </w:r>
      <w:r w:rsidR="00DC1FCB">
        <w:t>6</w:t>
      </w:r>
      <w:r w:rsidR="00B972FF">
        <w:t>.</w:t>
      </w:r>
      <w:r>
        <w:t xml:space="preserve"> </w:t>
      </w:r>
    </w:p>
    <w:p w14:paraId="115B2747" w14:textId="63392501" w:rsidR="003C7CCA" w:rsidRDefault="003C7CCA" w:rsidP="003C7CCA">
      <w:pPr>
        <w:pStyle w:val="BodyText"/>
      </w:pPr>
      <w:r>
        <w:t xml:space="preserve">The results show that the small exporter population is on average more likely to address marketing, advertising, promotion and innovation areas in their strategic plan, compared to non-exporting small firms. Exporters are also more likely to indicate </w:t>
      </w:r>
      <w:r w:rsidR="004D4352">
        <w:t>n</w:t>
      </w:r>
      <w:r w:rsidR="004D4352" w:rsidRPr="004D4352">
        <w:t xml:space="preserve">ew or improved </w:t>
      </w:r>
      <w:r>
        <w:t>marketing methods, and access to a number of digital technologies, but experience skill shortages in financial and marketing professions. Principal managers of exporting firms are on average more likely to be male and more likely to have higher levels of educational attainment such as a bachelor degree or higher.</w:t>
      </w:r>
    </w:p>
    <w:p w14:paraId="70FE8869" w14:textId="460AFD46" w:rsidR="003C7CCA" w:rsidRPr="00817936" w:rsidRDefault="003C7CCA" w:rsidP="003C7CCA">
      <w:pPr>
        <w:pStyle w:val="BodyText"/>
      </w:pPr>
      <w:r>
        <w:t>BGFs are on average less likely to address innovation</w:t>
      </w:r>
      <w:r w:rsidR="002D684E">
        <w:t>, marketing, advertising and promotion and innovation</w:t>
      </w:r>
      <w:r>
        <w:t xml:space="preserve"> as area</w:t>
      </w:r>
      <w:r w:rsidR="002D684E">
        <w:t>s</w:t>
      </w:r>
      <w:r>
        <w:t xml:space="preserve"> of their strategic plan, compared to other small exporters. BGFs indicate less </w:t>
      </w:r>
      <w:r w:rsidR="004D4352">
        <w:t>n</w:t>
      </w:r>
      <w:r w:rsidR="004D4352" w:rsidRPr="004D4352">
        <w:t xml:space="preserve">ew or improved </w:t>
      </w:r>
      <w:r>
        <w:t xml:space="preserve">marketing methods </w:t>
      </w:r>
      <w:r w:rsidR="0073262C">
        <w:t>and skill shortages or deficiencies</w:t>
      </w:r>
      <w:r w:rsidR="007F0687">
        <w:t xml:space="preserve"> in marketing. </w:t>
      </w:r>
      <w:r>
        <w:t xml:space="preserve">However, BGFs </w:t>
      </w:r>
      <w:r w:rsidR="007F0687">
        <w:t>experience less skill shortages or deficiencies in finance and IT support professionals.</w:t>
      </w:r>
      <w:r>
        <w:t xml:space="preserve"> Principal managers of BGFs are on average older and </w:t>
      </w:r>
      <w:r w:rsidR="00855A27">
        <w:t>have higher</w:t>
      </w:r>
      <w:r>
        <w:t xml:space="preserve"> levels of educational attainment such as a </w:t>
      </w:r>
      <w:r w:rsidR="00855A27">
        <w:t>bachelor degree</w:t>
      </w:r>
      <w:r>
        <w:t xml:space="preserve">.  </w:t>
      </w:r>
      <w:r w:rsidR="0049058F">
        <w:t>Results are generally robust across the BGF definition tested, (see Table C.2, at Appendix C)</w:t>
      </w:r>
      <w:r w:rsidR="0049058F" w:rsidRPr="00B972FF">
        <w:t xml:space="preserve">.  </w:t>
      </w:r>
    </w:p>
    <w:p w14:paraId="6FC41822" w14:textId="56986CF9" w:rsidR="003C7CCA" w:rsidRDefault="003C7CCA" w:rsidP="003C7CCA">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326788">
        <w:rPr>
          <w:noProof/>
        </w:rPr>
        <w:t>2</w:t>
      </w:r>
      <w:r>
        <w:rPr>
          <w:noProof/>
        </w:rPr>
        <w:fldChar w:fldCharType="end"/>
      </w:r>
      <w:r w:rsidRPr="000618FB">
        <w:t>.</w:t>
      </w:r>
      <w:r w:rsidR="00DC1FCB">
        <w:rPr>
          <w:noProof/>
        </w:rPr>
        <w:t>6</w:t>
      </w:r>
      <w:r w:rsidRPr="000618FB">
        <w:t xml:space="preserve">: </w:t>
      </w:r>
      <w:r>
        <w:t>Management capability module</w:t>
      </w:r>
      <w:r w:rsidRPr="003868DF">
        <w:t>, 20</w:t>
      </w:r>
      <w:r>
        <w:t>15–16</w:t>
      </w:r>
    </w:p>
    <w:tbl>
      <w:tblPr>
        <w:tblStyle w:val="OCETable"/>
        <w:tblW w:w="4970" w:type="pct"/>
        <w:tblInd w:w="57" w:type="dxa"/>
        <w:tblLayout w:type="fixed"/>
        <w:tblLook w:val="04A0" w:firstRow="1" w:lastRow="0" w:firstColumn="1" w:lastColumn="0" w:noHBand="0" w:noVBand="1"/>
        <w:tblCaption w:val="Management Capability Module, 2015-16"/>
        <w:tblDescription w:val="The results show that the small exporter population is on average more likely to address marketing, advertising, promotion and innovation areas in their strategic plan, compared to non-exporting small firms. Exporters are also more likely to indicate new or improved marketing methods, and access to a number of digital technologies, but experience skill shortages in financial and marketing professions. Principal managers of exporting firms are on average more likely to be male and more likely to have higher levels of educational attainment such as a bachelor degree or higher.&#10;BGFs are on average less likely to address innovation, marketing, advertising and promotion and innovation as areas of their strategic plan, compared to other small exporters. BGFs indicate less new or improved marketing methods and skill shortages or deficiencies in marketing. However, BGFs experience less skill shortages or deficiencies in finance and IT support professionals. Principal managers of BGFs are on average older and have higher levels of educational attainment such as a bachelor degree.  Results are generally robust across the BGF definition tested, (see Table C.2, at Appendix C).  &#10;"/>
      </w:tblPr>
      <w:tblGrid>
        <w:gridCol w:w="2285"/>
        <w:gridCol w:w="2284"/>
        <w:gridCol w:w="2284"/>
      </w:tblGrid>
      <w:tr w:rsidR="003C7CCA" w14:paraId="0F93131B" w14:textId="77777777" w:rsidTr="00D23450">
        <w:trPr>
          <w:cnfStyle w:val="100000000000" w:firstRow="1" w:lastRow="0" w:firstColumn="0" w:lastColumn="0" w:oddVBand="0" w:evenVBand="0" w:oddHBand="0" w:evenHBand="0" w:firstRowFirstColumn="0" w:firstRowLastColumn="0" w:lastRowFirstColumn="0" w:lastRowLastColumn="0"/>
          <w:trHeight w:val="597"/>
          <w:tblHeader/>
        </w:trPr>
        <w:tc>
          <w:tcPr>
            <w:tcW w:w="2285" w:type="dxa"/>
          </w:tcPr>
          <w:p w14:paraId="50DEB115" w14:textId="77777777" w:rsidR="003C7CCA" w:rsidRDefault="003C7CCA" w:rsidP="00D23450">
            <w:pPr>
              <w:pStyle w:val="Tableheader"/>
              <w:rPr>
                <w:lang w:eastAsia="en-AU"/>
              </w:rPr>
            </w:pPr>
            <w:r>
              <w:rPr>
                <w:lang w:eastAsia="en-AU"/>
              </w:rPr>
              <w:t xml:space="preserve">Characteristic type </w:t>
            </w:r>
          </w:p>
        </w:tc>
        <w:tc>
          <w:tcPr>
            <w:tcW w:w="2284" w:type="dxa"/>
          </w:tcPr>
          <w:p w14:paraId="0A3C5FA7" w14:textId="77777777" w:rsidR="003C7CCA" w:rsidRDefault="003C7CCA" w:rsidP="005C6083">
            <w:pPr>
              <w:pStyle w:val="Tableheader"/>
              <w:rPr>
                <w:lang w:eastAsia="en-AU"/>
              </w:rPr>
            </w:pPr>
            <w:r>
              <w:rPr>
                <w:lang w:eastAsia="en-AU"/>
              </w:rPr>
              <w:t>Born global firmsª</w:t>
            </w:r>
          </w:p>
        </w:tc>
        <w:tc>
          <w:tcPr>
            <w:tcW w:w="2284" w:type="dxa"/>
          </w:tcPr>
          <w:p w14:paraId="492E4828" w14:textId="77777777" w:rsidR="003C7CCA" w:rsidRDefault="003C7CCA" w:rsidP="005C6083">
            <w:pPr>
              <w:pStyle w:val="Tableheader"/>
              <w:rPr>
                <w:lang w:eastAsia="en-AU"/>
              </w:rPr>
            </w:pPr>
            <w:r>
              <w:rPr>
                <w:lang w:eastAsia="en-AU"/>
              </w:rPr>
              <w:t>Exportersᵇ</w:t>
            </w:r>
          </w:p>
        </w:tc>
      </w:tr>
      <w:tr w:rsidR="003C7CCA" w14:paraId="18F02782" w14:textId="77777777" w:rsidTr="005C6083">
        <w:trPr>
          <w:cnfStyle w:val="000000100000" w:firstRow="0" w:lastRow="0" w:firstColumn="0" w:lastColumn="0" w:oddVBand="0" w:evenVBand="0" w:oddHBand="1" w:evenHBand="0" w:firstRowFirstColumn="0" w:firstRowLastColumn="0" w:lastRowFirstColumn="0" w:lastRowLastColumn="0"/>
          <w:trHeight w:val="298"/>
        </w:trPr>
        <w:tc>
          <w:tcPr>
            <w:tcW w:w="2285" w:type="dxa"/>
            <w:vAlign w:val="center"/>
          </w:tcPr>
          <w:p w14:paraId="1850ADDB" w14:textId="25D31282" w:rsidR="003C7CCA" w:rsidRDefault="004D4352" w:rsidP="005C6083">
            <w:pPr>
              <w:pStyle w:val="Tabletext"/>
              <w:rPr>
                <w:lang w:eastAsia="en-AU"/>
              </w:rPr>
            </w:pPr>
            <w:r>
              <w:rPr>
                <w:lang w:eastAsia="en-AU"/>
              </w:rPr>
              <w:t>New or improved m</w:t>
            </w:r>
            <w:r w:rsidR="003C7CCA" w:rsidRPr="00804FDA">
              <w:rPr>
                <w:lang w:eastAsia="en-AU"/>
              </w:rPr>
              <w:t>arketing</w:t>
            </w:r>
            <w:r>
              <w:rPr>
                <w:lang w:eastAsia="en-AU"/>
              </w:rPr>
              <w:t xml:space="preserve"> methods</w:t>
            </w:r>
          </w:p>
        </w:tc>
        <w:tc>
          <w:tcPr>
            <w:tcW w:w="2284" w:type="dxa"/>
            <w:vAlign w:val="center"/>
          </w:tcPr>
          <w:p w14:paraId="6A2A6321" w14:textId="2D79BAE0" w:rsidR="003C7CCA" w:rsidRDefault="003C7CCA" w:rsidP="005C6083">
            <w:pPr>
              <w:pStyle w:val="Tabletext"/>
              <w:rPr>
                <w:lang w:eastAsia="en-AU"/>
              </w:rPr>
            </w:pPr>
            <w:r>
              <w:rPr>
                <w:lang w:eastAsia="en-AU"/>
              </w:rPr>
              <w:t xml:space="preserve">Less </w:t>
            </w:r>
            <w:r w:rsidR="004D4352">
              <w:rPr>
                <w:lang w:eastAsia="en-AU"/>
              </w:rPr>
              <w:t>likely</w:t>
            </w:r>
          </w:p>
        </w:tc>
        <w:tc>
          <w:tcPr>
            <w:tcW w:w="2284" w:type="dxa"/>
            <w:vAlign w:val="center"/>
          </w:tcPr>
          <w:p w14:paraId="7729C825" w14:textId="5DDB8CFF" w:rsidR="003C7CCA" w:rsidRDefault="003C7CCA" w:rsidP="005C6083">
            <w:pPr>
              <w:pStyle w:val="Tabletext"/>
              <w:rPr>
                <w:lang w:eastAsia="en-AU"/>
              </w:rPr>
            </w:pPr>
            <w:r>
              <w:rPr>
                <w:lang w:eastAsia="en-AU"/>
              </w:rPr>
              <w:t xml:space="preserve">More </w:t>
            </w:r>
            <w:r w:rsidR="004D4352">
              <w:rPr>
                <w:lang w:eastAsia="en-AU"/>
              </w:rPr>
              <w:t>l</w:t>
            </w:r>
            <w:r w:rsidR="00316F1D">
              <w:rPr>
                <w:lang w:eastAsia="en-AU"/>
              </w:rPr>
              <w:t>i</w:t>
            </w:r>
            <w:r w:rsidR="004D4352">
              <w:rPr>
                <w:lang w:eastAsia="en-AU"/>
              </w:rPr>
              <w:t>k</w:t>
            </w:r>
            <w:r w:rsidR="00316F1D">
              <w:rPr>
                <w:lang w:eastAsia="en-AU"/>
              </w:rPr>
              <w:t>e</w:t>
            </w:r>
            <w:r w:rsidR="004D4352">
              <w:rPr>
                <w:lang w:eastAsia="en-AU"/>
              </w:rPr>
              <w:t>ly</w:t>
            </w:r>
            <w:r>
              <w:rPr>
                <w:lang w:eastAsia="en-AU"/>
              </w:rPr>
              <w:t xml:space="preserve"> </w:t>
            </w:r>
          </w:p>
        </w:tc>
      </w:tr>
      <w:tr w:rsidR="003C7CCA" w14:paraId="31D9E1D5" w14:textId="77777777" w:rsidTr="005C6083">
        <w:trPr>
          <w:cnfStyle w:val="000000010000" w:firstRow="0" w:lastRow="0" w:firstColumn="0" w:lastColumn="0" w:oddVBand="0" w:evenVBand="0" w:oddHBand="0" w:evenHBand="1" w:firstRowFirstColumn="0" w:firstRowLastColumn="0" w:lastRowFirstColumn="0" w:lastRowLastColumn="0"/>
          <w:trHeight w:val="298"/>
        </w:trPr>
        <w:tc>
          <w:tcPr>
            <w:tcW w:w="2285" w:type="dxa"/>
            <w:vAlign w:val="center"/>
          </w:tcPr>
          <w:p w14:paraId="502867A3" w14:textId="77777777" w:rsidR="003C7CCA" w:rsidRDefault="003C7CCA" w:rsidP="005C6083">
            <w:pPr>
              <w:pStyle w:val="Tabletext"/>
              <w:rPr>
                <w:lang w:eastAsia="en-AU"/>
              </w:rPr>
            </w:pPr>
            <w:r>
              <w:rPr>
                <w:lang w:eastAsia="en-AU"/>
              </w:rPr>
              <w:t xml:space="preserve">Strategy </w:t>
            </w:r>
          </w:p>
        </w:tc>
        <w:tc>
          <w:tcPr>
            <w:tcW w:w="2284" w:type="dxa"/>
            <w:vAlign w:val="center"/>
          </w:tcPr>
          <w:p w14:paraId="391CC802" w14:textId="0089D5C5" w:rsidR="003C7CCA" w:rsidRDefault="00E8040F" w:rsidP="005C6083">
            <w:pPr>
              <w:pStyle w:val="Tabletext"/>
              <w:rPr>
                <w:lang w:eastAsia="en-AU"/>
              </w:rPr>
            </w:pPr>
            <w:r w:rsidRPr="00E8040F">
              <w:rPr>
                <w:lang w:eastAsia="en-AU"/>
              </w:rPr>
              <w:t>Marketing, advertising and promotion</w:t>
            </w:r>
            <w:r>
              <w:rPr>
                <w:lang w:eastAsia="en-AU"/>
              </w:rPr>
              <w:t>,</w:t>
            </w:r>
            <w:r w:rsidRPr="00E8040F">
              <w:rPr>
                <w:lang w:eastAsia="en-AU"/>
              </w:rPr>
              <w:t xml:space="preserve"> innovation </w:t>
            </w:r>
            <w:r>
              <w:rPr>
                <w:lang w:eastAsia="en-AU"/>
              </w:rPr>
              <w:t>and ICT less</w:t>
            </w:r>
            <w:r w:rsidRPr="00E8040F">
              <w:rPr>
                <w:lang w:eastAsia="en-AU"/>
              </w:rPr>
              <w:t xml:space="preserve"> likely to be covered</w:t>
            </w:r>
          </w:p>
        </w:tc>
        <w:tc>
          <w:tcPr>
            <w:tcW w:w="2284" w:type="dxa"/>
            <w:vAlign w:val="center"/>
          </w:tcPr>
          <w:p w14:paraId="2031CEDE" w14:textId="77777777" w:rsidR="003C7CCA" w:rsidRDefault="003C7CCA" w:rsidP="005C6083">
            <w:pPr>
              <w:pStyle w:val="Tabletext"/>
              <w:rPr>
                <w:lang w:eastAsia="en-AU"/>
              </w:rPr>
            </w:pPr>
            <w:r>
              <w:rPr>
                <w:lang w:eastAsia="en-AU"/>
              </w:rPr>
              <w:t xml:space="preserve">Marketing, advertising and promotion and innovation more likely to be covered </w:t>
            </w:r>
          </w:p>
        </w:tc>
      </w:tr>
      <w:tr w:rsidR="003C7CCA" w14:paraId="1851B8F2" w14:textId="77777777" w:rsidTr="005C6083">
        <w:trPr>
          <w:cnfStyle w:val="000000100000" w:firstRow="0" w:lastRow="0" w:firstColumn="0" w:lastColumn="0" w:oddVBand="0" w:evenVBand="0" w:oddHBand="1" w:evenHBand="0" w:firstRowFirstColumn="0" w:firstRowLastColumn="0" w:lastRowFirstColumn="0" w:lastRowLastColumn="0"/>
          <w:trHeight w:val="489"/>
        </w:trPr>
        <w:tc>
          <w:tcPr>
            <w:tcW w:w="2285" w:type="dxa"/>
            <w:vAlign w:val="center"/>
          </w:tcPr>
          <w:p w14:paraId="0EB9714A" w14:textId="77777777" w:rsidR="003C7CCA" w:rsidRDefault="003C7CCA" w:rsidP="005C6083">
            <w:pPr>
              <w:pStyle w:val="Tabletext"/>
              <w:rPr>
                <w:lang w:eastAsia="en-AU"/>
              </w:rPr>
            </w:pPr>
            <w:r>
              <w:rPr>
                <w:lang w:eastAsia="en-AU"/>
              </w:rPr>
              <w:t xml:space="preserve">Skill shortages or deficiencies in undertaking core business activities </w:t>
            </w:r>
          </w:p>
        </w:tc>
        <w:tc>
          <w:tcPr>
            <w:tcW w:w="2284" w:type="dxa"/>
            <w:vAlign w:val="center"/>
          </w:tcPr>
          <w:p w14:paraId="7B3BCD3D" w14:textId="78352850" w:rsidR="003C7CCA" w:rsidRDefault="003D2987" w:rsidP="005C6083">
            <w:pPr>
              <w:pStyle w:val="Tabletext"/>
              <w:rPr>
                <w:lang w:eastAsia="en-AU"/>
              </w:rPr>
            </w:pPr>
            <w:r>
              <w:rPr>
                <w:lang w:eastAsia="en-AU"/>
              </w:rPr>
              <w:t xml:space="preserve">More likely in Marketing; less likely in finance professionals and IT support  </w:t>
            </w:r>
          </w:p>
        </w:tc>
        <w:tc>
          <w:tcPr>
            <w:tcW w:w="2284" w:type="dxa"/>
            <w:vAlign w:val="center"/>
          </w:tcPr>
          <w:p w14:paraId="403DA78E" w14:textId="7483D5BC" w:rsidR="003C7CCA" w:rsidRDefault="002D45E0" w:rsidP="005C6083">
            <w:pPr>
              <w:pStyle w:val="Tabletext"/>
              <w:rPr>
                <w:lang w:eastAsia="en-AU"/>
              </w:rPr>
            </w:pPr>
            <w:r>
              <w:rPr>
                <w:lang w:eastAsia="en-AU"/>
              </w:rPr>
              <w:t>F</w:t>
            </w:r>
            <w:r w:rsidR="003C7CCA">
              <w:rPr>
                <w:lang w:eastAsia="en-AU"/>
              </w:rPr>
              <w:t xml:space="preserve">inancial and marketing </w:t>
            </w:r>
          </w:p>
        </w:tc>
      </w:tr>
      <w:tr w:rsidR="003C7CCA" w14:paraId="252152C0" w14:textId="77777777" w:rsidTr="005C6083">
        <w:trPr>
          <w:cnfStyle w:val="000000010000" w:firstRow="0" w:lastRow="0" w:firstColumn="0" w:lastColumn="0" w:oddVBand="0" w:evenVBand="0" w:oddHBand="0" w:evenHBand="1" w:firstRowFirstColumn="0" w:firstRowLastColumn="0" w:lastRowFirstColumn="0" w:lastRowLastColumn="0"/>
          <w:trHeight w:val="489"/>
        </w:trPr>
        <w:tc>
          <w:tcPr>
            <w:tcW w:w="2285" w:type="dxa"/>
            <w:vAlign w:val="center"/>
          </w:tcPr>
          <w:p w14:paraId="1230E4E6" w14:textId="77777777" w:rsidR="003C7CCA" w:rsidRDefault="003C7CCA" w:rsidP="005C6083">
            <w:pPr>
              <w:pStyle w:val="Tabletext"/>
              <w:rPr>
                <w:lang w:eastAsia="en-AU"/>
              </w:rPr>
            </w:pPr>
            <w:r>
              <w:rPr>
                <w:lang w:eastAsia="en-AU"/>
              </w:rPr>
              <w:t xml:space="preserve">Digital business </w:t>
            </w:r>
          </w:p>
        </w:tc>
        <w:tc>
          <w:tcPr>
            <w:tcW w:w="2284" w:type="dxa"/>
            <w:vAlign w:val="center"/>
          </w:tcPr>
          <w:p w14:paraId="78C9FBE1" w14:textId="00AB93A6" w:rsidR="003C7CCA" w:rsidRDefault="00C16EEF" w:rsidP="005C6083">
            <w:pPr>
              <w:pStyle w:val="Tabletext"/>
              <w:rPr>
                <w:lang w:eastAsia="en-AU"/>
              </w:rPr>
            </w:pPr>
            <w:r>
              <w:rPr>
                <w:lang w:eastAsia="en-AU"/>
              </w:rPr>
              <w:t>Greater access to high speed broadband and mobile internet</w:t>
            </w:r>
          </w:p>
        </w:tc>
        <w:tc>
          <w:tcPr>
            <w:tcW w:w="2284" w:type="dxa"/>
            <w:vAlign w:val="center"/>
          </w:tcPr>
          <w:p w14:paraId="77D0ED02" w14:textId="77777777" w:rsidR="003C7CCA" w:rsidRDefault="003C7CCA" w:rsidP="005C6083">
            <w:pPr>
              <w:pStyle w:val="Tabletext"/>
              <w:rPr>
                <w:lang w:eastAsia="en-AU"/>
              </w:rPr>
            </w:pPr>
            <w:r>
              <w:rPr>
                <w:lang w:eastAsia="en-AU"/>
              </w:rPr>
              <w:t>Greater use of high speed broadband, cybersecurity, data analytics, ecommerce, intelligent software systems, mobile internet</w:t>
            </w:r>
          </w:p>
        </w:tc>
      </w:tr>
      <w:tr w:rsidR="003C7CCA" w14:paraId="47D039BE" w14:textId="77777777" w:rsidTr="005C6083">
        <w:trPr>
          <w:cnfStyle w:val="000000100000" w:firstRow="0" w:lastRow="0" w:firstColumn="0" w:lastColumn="0" w:oddVBand="0" w:evenVBand="0" w:oddHBand="1" w:evenHBand="0" w:firstRowFirstColumn="0" w:firstRowLastColumn="0" w:lastRowFirstColumn="0" w:lastRowLastColumn="0"/>
          <w:trHeight w:val="489"/>
        </w:trPr>
        <w:tc>
          <w:tcPr>
            <w:tcW w:w="2285" w:type="dxa"/>
            <w:shd w:val="clear" w:color="auto" w:fill="BBE0F2" w:themeFill="accent2" w:themeFillTint="66"/>
            <w:vAlign w:val="center"/>
          </w:tcPr>
          <w:p w14:paraId="0A704E52" w14:textId="77777777" w:rsidR="003C7CCA" w:rsidRPr="005B3678" w:rsidRDefault="003C7CCA" w:rsidP="005C6083">
            <w:pPr>
              <w:pStyle w:val="Tabletext"/>
              <w:rPr>
                <w:i/>
                <w:lang w:eastAsia="en-AU"/>
              </w:rPr>
            </w:pPr>
            <w:r w:rsidRPr="005B3678">
              <w:rPr>
                <w:i/>
                <w:lang w:eastAsia="en-AU"/>
              </w:rPr>
              <w:t xml:space="preserve">Principal manager </w:t>
            </w:r>
          </w:p>
        </w:tc>
        <w:tc>
          <w:tcPr>
            <w:tcW w:w="2284" w:type="dxa"/>
            <w:shd w:val="clear" w:color="auto" w:fill="BBE0F2" w:themeFill="accent2" w:themeFillTint="66"/>
            <w:vAlign w:val="center"/>
          </w:tcPr>
          <w:p w14:paraId="1179469B" w14:textId="77777777" w:rsidR="003C7CCA" w:rsidRDefault="003C7CCA" w:rsidP="005C6083">
            <w:pPr>
              <w:pStyle w:val="Tabletext"/>
              <w:rPr>
                <w:lang w:eastAsia="en-AU"/>
              </w:rPr>
            </w:pPr>
          </w:p>
        </w:tc>
        <w:tc>
          <w:tcPr>
            <w:tcW w:w="2284" w:type="dxa"/>
            <w:shd w:val="clear" w:color="auto" w:fill="BBE0F2" w:themeFill="accent2" w:themeFillTint="66"/>
            <w:vAlign w:val="center"/>
          </w:tcPr>
          <w:p w14:paraId="74965F3A" w14:textId="77777777" w:rsidR="003C7CCA" w:rsidRDefault="003C7CCA" w:rsidP="005C6083">
            <w:pPr>
              <w:pStyle w:val="Tabletext"/>
              <w:rPr>
                <w:lang w:eastAsia="en-AU"/>
              </w:rPr>
            </w:pPr>
          </w:p>
        </w:tc>
      </w:tr>
      <w:tr w:rsidR="009B31BB" w14:paraId="25F48FC9" w14:textId="77777777" w:rsidTr="005C6083">
        <w:trPr>
          <w:cnfStyle w:val="000000010000" w:firstRow="0" w:lastRow="0" w:firstColumn="0" w:lastColumn="0" w:oddVBand="0" w:evenVBand="0" w:oddHBand="0" w:evenHBand="1" w:firstRowFirstColumn="0" w:firstRowLastColumn="0" w:lastRowFirstColumn="0" w:lastRowLastColumn="0"/>
          <w:trHeight w:val="489"/>
        </w:trPr>
        <w:tc>
          <w:tcPr>
            <w:tcW w:w="2285" w:type="dxa"/>
            <w:vAlign w:val="center"/>
          </w:tcPr>
          <w:p w14:paraId="1A4409AA" w14:textId="77777777" w:rsidR="009B31BB" w:rsidRDefault="009B31BB" w:rsidP="005C6083">
            <w:pPr>
              <w:pStyle w:val="Tabletext"/>
              <w:ind w:left="402"/>
              <w:rPr>
                <w:lang w:eastAsia="en-AU"/>
              </w:rPr>
            </w:pPr>
            <w:r>
              <w:rPr>
                <w:lang w:eastAsia="en-AU"/>
              </w:rPr>
              <w:t xml:space="preserve">Age </w:t>
            </w:r>
          </w:p>
        </w:tc>
        <w:tc>
          <w:tcPr>
            <w:tcW w:w="2284" w:type="dxa"/>
            <w:vAlign w:val="center"/>
          </w:tcPr>
          <w:p w14:paraId="3F3377DB" w14:textId="38739381" w:rsidR="009B31BB" w:rsidRDefault="009B31BB" w:rsidP="005C6083">
            <w:pPr>
              <w:pStyle w:val="Tabletext"/>
              <w:rPr>
                <w:lang w:eastAsia="en-AU"/>
              </w:rPr>
            </w:pPr>
            <w:r>
              <w:rPr>
                <w:lang w:eastAsia="en-AU"/>
              </w:rPr>
              <w:t xml:space="preserve">Older </w:t>
            </w:r>
          </w:p>
        </w:tc>
        <w:tc>
          <w:tcPr>
            <w:tcW w:w="2284" w:type="dxa"/>
            <w:vAlign w:val="center"/>
          </w:tcPr>
          <w:p w14:paraId="3489CFC5" w14:textId="77777777" w:rsidR="009B31BB" w:rsidRDefault="009B31BB" w:rsidP="005C6083">
            <w:pPr>
              <w:pStyle w:val="Tabletext"/>
              <w:rPr>
                <w:lang w:eastAsia="en-AU"/>
              </w:rPr>
            </w:pPr>
            <w:r>
              <w:rPr>
                <w:lang w:eastAsia="en-AU"/>
              </w:rPr>
              <w:t xml:space="preserve">No statistical difference </w:t>
            </w:r>
          </w:p>
        </w:tc>
      </w:tr>
      <w:tr w:rsidR="009B31BB" w14:paraId="5CEA3BB0" w14:textId="77777777" w:rsidTr="005C6083">
        <w:trPr>
          <w:cnfStyle w:val="000000100000" w:firstRow="0" w:lastRow="0" w:firstColumn="0" w:lastColumn="0" w:oddVBand="0" w:evenVBand="0" w:oddHBand="1" w:evenHBand="0" w:firstRowFirstColumn="0" w:firstRowLastColumn="0" w:lastRowFirstColumn="0" w:lastRowLastColumn="0"/>
          <w:trHeight w:val="489"/>
        </w:trPr>
        <w:tc>
          <w:tcPr>
            <w:tcW w:w="2285" w:type="dxa"/>
            <w:vAlign w:val="center"/>
          </w:tcPr>
          <w:p w14:paraId="323CD5FB" w14:textId="77777777" w:rsidR="009B31BB" w:rsidRDefault="009B31BB" w:rsidP="005C6083">
            <w:pPr>
              <w:pStyle w:val="Tabletext"/>
              <w:ind w:left="402"/>
              <w:rPr>
                <w:lang w:eastAsia="en-AU"/>
              </w:rPr>
            </w:pPr>
            <w:r>
              <w:rPr>
                <w:lang w:eastAsia="en-AU"/>
              </w:rPr>
              <w:t xml:space="preserve">Education </w:t>
            </w:r>
          </w:p>
        </w:tc>
        <w:tc>
          <w:tcPr>
            <w:tcW w:w="2284" w:type="dxa"/>
            <w:vAlign w:val="center"/>
          </w:tcPr>
          <w:p w14:paraId="62E9CE5B" w14:textId="448F838C" w:rsidR="009B31BB" w:rsidRDefault="004F184E" w:rsidP="005C6083">
            <w:pPr>
              <w:pStyle w:val="Tabletext"/>
              <w:rPr>
                <w:lang w:eastAsia="en-AU"/>
              </w:rPr>
            </w:pPr>
            <w:r>
              <w:rPr>
                <w:lang w:eastAsia="en-AU"/>
              </w:rPr>
              <w:t>Higher</w:t>
            </w:r>
          </w:p>
        </w:tc>
        <w:tc>
          <w:tcPr>
            <w:tcW w:w="2284" w:type="dxa"/>
            <w:vAlign w:val="center"/>
          </w:tcPr>
          <w:p w14:paraId="3E9E6089" w14:textId="77777777" w:rsidR="009B31BB" w:rsidRDefault="009B31BB" w:rsidP="005C6083">
            <w:pPr>
              <w:pStyle w:val="Tabletext"/>
              <w:rPr>
                <w:lang w:eastAsia="en-AU"/>
              </w:rPr>
            </w:pPr>
            <w:r>
              <w:rPr>
                <w:lang w:eastAsia="en-AU"/>
              </w:rPr>
              <w:t>Higher</w:t>
            </w:r>
          </w:p>
        </w:tc>
      </w:tr>
      <w:tr w:rsidR="009B31BB" w14:paraId="51D72CE8" w14:textId="77777777" w:rsidTr="005C6083">
        <w:trPr>
          <w:cnfStyle w:val="000000010000" w:firstRow="0" w:lastRow="0" w:firstColumn="0" w:lastColumn="0" w:oddVBand="0" w:evenVBand="0" w:oddHBand="0" w:evenHBand="1" w:firstRowFirstColumn="0" w:firstRowLastColumn="0" w:lastRowFirstColumn="0" w:lastRowLastColumn="0"/>
          <w:trHeight w:val="489"/>
        </w:trPr>
        <w:tc>
          <w:tcPr>
            <w:tcW w:w="2285" w:type="dxa"/>
            <w:vAlign w:val="center"/>
          </w:tcPr>
          <w:p w14:paraId="2100B990" w14:textId="77777777" w:rsidR="009B31BB" w:rsidRDefault="009B31BB" w:rsidP="005C6083">
            <w:pPr>
              <w:pStyle w:val="Tabletext"/>
              <w:ind w:left="402"/>
              <w:rPr>
                <w:lang w:eastAsia="en-AU"/>
              </w:rPr>
            </w:pPr>
            <w:r>
              <w:rPr>
                <w:lang w:eastAsia="en-AU"/>
              </w:rPr>
              <w:t xml:space="preserve">Gender </w:t>
            </w:r>
          </w:p>
        </w:tc>
        <w:tc>
          <w:tcPr>
            <w:tcW w:w="2284" w:type="dxa"/>
            <w:vAlign w:val="center"/>
          </w:tcPr>
          <w:p w14:paraId="33DB8EFF" w14:textId="77777777" w:rsidR="009B31BB" w:rsidRDefault="009B31BB" w:rsidP="005C6083">
            <w:pPr>
              <w:pStyle w:val="Tabletext"/>
              <w:rPr>
                <w:lang w:eastAsia="en-AU"/>
              </w:rPr>
            </w:pPr>
            <w:r>
              <w:rPr>
                <w:lang w:eastAsia="en-AU"/>
              </w:rPr>
              <w:t>No statistical difference</w:t>
            </w:r>
          </w:p>
        </w:tc>
        <w:tc>
          <w:tcPr>
            <w:tcW w:w="2284" w:type="dxa"/>
            <w:vAlign w:val="center"/>
          </w:tcPr>
          <w:p w14:paraId="0909A3A2" w14:textId="77777777" w:rsidR="009B31BB" w:rsidRDefault="009B31BB" w:rsidP="005C6083">
            <w:pPr>
              <w:pStyle w:val="Tabletext"/>
              <w:rPr>
                <w:lang w:eastAsia="en-AU"/>
              </w:rPr>
            </w:pPr>
            <w:r>
              <w:rPr>
                <w:lang w:eastAsia="en-AU"/>
              </w:rPr>
              <w:t xml:space="preserve">More male </w:t>
            </w:r>
          </w:p>
        </w:tc>
      </w:tr>
      <w:tr w:rsidR="00DA5310" w14:paraId="153C760E" w14:textId="77777777" w:rsidTr="005C6083">
        <w:trPr>
          <w:cnfStyle w:val="000000100000" w:firstRow="0" w:lastRow="0" w:firstColumn="0" w:lastColumn="0" w:oddVBand="0" w:evenVBand="0" w:oddHBand="1" w:evenHBand="0" w:firstRowFirstColumn="0" w:firstRowLastColumn="0" w:lastRowFirstColumn="0" w:lastRowLastColumn="0"/>
          <w:trHeight w:val="489"/>
        </w:trPr>
        <w:tc>
          <w:tcPr>
            <w:tcW w:w="2285" w:type="dxa"/>
            <w:vAlign w:val="center"/>
          </w:tcPr>
          <w:p w14:paraId="3E8BCB09" w14:textId="44ECC98F" w:rsidR="00DA5310" w:rsidRDefault="00DA5310" w:rsidP="005C6083">
            <w:pPr>
              <w:pStyle w:val="Tabletext"/>
              <w:rPr>
                <w:lang w:eastAsia="en-AU"/>
              </w:rPr>
            </w:pPr>
            <w:r>
              <w:rPr>
                <w:lang w:eastAsia="en-AU"/>
              </w:rPr>
              <w:t>Counts</w:t>
            </w:r>
          </w:p>
        </w:tc>
        <w:tc>
          <w:tcPr>
            <w:tcW w:w="2284" w:type="dxa"/>
            <w:vAlign w:val="center"/>
          </w:tcPr>
          <w:p w14:paraId="13F8FF00" w14:textId="4AFD51E2" w:rsidR="00DA5310" w:rsidRDefault="00DA5310" w:rsidP="005C6083">
            <w:pPr>
              <w:pStyle w:val="Tabletext"/>
              <w:rPr>
                <w:lang w:eastAsia="en-AU"/>
              </w:rPr>
            </w:pPr>
            <w:r>
              <w:rPr>
                <w:lang w:eastAsia="en-AU"/>
              </w:rPr>
              <w:t>110</w:t>
            </w:r>
          </w:p>
        </w:tc>
        <w:tc>
          <w:tcPr>
            <w:tcW w:w="2284" w:type="dxa"/>
            <w:vAlign w:val="center"/>
          </w:tcPr>
          <w:p w14:paraId="525B5799" w14:textId="733B2A42" w:rsidR="00DA5310" w:rsidRDefault="00DA5310" w:rsidP="005C6083">
            <w:pPr>
              <w:pStyle w:val="Tabletext"/>
              <w:rPr>
                <w:lang w:eastAsia="en-AU"/>
              </w:rPr>
            </w:pPr>
            <w:r>
              <w:rPr>
                <w:lang w:eastAsia="en-AU"/>
              </w:rPr>
              <w:t>133</w:t>
            </w:r>
          </w:p>
        </w:tc>
      </w:tr>
    </w:tbl>
    <w:p w14:paraId="46E29CD1" w14:textId="77777777" w:rsidR="003C7CCA" w:rsidRPr="003868DF" w:rsidRDefault="003C7CCA" w:rsidP="003C7CCA">
      <w:pPr>
        <w:pStyle w:val="Placeholder"/>
      </w:pPr>
    </w:p>
    <w:p w14:paraId="7EA6E446" w14:textId="3D327FF6" w:rsidR="003C7CCA" w:rsidRDefault="003C7CCA" w:rsidP="003C7CCA">
      <w:pPr>
        <w:pStyle w:val="Note"/>
        <w:rPr>
          <w:lang w:eastAsia="en-AU"/>
        </w:rPr>
      </w:pPr>
      <w:r>
        <w:rPr>
          <w:lang w:eastAsia="en-AU"/>
        </w:rPr>
        <w:t xml:space="preserve">Notes: ªStock of small </w:t>
      </w:r>
      <w:r>
        <w:t>born global firms from 2010-11 to 2015–</w:t>
      </w:r>
      <w:r w:rsidR="008B1BBC">
        <w:t>16 ᵇ</w:t>
      </w:r>
      <w:r>
        <w:rPr>
          <w:lang w:eastAsia="en-AU"/>
        </w:rPr>
        <w:t xml:space="preserve">Stock of small exporters from 2010-11 to 2015–16. </w:t>
      </w:r>
      <w:r w:rsidRPr="004757E9">
        <w:t>Restricted to four major industries: Manufacturing, Wholesale Trade, Retail Trade &amp; Professional, Scientific and Technical Services.</w:t>
      </w:r>
    </w:p>
    <w:p w14:paraId="047AB72C" w14:textId="17EB352C" w:rsidR="003C7CCA" w:rsidRPr="003C7CCA" w:rsidRDefault="003C7CCA" w:rsidP="00DF27A9">
      <w:pPr>
        <w:pStyle w:val="Source"/>
        <w:rPr>
          <w:lang w:eastAsia="en-AU"/>
        </w:rPr>
      </w:pPr>
      <w:r>
        <w:rPr>
          <w:lang w:eastAsia="en-AU"/>
        </w:rPr>
        <w:t>S</w:t>
      </w:r>
      <w:r w:rsidR="00DF27A9">
        <w:rPr>
          <w:lang w:eastAsia="en-AU"/>
        </w:rPr>
        <w:t>ource: BLADE (2019); MCM (2019)</w:t>
      </w:r>
    </w:p>
    <w:p w14:paraId="42276E45" w14:textId="1B606D1A" w:rsidR="000B5168" w:rsidRDefault="00DF3E8E" w:rsidP="003B2DD1">
      <w:pPr>
        <w:pStyle w:val="Heading1"/>
      </w:pPr>
      <w:r>
        <w:t xml:space="preserve">Performance of born global firms </w:t>
      </w:r>
    </w:p>
    <w:p w14:paraId="1D7A2A79" w14:textId="77777777" w:rsidR="00872B9B" w:rsidRDefault="00872B9B" w:rsidP="00872B9B">
      <w:pPr>
        <w:pStyle w:val="Heading2"/>
        <w:ind w:left="709"/>
      </w:pPr>
      <w:r>
        <w:t xml:space="preserve">Performance of born global firms compared to other exporters  </w:t>
      </w:r>
    </w:p>
    <w:p w14:paraId="72BC1987" w14:textId="0C3FA653" w:rsidR="00872B9B" w:rsidRPr="00240E02" w:rsidRDefault="00872B9B" w:rsidP="00872B9B">
      <w:pPr>
        <w:pStyle w:val="BodyText"/>
      </w:pPr>
      <w:r>
        <w:t>The relationship between firm growth, size, age and born global status is tested on the population of exporters using the following specification:</w:t>
      </w:r>
    </w:p>
    <w:p w14:paraId="45A7E928" w14:textId="26A2C745" w:rsidR="00B74B80" w:rsidRDefault="00326788" w:rsidP="00872B9B">
      <w:pPr>
        <w:pStyle w:val="BodyText"/>
        <w:rPr>
          <w:rFonts w:eastAsiaTheme="minorEastAsia"/>
        </w:rPr>
      </w:pPr>
      <m:oMath>
        <m:sSub>
          <m:sSubPr>
            <m:ctrlPr>
              <w:rPr>
                <w:rFonts w:ascii="Cambria Math" w:hAnsi="Cambria Math"/>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 xml:space="preserve"> β</m:t>
                </m:r>
              </m:e>
              <m:sub>
                <m:r>
                  <w:rPr>
                    <w:rFonts w:ascii="Cambria Math" w:hAnsi="Cambria Math"/>
                  </w:rPr>
                  <m:t>1</m:t>
                </m:r>
              </m:sub>
            </m:sSub>
            <m:r>
              <w:rPr>
                <w:rFonts w:ascii="Cambria Math" w:hAnsi="Cambria Math"/>
              </w:rPr>
              <m:t>bornglobal+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i,t-1</m:t>
                </m:r>
              </m:sub>
            </m:sSub>
          </m:e>
        </m:func>
        <m:r>
          <w:rPr>
            <w:rFonts w:ascii="Cambria Math" w:hAnsi="Cambria Math"/>
          </w:rPr>
          <m:t xml:space="preserve">+ </m:t>
        </m:r>
        <m:sSub>
          <m:sSubPr>
            <m:ctrlPr>
              <w:rPr>
                <w:rFonts w:ascii="Cambria Math" w:hAnsi="Cambria Math"/>
              </w:rPr>
            </m:ctrlPr>
          </m:sSubPr>
          <m:e>
            <m:r>
              <w:rPr>
                <w:rFonts w:ascii="Cambria Math" w:hAnsi="Cambria Math"/>
              </w:rPr>
              <m:t xml:space="preserve"> β</m:t>
            </m:r>
          </m:e>
          <m:sub>
            <m:r>
              <w:rPr>
                <w:rFonts w:ascii="Cambria Math" w:hAnsi="Cambria Math"/>
              </w:rPr>
              <m:t>3</m:t>
            </m:r>
          </m:sub>
        </m:sSub>
        <m:sSup>
          <m:sSupPr>
            <m:ctrlPr>
              <w:rPr>
                <w:rFonts w:ascii="Cambria Math" w:hAnsi="Cambria Math"/>
                <w:i/>
              </w:rPr>
            </m:ctrlPr>
          </m:sSupPr>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i,t-1</m:t>
                    </m:r>
                  </m:sub>
                </m:sSub>
                <m:r>
                  <w:rPr>
                    <w:rFonts w:ascii="Cambria Math" w:hAnsi="Cambria Math"/>
                  </w:rPr>
                  <m:t>)</m:t>
                </m:r>
              </m:e>
            </m:func>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4</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age</m:t>
                    </m:r>
                  </m:e>
                </m:d>
              </m:e>
              <m:sub>
                <m:r>
                  <w:rPr>
                    <w:rFonts w:ascii="Cambria Math" w:hAnsi="Cambria Math"/>
                  </w:rPr>
                  <m:t>i,t-1</m:t>
                </m:r>
              </m:sub>
            </m:sSub>
            <m:r>
              <w:rPr>
                <w:rFonts w:ascii="Cambria Math" w:hAnsi="Cambria Math"/>
              </w:rPr>
              <m:t>,</m:t>
            </m:r>
          </m:e>
        </m:func>
        <m:r>
          <w:rPr>
            <w:rFonts w:ascii="Cambria Math" w:hAnsi="Cambria Math"/>
          </w:rPr>
          <m:t>+state</m:t>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 xml:space="preserve"> + </m:t>
            </m:r>
            <m:r>
              <w:rPr>
                <w:rFonts w:ascii="Cambria Math" w:hAnsi="Cambria Math"/>
                <w:i/>
              </w:rPr>
              <w:sym w:font="Symbol" w:char="F069"/>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ϵ</m:t>
            </m:r>
          </m:e>
          <m:sub>
            <m:r>
              <w:rPr>
                <w:rFonts w:ascii="Cambria Math" w:hAnsi="Cambria Math"/>
              </w:rPr>
              <m:t>i,t</m:t>
            </m:r>
          </m:sub>
        </m:sSub>
      </m:oMath>
      <w:r w:rsidR="00872B9B">
        <w:rPr>
          <w:rFonts w:eastAsiaTheme="minorEastAsia"/>
        </w:rPr>
        <w:t xml:space="preserve">   </w:t>
      </w:r>
      <w:r w:rsidR="00872B9B">
        <w:rPr>
          <w:rFonts w:eastAsiaTheme="minorEastAsia"/>
        </w:rPr>
        <w:tab/>
      </w:r>
      <w:r w:rsidR="004B1743">
        <w:rPr>
          <w:rFonts w:eastAsiaTheme="minorEastAsia"/>
        </w:rPr>
        <w:tab/>
      </w:r>
      <w:r w:rsidR="004B1743">
        <w:rPr>
          <w:rFonts w:eastAsiaTheme="minorEastAsia"/>
        </w:rPr>
        <w:tab/>
      </w:r>
      <w:r w:rsidR="004B1743">
        <w:rPr>
          <w:rFonts w:eastAsiaTheme="minorEastAsia"/>
        </w:rPr>
        <w:tab/>
        <w:t xml:space="preserve">   </w:t>
      </w:r>
      <w:r w:rsidR="004D4C08">
        <w:rPr>
          <w:rFonts w:eastAsiaTheme="minorEastAsia"/>
        </w:rPr>
        <w:t>(5</w:t>
      </w:r>
      <w:r w:rsidR="00EA6E6D">
        <w:rPr>
          <w:rFonts w:eastAsiaTheme="minorEastAsia"/>
        </w:rPr>
        <w:t>)</w:t>
      </w:r>
      <w:r w:rsidR="00872B9B">
        <w:rPr>
          <w:rFonts w:eastAsiaTheme="minorEastAsia"/>
        </w:rPr>
        <w:tab/>
      </w:r>
      <w:r w:rsidR="00872B9B">
        <w:rPr>
          <w:rFonts w:eastAsiaTheme="minorEastAsia"/>
        </w:rPr>
        <w:tab/>
      </w:r>
      <w:r w:rsidR="00872B9B">
        <w:rPr>
          <w:rFonts w:eastAsiaTheme="minorEastAsia"/>
        </w:rPr>
        <w:tab/>
      </w:r>
      <w:r w:rsidR="00EA6E6D">
        <w:rPr>
          <w:rFonts w:eastAsiaTheme="minorEastAsia"/>
        </w:rPr>
        <w:t xml:space="preserve">                        </w:t>
      </w:r>
    </w:p>
    <w:p w14:paraId="491AEE8C" w14:textId="262D7DD6" w:rsidR="00984BD9" w:rsidRDefault="00B74B80" w:rsidP="00872B9B">
      <w:pPr>
        <w:pStyle w:val="BodyText"/>
        <w:rPr>
          <w:rFonts w:eastAsiaTheme="minorEastAsia"/>
        </w:rPr>
      </w:pPr>
      <w:r>
        <w:rPr>
          <w:rFonts w:eastAsiaTheme="minorEastAsia"/>
        </w:rPr>
        <w:t xml:space="preserve">Where </w:t>
      </w:r>
      <m:oMath>
        <m:sSub>
          <m:sSubPr>
            <m:ctrlPr>
              <w:rPr>
                <w:rFonts w:ascii="Cambria Math" w:hAnsi="Cambria Math"/>
              </w:rPr>
            </m:ctrlPr>
          </m:sSubPr>
          <m:e>
            <m:r>
              <w:rPr>
                <w:rFonts w:ascii="Cambria Math" w:hAnsi="Cambria Math"/>
              </w:rPr>
              <m:t>X</m:t>
            </m:r>
          </m:e>
          <m:sub>
            <m:r>
              <w:rPr>
                <w:rFonts w:ascii="Cambria Math" w:hAnsi="Cambria Math"/>
              </w:rPr>
              <m:t>i,t</m:t>
            </m:r>
          </m:sub>
        </m:sSub>
        <m:r>
          <w:rPr>
            <w:rFonts w:ascii="Cambria Math" w:hAnsi="Cambria Math"/>
          </w:rPr>
          <m:t xml:space="preserve"> </m:t>
        </m:r>
      </m:oMath>
      <w:r>
        <w:rPr>
          <w:rFonts w:eastAsiaTheme="minorEastAsia"/>
        </w:rPr>
        <w:t xml:space="preserve"> is a vector of growth outcomes for each firm </w:t>
      </w:r>
      <m:oMath>
        <m:r>
          <w:rPr>
            <w:rFonts w:ascii="Cambria Math" w:hAnsi="Cambria Math"/>
          </w:rPr>
          <m:t>i</m:t>
        </m:r>
      </m:oMath>
      <w:r>
        <w:rPr>
          <w:rFonts w:eastAsiaTheme="minorEastAsia"/>
        </w:rPr>
        <w:t xml:space="preserve"> in period </w:t>
      </w:r>
      <m:oMath>
        <m:r>
          <w:rPr>
            <w:rFonts w:ascii="Cambria Math" w:hAnsi="Cambria Math"/>
          </w:rPr>
          <m:t>t</m:t>
        </m:r>
      </m:oMath>
      <w:r w:rsidR="003D698D">
        <w:rPr>
          <w:rFonts w:eastAsiaTheme="minorEastAsia"/>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 xml:space="preserve"> </m:t>
        </m:r>
      </m:oMath>
      <w:r w:rsidR="003D698D">
        <w:rPr>
          <w:rFonts w:eastAsiaTheme="minorEastAsia"/>
        </w:rPr>
        <w:t xml:space="preserve"> are time-specific effects in period </w:t>
      </w:r>
      <m:oMath>
        <m:r>
          <w:rPr>
            <w:rFonts w:ascii="Cambria Math" w:hAnsi="Cambria Math"/>
          </w:rPr>
          <m:t>t</m:t>
        </m:r>
      </m:oMath>
      <w:r w:rsidR="003D698D">
        <w:rPr>
          <w:rFonts w:eastAsiaTheme="minorEastAsia"/>
        </w:rPr>
        <w:t xml:space="preserve"> and</w:t>
      </w:r>
      <m:oMath>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oMath>
      <w:r w:rsidR="003D698D">
        <w:rPr>
          <w:rFonts w:eastAsiaTheme="minorEastAsia"/>
        </w:rPr>
        <w:t xml:space="preserve"> </w:t>
      </w:r>
      <w:r w:rsidR="004F256A">
        <w:rPr>
          <w:rFonts w:eastAsiaTheme="minorEastAsia"/>
        </w:rPr>
        <w:t xml:space="preserve">and </w:t>
      </w:r>
      <m:oMath>
        <m:r>
          <w:rPr>
            <w:rFonts w:ascii="Cambria Math" w:hAnsi="Cambria Math"/>
          </w:rPr>
          <m:t>state</m:t>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oMath>
      <w:r w:rsidR="003D698D">
        <w:rPr>
          <w:rFonts w:eastAsiaTheme="minorEastAsia"/>
        </w:rPr>
        <w:t xml:space="preserve">are industry-specific effects for each firm </w:t>
      </w:r>
      <m:oMath>
        <m:r>
          <w:rPr>
            <w:rFonts w:ascii="Cambria Math" w:hAnsi="Cambria Math"/>
          </w:rPr>
          <m:t>i.</m:t>
        </m:r>
      </m:oMath>
      <w:r w:rsidR="00984BD9">
        <w:rPr>
          <w:rFonts w:eastAsiaTheme="minorEastAsia"/>
        </w:rPr>
        <w:t xml:space="preserve"> </w:t>
      </w:r>
    </w:p>
    <w:p w14:paraId="1BE2E319" w14:textId="77777777" w:rsidR="00740471" w:rsidRDefault="00872B9B" w:rsidP="00872B9B">
      <w:pPr>
        <w:pStyle w:val="BodyText"/>
        <w:rPr>
          <w:rFonts w:eastAsiaTheme="minorEastAsia"/>
        </w:rPr>
      </w:pPr>
      <w:r>
        <w:rPr>
          <w:rFonts w:eastAsiaTheme="minorEastAsia"/>
        </w:rPr>
        <w:t xml:space="preserve">BGFs do not grow as fast as other exporters in terms of turnover growth, particularly when BGFs are young (Table </w:t>
      </w:r>
      <w:r w:rsidR="007C0FFC">
        <w:rPr>
          <w:rFonts w:eastAsiaTheme="minorEastAsia"/>
        </w:rPr>
        <w:t>3</w:t>
      </w:r>
      <w:r>
        <w:rPr>
          <w:rFonts w:eastAsiaTheme="minorEastAsia"/>
        </w:rPr>
        <w:t>.</w:t>
      </w:r>
      <w:r w:rsidR="007C0FFC">
        <w:rPr>
          <w:rFonts w:eastAsiaTheme="minorEastAsia"/>
        </w:rPr>
        <w:t>1</w:t>
      </w:r>
      <w:r>
        <w:rPr>
          <w:rFonts w:eastAsiaTheme="minorEastAsia"/>
        </w:rPr>
        <w:t>). This result is consistent with</w:t>
      </w:r>
      <w:r w:rsidR="00580011">
        <w:rPr>
          <w:rFonts w:eastAsiaTheme="minorEastAsia"/>
        </w:rPr>
        <w:t xml:space="preserve"> </w:t>
      </w:r>
      <w:r>
        <w:rPr>
          <w:rFonts w:eastAsiaTheme="minorEastAsia"/>
        </w:rPr>
        <w:lastRenderedPageBreak/>
        <w:t xml:space="preserve">other performance indicators including employment growth, capital expenditure growth and R&amp;D expenditure growth (Table </w:t>
      </w:r>
      <w:r w:rsidR="007C0FFC">
        <w:rPr>
          <w:rFonts w:eastAsiaTheme="minorEastAsia"/>
        </w:rPr>
        <w:t>3</w:t>
      </w:r>
      <w:r>
        <w:rPr>
          <w:rFonts w:eastAsiaTheme="minorEastAsia"/>
        </w:rPr>
        <w:t>.</w:t>
      </w:r>
      <w:r w:rsidR="007C0FFC">
        <w:rPr>
          <w:rFonts w:eastAsiaTheme="minorEastAsia"/>
        </w:rPr>
        <w:t>2</w:t>
      </w:r>
      <w:r>
        <w:rPr>
          <w:rFonts w:eastAsiaTheme="minorEastAsia"/>
        </w:rPr>
        <w:t xml:space="preserve">). </w:t>
      </w:r>
    </w:p>
    <w:p w14:paraId="7F547B1C" w14:textId="1A9027BB" w:rsidR="00872B9B" w:rsidRPr="00067596" w:rsidRDefault="00872B9B" w:rsidP="00872B9B">
      <w:pPr>
        <w:pStyle w:val="BodyText"/>
        <w:rPr>
          <w:rFonts w:eastAsiaTheme="minorEastAsia"/>
        </w:rPr>
      </w:pPr>
      <w:r>
        <w:rPr>
          <w:rFonts w:eastAsiaTheme="minorEastAsia"/>
        </w:rPr>
        <w:t>Though BGFs experience less productivity growth in the beginning of the firm life cycle, when BGFs are mature, they experience a productivity growth premium compared to other exporters</w:t>
      </w:r>
      <w:r w:rsidR="009316E0">
        <w:rPr>
          <w:rFonts w:eastAsiaTheme="minorEastAsia"/>
        </w:rPr>
        <w:t>. This result is robust</w:t>
      </w:r>
      <w:r w:rsidR="00740471">
        <w:rPr>
          <w:rFonts w:eastAsiaTheme="minorEastAsia"/>
        </w:rPr>
        <w:t xml:space="preserve"> across different definitions tested (see Table D.1</w:t>
      </w:r>
      <w:r w:rsidR="00E71258">
        <w:rPr>
          <w:rFonts w:eastAsiaTheme="minorEastAsia"/>
        </w:rPr>
        <w:t xml:space="preserve"> and Table D.2</w:t>
      </w:r>
      <w:r w:rsidR="00740471">
        <w:rPr>
          <w:rFonts w:eastAsiaTheme="minorEastAsia"/>
        </w:rPr>
        <w:t>, Appendix D)</w:t>
      </w:r>
      <w:r w:rsidR="009316E0">
        <w:rPr>
          <w:rFonts w:eastAsiaTheme="minorEastAsia"/>
        </w:rPr>
        <w:t xml:space="preserve"> and is</w:t>
      </w:r>
      <w:r>
        <w:rPr>
          <w:rFonts w:eastAsiaTheme="minorEastAsia"/>
        </w:rPr>
        <w:t xml:space="preserve"> consistent with findings from Bakhtiari (2019</w:t>
      </w:r>
      <w:r w:rsidR="00D40052">
        <w:rPr>
          <w:rFonts w:eastAsiaTheme="minorEastAsia"/>
        </w:rPr>
        <w:t>c</w:t>
      </w:r>
      <w:r>
        <w:rPr>
          <w:rFonts w:eastAsiaTheme="minorEastAsia"/>
        </w:rPr>
        <w:t xml:space="preserve">), who finds entrepreneurs are quite unproductive upon entry, yet the productivity of those that survive makes a quantum leap and converges to that of mature firms. </w:t>
      </w:r>
      <w:r w:rsidR="008C05D7">
        <w:rPr>
          <w:rFonts w:eastAsiaTheme="minorEastAsia"/>
        </w:rPr>
        <w:t>A sensitivity analysis using different d</w:t>
      </w:r>
      <w:r w:rsidR="001F7B0B">
        <w:rPr>
          <w:rFonts w:eastAsiaTheme="minorEastAsia"/>
        </w:rPr>
        <w:t>efinitions for BGF is provided at</w:t>
      </w:r>
      <w:r w:rsidR="008C05D7">
        <w:rPr>
          <w:rFonts w:eastAsiaTheme="minorEastAsia"/>
        </w:rPr>
        <w:t xml:space="preserve"> Appendix </w:t>
      </w:r>
      <w:r w:rsidR="001F7B0B">
        <w:rPr>
          <w:rFonts w:eastAsiaTheme="minorEastAsia"/>
        </w:rPr>
        <w:t>D.</w:t>
      </w:r>
    </w:p>
    <w:p w14:paraId="6703EE2F" w14:textId="558D58B4" w:rsidR="00872B9B" w:rsidRDefault="00872B9B" w:rsidP="00872B9B">
      <w:pPr>
        <w:pStyle w:val="Caption"/>
      </w:pPr>
      <w:r w:rsidRPr="000618FB">
        <w:t xml:space="preserve">Table </w:t>
      </w:r>
      <w:r w:rsidR="007C0FFC">
        <w:rPr>
          <w:noProof/>
        </w:rPr>
        <w:t>3</w:t>
      </w:r>
      <w:r w:rsidRPr="000618FB">
        <w:t>.</w:t>
      </w:r>
      <w:r w:rsidR="007C0FFC">
        <w:rPr>
          <w:bCs w:val="0"/>
          <w:noProof/>
        </w:rPr>
        <w:t>1</w:t>
      </w:r>
      <w:r w:rsidRPr="000618FB">
        <w:t xml:space="preserve">: </w:t>
      </w:r>
      <w:r w:rsidR="00CC0B76" w:rsidRPr="00CC0B76">
        <w:t xml:space="preserve">Average annual </w:t>
      </w:r>
      <w:r w:rsidR="00CC0B76">
        <w:t>turnover growth differential</w:t>
      </w:r>
      <w:r w:rsidR="00CC0B76" w:rsidRPr="00CC0B76">
        <w:t xml:space="preserve"> between BGFs and other exporters, by age (decimals)</w:t>
      </w:r>
    </w:p>
    <w:tbl>
      <w:tblPr>
        <w:tblStyle w:val="OCETable"/>
        <w:tblW w:w="4979" w:type="pct"/>
        <w:tblInd w:w="57" w:type="dxa"/>
        <w:tblLayout w:type="fixed"/>
        <w:tblLook w:val="04A0" w:firstRow="1" w:lastRow="0" w:firstColumn="1" w:lastColumn="0" w:noHBand="0" w:noVBand="1"/>
        <w:tblCaption w:val="Average annual turnover growth differential between BGFs and other exporters, by age (decimals)"/>
        <w:tblDescription w:val="BGFs do not grow as fast as other exporters in terms of turnover growth, particularly when BGFs are young.&#10;"/>
      </w:tblPr>
      <w:tblGrid>
        <w:gridCol w:w="1373"/>
        <w:gridCol w:w="1373"/>
        <w:gridCol w:w="1373"/>
        <w:gridCol w:w="1373"/>
        <w:gridCol w:w="1373"/>
      </w:tblGrid>
      <w:tr w:rsidR="00872B9B" w14:paraId="40DAEAD9" w14:textId="77777777" w:rsidTr="0092519E">
        <w:trPr>
          <w:cnfStyle w:val="100000000000" w:firstRow="1" w:lastRow="0" w:firstColumn="0" w:lastColumn="0" w:oddVBand="0" w:evenVBand="0" w:oddHBand="0" w:evenHBand="0" w:firstRowFirstColumn="0" w:firstRowLastColumn="0" w:lastRowFirstColumn="0" w:lastRowLastColumn="0"/>
          <w:trHeight w:val="376"/>
          <w:tblHeader/>
        </w:trPr>
        <w:tc>
          <w:tcPr>
            <w:tcW w:w="1373" w:type="dxa"/>
          </w:tcPr>
          <w:p w14:paraId="1CD57B96" w14:textId="77777777" w:rsidR="00872B9B" w:rsidRDefault="00872B9B" w:rsidP="00F17D8E">
            <w:pPr>
              <w:pStyle w:val="Tableheader"/>
              <w:rPr>
                <w:lang w:eastAsia="en-AU"/>
              </w:rPr>
            </w:pPr>
          </w:p>
        </w:tc>
        <w:tc>
          <w:tcPr>
            <w:tcW w:w="1373" w:type="dxa"/>
          </w:tcPr>
          <w:p w14:paraId="44F2DC4B" w14:textId="6192C492" w:rsidR="00872B9B" w:rsidRDefault="00872B9B" w:rsidP="005C6083">
            <w:pPr>
              <w:pStyle w:val="Tableheader"/>
              <w:rPr>
                <w:lang w:eastAsia="en-AU"/>
              </w:rPr>
            </w:pPr>
            <w:r>
              <w:rPr>
                <w:lang w:eastAsia="en-AU"/>
              </w:rPr>
              <w:t xml:space="preserve">All </w:t>
            </w:r>
            <w:r w:rsidR="001D650A">
              <w:rPr>
                <w:lang w:eastAsia="en-AU"/>
              </w:rPr>
              <w:t>exporters</w:t>
            </w:r>
          </w:p>
        </w:tc>
        <w:tc>
          <w:tcPr>
            <w:tcW w:w="1373" w:type="dxa"/>
          </w:tcPr>
          <w:p w14:paraId="33FA08EE" w14:textId="77777777" w:rsidR="00872B9B" w:rsidRDefault="00872B9B" w:rsidP="005C6083">
            <w:pPr>
              <w:pStyle w:val="Tableheader"/>
              <w:rPr>
                <w:lang w:eastAsia="en-AU"/>
              </w:rPr>
            </w:pPr>
            <w:r>
              <w:rPr>
                <w:lang w:eastAsia="en-AU"/>
              </w:rPr>
              <w:t>Less than 3 years old</w:t>
            </w:r>
          </w:p>
        </w:tc>
        <w:tc>
          <w:tcPr>
            <w:tcW w:w="1373" w:type="dxa"/>
          </w:tcPr>
          <w:p w14:paraId="1A356A94" w14:textId="77777777" w:rsidR="00872B9B" w:rsidRDefault="00872B9B" w:rsidP="005C6083">
            <w:pPr>
              <w:pStyle w:val="Tableheader"/>
              <w:rPr>
                <w:lang w:eastAsia="en-AU"/>
              </w:rPr>
            </w:pPr>
            <w:r>
              <w:rPr>
                <w:lang w:eastAsia="en-AU"/>
              </w:rPr>
              <w:t>4 to 6 years old</w:t>
            </w:r>
          </w:p>
        </w:tc>
        <w:tc>
          <w:tcPr>
            <w:tcW w:w="1373" w:type="dxa"/>
          </w:tcPr>
          <w:p w14:paraId="0E467A9F" w14:textId="77777777" w:rsidR="00872B9B" w:rsidRDefault="00872B9B" w:rsidP="005C6083">
            <w:pPr>
              <w:pStyle w:val="Tableheader"/>
              <w:rPr>
                <w:lang w:eastAsia="en-AU"/>
              </w:rPr>
            </w:pPr>
            <w:r>
              <w:rPr>
                <w:lang w:eastAsia="en-AU"/>
              </w:rPr>
              <w:t>More than 6 years old</w:t>
            </w:r>
          </w:p>
        </w:tc>
      </w:tr>
      <w:tr w:rsidR="00872B9B" w14:paraId="46713380"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29704C71" w14:textId="77777777" w:rsidR="00872B9B" w:rsidRPr="00C91BB1" w:rsidRDefault="00872B9B" w:rsidP="00F17D8E">
            <w:pPr>
              <w:pStyle w:val="Tabletext"/>
              <w:tabs>
                <w:tab w:val="right" w:pos="2082"/>
              </w:tabs>
            </w:pPr>
            <w:r>
              <w:t>BGF</w:t>
            </w:r>
          </w:p>
        </w:tc>
        <w:tc>
          <w:tcPr>
            <w:tcW w:w="1373" w:type="dxa"/>
          </w:tcPr>
          <w:p w14:paraId="54315B13" w14:textId="77777777" w:rsidR="00872B9B" w:rsidRDefault="00872B9B" w:rsidP="005C6083">
            <w:pPr>
              <w:pStyle w:val="Tabletext"/>
              <w:tabs>
                <w:tab w:val="right" w:pos="2082"/>
              </w:tabs>
            </w:pPr>
            <w:r w:rsidRPr="00192973">
              <w:t>-0.138***</w:t>
            </w:r>
          </w:p>
        </w:tc>
        <w:tc>
          <w:tcPr>
            <w:tcW w:w="1373" w:type="dxa"/>
          </w:tcPr>
          <w:p w14:paraId="047FC172" w14:textId="77777777" w:rsidR="00872B9B" w:rsidRDefault="00872B9B" w:rsidP="005C6083">
            <w:pPr>
              <w:pStyle w:val="Tabletext"/>
              <w:tabs>
                <w:tab w:val="right" w:pos="2082"/>
              </w:tabs>
            </w:pPr>
            <w:r w:rsidRPr="00192973">
              <w:t>-0.246***</w:t>
            </w:r>
          </w:p>
        </w:tc>
        <w:tc>
          <w:tcPr>
            <w:tcW w:w="1373" w:type="dxa"/>
          </w:tcPr>
          <w:p w14:paraId="342CE837" w14:textId="77777777" w:rsidR="00872B9B" w:rsidRDefault="00872B9B" w:rsidP="005C6083">
            <w:pPr>
              <w:pStyle w:val="Tabletext"/>
              <w:tabs>
                <w:tab w:val="right" w:pos="2082"/>
              </w:tabs>
            </w:pPr>
            <w:r w:rsidRPr="00192973">
              <w:t>-0.106***</w:t>
            </w:r>
          </w:p>
        </w:tc>
        <w:tc>
          <w:tcPr>
            <w:tcW w:w="1373" w:type="dxa"/>
          </w:tcPr>
          <w:p w14:paraId="39D5497E" w14:textId="77777777" w:rsidR="00872B9B" w:rsidRDefault="00872B9B" w:rsidP="005C6083">
            <w:pPr>
              <w:pStyle w:val="Tabletext"/>
              <w:tabs>
                <w:tab w:val="right" w:pos="2082"/>
              </w:tabs>
            </w:pPr>
            <w:r>
              <w:t>-</w:t>
            </w:r>
          </w:p>
        </w:tc>
      </w:tr>
      <w:tr w:rsidR="00872B9B" w14:paraId="225C2CF5"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7FD18F56" w14:textId="77777777" w:rsidR="00872B9B" w:rsidRPr="00C91BB1" w:rsidRDefault="00326788" w:rsidP="00F17D8E">
            <w:pPr>
              <w:pStyle w:val="Tabletext"/>
              <w:tabs>
                <w:tab w:val="right" w:pos="2082"/>
              </w:tabs>
              <w:ind w:right="188"/>
            </w:pPr>
            <m:oMathPara>
              <m:oMath>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size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oMath>
            </m:oMathPara>
          </w:p>
        </w:tc>
        <w:tc>
          <w:tcPr>
            <w:tcW w:w="1373" w:type="dxa"/>
            <w:vAlign w:val="bottom"/>
          </w:tcPr>
          <w:p w14:paraId="2574CE47" w14:textId="77777777" w:rsidR="00872B9B" w:rsidRDefault="00872B9B" w:rsidP="005C6083">
            <w:pPr>
              <w:pStyle w:val="Tabletext"/>
              <w:tabs>
                <w:tab w:val="right" w:pos="2082"/>
              </w:tabs>
            </w:pPr>
            <w:r w:rsidRPr="00524A08">
              <w:t>-0.027***</w:t>
            </w:r>
          </w:p>
        </w:tc>
        <w:tc>
          <w:tcPr>
            <w:tcW w:w="1373" w:type="dxa"/>
            <w:vAlign w:val="bottom"/>
          </w:tcPr>
          <w:p w14:paraId="0D1A5356" w14:textId="77777777" w:rsidR="00872B9B" w:rsidRDefault="00872B9B" w:rsidP="005C6083">
            <w:pPr>
              <w:pStyle w:val="Tabletext"/>
              <w:tabs>
                <w:tab w:val="right" w:pos="2082"/>
              </w:tabs>
            </w:pPr>
            <w:r w:rsidRPr="00524A08">
              <w:t>-0.140***</w:t>
            </w:r>
          </w:p>
        </w:tc>
        <w:tc>
          <w:tcPr>
            <w:tcW w:w="1373" w:type="dxa"/>
            <w:vAlign w:val="bottom"/>
          </w:tcPr>
          <w:p w14:paraId="45FBC00A" w14:textId="77777777" w:rsidR="00872B9B" w:rsidRDefault="00872B9B" w:rsidP="005C6083">
            <w:pPr>
              <w:pStyle w:val="Tabletext"/>
              <w:tabs>
                <w:tab w:val="right" w:pos="2082"/>
              </w:tabs>
            </w:pPr>
            <w:r w:rsidRPr="00524A08">
              <w:t>0.009**</w:t>
            </w:r>
          </w:p>
        </w:tc>
        <w:tc>
          <w:tcPr>
            <w:tcW w:w="1373" w:type="dxa"/>
            <w:vAlign w:val="bottom"/>
          </w:tcPr>
          <w:p w14:paraId="66032981" w14:textId="77777777" w:rsidR="00872B9B" w:rsidRDefault="00872B9B" w:rsidP="005C6083">
            <w:pPr>
              <w:pStyle w:val="Tabletext"/>
              <w:tabs>
                <w:tab w:val="right" w:pos="2082"/>
              </w:tabs>
            </w:pPr>
            <w:r w:rsidRPr="00524A08">
              <w:t>0.013**</w:t>
            </w:r>
          </w:p>
        </w:tc>
      </w:tr>
      <w:tr w:rsidR="00872B9B" w14:paraId="09A828E1"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4535667B" w14:textId="77777777" w:rsidR="00872B9B" w:rsidRPr="006B2662" w:rsidRDefault="00326788" w:rsidP="00F17D8E">
            <w:pPr>
              <w:pStyle w:val="Tabletext"/>
              <w:tabs>
                <w:tab w:val="right" w:pos="2082"/>
              </w:tabs>
              <w:ind w:right="188"/>
            </w:pPr>
            <m:oMathPara>
              <m:oMath>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size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e>
                  <m:sup>
                    <m:r>
                      <m:rPr>
                        <m:sty m:val="p"/>
                      </m:rPr>
                      <w:rPr>
                        <w:rFonts w:ascii="Cambria Math" w:hAnsi="Cambria Math"/>
                      </w:rPr>
                      <m:t>2</m:t>
                    </m:r>
                  </m:sup>
                </m:sSup>
              </m:oMath>
            </m:oMathPara>
          </w:p>
        </w:tc>
        <w:tc>
          <w:tcPr>
            <w:tcW w:w="1373" w:type="dxa"/>
            <w:vAlign w:val="bottom"/>
          </w:tcPr>
          <w:p w14:paraId="2CA94E5B" w14:textId="77777777" w:rsidR="00872B9B" w:rsidRPr="006B2662" w:rsidRDefault="00872B9B" w:rsidP="005C6083">
            <w:pPr>
              <w:pStyle w:val="Tabletext"/>
              <w:tabs>
                <w:tab w:val="right" w:pos="2082"/>
              </w:tabs>
            </w:pPr>
            <w:r w:rsidRPr="00524A08">
              <w:t>0.003**</w:t>
            </w:r>
          </w:p>
        </w:tc>
        <w:tc>
          <w:tcPr>
            <w:tcW w:w="1373" w:type="dxa"/>
            <w:vAlign w:val="bottom"/>
          </w:tcPr>
          <w:p w14:paraId="762FD272" w14:textId="77777777" w:rsidR="00872B9B" w:rsidRPr="006B2662" w:rsidRDefault="00872B9B" w:rsidP="005C6083">
            <w:pPr>
              <w:pStyle w:val="Tabletext"/>
              <w:tabs>
                <w:tab w:val="right" w:pos="2082"/>
              </w:tabs>
            </w:pPr>
            <w:r w:rsidRPr="00524A08">
              <w:t>-0.009***</w:t>
            </w:r>
          </w:p>
        </w:tc>
        <w:tc>
          <w:tcPr>
            <w:tcW w:w="1373" w:type="dxa"/>
            <w:vAlign w:val="bottom"/>
          </w:tcPr>
          <w:p w14:paraId="23A95401" w14:textId="77777777" w:rsidR="00872B9B" w:rsidRPr="006B2662" w:rsidRDefault="00872B9B" w:rsidP="005C6083">
            <w:pPr>
              <w:pStyle w:val="Tabletext"/>
              <w:tabs>
                <w:tab w:val="right" w:pos="2082"/>
              </w:tabs>
            </w:pPr>
            <w:r>
              <w:t>-</w:t>
            </w:r>
          </w:p>
        </w:tc>
        <w:tc>
          <w:tcPr>
            <w:tcW w:w="1373" w:type="dxa"/>
            <w:vAlign w:val="bottom"/>
          </w:tcPr>
          <w:p w14:paraId="3208761E" w14:textId="77777777" w:rsidR="00872B9B" w:rsidRPr="006B2662" w:rsidRDefault="00872B9B" w:rsidP="005C6083">
            <w:pPr>
              <w:pStyle w:val="Tabletext"/>
              <w:tabs>
                <w:tab w:val="right" w:pos="2082"/>
              </w:tabs>
            </w:pPr>
            <w:r w:rsidRPr="00524A08">
              <w:t>0.003</w:t>
            </w:r>
          </w:p>
        </w:tc>
      </w:tr>
      <w:tr w:rsidR="00872B9B" w14:paraId="52327E05"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1334FA43" w14:textId="77777777" w:rsidR="00872B9B" w:rsidRPr="00C91BB1" w:rsidRDefault="00326788" w:rsidP="00F17D8E">
            <w:pPr>
              <w:pStyle w:val="Tabletext"/>
              <w:tabs>
                <w:tab w:val="right" w:pos="2082"/>
              </w:tabs>
              <w:ind w:right="188"/>
            </w:pPr>
            <m:oMathPara>
              <m:oMath>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age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oMath>
            </m:oMathPara>
          </w:p>
        </w:tc>
        <w:tc>
          <w:tcPr>
            <w:tcW w:w="1373" w:type="dxa"/>
          </w:tcPr>
          <w:p w14:paraId="72718A7E" w14:textId="77777777" w:rsidR="00872B9B" w:rsidRPr="00524A08" w:rsidRDefault="00872B9B" w:rsidP="005C6083">
            <w:pPr>
              <w:spacing w:after="0" w:line="240" w:lineRule="auto"/>
              <w:ind w:left="0"/>
              <w:jc w:val="left"/>
              <w:rPr>
                <w:rFonts w:cs="Arial"/>
                <w:sz w:val="18"/>
                <w:szCs w:val="18"/>
              </w:rPr>
            </w:pPr>
            <w:r w:rsidRPr="00524A08">
              <w:rPr>
                <w:rFonts w:cs="Arial"/>
                <w:sz w:val="18"/>
                <w:szCs w:val="18"/>
              </w:rPr>
              <w:t>-0.313***</w:t>
            </w:r>
          </w:p>
        </w:tc>
        <w:tc>
          <w:tcPr>
            <w:tcW w:w="1373" w:type="dxa"/>
          </w:tcPr>
          <w:p w14:paraId="08DAFFC9" w14:textId="77777777" w:rsidR="00872B9B" w:rsidRDefault="00872B9B" w:rsidP="005C6083">
            <w:pPr>
              <w:pStyle w:val="Tabletext"/>
              <w:tabs>
                <w:tab w:val="right" w:pos="2082"/>
              </w:tabs>
            </w:pPr>
          </w:p>
        </w:tc>
        <w:tc>
          <w:tcPr>
            <w:tcW w:w="1373" w:type="dxa"/>
          </w:tcPr>
          <w:p w14:paraId="549366CF" w14:textId="77777777" w:rsidR="00872B9B" w:rsidRDefault="00872B9B" w:rsidP="005C6083">
            <w:pPr>
              <w:pStyle w:val="Tabletext"/>
              <w:tabs>
                <w:tab w:val="right" w:pos="2082"/>
              </w:tabs>
            </w:pPr>
          </w:p>
        </w:tc>
        <w:tc>
          <w:tcPr>
            <w:tcW w:w="1373" w:type="dxa"/>
          </w:tcPr>
          <w:p w14:paraId="35DBF428" w14:textId="77777777" w:rsidR="00872B9B" w:rsidRDefault="00872B9B" w:rsidP="005C6083">
            <w:pPr>
              <w:pStyle w:val="Tabletext"/>
              <w:tabs>
                <w:tab w:val="right" w:pos="2082"/>
              </w:tabs>
            </w:pPr>
          </w:p>
        </w:tc>
      </w:tr>
      <w:tr w:rsidR="00872B9B" w14:paraId="203E3120"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76195756" w14:textId="77777777" w:rsidR="00872B9B" w:rsidRPr="00C91BB1" w:rsidRDefault="00872B9B" w:rsidP="00F17D8E">
            <w:pPr>
              <w:pStyle w:val="Tabletext"/>
              <w:tabs>
                <w:tab w:val="right" w:pos="2082"/>
              </w:tabs>
            </w:pPr>
            <w:r w:rsidRPr="00C91BB1">
              <w:t>n</w:t>
            </w:r>
          </w:p>
        </w:tc>
        <w:tc>
          <w:tcPr>
            <w:tcW w:w="1373" w:type="dxa"/>
          </w:tcPr>
          <w:p w14:paraId="4538700F" w14:textId="77777777" w:rsidR="00872B9B" w:rsidRDefault="00872B9B" w:rsidP="005C6083">
            <w:pPr>
              <w:pStyle w:val="Tabletext"/>
              <w:tabs>
                <w:tab w:val="right" w:pos="2082"/>
              </w:tabs>
            </w:pPr>
            <w:r w:rsidRPr="00EE2C47">
              <w:t>231</w:t>
            </w:r>
            <w:r>
              <w:t>,</w:t>
            </w:r>
            <w:r w:rsidRPr="00EE2C47">
              <w:t>881</w:t>
            </w:r>
          </w:p>
        </w:tc>
        <w:tc>
          <w:tcPr>
            <w:tcW w:w="1373" w:type="dxa"/>
          </w:tcPr>
          <w:p w14:paraId="212FC5FE" w14:textId="77777777" w:rsidR="00872B9B" w:rsidRDefault="00872B9B" w:rsidP="005C6083">
            <w:pPr>
              <w:pStyle w:val="Tabletext"/>
              <w:tabs>
                <w:tab w:val="right" w:pos="2082"/>
              </w:tabs>
            </w:pPr>
            <w:r w:rsidRPr="00EE2C47">
              <w:t>59</w:t>
            </w:r>
            <w:r>
              <w:t>,</w:t>
            </w:r>
            <w:r w:rsidRPr="00EE2C47">
              <w:t>519</w:t>
            </w:r>
          </w:p>
        </w:tc>
        <w:tc>
          <w:tcPr>
            <w:tcW w:w="1373" w:type="dxa"/>
          </w:tcPr>
          <w:p w14:paraId="40CB733F" w14:textId="77777777" w:rsidR="00872B9B" w:rsidRDefault="00872B9B" w:rsidP="005C6083">
            <w:pPr>
              <w:pStyle w:val="Tabletext"/>
              <w:tabs>
                <w:tab w:val="right" w:pos="2082"/>
              </w:tabs>
            </w:pPr>
            <w:r w:rsidRPr="00EE2C47">
              <w:t>104</w:t>
            </w:r>
            <w:r>
              <w:t>,</w:t>
            </w:r>
            <w:r w:rsidRPr="00EE2C47">
              <w:t>753</w:t>
            </w:r>
          </w:p>
        </w:tc>
        <w:tc>
          <w:tcPr>
            <w:tcW w:w="1373" w:type="dxa"/>
          </w:tcPr>
          <w:p w14:paraId="581106C9" w14:textId="77777777" w:rsidR="00872B9B" w:rsidRDefault="00872B9B" w:rsidP="005C6083">
            <w:pPr>
              <w:pStyle w:val="Tabletext"/>
              <w:tabs>
                <w:tab w:val="right" w:pos="2082"/>
              </w:tabs>
            </w:pPr>
            <w:r w:rsidRPr="00EE2C47">
              <w:t>45</w:t>
            </w:r>
            <w:r>
              <w:t>,</w:t>
            </w:r>
            <w:r w:rsidRPr="00EE2C47">
              <w:t>038</w:t>
            </w:r>
          </w:p>
        </w:tc>
      </w:tr>
      <w:tr w:rsidR="00872B9B" w14:paraId="2FDE68E4"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0CEF65E1" w14:textId="77777777" w:rsidR="00872B9B" w:rsidRDefault="00872B9B" w:rsidP="00F17D8E">
            <w:pPr>
              <w:pStyle w:val="Tabletext"/>
              <w:tabs>
                <w:tab w:val="right" w:pos="2082"/>
              </w:tabs>
            </w:pPr>
            <w:r>
              <w:t>Adjusted R²</w:t>
            </w:r>
          </w:p>
        </w:tc>
        <w:tc>
          <w:tcPr>
            <w:tcW w:w="1373" w:type="dxa"/>
          </w:tcPr>
          <w:p w14:paraId="572426A1" w14:textId="77777777" w:rsidR="00872B9B" w:rsidRPr="00C91BB1" w:rsidRDefault="00872B9B" w:rsidP="005C6083">
            <w:pPr>
              <w:pStyle w:val="Tabletext"/>
              <w:tabs>
                <w:tab w:val="right" w:pos="2082"/>
              </w:tabs>
            </w:pPr>
            <w:r w:rsidRPr="00096190">
              <w:t>0.064</w:t>
            </w:r>
          </w:p>
        </w:tc>
        <w:tc>
          <w:tcPr>
            <w:tcW w:w="1373" w:type="dxa"/>
          </w:tcPr>
          <w:p w14:paraId="20EAC9AE" w14:textId="77777777" w:rsidR="00872B9B" w:rsidRPr="00C91BB1" w:rsidRDefault="00872B9B" w:rsidP="005C6083">
            <w:pPr>
              <w:pStyle w:val="Tabletext"/>
              <w:tabs>
                <w:tab w:val="right" w:pos="2082"/>
              </w:tabs>
            </w:pPr>
            <w:r w:rsidRPr="00096190">
              <w:t>0.042</w:t>
            </w:r>
          </w:p>
        </w:tc>
        <w:tc>
          <w:tcPr>
            <w:tcW w:w="1373" w:type="dxa"/>
          </w:tcPr>
          <w:p w14:paraId="6A47CDDB" w14:textId="77777777" w:rsidR="00872B9B" w:rsidRPr="00C91BB1" w:rsidRDefault="00872B9B" w:rsidP="005C6083">
            <w:pPr>
              <w:pStyle w:val="Tabletext"/>
              <w:tabs>
                <w:tab w:val="right" w:pos="2082"/>
              </w:tabs>
            </w:pPr>
            <w:r w:rsidRPr="00096190">
              <w:t>0.004</w:t>
            </w:r>
          </w:p>
        </w:tc>
        <w:tc>
          <w:tcPr>
            <w:tcW w:w="1373" w:type="dxa"/>
          </w:tcPr>
          <w:p w14:paraId="5FB14CDB" w14:textId="77777777" w:rsidR="00872B9B" w:rsidRPr="00C91BB1" w:rsidRDefault="00872B9B" w:rsidP="005C6083">
            <w:pPr>
              <w:pStyle w:val="Tabletext"/>
              <w:tabs>
                <w:tab w:val="right" w:pos="2082"/>
              </w:tabs>
            </w:pPr>
            <w:r w:rsidRPr="00096190">
              <w:t>0.001</w:t>
            </w:r>
          </w:p>
        </w:tc>
      </w:tr>
    </w:tbl>
    <w:p w14:paraId="026ACBEC" w14:textId="77777777" w:rsidR="00872B9B" w:rsidRDefault="00872B9B" w:rsidP="00872B9B">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561DCF16" w14:textId="77777777" w:rsidR="00872B9B" w:rsidRDefault="00872B9B" w:rsidP="00872B9B">
      <w:pPr>
        <w:pStyle w:val="Source"/>
      </w:pPr>
      <w:r>
        <w:t xml:space="preserve">Source: BLADE (2019) </w:t>
      </w:r>
    </w:p>
    <w:p w14:paraId="509E5B3B" w14:textId="699DF4FD" w:rsidR="00872B9B" w:rsidRDefault="00872B9B" w:rsidP="00872B9B">
      <w:pPr>
        <w:pStyle w:val="Caption"/>
      </w:pPr>
      <w:r w:rsidRPr="000618FB">
        <w:t xml:space="preserve">Table </w:t>
      </w:r>
      <w:r w:rsidR="00FF5700">
        <w:rPr>
          <w:noProof/>
        </w:rPr>
        <w:t>3</w:t>
      </w:r>
      <w:r>
        <w:rPr>
          <w:noProof/>
        </w:rPr>
        <w:t>.</w:t>
      </w:r>
      <w:r w:rsidR="00FF5700">
        <w:rPr>
          <w:noProof/>
        </w:rPr>
        <w:t>2</w:t>
      </w:r>
      <w:r w:rsidRPr="000618FB">
        <w:t xml:space="preserve">: </w:t>
      </w:r>
      <w:r>
        <w:t>Average annual growth differentials between BGFs and other exporters, by age (decimals)</w:t>
      </w:r>
    </w:p>
    <w:tbl>
      <w:tblPr>
        <w:tblStyle w:val="OCETable"/>
        <w:tblW w:w="5030" w:type="pct"/>
        <w:tblInd w:w="57" w:type="dxa"/>
        <w:tblLayout w:type="fixed"/>
        <w:tblLook w:val="04A0" w:firstRow="1" w:lastRow="0" w:firstColumn="1" w:lastColumn="0" w:noHBand="0" w:noVBand="1"/>
        <w:tblCaption w:val="Average annual growth differentials between BGFs and other exporters, by age (decimals)"/>
        <w:tblDescription w:val="This result is consistent with other performance indicators including employment growth, capital expenditure growth and R&amp;D expenditure growth (Table 3.2). &#10;Though BGFs experience less productivity growth in the beginning of the firm life cycle, when BGFs are mature, they experience a productivity growth premium compared to other exporters. This result is robust across different definitions tested (see Table D.1 and Table D.2, Appendix D) and is consistent with findings from Bakhtiari (2019c), who finds entrepreneurs are quite unproductive upon entry, yet the productivity of those that survive makes a quantum leap and converges to that of mature firms. A sensitivity analysis using different definitions for BGF is provided at Appendix D."/>
      </w:tblPr>
      <w:tblGrid>
        <w:gridCol w:w="1387"/>
        <w:gridCol w:w="1387"/>
        <w:gridCol w:w="1387"/>
        <w:gridCol w:w="1387"/>
        <w:gridCol w:w="1387"/>
      </w:tblGrid>
      <w:tr w:rsidR="00872B9B" w14:paraId="4B5FC615"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661EC7EA" w14:textId="77777777" w:rsidR="00872B9B" w:rsidRDefault="00872B9B" w:rsidP="00F17D8E">
            <w:pPr>
              <w:pStyle w:val="Tableheader"/>
              <w:rPr>
                <w:lang w:eastAsia="en-AU"/>
              </w:rPr>
            </w:pPr>
            <w:r>
              <w:rPr>
                <w:lang w:eastAsia="en-AU"/>
              </w:rPr>
              <w:t>Performance indicator</w:t>
            </w:r>
          </w:p>
        </w:tc>
        <w:tc>
          <w:tcPr>
            <w:tcW w:w="1387" w:type="dxa"/>
          </w:tcPr>
          <w:p w14:paraId="45E841E9" w14:textId="34B3429F" w:rsidR="00872B9B" w:rsidRDefault="00872B9B" w:rsidP="005C6083">
            <w:pPr>
              <w:pStyle w:val="Tableheader"/>
              <w:rPr>
                <w:lang w:eastAsia="en-AU"/>
              </w:rPr>
            </w:pPr>
            <w:r>
              <w:rPr>
                <w:lang w:eastAsia="en-AU"/>
              </w:rPr>
              <w:t xml:space="preserve">All </w:t>
            </w:r>
            <w:r w:rsidR="001D650A">
              <w:rPr>
                <w:lang w:eastAsia="en-AU"/>
              </w:rPr>
              <w:t>exporters</w:t>
            </w:r>
          </w:p>
        </w:tc>
        <w:tc>
          <w:tcPr>
            <w:tcW w:w="1387" w:type="dxa"/>
          </w:tcPr>
          <w:p w14:paraId="7A3562AE" w14:textId="77777777" w:rsidR="00872B9B" w:rsidRDefault="00872B9B" w:rsidP="005C6083">
            <w:pPr>
              <w:pStyle w:val="Tableheader"/>
              <w:rPr>
                <w:lang w:eastAsia="en-AU"/>
              </w:rPr>
            </w:pPr>
            <w:r>
              <w:rPr>
                <w:lang w:eastAsia="en-AU"/>
              </w:rPr>
              <w:t>Less than 3 years old</w:t>
            </w:r>
          </w:p>
        </w:tc>
        <w:tc>
          <w:tcPr>
            <w:tcW w:w="1387" w:type="dxa"/>
          </w:tcPr>
          <w:p w14:paraId="6D17A1A6" w14:textId="77777777" w:rsidR="00872B9B" w:rsidRDefault="00872B9B" w:rsidP="005C6083">
            <w:pPr>
              <w:pStyle w:val="Tableheader"/>
              <w:rPr>
                <w:lang w:eastAsia="en-AU"/>
              </w:rPr>
            </w:pPr>
            <w:r>
              <w:rPr>
                <w:lang w:eastAsia="en-AU"/>
              </w:rPr>
              <w:t>4 to 6 years old</w:t>
            </w:r>
          </w:p>
        </w:tc>
        <w:tc>
          <w:tcPr>
            <w:tcW w:w="1387" w:type="dxa"/>
          </w:tcPr>
          <w:p w14:paraId="3EA141A2" w14:textId="77777777" w:rsidR="00872B9B" w:rsidRDefault="00872B9B" w:rsidP="005C6083">
            <w:pPr>
              <w:pStyle w:val="Tableheader"/>
              <w:rPr>
                <w:lang w:eastAsia="en-AU"/>
              </w:rPr>
            </w:pPr>
            <w:r>
              <w:rPr>
                <w:lang w:eastAsia="en-AU"/>
              </w:rPr>
              <w:t>More than 6 years old</w:t>
            </w:r>
          </w:p>
        </w:tc>
      </w:tr>
      <w:tr w:rsidR="00872B9B" w14:paraId="44556FD4"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343EF27D" w14:textId="77777777" w:rsidR="00872B9B" w:rsidRDefault="00872B9B" w:rsidP="00F17D8E">
            <w:pPr>
              <w:pStyle w:val="Tabletext"/>
              <w:rPr>
                <w:lang w:eastAsia="en-AU"/>
              </w:rPr>
            </w:pPr>
            <w:r>
              <w:rPr>
                <w:lang w:eastAsia="en-AU"/>
              </w:rPr>
              <w:t xml:space="preserve">Turnover </w:t>
            </w:r>
          </w:p>
        </w:tc>
        <w:tc>
          <w:tcPr>
            <w:tcW w:w="1387" w:type="dxa"/>
          </w:tcPr>
          <w:p w14:paraId="6DE97D99" w14:textId="77777777" w:rsidR="00872B9B" w:rsidRDefault="00872B9B" w:rsidP="005C6083">
            <w:pPr>
              <w:pStyle w:val="Tabletext"/>
              <w:tabs>
                <w:tab w:val="right" w:pos="2082"/>
              </w:tabs>
              <w:rPr>
                <w:lang w:eastAsia="en-AU"/>
              </w:rPr>
            </w:pPr>
            <w:r w:rsidRPr="00192973">
              <w:t>-0.138***</w:t>
            </w:r>
          </w:p>
        </w:tc>
        <w:tc>
          <w:tcPr>
            <w:tcW w:w="1387" w:type="dxa"/>
          </w:tcPr>
          <w:p w14:paraId="31844EC5" w14:textId="77777777" w:rsidR="00872B9B" w:rsidRDefault="00872B9B" w:rsidP="005C6083">
            <w:pPr>
              <w:pStyle w:val="Tabletext"/>
              <w:tabs>
                <w:tab w:val="right" w:pos="2082"/>
              </w:tabs>
              <w:rPr>
                <w:lang w:eastAsia="en-AU"/>
              </w:rPr>
            </w:pPr>
            <w:r w:rsidRPr="00192973">
              <w:t>-0.246***</w:t>
            </w:r>
          </w:p>
        </w:tc>
        <w:tc>
          <w:tcPr>
            <w:tcW w:w="1387" w:type="dxa"/>
          </w:tcPr>
          <w:p w14:paraId="3BCE9C88" w14:textId="77777777" w:rsidR="00872B9B" w:rsidRDefault="00872B9B" w:rsidP="005C6083">
            <w:pPr>
              <w:pStyle w:val="Tabletext"/>
              <w:tabs>
                <w:tab w:val="right" w:pos="2082"/>
              </w:tabs>
              <w:rPr>
                <w:lang w:eastAsia="en-AU"/>
              </w:rPr>
            </w:pPr>
            <w:r w:rsidRPr="00192973">
              <w:t>-0.106***</w:t>
            </w:r>
          </w:p>
        </w:tc>
        <w:tc>
          <w:tcPr>
            <w:tcW w:w="1387" w:type="dxa"/>
          </w:tcPr>
          <w:p w14:paraId="0057D365" w14:textId="77777777" w:rsidR="00872B9B" w:rsidRDefault="00872B9B" w:rsidP="005C6083">
            <w:pPr>
              <w:pStyle w:val="Tabletext"/>
              <w:tabs>
                <w:tab w:val="right" w:pos="2082"/>
              </w:tabs>
              <w:rPr>
                <w:lang w:eastAsia="en-AU"/>
              </w:rPr>
            </w:pPr>
            <w:r>
              <w:t>-</w:t>
            </w:r>
          </w:p>
        </w:tc>
      </w:tr>
      <w:tr w:rsidR="00872B9B" w14:paraId="7D6A1CCC"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1CB00351" w14:textId="77777777" w:rsidR="00872B9B" w:rsidRDefault="00872B9B" w:rsidP="00F17D8E">
            <w:pPr>
              <w:pStyle w:val="Tabletext"/>
              <w:rPr>
                <w:lang w:eastAsia="en-AU"/>
              </w:rPr>
            </w:pPr>
            <w:r>
              <w:rPr>
                <w:lang w:eastAsia="en-AU"/>
              </w:rPr>
              <w:t>Employment</w:t>
            </w:r>
          </w:p>
        </w:tc>
        <w:tc>
          <w:tcPr>
            <w:tcW w:w="1387" w:type="dxa"/>
          </w:tcPr>
          <w:p w14:paraId="277C007C" w14:textId="77777777" w:rsidR="00872B9B" w:rsidRPr="00D10260" w:rsidRDefault="00872B9B" w:rsidP="005C6083">
            <w:pPr>
              <w:pStyle w:val="Tabletext"/>
              <w:tabs>
                <w:tab w:val="right" w:pos="2082"/>
              </w:tabs>
            </w:pPr>
            <w:r w:rsidRPr="004E5A4A">
              <w:t>-0.115***</w:t>
            </w:r>
          </w:p>
        </w:tc>
        <w:tc>
          <w:tcPr>
            <w:tcW w:w="1387" w:type="dxa"/>
          </w:tcPr>
          <w:p w14:paraId="5B2B6884" w14:textId="77777777" w:rsidR="00872B9B" w:rsidRPr="00D10260" w:rsidRDefault="00872B9B" w:rsidP="005C6083">
            <w:pPr>
              <w:pStyle w:val="Tabletext"/>
              <w:tabs>
                <w:tab w:val="right" w:pos="2082"/>
              </w:tabs>
            </w:pPr>
            <w:r w:rsidRPr="004E5A4A">
              <w:t>-0.181***</w:t>
            </w:r>
          </w:p>
        </w:tc>
        <w:tc>
          <w:tcPr>
            <w:tcW w:w="1387" w:type="dxa"/>
          </w:tcPr>
          <w:p w14:paraId="2B557722" w14:textId="77777777" w:rsidR="00872B9B" w:rsidRPr="00D10260" w:rsidRDefault="00872B9B" w:rsidP="005C6083">
            <w:pPr>
              <w:pStyle w:val="Tabletext"/>
              <w:tabs>
                <w:tab w:val="right" w:pos="2082"/>
              </w:tabs>
            </w:pPr>
            <w:r w:rsidRPr="004E5A4A">
              <w:t>-0.097***</w:t>
            </w:r>
          </w:p>
        </w:tc>
        <w:tc>
          <w:tcPr>
            <w:tcW w:w="1387" w:type="dxa"/>
          </w:tcPr>
          <w:p w14:paraId="08C80B67" w14:textId="77777777" w:rsidR="00872B9B" w:rsidRPr="00D10260" w:rsidRDefault="00872B9B" w:rsidP="005C6083">
            <w:pPr>
              <w:pStyle w:val="Tabletext"/>
              <w:tabs>
                <w:tab w:val="right" w:pos="2082"/>
              </w:tabs>
            </w:pPr>
            <w:r w:rsidRPr="004E5A4A">
              <w:t>-0.052***</w:t>
            </w:r>
          </w:p>
        </w:tc>
      </w:tr>
      <w:tr w:rsidR="00872B9B" w14:paraId="1DC41BDD"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6ADFA8A8" w14:textId="77777777" w:rsidR="00872B9B" w:rsidRDefault="00872B9B" w:rsidP="00F17D8E">
            <w:pPr>
              <w:pStyle w:val="Tabletext"/>
              <w:rPr>
                <w:lang w:eastAsia="en-AU"/>
              </w:rPr>
            </w:pPr>
            <w:r>
              <w:rPr>
                <w:lang w:eastAsia="en-AU"/>
              </w:rPr>
              <w:t>Productivity</w:t>
            </w:r>
          </w:p>
        </w:tc>
        <w:tc>
          <w:tcPr>
            <w:tcW w:w="1387" w:type="dxa"/>
          </w:tcPr>
          <w:p w14:paraId="21561A43" w14:textId="77777777" w:rsidR="00872B9B" w:rsidRPr="00D10260" w:rsidRDefault="00872B9B" w:rsidP="005C6083">
            <w:pPr>
              <w:pStyle w:val="Tabletext"/>
              <w:tabs>
                <w:tab w:val="right" w:pos="2082"/>
              </w:tabs>
            </w:pPr>
            <w:r w:rsidRPr="00D16BAB">
              <w:t>-0.011*</w:t>
            </w:r>
          </w:p>
        </w:tc>
        <w:tc>
          <w:tcPr>
            <w:tcW w:w="1387" w:type="dxa"/>
          </w:tcPr>
          <w:p w14:paraId="7F3A3F19" w14:textId="77777777" w:rsidR="00872B9B" w:rsidRPr="00D10260" w:rsidRDefault="00872B9B" w:rsidP="005C6083">
            <w:pPr>
              <w:pStyle w:val="Tabletext"/>
              <w:tabs>
                <w:tab w:val="right" w:pos="2082"/>
              </w:tabs>
            </w:pPr>
            <w:r w:rsidRPr="00D16BAB">
              <w:t>-0.037***</w:t>
            </w:r>
          </w:p>
        </w:tc>
        <w:tc>
          <w:tcPr>
            <w:tcW w:w="1387" w:type="dxa"/>
          </w:tcPr>
          <w:p w14:paraId="78939C36" w14:textId="77777777" w:rsidR="00872B9B" w:rsidRPr="00D10260" w:rsidRDefault="00872B9B" w:rsidP="005C6083">
            <w:pPr>
              <w:pStyle w:val="Tabletext"/>
              <w:tabs>
                <w:tab w:val="right" w:pos="2082"/>
              </w:tabs>
            </w:pPr>
            <w:r>
              <w:t>-</w:t>
            </w:r>
          </w:p>
        </w:tc>
        <w:tc>
          <w:tcPr>
            <w:tcW w:w="1387" w:type="dxa"/>
          </w:tcPr>
          <w:p w14:paraId="51DCC6D1" w14:textId="77777777" w:rsidR="00872B9B" w:rsidRDefault="00872B9B" w:rsidP="005C6083">
            <w:pPr>
              <w:pStyle w:val="Tabletext"/>
              <w:tabs>
                <w:tab w:val="right" w:pos="2082"/>
              </w:tabs>
            </w:pPr>
            <w:r w:rsidRPr="00D16BAB">
              <w:t>0.030*</w:t>
            </w:r>
          </w:p>
        </w:tc>
      </w:tr>
      <w:tr w:rsidR="00872B9B" w14:paraId="7201D0B5"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076DC242" w14:textId="77777777" w:rsidR="00872B9B" w:rsidRDefault="00872B9B" w:rsidP="00F17D8E">
            <w:pPr>
              <w:pStyle w:val="Tabletext"/>
              <w:rPr>
                <w:lang w:eastAsia="en-AU"/>
              </w:rPr>
            </w:pPr>
            <w:r>
              <w:rPr>
                <w:lang w:eastAsia="en-AU"/>
              </w:rPr>
              <w:t xml:space="preserve">Capital </w:t>
            </w:r>
          </w:p>
        </w:tc>
        <w:tc>
          <w:tcPr>
            <w:tcW w:w="1387" w:type="dxa"/>
          </w:tcPr>
          <w:p w14:paraId="18C210B5" w14:textId="77777777" w:rsidR="00872B9B" w:rsidRPr="00D10260" w:rsidRDefault="00872B9B" w:rsidP="005C6083">
            <w:pPr>
              <w:pStyle w:val="Tabletext"/>
              <w:tabs>
                <w:tab w:val="right" w:pos="2082"/>
              </w:tabs>
            </w:pPr>
            <w:r w:rsidRPr="007B5971">
              <w:t>-0.052**</w:t>
            </w:r>
          </w:p>
        </w:tc>
        <w:tc>
          <w:tcPr>
            <w:tcW w:w="1387" w:type="dxa"/>
          </w:tcPr>
          <w:p w14:paraId="6807A21B" w14:textId="77777777" w:rsidR="00872B9B" w:rsidRPr="00D10260" w:rsidRDefault="00872B9B" w:rsidP="005C6083">
            <w:pPr>
              <w:pStyle w:val="Tabletext"/>
              <w:tabs>
                <w:tab w:val="right" w:pos="2082"/>
              </w:tabs>
            </w:pPr>
            <w:r w:rsidRPr="007B5971">
              <w:t>-</w:t>
            </w:r>
          </w:p>
        </w:tc>
        <w:tc>
          <w:tcPr>
            <w:tcW w:w="1387" w:type="dxa"/>
          </w:tcPr>
          <w:p w14:paraId="07E2C20D" w14:textId="77777777" w:rsidR="00872B9B" w:rsidRPr="00D10260" w:rsidRDefault="00872B9B" w:rsidP="005C6083">
            <w:pPr>
              <w:pStyle w:val="Tabletext"/>
              <w:tabs>
                <w:tab w:val="right" w:pos="2082"/>
              </w:tabs>
            </w:pPr>
            <w:r w:rsidRPr="007B5971">
              <w:t>-0.067**</w:t>
            </w:r>
          </w:p>
        </w:tc>
        <w:tc>
          <w:tcPr>
            <w:tcW w:w="1387" w:type="dxa"/>
          </w:tcPr>
          <w:p w14:paraId="213B10D7" w14:textId="77777777" w:rsidR="00872B9B" w:rsidRDefault="00872B9B" w:rsidP="005C6083">
            <w:pPr>
              <w:pStyle w:val="Tabletext"/>
              <w:tabs>
                <w:tab w:val="right" w:pos="2082"/>
              </w:tabs>
            </w:pPr>
            <w:r>
              <w:t>-</w:t>
            </w:r>
          </w:p>
        </w:tc>
      </w:tr>
      <w:tr w:rsidR="00872B9B" w14:paraId="5838E922"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4AB0B055" w14:textId="77777777" w:rsidR="00872B9B" w:rsidRDefault="00872B9B" w:rsidP="00F17D8E">
            <w:pPr>
              <w:pStyle w:val="Tabletext"/>
              <w:tabs>
                <w:tab w:val="right" w:pos="2082"/>
              </w:tabs>
              <w:rPr>
                <w:lang w:eastAsia="en-AU"/>
              </w:rPr>
            </w:pPr>
            <w:r>
              <w:rPr>
                <w:lang w:eastAsia="en-AU"/>
              </w:rPr>
              <w:t xml:space="preserve">R&amp;D </w:t>
            </w:r>
          </w:p>
        </w:tc>
        <w:tc>
          <w:tcPr>
            <w:tcW w:w="1387" w:type="dxa"/>
          </w:tcPr>
          <w:p w14:paraId="77697B07" w14:textId="77777777" w:rsidR="00872B9B" w:rsidRDefault="00872B9B" w:rsidP="005C6083">
            <w:pPr>
              <w:pStyle w:val="Tabletext"/>
              <w:tabs>
                <w:tab w:val="right" w:pos="2082"/>
              </w:tabs>
              <w:rPr>
                <w:lang w:eastAsia="en-AU"/>
              </w:rPr>
            </w:pPr>
            <w:r>
              <w:t>-</w:t>
            </w:r>
          </w:p>
        </w:tc>
        <w:tc>
          <w:tcPr>
            <w:tcW w:w="1387" w:type="dxa"/>
          </w:tcPr>
          <w:p w14:paraId="24A1A6B1" w14:textId="77777777" w:rsidR="00872B9B" w:rsidRDefault="00872B9B" w:rsidP="005C6083">
            <w:pPr>
              <w:pStyle w:val="Tabletext"/>
              <w:tabs>
                <w:tab w:val="right" w:pos="2082"/>
              </w:tabs>
              <w:rPr>
                <w:lang w:eastAsia="en-AU"/>
              </w:rPr>
            </w:pPr>
            <w:r w:rsidRPr="00806A73">
              <w:t>-0.190**</w:t>
            </w:r>
          </w:p>
        </w:tc>
        <w:tc>
          <w:tcPr>
            <w:tcW w:w="1387" w:type="dxa"/>
          </w:tcPr>
          <w:p w14:paraId="6884A48C" w14:textId="77777777" w:rsidR="00872B9B" w:rsidRDefault="00872B9B" w:rsidP="005C6083">
            <w:pPr>
              <w:pStyle w:val="Tabletext"/>
              <w:tabs>
                <w:tab w:val="right" w:pos="2082"/>
              </w:tabs>
              <w:rPr>
                <w:lang w:eastAsia="en-AU"/>
              </w:rPr>
            </w:pPr>
            <w:r>
              <w:t>-</w:t>
            </w:r>
          </w:p>
        </w:tc>
        <w:tc>
          <w:tcPr>
            <w:tcW w:w="1387" w:type="dxa"/>
          </w:tcPr>
          <w:p w14:paraId="43A97D4E" w14:textId="77777777" w:rsidR="00872B9B" w:rsidRDefault="00872B9B" w:rsidP="005C6083">
            <w:pPr>
              <w:pStyle w:val="Tabletext"/>
              <w:tabs>
                <w:tab w:val="right" w:pos="2082"/>
              </w:tabs>
              <w:rPr>
                <w:lang w:eastAsia="en-AU"/>
              </w:rPr>
            </w:pPr>
            <w:r>
              <w:t>-</w:t>
            </w:r>
          </w:p>
        </w:tc>
      </w:tr>
    </w:tbl>
    <w:p w14:paraId="1A54A85A" w14:textId="77777777" w:rsidR="00872B9B" w:rsidRDefault="00872B9B" w:rsidP="00872B9B">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3CCB46DC" w14:textId="77777777" w:rsidR="00872B9B" w:rsidRDefault="00872B9B" w:rsidP="00872B9B">
      <w:pPr>
        <w:pStyle w:val="Source"/>
      </w:pPr>
      <w:r>
        <w:t xml:space="preserve">Source: BLADE (2019) </w:t>
      </w:r>
    </w:p>
    <w:p w14:paraId="2A0C2D06" w14:textId="77777777" w:rsidR="008A5DD9" w:rsidRPr="008A5DD9" w:rsidRDefault="008A5DD9" w:rsidP="008A5DD9">
      <w:pPr>
        <w:pStyle w:val="BodyText"/>
        <w:rPr>
          <w:lang w:val="en"/>
        </w:rPr>
      </w:pPr>
    </w:p>
    <w:p w14:paraId="5D6A284F" w14:textId="01D1397E" w:rsidR="00872B9B" w:rsidRDefault="00872B9B" w:rsidP="00872B9B">
      <w:pPr>
        <w:pStyle w:val="Heading2"/>
        <w:ind w:left="709"/>
      </w:pPr>
      <w:r>
        <w:lastRenderedPageBreak/>
        <w:t xml:space="preserve">Performance of born global firms compared to </w:t>
      </w:r>
      <w:r w:rsidR="003E1A69">
        <w:t>non-exporting firms</w:t>
      </w:r>
      <w:r>
        <w:t xml:space="preserve">  </w:t>
      </w:r>
    </w:p>
    <w:p w14:paraId="7E3E0409" w14:textId="77777777" w:rsidR="0029086A" w:rsidRDefault="0029086A" w:rsidP="00872B9B">
      <w:pPr>
        <w:pStyle w:val="BodyText"/>
      </w:pPr>
    </w:p>
    <w:p w14:paraId="1F6064B8" w14:textId="3E578C7D" w:rsidR="0029086A" w:rsidRDefault="00BA552E" w:rsidP="00872B9B">
      <w:pPr>
        <w:pStyle w:val="BodyText"/>
      </w:pPr>
      <w:r>
        <w:t xml:space="preserve">A </w:t>
      </w:r>
      <w:r w:rsidR="0029086A">
        <w:t xml:space="preserve">key limitation of using a non-exporting control group is the inability to control for the self-selection of firms into exporting, i.e. firms’ intention to export. As such, the results might be different with a more carefully selected and relevant comparison group of non-exporting entrepreneurial firms that takes into account additional factors such as </w:t>
      </w:r>
      <w:r w:rsidR="0029086A">
        <w:rPr>
          <w:lang w:eastAsia="en-AU"/>
        </w:rPr>
        <w:t>business and growth dynamics to ensure these firms are as close as possible to the identified BGFs. It is important to note that t</w:t>
      </w:r>
      <w:r w:rsidR="0029086A" w:rsidRPr="00C62257">
        <w:rPr>
          <w:lang w:eastAsia="en-AU"/>
        </w:rPr>
        <w:t>he results</w:t>
      </w:r>
      <w:r w:rsidR="0029086A">
        <w:rPr>
          <w:lang w:eastAsia="en-AU"/>
        </w:rPr>
        <w:t xml:space="preserve"> of this analysis</w:t>
      </w:r>
      <w:r w:rsidR="0029086A" w:rsidRPr="00C62257">
        <w:rPr>
          <w:lang w:eastAsia="en-AU"/>
        </w:rPr>
        <w:t xml:space="preserve"> might </w:t>
      </w:r>
      <w:r w:rsidR="0029086A">
        <w:rPr>
          <w:lang w:eastAsia="en-AU"/>
        </w:rPr>
        <w:t xml:space="preserve">also </w:t>
      </w:r>
      <w:r w:rsidR="0029086A" w:rsidRPr="00C62257">
        <w:rPr>
          <w:lang w:eastAsia="en-AU"/>
        </w:rPr>
        <w:t>be impacted by spin-outs and mergers</w:t>
      </w:r>
      <w:r w:rsidR="0029086A">
        <w:rPr>
          <w:lang w:eastAsia="en-AU"/>
        </w:rPr>
        <w:t xml:space="preserve"> that are included in the analysis. These firms </w:t>
      </w:r>
      <w:r w:rsidR="0029086A" w:rsidRPr="00C62257">
        <w:rPr>
          <w:lang w:eastAsia="en-AU"/>
        </w:rPr>
        <w:t>are expected to have different characteristics compared to other new firms.</w:t>
      </w:r>
    </w:p>
    <w:p w14:paraId="4C9935FE" w14:textId="43BCE330" w:rsidR="00872B9B" w:rsidRPr="00EB0D46" w:rsidRDefault="00394C97" w:rsidP="00872B9B">
      <w:pPr>
        <w:pStyle w:val="BodyText"/>
      </w:pPr>
      <w:r w:rsidRPr="00394C97">
        <w:t xml:space="preserve">BGFs outperform non-exporting firms in R&amp;D expenditure growth and capital expenditure growth, but underperform in turnover growth and productivity growth. However this result is quite sensitive to the definition used. BGFs with a </w:t>
      </w:r>
      <w:r w:rsidR="001D0367">
        <w:t>three</w:t>
      </w:r>
      <w:r w:rsidRPr="00394C97">
        <w:t xml:space="preserve"> year</w:t>
      </w:r>
      <w:r w:rsidR="001D0367">
        <w:t>, 25 per cent export intensity</w:t>
      </w:r>
      <w:r w:rsidRPr="00394C97">
        <w:t xml:space="preserve"> threshold definition actually outperfor</w:t>
      </w:r>
      <w:r w:rsidR="001D0367">
        <w:t>m</w:t>
      </w:r>
      <w:r w:rsidRPr="00394C97">
        <w:t xml:space="preserve"> non-exporters across all performance measures, particularly in the early phase of a firm’s lif</w:t>
      </w:r>
      <w:r w:rsidR="001D0367">
        <w:t>e (Figure D.3, at Appendix D</w:t>
      </w:r>
      <w:r w:rsidR="001F44EC">
        <w:t>)</w:t>
      </w:r>
      <w:r w:rsidR="001D0367">
        <w:t xml:space="preserve">. However the results using a three year, 100 per cent </w:t>
      </w:r>
      <w:r w:rsidRPr="00394C97">
        <w:t xml:space="preserve">definition </w:t>
      </w:r>
      <w:r w:rsidR="00E079F3">
        <w:t xml:space="preserve">follow closely the </w:t>
      </w:r>
      <w:r w:rsidR="001F44EC">
        <w:t xml:space="preserve">results </w:t>
      </w:r>
      <w:r w:rsidR="001C2346">
        <w:t>using the</w:t>
      </w:r>
      <w:r w:rsidR="001F44EC">
        <w:t xml:space="preserve"> </w:t>
      </w:r>
      <w:r w:rsidR="001C2346">
        <w:t>original definition</w:t>
      </w:r>
      <w:r w:rsidR="001F44EC">
        <w:t xml:space="preserve"> </w:t>
      </w:r>
      <w:r w:rsidR="00E079F3">
        <w:t xml:space="preserve">(see Table D.4, at Appendix D). </w:t>
      </w:r>
    </w:p>
    <w:p w14:paraId="2CB91C34" w14:textId="27F142A8" w:rsidR="00872B9B" w:rsidRDefault="00872B9B" w:rsidP="00872B9B">
      <w:pPr>
        <w:pStyle w:val="Caption"/>
      </w:pPr>
      <w:r w:rsidRPr="000618FB">
        <w:t xml:space="preserve">Table </w:t>
      </w:r>
      <w:r w:rsidR="006015E5">
        <w:rPr>
          <w:noProof/>
        </w:rPr>
        <w:t>3</w:t>
      </w:r>
      <w:r>
        <w:rPr>
          <w:noProof/>
        </w:rPr>
        <w:t>.</w:t>
      </w:r>
      <w:r w:rsidR="006015E5">
        <w:rPr>
          <w:noProof/>
        </w:rPr>
        <w:t>3</w:t>
      </w:r>
      <w:r w:rsidRPr="000618FB">
        <w:t xml:space="preserve">: </w:t>
      </w:r>
      <w:r>
        <w:t>Average annual growth differentials between BGFs and non-exporting firms, by age (decimals)</w:t>
      </w:r>
    </w:p>
    <w:tbl>
      <w:tblPr>
        <w:tblStyle w:val="OCETable"/>
        <w:tblW w:w="5030" w:type="pct"/>
        <w:tblInd w:w="57" w:type="dxa"/>
        <w:tblLayout w:type="fixed"/>
        <w:tblLook w:val="04A0" w:firstRow="1" w:lastRow="0" w:firstColumn="1" w:lastColumn="0" w:noHBand="0" w:noVBand="1"/>
        <w:tblCaption w:val="Average annual growth differentials between BGFs and non-exporting firms, by age (decimals)"/>
        <w:tblDescription w:val="BGFs outperform non-exporting firms in R&amp;D expenditure growth and capital expenditure growth, but underperform in turnover growth and productivity growth. However this result is quite sensitive to the definition used. BGFs with a three year, 25 per cent export intensity threshold definition actually outperform non-exporters across all performance measures, particularly in the early phase of a firm’s life (Figure D.3, at Appendix D). However the results using a three year, 100 per cent definition follow closely the results using the original definition (see Table D.4, at Appendix D). "/>
      </w:tblPr>
      <w:tblGrid>
        <w:gridCol w:w="1387"/>
        <w:gridCol w:w="1387"/>
        <w:gridCol w:w="1387"/>
        <w:gridCol w:w="1387"/>
        <w:gridCol w:w="1387"/>
      </w:tblGrid>
      <w:tr w:rsidR="00872B9B" w14:paraId="51DF6F57"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547BC2F1" w14:textId="77777777" w:rsidR="00872B9B" w:rsidRDefault="00872B9B" w:rsidP="00F17D8E">
            <w:pPr>
              <w:pStyle w:val="Tableheader"/>
              <w:rPr>
                <w:lang w:eastAsia="en-AU"/>
              </w:rPr>
            </w:pPr>
            <w:r>
              <w:rPr>
                <w:lang w:eastAsia="en-AU"/>
              </w:rPr>
              <w:t>Performance indicator</w:t>
            </w:r>
          </w:p>
        </w:tc>
        <w:tc>
          <w:tcPr>
            <w:tcW w:w="1387" w:type="dxa"/>
          </w:tcPr>
          <w:p w14:paraId="2AF27F67" w14:textId="77777777" w:rsidR="00872B9B" w:rsidRDefault="00872B9B" w:rsidP="00F17D8E">
            <w:pPr>
              <w:pStyle w:val="Tableheader"/>
              <w:rPr>
                <w:lang w:eastAsia="en-AU"/>
              </w:rPr>
            </w:pPr>
            <w:r>
              <w:rPr>
                <w:lang w:eastAsia="en-AU"/>
              </w:rPr>
              <w:t>All firms</w:t>
            </w:r>
          </w:p>
        </w:tc>
        <w:tc>
          <w:tcPr>
            <w:tcW w:w="1387" w:type="dxa"/>
          </w:tcPr>
          <w:p w14:paraId="340E62D1" w14:textId="77777777" w:rsidR="00872B9B" w:rsidRDefault="00872B9B" w:rsidP="00F17D8E">
            <w:pPr>
              <w:pStyle w:val="Tableheader"/>
              <w:rPr>
                <w:lang w:eastAsia="en-AU"/>
              </w:rPr>
            </w:pPr>
            <w:r>
              <w:rPr>
                <w:lang w:eastAsia="en-AU"/>
              </w:rPr>
              <w:t>Less than 3 years old</w:t>
            </w:r>
          </w:p>
        </w:tc>
        <w:tc>
          <w:tcPr>
            <w:tcW w:w="1387" w:type="dxa"/>
          </w:tcPr>
          <w:p w14:paraId="26F1C1F2" w14:textId="77777777" w:rsidR="00872B9B" w:rsidRDefault="00872B9B" w:rsidP="00F17D8E">
            <w:pPr>
              <w:pStyle w:val="Tableheader"/>
              <w:rPr>
                <w:lang w:eastAsia="en-AU"/>
              </w:rPr>
            </w:pPr>
            <w:r>
              <w:rPr>
                <w:lang w:eastAsia="en-AU"/>
              </w:rPr>
              <w:t>4 to 6 years old</w:t>
            </w:r>
          </w:p>
        </w:tc>
        <w:tc>
          <w:tcPr>
            <w:tcW w:w="1387" w:type="dxa"/>
          </w:tcPr>
          <w:p w14:paraId="23AA2879" w14:textId="77777777" w:rsidR="00872B9B" w:rsidRDefault="00872B9B" w:rsidP="00F17D8E">
            <w:pPr>
              <w:pStyle w:val="Tableheader"/>
              <w:rPr>
                <w:lang w:eastAsia="en-AU"/>
              </w:rPr>
            </w:pPr>
            <w:r>
              <w:rPr>
                <w:lang w:eastAsia="en-AU"/>
              </w:rPr>
              <w:t>More than 6 years old</w:t>
            </w:r>
          </w:p>
        </w:tc>
      </w:tr>
      <w:tr w:rsidR="00872B9B" w14:paraId="0D97BD01"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03BF3E17" w14:textId="77777777" w:rsidR="00872B9B" w:rsidRDefault="00872B9B" w:rsidP="00F17D8E">
            <w:pPr>
              <w:pStyle w:val="Tabletext"/>
              <w:rPr>
                <w:lang w:eastAsia="en-AU"/>
              </w:rPr>
            </w:pPr>
            <w:r>
              <w:rPr>
                <w:lang w:eastAsia="en-AU"/>
              </w:rPr>
              <w:t xml:space="preserve">Turnover </w:t>
            </w:r>
          </w:p>
        </w:tc>
        <w:tc>
          <w:tcPr>
            <w:tcW w:w="1387" w:type="dxa"/>
          </w:tcPr>
          <w:p w14:paraId="5ABDB7E5" w14:textId="77777777" w:rsidR="00872B9B" w:rsidRDefault="00872B9B" w:rsidP="00F17D8E">
            <w:pPr>
              <w:pStyle w:val="Tabletext"/>
              <w:tabs>
                <w:tab w:val="right" w:pos="2082"/>
              </w:tabs>
              <w:rPr>
                <w:lang w:eastAsia="en-AU"/>
              </w:rPr>
            </w:pPr>
            <w:r w:rsidRPr="000B61D9">
              <w:t>-0.024***</w:t>
            </w:r>
          </w:p>
        </w:tc>
        <w:tc>
          <w:tcPr>
            <w:tcW w:w="1387" w:type="dxa"/>
          </w:tcPr>
          <w:p w14:paraId="3B44A73B" w14:textId="77777777" w:rsidR="00872B9B" w:rsidRDefault="00872B9B" w:rsidP="00F17D8E">
            <w:pPr>
              <w:pStyle w:val="Tabletext"/>
              <w:tabs>
                <w:tab w:val="right" w:pos="2082"/>
              </w:tabs>
              <w:rPr>
                <w:lang w:eastAsia="en-AU"/>
              </w:rPr>
            </w:pPr>
            <w:r w:rsidRPr="000B61D9">
              <w:t>-0.035**</w:t>
            </w:r>
          </w:p>
        </w:tc>
        <w:tc>
          <w:tcPr>
            <w:tcW w:w="1387" w:type="dxa"/>
          </w:tcPr>
          <w:p w14:paraId="53D05082" w14:textId="77777777" w:rsidR="00872B9B" w:rsidRDefault="00872B9B" w:rsidP="00F17D8E">
            <w:pPr>
              <w:pStyle w:val="Tabletext"/>
              <w:tabs>
                <w:tab w:val="right" w:pos="2082"/>
              </w:tabs>
              <w:rPr>
                <w:lang w:eastAsia="en-AU"/>
              </w:rPr>
            </w:pPr>
            <w:r w:rsidRPr="000B61D9">
              <w:t>-0.029**</w:t>
            </w:r>
          </w:p>
        </w:tc>
        <w:tc>
          <w:tcPr>
            <w:tcW w:w="1387" w:type="dxa"/>
          </w:tcPr>
          <w:p w14:paraId="79AD6F67" w14:textId="77777777" w:rsidR="00872B9B" w:rsidRDefault="00872B9B" w:rsidP="00F17D8E">
            <w:pPr>
              <w:pStyle w:val="Tabletext"/>
              <w:tabs>
                <w:tab w:val="right" w:pos="2082"/>
              </w:tabs>
              <w:rPr>
                <w:lang w:eastAsia="en-AU"/>
              </w:rPr>
            </w:pPr>
            <w:r>
              <w:t>-</w:t>
            </w:r>
          </w:p>
        </w:tc>
      </w:tr>
      <w:tr w:rsidR="00872B9B" w14:paraId="0F4CEE31"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113A8923" w14:textId="77777777" w:rsidR="00872B9B" w:rsidRDefault="00872B9B" w:rsidP="00F17D8E">
            <w:pPr>
              <w:pStyle w:val="Tabletext"/>
              <w:rPr>
                <w:lang w:eastAsia="en-AU"/>
              </w:rPr>
            </w:pPr>
            <w:r>
              <w:rPr>
                <w:lang w:eastAsia="en-AU"/>
              </w:rPr>
              <w:t>Employment</w:t>
            </w:r>
          </w:p>
        </w:tc>
        <w:tc>
          <w:tcPr>
            <w:tcW w:w="1387" w:type="dxa"/>
          </w:tcPr>
          <w:p w14:paraId="0DABB8EB" w14:textId="77777777" w:rsidR="00872B9B" w:rsidRPr="00D10260" w:rsidRDefault="00872B9B" w:rsidP="00F17D8E">
            <w:pPr>
              <w:pStyle w:val="Tabletext"/>
              <w:tabs>
                <w:tab w:val="right" w:pos="2082"/>
              </w:tabs>
            </w:pPr>
            <w:r>
              <w:t>-</w:t>
            </w:r>
          </w:p>
        </w:tc>
        <w:tc>
          <w:tcPr>
            <w:tcW w:w="1387" w:type="dxa"/>
          </w:tcPr>
          <w:p w14:paraId="0FE1C180" w14:textId="77777777" w:rsidR="00872B9B" w:rsidRPr="00D10260" w:rsidRDefault="00872B9B" w:rsidP="00F17D8E">
            <w:pPr>
              <w:pStyle w:val="Tabletext"/>
              <w:tabs>
                <w:tab w:val="right" w:pos="2082"/>
              </w:tabs>
            </w:pPr>
            <w:r>
              <w:t>-</w:t>
            </w:r>
          </w:p>
        </w:tc>
        <w:tc>
          <w:tcPr>
            <w:tcW w:w="1387" w:type="dxa"/>
          </w:tcPr>
          <w:p w14:paraId="62C912D4" w14:textId="77777777" w:rsidR="00872B9B" w:rsidRPr="00D10260" w:rsidRDefault="00872B9B" w:rsidP="00F17D8E">
            <w:pPr>
              <w:pStyle w:val="Tabletext"/>
              <w:tabs>
                <w:tab w:val="right" w:pos="2082"/>
              </w:tabs>
            </w:pPr>
            <w:r>
              <w:t>-</w:t>
            </w:r>
          </w:p>
        </w:tc>
        <w:tc>
          <w:tcPr>
            <w:tcW w:w="1387" w:type="dxa"/>
          </w:tcPr>
          <w:p w14:paraId="56E44C38" w14:textId="77777777" w:rsidR="00872B9B" w:rsidRPr="00D10260" w:rsidRDefault="00872B9B" w:rsidP="00F17D8E">
            <w:pPr>
              <w:pStyle w:val="Tabletext"/>
              <w:tabs>
                <w:tab w:val="right" w:pos="2082"/>
              </w:tabs>
            </w:pPr>
            <w:r>
              <w:t>-</w:t>
            </w:r>
          </w:p>
        </w:tc>
      </w:tr>
      <w:tr w:rsidR="00872B9B" w14:paraId="48A9F013"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155A8C38" w14:textId="77777777" w:rsidR="00872B9B" w:rsidRDefault="00872B9B" w:rsidP="00F17D8E">
            <w:pPr>
              <w:pStyle w:val="Tabletext"/>
              <w:rPr>
                <w:lang w:eastAsia="en-AU"/>
              </w:rPr>
            </w:pPr>
            <w:r>
              <w:rPr>
                <w:lang w:eastAsia="en-AU"/>
              </w:rPr>
              <w:t>Productivity</w:t>
            </w:r>
          </w:p>
        </w:tc>
        <w:tc>
          <w:tcPr>
            <w:tcW w:w="1387" w:type="dxa"/>
          </w:tcPr>
          <w:p w14:paraId="4DC1FF95" w14:textId="77777777" w:rsidR="00872B9B" w:rsidRPr="00D10260" w:rsidRDefault="00872B9B" w:rsidP="00F17D8E">
            <w:pPr>
              <w:pStyle w:val="Tabletext"/>
              <w:tabs>
                <w:tab w:val="right" w:pos="2082"/>
              </w:tabs>
            </w:pPr>
            <w:r w:rsidRPr="0038328A">
              <w:t>-0.023***</w:t>
            </w:r>
          </w:p>
        </w:tc>
        <w:tc>
          <w:tcPr>
            <w:tcW w:w="1387" w:type="dxa"/>
          </w:tcPr>
          <w:p w14:paraId="2676DCA9" w14:textId="77777777" w:rsidR="00872B9B" w:rsidRPr="00D10260" w:rsidRDefault="00872B9B" w:rsidP="00F17D8E">
            <w:pPr>
              <w:pStyle w:val="Tabletext"/>
              <w:tabs>
                <w:tab w:val="right" w:pos="2082"/>
              </w:tabs>
            </w:pPr>
            <w:r w:rsidRPr="0038328A">
              <w:t>-0.034**</w:t>
            </w:r>
          </w:p>
        </w:tc>
        <w:tc>
          <w:tcPr>
            <w:tcW w:w="1387" w:type="dxa"/>
          </w:tcPr>
          <w:p w14:paraId="38FBF797" w14:textId="77777777" w:rsidR="00872B9B" w:rsidRPr="00D10260" w:rsidRDefault="00872B9B" w:rsidP="00F17D8E">
            <w:pPr>
              <w:pStyle w:val="Tabletext"/>
              <w:tabs>
                <w:tab w:val="right" w:pos="2082"/>
              </w:tabs>
            </w:pPr>
            <w:r w:rsidRPr="0038328A">
              <w:t>-0.026***</w:t>
            </w:r>
          </w:p>
        </w:tc>
        <w:tc>
          <w:tcPr>
            <w:tcW w:w="1387" w:type="dxa"/>
          </w:tcPr>
          <w:p w14:paraId="35563E89" w14:textId="77777777" w:rsidR="00872B9B" w:rsidRDefault="00872B9B" w:rsidP="00F17D8E">
            <w:pPr>
              <w:pStyle w:val="Tabletext"/>
              <w:tabs>
                <w:tab w:val="right" w:pos="2082"/>
              </w:tabs>
            </w:pPr>
            <w:r>
              <w:t>-</w:t>
            </w:r>
          </w:p>
        </w:tc>
      </w:tr>
      <w:tr w:rsidR="00872B9B" w14:paraId="48CE37EF"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3A6BEEBB" w14:textId="77777777" w:rsidR="00872B9B" w:rsidRDefault="00872B9B" w:rsidP="00F17D8E">
            <w:pPr>
              <w:pStyle w:val="Tabletext"/>
              <w:rPr>
                <w:lang w:eastAsia="en-AU"/>
              </w:rPr>
            </w:pPr>
            <w:r>
              <w:rPr>
                <w:lang w:eastAsia="en-AU"/>
              </w:rPr>
              <w:t xml:space="preserve">Capital </w:t>
            </w:r>
          </w:p>
        </w:tc>
        <w:tc>
          <w:tcPr>
            <w:tcW w:w="1387" w:type="dxa"/>
          </w:tcPr>
          <w:p w14:paraId="59B25000" w14:textId="77777777" w:rsidR="00872B9B" w:rsidRPr="00D10260" w:rsidRDefault="00872B9B" w:rsidP="00F17D8E">
            <w:pPr>
              <w:pStyle w:val="Tabletext"/>
              <w:tabs>
                <w:tab w:val="right" w:pos="2082"/>
              </w:tabs>
            </w:pPr>
            <w:r>
              <w:t>-</w:t>
            </w:r>
          </w:p>
        </w:tc>
        <w:tc>
          <w:tcPr>
            <w:tcW w:w="1387" w:type="dxa"/>
          </w:tcPr>
          <w:p w14:paraId="28B40890" w14:textId="77777777" w:rsidR="00872B9B" w:rsidRPr="00D10260" w:rsidRDefault="00872B9B" w:rsidP="00F17D8E">
            <w:pPr>
              <w:pStyle w:val="Tabletext"/>
              <w:tabs>
                <w:tab w:val="right" w:pos="2082"/>
              </w:tabs>
            </w:pPr>
            <w:r w:rsidRPr="00C42DF4">
              <w:t>0.074*</w:t>
            </w:r>
          </w:p>
        </w:tc>
        <w:tc>
          <w:tcPr>
            <w:tcW w:w="1387" w:type="dxa"/>
          </w:tcPr>
          <w:p w14:paraId="1DB939C2" w14:textId="77777777" w:rsidR="00872B9B" w:rsidRPr="00D10260" w:rsidRDefault="00872B9B" w:rsidP="00F17D8E">
            <w:pPr>
              <w:pStyle w:val="Tabletext"/>
              <w:tabs>
                <w:tab w:val="right" w:pos="2082"/>
              </w:tabs>
            </w:pPr>
            <w:r>
              <w:t>-</w:t>
            </w:r>
          </w:p>
        </w:tc>
        <w:tc>
          <w:tcPr>
            <w:tcW w:w="1387" w:type="dxa"/>
          </w:tcPr>
          <w:p w14:paraId="65E978DA" w14:textId="77777777" w:rsidR="00872B9B" w:rsidRDefault="00872B9B" w:rsidP="00F17D8E">
            <w:pPr>
              <w:pStyle w:val="Tabletext"/>
              <w:tabs>
                <w:tab w:val="right" w:pos="2082"/>
              </w:tabs>
            </w:pPr>
            <w:r>
              <w:t>-</w:t>
            </w:r>
          </w:p>
        </w:tc>
      </w:tr>
      <w:tr w:rsidR="00872B9B" w14:paraId="1B51A594"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2A44A584" w14:textId="77777777" w:rsidR="00872B9B" w:rsidRDefault="00872B9B" w:rsidP="00F17D8E">
            <w:pPr>
              <w:pStyle w:val="Tabletext"/>
              <w:tabs>
                <w:tab w:val="right" w:pos="2082"/>
              </w:tabs>
              <w:rPr>
                <w:lang w:eastAsia="en-AU"/>
              </w:rPr>
            </w:pPr>
            <w:r>
              <w:rPr>
                <w:lang w:eastAsia="en-AU"/>
              </w:rPr>
              <w:t xml:space="preserve">R&amp;D </w:t>
            </w:r>
          </w:p>
        </w:tc>
        <w:tc>
          <w:tcPr>
            <w:tcW w:w="1387" w:type="dxa"/>
          </w:tcPr>
          <w:p w14:paraId="268E7CB1" w14:textId="77777777" w:rsidR="00872B9B" w:rsidRDefault="00872B9B" w:rsidP="00F17D8E">
            <w:pPr>
              <w:pStyle w:val="Tabletext"/>
              <w:tabs>
                <w:tab w:val="right" w:pos="2082"/>
              </w:tabs>
              <w:rPr>
                <w:lang w:eastAsia="en-AU"/>
              </w:rPr>
            </w:pPr>
            <w:r w:rsidRPr="00DD4107">
              <w:t>0.054**</w:t>
            </w:r>
          </w:p>
        </w:tc>
        <w:tc>
          <w:tcPr>
            <w:tcW w:w="1387" w:type="dxa"/>
          </w:tcPr>
          <w:p w14:paraId="43524D92" w14:textId="77777777" w:rsidR="00872B9B" w:rsidRDefault="00872B9B" w:rsidP="00F17D8E">
            <w:pPr>
              <w:pStyle w:val="Tabletext"/>
              <w:tabs>
                <w:tab w:val="right" w:pos="2082"/>
              </w:tabs>
              <w:rPr>
                <w:lang w:eastAsia="en-AU"/>
              </w:rPr>
            </w:pPr>
            <w:r>
              <w:t>-</w:t>
            </w:r>
          </w:p>
        </w:tc>
        <w:tc>
          <w:tcPr>
            <w:tcW w:w="1387" w:type="dxa"/>
          </w:tcPr>
          <w:p w14:paraId="4776A784" w14:textId="77777777" w:rsidR="00872B9B" w:rsidRDefault="00872B9B" w:rsidP="00F17D8E">
            <w:pPr>
              <w:pStyle w:val="Tabletext"/>
              <w:tabs>
                <w:tab w:val="right" w:pos="2082"/>
              </w:tabs>
              <w:rPr>
                <w:lang w:eastAsia="en-AU"/>
              </w:rPr>
            </w:pPr>
            <w:r w:rsidRPr="00DD4107">
              <w:t>0.111***</w:t>
            </w:r>
          </w:p>
        </w:tc>
        <w:tc>
          <w:tcPr>
            <w:tcW w:w="1387" w:type="dxa"/>
          </w:tcPr>
          <w:p w14:paraId="2E0545C0" w14:textId="77777777" w:rsidR="00872B9B" w:rsidRDefault="00872B9B" w:rsidP="00F17D8E">
            <w:pPr>
              <w:pStyle w:val="Tabletext"/>
              <w:tabs>
                <w:tab w:val="right" w:pos="2082"/>
              </w:tabs>
              <w:rPr>
                <w:lang w:eastAsia="en-AU"/>
              </w:rPr>
            </w:pPr>
            <w:r>
              <w:t>-</w:t>
            </w:r>
          </w:p>
        </w:tc>
      </w:tr>
    </w:tbl>
    <w:p w14:paraId="2649D58A" w14:textId="77777777" w:rsidR="00872B9B" w:rsidRDefault="00872B9B" w:rsidP="00872B9B">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43BB1516" w14:textId="00C91D2D" w:rsidR="00C04413" w:rsidRPr="000A3B65" w:rsidRDefault="00C04413" w:rsidP="000A3B65">
      <w:pPr>
        <w:pStyle w:val="Heading2"/>
        <w:ind w:left="709"/>
      </w:pPr>
      <w:r>
        <w:t xml:space="preserve">High intensity versus low intensity born global firms </w:t>
      </w:r>
    </w:p>
    <w:p w14:paraId="7371C86D" w14:textId="6702DB1A" w:rsidR="00872B9B" w:rsidRPr="007774A1" w:rsidRDefault="001936D6" w:rsidP="00872B9B">
      <w:pPr>
        <w:pStyle w:val="BodyText"/>
        <w:rPr>
          <w:lang w:val="en" w:eastAsia="en-AU"/>
        </w:rPr>
      </w:pPr>
      <w:r>
        <w:rPr>
          <w:lang w:val="en" w:eastAsia="en-AU"/>
        </w:rPr>
        <w:t>We</w:t>
      </w:r>
      <w:r w:rsidR="00872B9B">
        <w:rPr>
          <w:lang w:val="en" w:eastAsia="en-AU"/>
        </w:rPr>
        <w:t xml:space="preserve"> compare the performance of high export intensity BGFs to low intensity BGFs. High-intensity BGFs are defined as those that are deriving more than 50 per cent of total sales from export sales. The results show that highly export intensive BGFs experience higher turnover and labour productivity growth over three years, however this additional growth is not sustained over</w:t>
      </w:r>
      <w:r w:rsidR="006C0817">
        <w:rPr>
          <w:lang w:val="en" w:eastAsia="en-AU"/>
        </w:rPr>
        <w:t xml:space="preserve"> the five year period (Table 3.5</w:t>
      </w:r>
      <w:r w:rsidR="00872B9B">
        <w:rPr>
          <w:lang w:val="en" w:eastAsia="en-AU"/>
        </w:rPr>
        <w:t xml:space="preserve">). </w:t>
      </w:r>
    </w:p>
    <w:p w14:paraId="6F22E49F" w14:textId="0D415E21" w:rsidR="00872B9B" w:rsidRDefault="00872B9B" w:rsidP="00872B9B">
      <w:pPr>
        <w:pStyle w:val="Caption"/>
      </w:pPr>
      <w:r w:rsidRPr="000618FB">
        <w:lastRenderedPageBreak/>
        <w:t xml:space="preserve">Table </w:t>
      </w:r>
      <w:r>
        <w:rPr>
          <w:noProof/>
        </w:rPr>
        <w:t>3</w:t>
      </w:r>
      <w:r w:rsidR="006015E5">
        <w:rPr>
          <w:noProof/>
        </w:rPr>
        <w:t>.</w:t>
      </w:r>
      <w:r w:rsidR="006015E5">
        <w:t>5</w:t>
      </w:r>
      <w:r w:rsidRPr="000618FB">
        <w:t xml:space="preserve">: </w:t>
      </w:r>
      <w:r>
        <w:t xml:space="preserve">Performance of high intensity born global firms compared to low intensity born global firms </w:t>
      </w:r>
    </w:p>
    <w:tbl>
      <w:tblPr>
        <w:tblStyle w:val="OCETable"/>
        <w:tblW w:w="4983" w:type="pct"/>
        <w:tblInd w:w="57" w:type="dxa"/>
        <w:tblLayout w:type="fixed"/>
        <w:tblLook w:val="04A0" w:firstRow="1" w:lastRow="0" w:firstColumn="1" w:lastColumn="0" w:noHBand="0" w:noVBand="1"/>
        <w:tblCaption w:val="Performance of high intensity born global firms compared to low intensity born global firms "/>
        <w:tblDescription w:val="We compare the performance of high export intensity BGFs to low intensity BGFs. High-intensity BGFs are defined as those that are deriving more than 50 per cent of total sales from export sales. The results show that highly export intensive BGFs experience higher turnover and labour productivity growth over three years, however this additional growth is not sustained over the five year period. "/>
      </w:tblPr>
      <w:tblGrid>
        <w:gridCol w:w="2800"/>
        <w:gridCol w:w="2279"/>
        <w:gridCol w:w="1792"/>
      </w:tblGrid>
      <w:tr w:rsidR="00872B9B" w14:paraId="3E3B5E3C" w14:textId="77777777" w:rsidTr="0092519E">
        <w:trPr>
          <w:cnfStyle w:val="100000000000" w:firstRow="1" w:lastRow="0" w:firstColumn="0" w:lastColumn="0" w:oddVBand="0" w:evenVBand="0" w:oddHBand="0" w:evenHBand="0" w:firstRowFirstColumn="0" w:firstRowLastColumn="0" w:lastRowFirstColumn="0" w:lastRowLastColumn="0"/>
          <w:trHeight w:val="180"/>
          <w:tblHeader/>
        </w:trPr>
        <w:tc>
          <w:tcPr>
            <w:tcW w:w="2800" w:type="dxa"/>
          </w:tcPr>
          <w:p w14:paraId="28A99EAD" w14:textId="77777777" w:rsidR="00872B9B" w:rsidRDefault="00872B9B" w:rsidP="00F17D8E">
            <w:pPr>
              <w:pStyle w:val="Tableheadertext"/>
            </w:pPr>
            <w:r>
              <w:t>Performance indicator</w:t>
            </w:r>
          </w:p>
        </w:tc>
        <w:tc>
          <w:tcPr>
            <w:tcW w:w="4071" w:type="dxa"/>
            <w:gridSpan w:val="2"/>
          </w:tcPr>
          <w:p w14:paraId="0E391084" w14:textId="77777777" w:rsidR="00872B9B" w:rsidRDefault="00872B9B" w:rsidP="00F17D8E">
            <w:pPr>
              <w:pStyle w:val="Tableheadertext"/>
            </w:pPr>
            <w:r>
              <w:t xml:space="preserve">High intensity premium </w:t>
            </w:r>
          </w:p>
        </w:tc>
      </w:tr>
      <w:tr w:rsidR="00872B9B" w14:paraId="3E894F1F" w14:textId="77777777" w:rsidTr="00F17D8E">
        <w:trPr>
          <w:cnfStyle w:val="000000100000" w:firstRow="0" w:lastRow="0" w:firstColumn="0" w:lastColumn="0" w:oddVBand="0" w:evenVBand="0" w:oddHBand="1" w:evenHBand="0" w:firstRowFirstColumn="0" w:firstRowLastColumn="0" w:lastRowFirstColumn="0" w:lastRowLastColumn="0"/>
          <w:trHeight w:val="129"/>
        </w:trPr>
        <w:tc>
          <w:tcPr>
            <w:tcW w:w="2800" w:type="dxa"/>
          </w:tcPr>
          <w:p w14:paraId="069B0C2D" w14:textId="77777777" w:rsidR="00872B9B" w:rsidRDefault="00872B9B" w:rsidP="00F17D8E">
            <w:pPr>
              <w:pStyle w:val="Tablebodytext"/>
            </w:pPr>
          </w:p>
        </w:tc>
        <w:tc>
          <w:tcPr>
            <w:tcW w:w="2279" w:type="dxa"/>
          </w:tcPr>
          <w:p w14:paraId="052ECECD" w14:textId="77777777" w:rsidR="00872B9B" w:rsidRPr="00DB0CA4" w:rsidRDefault="00872B9B" w:rsidP="00F17D8E">
            <w:pPr>
              <w:pStyle w:val="Tablebodytext"/>
              <w:rPr>
                <w:i/>
              </w:rPr>
            </w:pPr>
            <w:r>
              <w:rPr>
                <w:i/>
              </w:rPr>
              <w:t xml:space="preserve">3 year </w:t>
            </w:r>
          </w:p>
        </w:tc>
        <w:tc>
          <w:tcPr>
            <w:tcW w:w="1792" w:type="dxa"/>
          </w:tcPr>
          <w:p w14:paraId="6FC047A4" w14:textId="77777777" w:rsidR="00872B9B" w:rsidRPr="00DB0CA4" w:rsidRDefault="00872B9B" w:rsidP="00F17D8E">
            <w:pPr>
              <w:pStyle w:val="Tablebodytext"/>
              <w:rPr>
                <w:i/>
              </w:rPr>
            </w:pPr>
            <w:r>
              <w:rPr>
                <w:i/>
              </w:rPr>
              <w:t xml:space="preserve">5 year </w:t>
            </w:r>
          </w:p>
        </w:tc>
      </w:tr>
      <w:tr w:rsidR="00872B9B" w14:paraId="0DE5F458" w14:textId="77777777" w:rsidTr="00F17D8E">
        <w:trPr>
          <w:cnfStyle w:val="000000010000" w:firstRow="0" w:lastRow="0" w:firstColumn="0" w:lastColumn="0" w:oddVBand="0" w:evenVBand="0" w:oddHBand="0" w:evenHBand="1" w:firstRowFirstColumn="0" w:firstRowLastColumn="0" w:lastRowFirstColumn="0" w:lastRowLastColumn="0"/>
          <w:trHeight w:val="129"/>
        </w:trPr>
        <w:tc>
          <w:tcPr>
            <w:tcW w:w="2800" w:type="dxa"/>
          </w:tcPr>
          <w:p w14:paraId="34AD2B82" w14:textId="77777777" w:rsidR="00872B9B" w:rsidRDefault="00872B9B" w:rsidP="00F17D8E">
            <w:pPr>
              <w:pStyle w:val="Tablebodytext"/>
            </w:pPr>
            <w:r>
              <w:t>Turnover</w:t>
            </w:r>
          </w:p>
        </w:tc>
        <w:tc>
          <w:tcPr>
            <w:tcW w:w="2279" w:type="dxa"/>
          </w:tcPr>
          <w:p w14:paraId="726AEC7F" w14:textId="77777777" w:rsidR="00872B9B" w:rsidRDefault="00872B9B" w:rsidP="00F17D8E">
            <w:pPr>
              <w:pStyle w:val="Tablebodytext"/>
            </w:pPr>
            <w:r>
              <w:t>13.5*</w:t>
            </w:r>
          </w:p>
        </w:tc>
        <w:tc>
          <w:tcPr>
            <w:tcW w:w="1792" w:type="dxa"/>
          </w:tcPr>
          <w:p w14:paraId="0AFFAEEA" w14:textId="77777777" w:rsidR="00872B9B" w:rsidRDefault="00872B9B" w:rsidP="00F17D8E">
            <w:pPr>
              <w:pStyle w:val="Tablebodytext"/>
            </w:pPr>
            <w:r>
              <w:t>-</w:t>
            </w:r>
          </w:p>
        </w:tc>
      </w:tr>
      <w:tr w:rsidR="00872B9B" w14:paraId="0ED8B5AE" w14:textId="77777777" w:rsidTr="00F17D8E">
        <w:trPr>
          <w:cnfStyle w:val="000000100000" w:firstRow="0" w:lastRow="0" w:firstColumn="0" w:lastColumn="0" w:oddVBand="0" w:evenVBand="0" w:oddHBand="1" w:evenHBand="0" w:firstRowFirstColumn="0" w:firstRowLastColumn="0" w:lastRowFirstColumn="0" w:lastRowLastColumn="0"/>
          <w:trHeight w:val="129"/>
        </w:trPr>
        <w:tc>
          <w:tcPr>
            <w:tcW w:w="2800" w:type="dxa"/>
          </w:tcPr>
          <w:p w14:paraId="49DB8353" w14:textId="77777777" w:rsidR="00872B9B" w:rsidRDefault="00872B9B" w:rsidP="00F17D8E">
            <w:pPr>
              <w:pStyle w:val="Tablebodytext"/>
            </w:pPr>
            <w:r>
              <w:t>Capital</w:t>
            </w:r>
          </w:p>
        </w:tc>
        <w:tc>
          <w:tcPr>
            <w:tcW w:w="2279" w:type="dxa"/>
          </w:tcPr>
          <w:p w14:paraId="0549D934" w14:textId="77777777" w:rsidR="00872B9B" w:rsidRDefault="00872B9B" w:rsidP="00F17D8E">
            <w:pPr>
              <w:pStyle w:val="Tablebodytext"/>
            </w:pPr>
            <w:r>
              <w:t>-</w:t>
            </w:r>
          </w:p>
        </w:tc>
        <w:tc>
          <w:tcPr>
            <w:tcW w:w="1792" w:type="dxa"/>
          </w:tcPr>
          <w:p w14:paraId="7D1E4F64" w14:textId="77777777" w:rsidR="00872B9B" w:rsidRDefault="00872B9B" w:rsidP="00F17D8E">
            <w:pPr>
              <w:pStyle w:val="Tablebodytext"/>
            </w:pPr>
            <w:r>
              <w:t>-</w:t>
            </w:r>
          </w:p>
        </w:tc>
      </w:tr>
      <w:tr w:rsidR="00872B9B" w14:paraId="05ACA132" w14:textId="77777777" w:rsidTr="00F17D8E">
        <w:trPr>
          <w:cnfStyle w:val="000000010000" w:firstRow="0" w:lastRow="0" w:firstColumn="0" w:lastColumn="0" w:oddVBand="0" w:evenVBand="0" w:oddHBand="0" w:evenHBand="1" w:firstRowFirstColumn="0" w:firstRowLastColumn="0" w:lastRowFirstColumn="0" w:lastRowLastColumn="0"/>
          <w:trHeight w:val="133"/>
        </w:trPr>
        <w:tc>
          <w:tcPr>
            <w:tcW w:w="2800" w:type="dxa"/>
          </w:tcPr>
          <w:p w14:paraId="2ABE7B8D" w14:textId="77777777" w:rsidR="00872B9B" w:rsidRDefault="00872B9B" w:rsidP="00F17D8E">
            <w:pPr>
              <w:pStyle w:val="Tablebodytext"/>
            </w:pPr>
            <w:r>
              <w:t xml:space="preserve">Employment </w:t>
            </w:r>
          </w:p>
        </w:tc>
        <w:tc>
          <w:tcPr>
            <w:tcW w:w="2279" w:type="dxa"/>
          </w:tcPr>
          <w:p w14:paraId="6896918F" w14:textId="77777777" w:rsidR="00872B9B" w:rsidRDefault="00872B9B" w:rsidP="00F17D8E">
            <w:pPr>
              <w:pStyle w:val="Tablebodytext"/>
            </w:pPr>
            <w:r>
              <w:t>-</w:t>
            </w:r>
          </w:p>
        </w:tc>
        <w:tc>
          <w:tcPr>
            <w:tcW w:w="1792" w:type="dxa"/>
          </w:tcPr>
          <w:p w14:paraId="735B03C5" w14:textId="77777777" w:rsidR="00872B9B" w:rsidRDefault="00872B9B" w:rsidP="00F17D8E">
            <w:pPr>
              <w:pStyle w:val="Tablebodytext"/>
            </w:pPr>
            <w:r>
              <w:t>-</w:t>
            </w:r>
          </w:p>
        </w:tc>
      </w:tr>
      <w:tr w:rsidR="00872B9B" w14:paraId="361DD1C8" w14:textId="77777777" w:rsidTr="00F17D8E">
        <w:trPr>
          <w:cnfStyle w:val="000000100000" w:firstRow="0" w:lastRow="0" w:firstColumn="0" w:lastColumn="0" w:oddVBand="0" w:evenVBand="0" w:oddHBand="1" w:evenHBand="0" w:firstRowFirstColumn="0" w:firstRowLastColumn="0" w:lastRowFirstColumn="0" w:lastRowLastColumn="0"/>
          <w:trHeight w:val="129"/>
        </w:trPr>
        <w:tc>
          <w:tcPr>
            <w:tcW w:w="2800" w:type="dxa"/>
          </w:tcPr>
          <w:p w14:paraId="4AB09BC2" w14:textId="77777777" w:rsidR="00872B9B" w:rsidRDefault="00872B9B" w:rsidP="00F17D8E">
            <w:pPr>
              <w:pStyle w:val="Tablebodytext"/>
            </w:pPr>
            <w:r>
              <w:t>Labour productivity</w:t>
            </w:r>
          </w:p>
        </w:tc>
        <w:tc>
          <w:tcPr>
            <w:tcW w:w="2279" w:type="dxa"/>
          </w:tcPr>
          <w:p w14:paraId="74543BD6" w14:textId="77777777" w:rsidR="00872B9B" w:rsidRDefault="00872B9B" w:rsidP="00F17D8E">
            <w:pPr>
              <w:pStyle w:val="Tablebodytext"/>
            </w:pPr>
            <w:r>
              <w:t>16.0**</w:t>
            </w:r>
          </w:p>
        </w:tc>
        <w:tc>
          <w:tcPr>
            <w:tcW w:w="1792" w:type="dxa"/>
          </w:tcPr>
          <w:p w14:paraId="5E888331" w14:textId="77777777" w:rsidR="00872B9B" w:rsidRDefault="00872B9B" w:rsidP="00F17D8E">
            <w:pPr>
              <w:pStyle w:val="Tablebodytext"/>
            </w:pPr>
            <w:r>
              <w:t>-</w:t>
            </w:r>
          </w:p>
        </w:tc>
      </w:tr>
      <w:tr w:rsidR="00872B9B" w14:paraId="3985BB9B" w14:textId="77777777" w:rsidTr="00F17D8E">
        <w:trPr>
          <w:cnfStyle w:val="000000010000" w:firstRow="0" w:lastRow="0" w:firstColumn="0" w:lastColumn="0" w:oddVBand="0" w:evenVBand="0" w:oddHBand="0" w:evenHBand="1" w:firstRowFirstColumn="0" w:firstRowLastColumn="0" w:lastRowFirstColumn="0" w:lastRowLastColumn="0"/>
          <w:trHeight w:val="129"/>
        </w:trPr>
        <w:tc>
          <w:tcPr>
            <w:tcW w:w="2800" w:type="dxa"/>
          </w:tcPr>
          <w:p w14:paraId="3105BD79" w14:textId="77777777" w:rsidR="00872B9B" w:rsidRDefault="00872B9B" w:rsidP="00F17D8E">
            <w:pPr>
              <w:pStyle w:val="Tablebodytext"/>
            </w:pPr>
            <w:r>
              <w:t>Export sales</w:t>
            </w:r>
          </w:p>
        </w:tc>
        <w:tc>
          <w:tcPr>
            <w:tcW w:w="2279" w:type="dxa"/>
          </w:tcPr>
          <w:p w14:paraId="4442A04D" w14:textId="77777777" w:rsidR="00872B9B" w:rsidRDefault="00872B9B" w:rsidP="00F17D8E">
            <w:pPr>
              <w:pStyle w:val="Tablebodytext"/>
            </w:pPr>
            <w:r>
              <w:t>-</w:t>
            </w:r>
          </w:p>
        </w:tc>
        <w:tc>
          <w:tcPr>
            <w:tcW w:w="1792" w:type="dxa"/>
          </w:tcPr>
          <w:p w14:paraId="4B0C7F8A" w14:textId="77777777" w:rsidR="00872B9B" w:rsidRDefault="00872B9B" w:rsidP="00F17D8E">
            <w:pPr>
              <w:pStyle w:val="Tablebodytext"/>
            </w:pPr>
            <w:r>
              <w:t>-</w:t>
            </w:r>
          </w:p>
        </w:tc>
      </w:tr>
    </w:tbl>
    <w:p w14:paraId="5A7B076B" w14:textId="77777777" w:rsidR="00872B9B" w:rsidRDefault="00872B9B" w:rsidP="00872B9B">
      <w:pPr>
        <w:pStyle w:val="Note"/>
      </w:pPr>
      <w:r>
        <w:t xml:space="preserve">Notes: Restricted to four major industries: Manufacturing, Wholesale Trade, Retail Trade &amp; Professional, Scientific and Technical Services. High intensity threshold is an export intensity of more than 50 per cent. </w:t>
      </w:r>
    </w:p>
    <w:p w14:paraId="2EC6FECD" w14:textId="4313E652" w:rsidR="00872B9B" w:rsidRPr="00872B9B" w:rsidRDefault="00872B9B" w:rsidP="00EC37CF">
      <w:pPr>
        <w:pStyle w:val="Source"/>
      </w:pPr>
      <w:r>
        <w:t>Source: BLADE (2019)</w:t>
      </w:r>
    </w:p>
    <w:p w14:paraId="45D04F11" w14:textId="68136784" w:rsidR="000030BC" w:rsidRDefault="00555A20" w:rsidP="00872B9B">
      <w:pPr>
        <w:pStyle w:val="Heading2"/>
        <w:ind w:left="709"/>
      </w:pPr>
      <w:r>
        <w:t xml:space="preserve">Survival analysis </w:t>
      </w:r>
    </w:p>
    <w:p w14:paraId="620C019C" w14:textId="7208521F" w:rsidR="00F86ADA" w:rsidRPr="00F86ADA" w:rsidRDefault="00A24847" w:rsidP="00F86ADA">
      <w:pPr>
        <w:pStyle w:val="BodyText"/>
      </w:pPr>
      <w:r>
        <w:t xml:space="preserve">Looking at </w:t>
      </w:r>
      <w:r w:rsidR="00D2114E">
        <w:t>all small firms</w:t>
      </w:r>
      <w:r>
        <w:t xml:space="preserve"> born in 2010-11, </w:t>
      </w:r>
      <w:r w:rsidR="003D7292">
        <w:t>BGFs</w:t>
      </w:r>
      <w:r w:rsidR="00D2114E">
        <w:t xml:space="preserve"> have </w:t>
      </w:r>
      <w:r w:rsidR="00015853">
        <w:t>lower survival rate</w:t>
      </w:r>
      <w:r w:rsidR="00D2114E">
        <w:t>s</w:t>
      </w:r>
      <w:r w:rsidR="00015853">
        <w:t xml:space="preserve"> than other </w:t>
      </w:r>
      <w:r w:rsidR="00D2114E">
        <w:t xml:space="preserve">small </w:t>
      </w:r>
      <w:r w:rsidR="00015853">
        <w:t>exporters</w:t>
      </w:r>
      <w:r w:rsidR="00D2114E">
        <w:t xml:space="preserve">, however BGFs have higher survival rates than </w:t>
      </w:r>
      <w:r w:rsidR="00F67835">
        <w:t xml:space="preserve">small firms in the </w:t>
      </w:r>
      <w:r w:rsidR="0025704E">
        <w:t xml:space="preserve">greater </w:t>
      </w:r>
      <w:r w:rsidR="00F67835">
        <w:t>employing business population</w:t>
      </w:r>
      <w:r w:rsidR="00DA0F4B">
        <w:t xml:space="preserve"> (Figure 3.1)</w:t>
      </w:r>
      <w:r w:rsidR="00015853">
        <w:t xml:space="preserve">. </w:t>
      </w:r>
    </w:p>
    <w:p w14:paraId="5F7864A5" w14:textId="04BE1FC6" w:rsidR="002D7079" w:rsidRDefault="002D7079" w:rsidP="002D7079">
      <w:pPr>
        <w:pStyle w:val="Caption"/>
      </w:pPr>
      <w:r>
        <w:t>Figure</w:t>
      </w:r>
      <w:r w:rsidRPr="000618FB">
        <w:t xml:space="preserve"> </w:t>
      </w:r>
      <w:r w:rsidR="006015E5">
        <w:rPr>
          <w:noProof/>
        </w:rPr>
        <w:t>3</w:t>
      </w:r>
      <w:r w:rsidRPr="000618FB">
        <w:t>.</w:t>
      </w:r>
      <w:r>
        <w:rPr>
          <w:noProof/>
        </w:rPr>
        <w:t>1</w:t>
      </w:r>
      <w:r w:rsidRPr="000618FB">
        <w:t xml:space="preserve">: </w:t>
      </w:r>
      <w:r w:rsidR="00F05D42">
        <w:t>Survival</w:t>
      </w:r>
      <w:r>
        <w:t xml:space="preserve"> </w:t>
      </w:r>
      <w:r w:rsidR="00347E9D">
        <w:t xml:space="preserve">rates </w:t>
      </w:r>
      <w:r>
        <w:t>of born global firms</w:t>
      </w:r>
      <w:r w:rsidR="00D51020">
        <w:t xml:space="preserve">, </w:t>
      </w:r>
      <w:r w:rsidR="006D7E9A">
        <w:t>2010</w:t>
      </w:r>
      <w:r w:rsidR="008E6385">
        <w:t>-1</w:t>
      </w:r>
      <w:r w:rsidR="006D7E9A">
        <w:t>1</w:t>
      </w:r>
    </w:p>
    <w:p w14:paraId="3BD6D320" w14:textId="21E52B81" w:rsidR="008E6385" w:rsidRPr="00CF711B" w:rsidRDefault="003E729F" w:rsidP="00A72D93">
      <w:pPr>
        <w:pStyle w:val="Placeholder"/>
      </w:pPr>
      <w:r>
        <w:rPr>
          <w:noProof/>
          <w:lang w:eastAsia="en-AU"/>
        </w:rPr>
        <w:drawing>
          <wp:inline distT="0" distB="0" distL="0" distR="0" wp14:anchorId="6FC2AF6E" wp14:editId="674437B5">
            <wp:extent cx="4377690" cy="2626360"/>
            <wp:effectExtent l="0" t="0" r="3810" b="2540"/>
            <wp:docPr id="1" name="Chart 1" descr="Looking at all small firms born in 2010-11, BGFs have lower survival rates than other small exporters, however BGFs have higher survival rates than small firms in the greater employing business population. " title="Survival rates of born global firms, 2010-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C0922B" w14:textId="507E3848" w:rsidR="00947649" w:rsidRDefault="00947649" w:rsidP="00947649">
      <w:pPr>
        <w:pStyle w:val="Source"/>
      </w:pPr>
      <w:r>
        <w:t xml:space="preserve">Source: </w:t>
      </w:r>
      <w:r w:rsidR="00040945">
        <w:t xml:space="preserve">BLADE (2019) </w:t>
      </w:r>
    </w:p>
    <w:p w14:paraId="631B8F41" w14:textId="4AF87078" w:rsidR="001E6609" w:rsidRDefault="002932FA" w:rsidP="006A5EDA">
      <w:pPr>
        <w:pStyle w:val="Heading2"/>
        <w:ind w:left="709"/>
        <w:rPr>
          <w:lang w:val="en"/>
        </w:rPr>
      </w:pPr>
      <w:r>
        <w:rPr>
          <w:lang w:val="en"/>
        </w:rPr>
        <w:t xml:space="preserve">Financial ratios </w:t>
      </w:r>
    </w:p>
    <w:p w14:paraId="56B2802F" w14:textId="3C3FD966" w:rsidR="008E419B" w:rsidRDefault="008E419B" w:rsidP="00DD5A29">
      <w:pPr>
        <w:pStyle w:val="BodyText"/>
        <w:rPr>
          <w:lang w:eastAsia="en-AU"/>
        </w:rPr>
      </w:pPr>
      <w:r>
        <w:rPr>
          <w:lang w:val="en" w:eastAsia="en-AU"/>
        </w:rPr>
        <w:t xml:space="preserve">This section uses the methodology of Rafi and Reynolds (2019) to explore how debt servicing ratios and other financial variables compare between BGFs and other exporters. </w:t>
      </w:r>
      <w:r w:rsidR="00B108A3">
        <w:rPr>
          <w:lang w:val="en" w:eastAsia="en-AU"/>
        </w:rPr>
        <w:t xml:space="preserve">All results are presented at Appendix </w:t>
      </w:r>
      <w:r w:rsidR="0089749E">
        <w:rPr>
          <w:lang w:val="en" w:eastAsia="en-AU"/>
        </w:rPr>
        <w:t>E</w:t>
      </w:r>
      <w:r w:rsidR="00B108A3">
        <w:rPr>
          <w:lang w:val="en" w:eastAsia="en-AU"/>
        </w:rPr>
        <w:t xml:space="preserve">. </w:t>
      </w:r>
    </w:p>
    <w:p w14:paraId="573F8B85" w14:textId="4E5CF9E8" w:rsidR="008E419B" w:rsidRPr="00756961" w:rsidRDefault="00CD4AFA" w:rsidP="008E419B">
      <w:pPr>
        <w:pStyle w:val="BodyText"/>
        <w:rPr>
          <w:lang w:eastAsia="en-AU"/>
        </w:rPr>
      </w:pPr>
      <w:r>
        <w:rPr>
          <w:lang w:val="en" w:eastAsia="en-AU"/>
        </w:rPr>
        <w:t>The d</w:t>
      </w:r>
      <w:r w:rsidR="008E419B">
        <w:rPr>
          <w:lang w:val="en" w:eastAsia="en-AU"/>
        </w:rPr>
        <w:t>ebt servicing ratio (DSR) is defined as a firm’s total interest expense divided by profits and cash reserves. The DSR</w:t>
      </w:r>
      <w:r w:rsidR="00C16E75">
        <w:rPr>
          <w:lang w:val="en" w:eastAsia="en-AU"/>
        </w:rPr>
        <w:t xml:space="preserve"> for BGFs is lower than for other </w:t>
      </w:r>
      <w:r w:rsidR="00C16E75">
        <w:rPr>
          <w:lang w:val="en" w:eastAsia="en-AU"/>
        </w:rPr>
        <w:lastRenderedPageBreak/>
        <w:t>exporters, and</w:t>
      </w:r>
      <w:r w:rsidR="008E419B">
        <w:rPr>
          <w:lang w:val="en" w:eastAsia="en-AU"/>
        </w:rPr>
        <w:t xml:space="preserve"> has been trending downwards for BGFs at the 75</w:t>
      </w:r>
      <w:r w:rsidR="008E419B" w:rsidRPr="00DD5A29">
        <w:rPr>
          <w:vertAlign w:val="superscript"/>
          <w:lang w:val="en" w:eastAsia="en-AU"/>
        </w:rPr>
        <w:t>th</w:t>
      </w:r>
      <w:r w:rsidR="008E419B">
        <w:rPr>
          <w:lang w:val="en" w:eastAsia="en-AU"/>
        </w:rPr>
        <w:t xml:space="preserve"> percentile since 2013, though other exporters have experienced a longer</w:t>
      </w:r>
      <w:r>
        <w:rPr>
          <w:lang w:val="en" w:eastAsia="en-AU"/>
        </w:rPr>
        <w:t>-</w:t>
      </w:r>
      <w:r w:rsidR="008E419B">
        <w:rPr>
          <w:lang w:val="en" w:eastAsia="en-AU"/>
        </w:rPr>
        <w:t xml:space="preserve">term </w:t>
      </w:r>
      <w:r>
        <w:rPr>
          <w:lang w:val="en" w:eastAsia="en-AU"/>
        </w:rPr>
        <w:t xml:space="preserve">downward </w:t>
      </w:r>
      <w:r w:rsidR="008E419B">
        <w:rPr>
          <w:lang w:val="en" w:eastAsia="en-AU"/>
        </w:rPr>
        <w:t>trend from 2010 (Figure E.1). Earnings before profit and tax (EBIT) between BGFs and other exporters are at very similar levels in recent years, however for BGFs EBIT has been trending upwards</w:t>
      </w:r>
      <w:r>
        <w:rPr>
          <w:lang w:val="en" w:eastAsia="en-AU"/>
        </w:rPr>
        <w:t>,</w:t>
      </w:r>
      <w:r w:rsidR="008E419B">
        <w:rPr>
          <w:lang w:val="en" w:eastAsia="en-AU"/>
        </w:rPr>
        <w:t xml:space="preserve"> while EBIT has remained flat for other exporters (Figure E.2). The g</w:t>
      </w:r>
      <w:r w:rsidR="008E419B" w:rsidRPr="003015E5">
        <w:rPr>
          <w:lang w:val="en" w:eastAsia="en-AU"/>
        </w:rPr>
        <w:t>earing ratio</w:t>
      </w:r>
      <w:r w:rsidR="008E419B">
        <w:rPr>
          <w:lang w:val="en" w:eastAsia="en-AU"/>
        </w:rPr>
        <w:t xml:space="preserve">, which is </w:t>
      </w:r>
      <w:r w:rsidR="008E419B" w:rsidRPr="003015E5">
        <w:rPr>
          <w:lang w:val="en" w:eastAsia="en-AU"/>
        </w:rPr>
        <w:t>a firm’s total debt to total assets</w:t>
      </w:r>
      <w:r w:rsidR="008E419B">
        <w:rPr>
          <w:lang w:val="en" w:eastAsia="en-AU"/>
        </w:rPr>
        <w:t>, is higher for BGFs and has been trending upwards for the 50</w:t>
      </w:r>
      <w:r w:rsidR="008E419B" w:rsidRPr="00DD5A29">
        <w:rPr>
          <w:vertAlign w:val="superscript"/>
          <w:lang w:val="en" w:eastAsia="en-AU"/>
        </w:rPr>
        <w:t>th</w:t>
      </w:r>
      <w:r w:rsidR="008E419B">
        <w:rPr>
          <w:lang w:val="en" w:eastAsia="en-AU"/>
        </w:rPr>
        <w:t xml:space="preserve"> and 75</w:t>
      </w:r>
      <w:r w:rsidR="008E419B" w:rsidRPr="00DD5A29">
        <w:rPr>
          <w:vertAlign w:val="superscript"/>
          <w:lang w:val="en" w:eastAsia="en-AU"/>
        </w:rPr>
        <w:t>th</w:t>
      </w:r>
      <w:r w:rsidR="008E419B">
        <w:rPr>
          <w:lang w:val="en" w:eastAsia="en-AU"/>
        </w:rPr>
        <w:t xml:space="preserve"> percentiles since 2013 (Figure E.3). The return on assets (ROA)</w:t>
      </w:r>
      <w:r w:rsidR="008E419B" w:rsidRPr="00D41450">
        <w:rPr>
          <w:lang w:val="en" w:eastAsia="en-AU"/>
        </w:rPr>
        <w:t xml:space="preserve"> ratio is a ratio of a firm’s earnings (EBIT) to current and fixed assets (total assets)</w:t>
      </w:r>
      <w:r w:rsidR="008E419B">
        <w:rPr>
          <w:lang w:val="en" w:eastAsia="en-AU"/>
        </w:rPr>
        <w:t xml:space="preserve">. The ROA for BGFs is typically higher than for other exporters, however has been trending downwards since 2007 (Figure E.4). </w:t>
      </w:r>
    </w:p>
    <w:p w14:paraId="547C4092" w14:textId="36272B07" w:rsidR="00C51991" w:rsidRDefault="006E7C81" w:rsidP="00E465CB">
      <w:pPr>
        <w:pStyle w:val="Heading1"/>
      </w:pPr>
      <w:r>
        <w:t>Export status</w:t>
      </w:r>
      <w:r w:rsidR="000643AD">
        <w:t>, firm age and</w:t>
      </w:r>
      <w:r>
        <w:t xml:space="preserve"> performance </w:t>
      </w:r>
    </w:p>
    <w:p w14:paraId="26BFE47F" w14:textId="66154DD5" w:rsidR="00C51991" w:rsidRPr="00C51991" w:rsidRDefault="00175759" w:rsidP="00C51991">
      <w:pPr>
        <w:pStyle w:val="BodyText"/>
        <w:rPr>
          <w:lang w:val="en" w:eastAsia="en-AU"/>
        </w:rPr>
      </w:pPr>
      <w:r>
        <w:rPr>
          <w:lang w:val="en" w:eastAsia="en-AU"/>
        </w:rPr>
        <w:t xml:space="preserve">There has always been a strong research interest in the relationship between firm size and firm growth, guiding policymakers to view small firms as major </w:t>
      </w:r>
      <w:r w:rsidR="00DC2534">
        <w:rPr>
          <w:lang w:val="en" w:eastAsia="en-AU"/>
        </w:rPr>
        <w:t>contributors</w:t>
      </w:r>
      <w:r>
        <w:rPr>
          <w:lang w:val="en" w:eastAsia="en-AU"/>
        </w:rPr>
        <w:t xml:space="preserve"> to net job creation</w:t>
      </w:r>
      <w:r w:rsidR="00DC2534">
        <w:rPr>
          <w:lang w:val="en" w:eastAsia="en-AU"/>
        </w:rPr>
        <w:t>. Traditionally, studies have failed to control for firm age, which has proved to be an important factor in the size-growth relationship (</w:t>
      </w:r>
      <w:r w:rsidR="0079659B">
        <w:rPr>
          <w:lang w:val="en" w:eastAsia="en-AU"/>
        </w:rPr>
        <w:t xml:space="preserve">Bakhtiari, </w:t>
      </w:r>
      <w:r w:rsidR="00D40052">
        <w:rPr>
          <w:lang w:val="en" w:eastAsia="en-AU"/>
        </w:rPr>
        <w:t>2019</w:t>
      </w:r>
      <w:r w:rsidR="006845B4">
        <w:rPr>
          <w:lang w:val="en" w:eastAsia="en-AU"/>
        </w:rPr>
        <w:t>a</w:t>
      </w:r>
      <w:r w:rsidR="0079659B">
        <w:rPr>
          <w:lang w:val="en" w:eastAsia="en-AU"/>
        </w:rPr>
        <w:t xml:space="preserve">; </w:t>
      </w:r>
      <w:r w:rsidR="0079659B" w:rsidRPr="008A654D">
        <w:rPr>
          <w:lang w:val="en" w:eastAsia="en-AU"/>
        </w:rPr>
        <w:t>Lawless, 2014; Haltiwanger et al., 2013</w:t>
      </w:r>
      <w:r w:rsidR="00A94C1E">
        <w:rPr>
          <w:lang w:val="en" w:eastAsia="en-AU"/>
        </w:rPr>
        <w:t xml:space="preserve">). </w:t>
      </w:r>
      <w:r w:rsidR="008A654D" w:rsidRPr="008A654D">
        <w:rPr>
          <w:lang w:val="en" w:eastAsia="en-AU"/>
        </w:rPr>
        <w:t>Grazzi and Moschella (201</w:t>
      </w:r>
      <w:r w:rsidR="00D45EC5">
        <w:rPr>
          <w:lang w:val="en" w:eastAsia="en-AU"/>
        </w:rPr>
        <w:t>9</w:t>
      </w:r>
      <w:r w:rsidR="008A654D" w:rsidRPr="008A654D">
        <w:rPr>
          <w:lang w:val="en" w:eastAsia="en-AU"/>
        </w:rPr>
        <w:t xml:space="preserve">) </w:t>
      </w:r>
      <w:r w:rsidR="002E594F">
        <w:rPr>
          <w:lang w:val="en" w:eastAsia="en-AU"/>
        </w:rPr>
        <w:t xml:space="preserve">take a further step and </w:t>
      </w:r>
      <w:r w:rsidR="008A654D" w:rsidRPr="008A654D">
        <w:rPr>
          <w:lang w:val="en" w:eastAsia="en-AU"/>
        </w:rPr>
        <w:t>use Italian firm-level data to demonstrate that export status is an additional and key dimension to interpreting th</w:t>
      </w:r>
      <w:r w:rsidR="002E594F">
        <w:rPr>
          <w:lang w:val="en" w:eastAsia="en-AU"/>
        </w:rPr>
        <w:t xml:space="preserve">e growth-size-age relationship. </w:t>
      </w:r>
      <w:r w:rsidR="008A654D">
        <w:rPr>
          <w:lang w:val="en" w:eastAsia="en-AU"/>
        </w:rPr>
        <w:t xml:space="preserve">This </w:t>
      </w:r>
      <w:r w:rsidR="002156E6">
        <w:rPr>
          <w:lang w:val="en" w:eastAsia="en-AU"/>
        </w:rPr>
        <w:t>section</w:t>
      </w:r>
      <w:r w:rsidR="008A654D">
        <w:rPr>
          <w:lang w:val="en" w:eastAsia="en-AU"/>
        </w:rPr>
        <w:t xml:space="preserve"> takes a similar approach in </w:t>
      </w:r>
      <w:r w:rsidR="00E62169">
        <w:rPr>
          <w:lang w:val="en" w:eastAsia="en-AU"/>
        </w:rPr>
        <w:t>investigating</w:t>
      </w:r>
      <w:r w:rsidR="00C51991" w:rsidRPr="00256128">
        <w:rPr>
          <w:lang w:val="en" w:eastAsia="en-AU"/>
        </w:rPr>
        <w:t xml:space="preserve"> the key role export status plays in the growth-size-age relationship for Australian firms. </w:t>
      </w:r>
      <w:r w:rsidR="008A1CE7">
        <w:rPr>
          <w:lang w:val="en" w:eastAsia="en-AU"/>
        </w:rPr>
        <w:t xml:space="preserve">Tuhin &amp; Swanepoel (2016) extensively explore the growth premium to exporters using Australian micro-data, </w:t>
      </w:r>
      <w:r w:rsidR="00360E20">
        <w:rPr>
          <w:lang w:val="en" w:eastAsia="en-AU"/>
        </w:rPr>
        <w:t>al</w:t>
      </w:r>
      <w:r w:rsidR="008A1CE7">
        <w:rPr>
          <w:lang w:val="en" w:eastAsia="en-AU"/>
        </w:rPr>
        <w:t>though here we address the role of firm age directly.</w:t>
      </w:r>
    </w:p>
    <w:p w14:paraId="5893DAC0" w14:textId="4090BF4C" w:rsidR="00BC1512" w:rsidRPr="00240E02" w:rsidRDefault="007359D0" w:rsidP="00240E02">
      <w:pPr>
        <w:pStyle w:val="BodyText"/>
      </w:pPr>
      <w:r>
        <w:t>Recent papers studying</w:t>
      </w:r>
      <w:r w:rsidR="00C9611C" w:rsidRPr="00C9611C">
        <w:t xml:space="preserve"> the</w:t>
      </w:r>
      <w:r>
        <w:t xml:space="preserve"> performance of young exporters</w:t>
      </w:r>
      <w:r w:rsidR="00C9611C" w:rsidRPr="00C9611C">
        <w:t xml:space="preserve"> find younger exporters outperform more established exporters (</w:t>
      </w:r>
      <w:r w:rsidR="00D46C78">
        <w:t>Grazzi &amp; Moschella</w:t>
      </w:r>
      <w:r w:rsidR="00C9611C" w:rsidRPr="00C9611C">
        <w:t>, 201</w:t>
      </w:r>
      <w:r w:rsidR="00D45EC5">
        <w:t>9</w:t>
      </w:r>
      <w:r w:rsidR="00C9611C" w:rsidRPr="00C9611C">
        <w:t xml:space="preserve">; Berthou &amp; Vicard, 2015). </w:t>
      </w:r>
      <w:r w:rsidR="00D46C78">
        <w:t>Grazzi and Moschella</w:t>
      </w:r>
      <w:r w:rsidR="00C9611C" w:rsidRPr="00C9611C">
        <w:t xml:space="preserve"> (2018) find the growth premium enjoyed by exporting firms declines with firm age, when controlling for size, industry and macro forces.</w:t>
      </w:r>
      <w:r w:rsidR="00C9611C">
        <w:t xml:space="preserve"> Similarly, </w:t>
      </w:r>
      <w:r w:rsidR="00C9611C" w:rsidRPr="00D27461">
        <w:t xml:space="preserve">Berthou and Vicard (2015) explore the role of experience and size on export growth, </w:t>
      </w:r>
      <w:r w:rsidR="00C9611C">
        <w:t xml:space="preserve">and find the </w:t>
      </w:r>
      <w:r w:rsidR="00C9611C" w:rsidRPr="00D27461">
        <w:t>export growth premium of new exporters decreases over time.</w:t>
      </w:r>
      <w:r w:rsidR="00C97304" w:rsidRPr="00C97304">
        <w:t xml:space="preserve"> </w:t>
      </w:r>
      <w:r w:rsidR="00053DE9">
        <w:t xml:space="preserve">This section will </w:t>
      </w:r>
      <w:r w:rsidR="00053DE9" w:rsidRPr="00053DE9">
        <w:t>provide commentary around whether young exporters outperform more established exporters in the Australian context.</w:t>
      </w:r>
    </w:p>
    <w:p w14:paraId="7D8EDA18" w14:textId="77777777" w:rsidR="00DE4F7D" w:rsidRDefault="00DE4F7D" w:rsidP="00D63B72">
      <w:pPr>
        <w:pStyle w:val="Heading2"/>
        <w:ind w:left="709"/>
      </w:pPr>
      <w:r>
        <w:t>The firm growth size-age-export status relationship</w:t>
      </w:r>
    </w:p>
    <w:p w14:paraId="5CC72D05" w14:textId="49513FEB" w:rsidR="00240E02" w:rsidRPr="00240E02" w:rsidRDefault="00360E20" w:rsidP="00240E02">
      <w:pPr>
        <w:pStyle w:val="BodyText"/>
      </w:pPr>
      <w:r>
        <w:t>The</w:t>
      </w:r>
      <w:r w:rsidR="00240E02">
        <w:t xml:space="preserve"> relationship between firm growth, size, age and export status </w:t>
      </w:r>
      <w:r>
        <w:t xml:space="preserve">is tested </w:t>
      </w:r>
      <w:r w:rsidR="00240E02">
        <w:t xml:space="preserve">using the following specification: </w:t>
      </w:r>
    </w:p>
    <w:p w14:paraId="40DB1898" w14:textId="7363420A" w:rsidR="00240E02" w:rsidRPr="00CD5B11" w:rsidRDefault="00326788" w:rsidP="00351D08">
      <w:pPr>
        <w:pStyle w:val="BodyText"/>
        <w:jc w:val="right"/>
        <w:rPr>
          <w:rFonts w:eastAsiaTheme="minorEastAsia"/>
        </w:rPr>
      </w:pPr>
      <m:oMath>
        <m:sSub>
          <m:sSubPr>
            <m:ctrlPr>
              <w:rPr>
                <w:rFonts w:ascii="Cambria Math" w:hAnsi="Cambria Math"/>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 xml:space="preserve"> β</m:t>
                </m:r>
              </m:e>
              <m:sub>
                <m:r>
                  <w:rPr>
                    <w:rFonts w:ascii="Cambria Math" w:hAnsi="Cambria Math"/>
                  </w:rPr>
                  <m:t>1</m:t>
                </m:r>
              </m:sub>
            </m:sSub>
            <m:r>
              <w:rPr>
                <w:rFonts w:ascii="Cambria Math" w:hAnsi="Cambria Math"/>
              </w:rPr>
              <m:t>exporte</m:t>
            </m:r>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 β</m:t>
            </m:r>
          </m:e>
          <m:sub>
            <m:r>
              <w:rPr>
                <w:rFonts w:ascii="Cambria Math" w:hAnsi="Cambria Math"/>
              </w:rPr>
              <m:t>2</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i,t-1</m:t>
                </m:r>
              </m:sub>
            </m:sSub>
          </m:e>
        </m:func>
        <m:r>
          <w:rPr>
            <w:rFonts w:ascii="Cambria Math" w:hAnsi="Cambria Math"/>
          </w:rPr>
          <m:t xml:space="preserve">+ </m:t>
        </m:r>
        <m:sSub>
          <m:sSubPr>
            <m:ctrlPr>
              <w:rPr>
                <w:rFonts w:ascii="Cambria Math" w:hAnsi="Cambria Math"/>
              </w:rPr>
            </m:ctrlPr>
          </m:sSubPr>
          <m:e>
            <m:r>
              <w:rPr>
                <w:rFonts w:ascii="Cambria Math" w:hAnsi="Cambria Math"/>
              </w:rPr>
              <m:t xml:space="preserve"> β</m:t>
            </m:r>
          </m:e>
          <m:sub>
            <m:r>
              <w:rPr>
                <w:rFonts w:ascii="Cambria Math" w:hAnsi="Cambria Math"/>
              </w:rPr>
              <m:t>3</m:t>
            </m:r>
          </m:sub>
        </m:sSub>
        <m:sSup>
          <m:sSupPr>
            <m:ctrlPr>
              <w:rPr>
                <w:rFonts w:ascii="Cambria Math" w:hAnsi="Cambria Math"/>
                <w:i/>
              </w:rPr>
            </m:ctrlPr>
          </m:sSupPr>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size</m:t>
                        </m:r>
                      </m:e>
                    </m:d>
                  </m:e>
                  <m:sub>
                    <m:r>
                      <w:rPr>
                        <w:rFonts w:ascii="Cambria Math" w:hAnsi="Cambria Math"/>
                      </w:rPr>
                      <m:t>i,t-1</m:t>
                    </m:r>
                  </m:sub>
                </m:sSub>
                <m:r>
                  <w:rPr>
                    <w:rFonts w:ascii="Cambria Math" w:hAnsi="Cambria Math"/>
                  </w:rPr>
                  <m:t>)</m:t>
                </m:r>
              </m:e>
            </m:func>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4</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i/>
                      </w:rPr>
                    </m:ctrlPr>
                  </m:dPr>
                  <m:e>
                    <m:r>
                      <w:rPr>
                        <w:rFonts w:ascii="Cambria Math" w:hAnsi="Cambria Math"/>
                      </w:rPr>
                      <m:t>age</m:t>
                    </m:r>
                  </m:e>
                </m:d>
              </m:e>
              <m:sub>
                <m:r>
                  <w:rPr>
                    <w:rFonts w:ascii="Cambria Math" w:hAnsi="Cambria Math"/>
                  </w:rPr>
                  <m:t>i,t-1</m:t>
                </m:r>
              </m:sub>
            </m:sSub>
            <m:r>
              <w:rPr>
                <w:rFonts w:ascii="Cambria Math" w:hAnsi="Cambria Math"/>
              </w:rPr>
              <m:t>,</m:t>
            </m:r>
          </m:e>
        </m:func>
        <m:r>
          <w:rPr>
            <w:rFonts w:ascii="Cambria Math" w:hAnsi="Cambria Math"/>
          </w:rPr>
          <m:t>+  state</m:t>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i/>
              </w:rPr>
              <w:sym w:font="Symbol" w:char="F069"/>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ϵ</m:t>
            </m:r>
          </m:e>
          <m:sub>
            <m:r>
              <w:rPr>
                <w:rFonts w:ascii="Cambria Math" w:hAnsi="Cambria Math"/>
              </w:rPr>
              <m:t>i,t</m:t>
            </m:r>
          </m:sub>
        </m:sSub>
        <m:r>
          <w:rPr>
            <w:rFonts w:ascii="Cambria Math" w:hAnsi="Cambria Math"/>
          </w:rPr>
          <m:t>,</m:t>
        </m:r>
      </m:oMath>
      <w:r w:rsidR="003D50E0">
        <w:rPr>
          <w:rFonts w:eastAsiaTheme="minorEastAsia"/>
        </w:rPr>
        <w:t xml:space="preserve">   </w:t>
      </w:r>
      <w:r w:rsidR="003D50E0">
        <w:rPr>
          <w:rFonts w:eastAsiaTheme="minorEastAsia"/>
        </w:rPr>
        <w:tab/>
      </w:r>
      <w:r w:rsidR="003D50E0">
        <w:rPr>
          <w:rFonts w:eastAsiaTheme="minorEastAsia"/>
        </w:rPr>
        <w:tab/>
      </w:r>
      <w:r w:rsidR="003D50E0">
        <w:rPr>
          <w:rFonts w:eastAsiaTheme="minorEastAsia"/>
        </w:rPr>
        <w:tab/>
        <w:t>(</w:t>
      </w:r>
      <w:r w:rsidR="00616D6A">
        <w:rPr>
          <w:rFonts w:eastAsiaTheme="minorEastAsia"/>
        </w:rPr>
        <w:t>5</w:t>
      </w:r>
      <w:r w:rsidR="00240E02">
        <w:rPr>
          <w:rFonts w:eastAsiaTheme="minorEastAsia"/>
        </w:rPr>
        <w:t>)</w:t>
      </w:r>
    </w:p>
    <w:p w14:paraId="304B5264" w14:textId="7A2945A4" w:rsidR="00240E02" w:rsidRPr="00CD5B11" w:rsidRDefault="00827ED4" w:rsidP="00240E02">
      <w:pPr>
        <w:pStyle w:val="BodyText"/>
        <w:rPr>
          <w:rFonts w:eastAsiaTheme="minorEastAsia"/>
        </w:rPr>
      </w:pPr>
      <w:r>
        <w:rPr>
          <w:rFonts w:eastAsiaTheme="minorEastAsia"/>
        </w:rPr>
        <w:t xml:space="preserve">Where </w:t>
      </w:r>
      <m:oMath>
        <m:sSub>
          <m:sSubPr>
            <m:ctrlPr>
              <w:rPr>
                <w:rFonts w:ascii="Cambria Math" w:hAnsi="Cambria Math"/>
              </w:rPr>
            </m:ctrlPr>
          </m:sSubPr>
          <m:e>
            <m:r>
              <w:rPr>
                <w:rFonts w:ascii="Cambria Math" w:hAnsi="Cambria Math"/>
              </w:rPr>
              <m:t>X</m:t>
            </m:r>
          </m:e>
          <m:sub>
            <m:r>
              <w:rPr>
                <w:rFonts w:ascii="Cambria Math" w:hAnsi="Cambria Math"/>
              </w:rPr>
              <m:t>i,t</m:t>
            </m:r>
          </m:sub>
        </m:sSub>
        <m:r>
          <w:rPr>
            <w:rFonts w:ascii="Cambria Math" w:hAnsi="Cambria Math"/>
          </w:rPr>
          <m:t xml:space="preserve"> </m:t>
        </m:r>
      </m:oMath>
      <w:r w:rsidR="00240E02">
        <w:rPr>
          <w:rFonts w:eastAsiaTheme="minorEastAsia"/>
        </w:rPr>
        <w:t xml:space="preserve"> </w:t>
      </w:r>
      <w:r w:rsidR="00351D08">
        <w:rPr>
          <w:rFonts w:eastAsiaTheme="minorEastAsia"/>
        </w:rPr>
        <w:t>is a</w:t>
      </w:r>
      <w:r w:rsidR="00240E02">
        <w:rPr>
          <w:rFonts w:eastAsiaTheme="minorEastAsia"/>
        </w:rPr>
        <w:t xml:space="preserve"> vector of </w:t>
      </w:r>
      <w:r w:rsidR="00E87C6C">
        <w:rPr>
          <w:rFonts w:eastAsiaTheme="minorEastAsia"/>
        </w:rPr>
        <w:t>growth outcomes</w:t>
      </w:r>
      <w:r w:rsidR="00351D08">
        <w:rPr>
          <w:rFonts w:eastAsiaTheme="minorEastAsia"/>
        </w:rPr>
        <w:t xml:space="preserve"> </w:t>
      </w:r>
      <w:r w:rsidR="00240E02">
        <w:rPr>
          <w:rFonts w:eastAsiaTheme="minorEastAsia"/>
        </w:rPr>
        <w:t xml:space="preserve">for </w:t>
      </w:r>
      <w:r w:rsidR="00CC23D9">
        <w:rPr>
          <w:rFonts w:eastAsiaTheme="minorEastAsia"/>
        </w:rPr>
        <w:t xml:space="preserve">each </w:t>
      </w:r>
      <w:r w:rsidR="00240E02">
        <w:rPr>
          <w:rFonts w:eastAsiaTheme="minorEastAsia"/>
        </w:rPr>
        <w:t xml:space="preserve">firm </w:t>
      </w:r>
      <m:oMath>
        <m:r>
          <w:rPr>
            <w:rFonts w:ascii="Cambria Math" w:hAnsi="Cambria Math"/>
          </w:rPr>
          <m:t>i</m:t>
        </m:r>
      </m:oMath>
      <w:r w:rsidR="00240E02">
        <w:rPr>
          <w:rFonts w:eastAsiaTheme="minorEastAsia"/>
        </w:rPr>
        <w:t xml:space="preserve"> in period </w:t>
      </w:r>
      <m:oMath>
        <m:r>
          <w:rPr>
            <w:rFonts w:ascii="Cambria Math" w:hAnsi="Cambria Math"/>
          </w:rPr>
          <m:t>t</m:t>
        </m:r>
      </m:oMath>
      <w:r w:rsidR="00420899">
        <w:rPr>
          <w:rFonts w:eastAsiaTheme="minorEastAsia"/>
        </w:rPr>
        <w:t xml:space="preserve">. </w:t>
      </w:r>
    </w:p>
    <w:p w14:paraId="320C5459" w14:textId="60C13289" w:rsidR="001B49A4" w:rsidRDefault="00420899" w:rsidP="00F32881">
      <w:pPr>
        <w:pStyle w:val="BodyText"/>
      </w:pPr>
      <w:r>
        <w:t>Table 4.1 shows the results using turnover gr</w:t>
      </w:r>
      <w:r w:rsidR="002B0013">
        <w:t>owth as the dependent variable. Using employment growth as the dependent variable produces similar results</w:t>
      </w:r>
      <w:r w:rsidR="009E5376">
        <w:t xml:space="preserve"> (Table </w:t>
      </w:r>
      <w:r w:rsidR="006A62F5">
        <w:t>F</w:t>
      </w:r>
      <w:r w:rsidR="00C11229">
        <w:t>.</w:t>
      </w:r>
      <w:r w:rsidR="009E5376">
        <w:t xml:space="preserve">1, at Appendix </w:t>
      </w:r>
      <w:r w:rsidR="006A62F5">
        <w:t>F</w:t>
      </w:r>
      <w:r w:rsidR="009E5376">
        <w:t>)</w:t>
      </w:r>
      <w:r w:rsidR="001B49A4">
        <w:t xml:space="preserve">. </w:t>
      </w:r>
      <w:r w:rsidR="00AD44C4">
        <w:t xml:space="preserve">Consistent with previous research using the </w:t>
      </w:r>
      <w:r w:rsidR="00CC23D9">
        <w:t>Australian micro-data</w:t>
      </w:r>
      <w:r w:rsidR="00AD44C4">
        <w:t xml:space="preserve">, </w:t>
      </w:r>
      <w:r w:rsidR="00B924C7">
        <w:t>firm growth decreases with firm age and firm size (Bakhtiari, 201</w:t>
      </w:r>
      <w:r w:rsidR="006845B4">
        <w:t>9a</w:t>
      </w:r>
      <w:r w:rsidR="00B924C7">
        <w:t xml:space="preserve">). </w:t>
      </w:r>
    </w:p>
    <w:p w14:paraId="58A962EA" w14:textId="73FB96D2" w:rsidR="002D4673" w:rsidRDefault="002D4673" w:rsidP="00F32881">
      <w:pPr>
        <w:pStyle w:val="BodyText"/>
      </w:pPr>
      <w:r>
        <w:lastRenderedPageBreak/>
        <w:t xml:space="preserve">The premium to exporting, measured by employment growth, decreases with firm age for Australian exporters, </w:t>
      </w:r>
      <w:r w:rsidR="0080606D">
        <w:t>with young exporters</w:t>
      </w:r>
      <w:r w:rsidR="008A793F">
        <w:t>’</w:t>
      </w:r>
      <w:r w:rsidR="0080606D">
        <w:t xml:space="preserve"> </w:t>
      </w:r>
      <w:r w:rsidR="008A793F">
        <w:t xml:space="preserve">employment growth outpacing that of non-exporting firms by </w:t>
      </w:r>
      <w:r w:rsidR="0080606D">
        <w:t>14.1 percent</w:t>
      </w:r>
      <w:r w:rsidR="008A793F">
        <w:t>age points</w:t>
      </w:r>
      <w:r w:rsidR="0080606D">
        <w:t>.</w:t>
      </w:r>
      <w:r w:rsidR="0068613B">
        <w:t xml:space="preserve"> Though larger in magnitude, these results are</w:t>
      </w:r>
      <w:r w:rsidR="0080606D">
        <w:t xml:space="preserve"> </w:t>
      </w:r>
      <w:r>
        <w:t>similar</w:t>
      </w:r>
      <w:r w:rsidR="0068613B">
        <w:t xml:space="preserve"> in direction</w:t>
      </w:r>
      <w:r>
        <w:t xml:space="preserve"> to results found for Italian exporters (Grazzi &amp; Moschella, 2018).</w:t>
      </w:r>
      <w:r>
        <w:rPr>
          <w:rStyle w:val="FootnoteReference"/>
        </w:rPr>
        <w:footnoteReference w:id="3"/>
      </w:r>
      <w:r>
        <w:t xml:space="preserve"> This is also found to be true for other measures of firm performance, such as </w:t>
      </w:r>
      <w:r w:rsidR="001C1D77">
        <w:t xml:space="preserve">the premium on </w:t>
      </w:r>
      <w:r>
        <w:t>turnover growth</w:t>
      </w:r>
      <w:r w:rsidR="00251FB6">
        <w:t xml:space="preserve"> and labour productivity</w:t>
      </w:r>
      <w:r w:rsidR="004932C4">
        <w:t xml:space="preserve"> (Table 4.2)</w:t>
      </w:r>
      <w:r w:rsidR="00251FB6">
        <w:t xml:space="preserve">. </w:t>
      </w:r>
      <w:r w:rsidR="00A24673">
        <w:t>For example, the additional productivity growth experienced by young exporters compared to non-exporting young firms is 2.</w:t>
      </w:r>
      <w:r w:rsidR="007F2152">
        <w:t>8</w:t>
      </w:r>
      <w:r w:rsidR="00CE026D">
        <w:t xml:space="preserve"> </w:t>
      </w:r>
      <w:r w:rsidR="00A24673">
        <w:t>per cent, however the premium is only 1.</w:t>
      </w:r>
      <w:r w:rsidR="007F2152">
        <w:t>8</w:t>
      </w:r>
      <w:r w:rsidR="00A24673">
        <w:t xml:space="preserve"> per </w:t>
      </w:r>
      <w:r w:rsidR="00D8544F">
        <w:t>cent for older firms</w:t>
      </w:r>
      <w:r w:rsidR="00A24673">
        <w:t xml:space="preserve">. </w:t>
      </w:r>
      <w:r w:rsidR="00D44A84">
        <w:t xml:space="preserve">Young exporters (aged 0 to </w:t>
      </w:r>
      <w:r w:rsidR="00A64F2C">
        <w:t>3 years) have the highest capital expenditure growth</w:t>
      </w:r>
      <w:r w:rsidR="00F96CD6">
        <w:t xml:space="preserve"> premium</w:t>
      </w:r>
      <w:r w:rsidR="00A64F2C">
        <w:t>, though mature exporters (</w:t>
      </w:r>
      <w:r w:rsidR="00D44A84">
        <w:t xml:space="preserve">older than </w:t>
      </w:r>
      <w:r w:rsidR="00A64F2C">
        <w:t>6</w:t>
      </w:r>
      <w:r w:rsidR="00D44A84">
        <w:t xml:space="preserve"> years</w:t>
      </w:r>
      <w:r w:rsidR="00A64F2C">
        <w:t xml:space="preserve">) have </w:t>
      </w:r>
      <w:r w:rsidR="00F96CD6">
        <w:t xml:space="preserve">a </w:t>
      </w:r>
      <w:r w:rsidR="00A64F2C">
        <w:t xml:space="preserve">higher growth </w:t>
      </w:r>
      <w:r w:rsidR="00F96CD6">
        <w:t xml:space="preserve">premium </w:t>
      </w:r>
      <w:r w:rsidR="00A64F2C">
        <w:t xml:space="preserve">than </w:t>
      </w:r>
      <w:r w:rsidR="00D44A84">
        <w:t xml:space="preserve">firms in the middle (aged 4 to </w:t>
      </w:r>
      <w:r w:rsidR="00A64F2C">
        <w:t>6 years)</w:t>
      </w:r>
      <w:r w:rsidR="00F00D69">
        <w:t xml:space="preserve">. </w:t>
      </w:r>
      <w:r w:rsidR="00771DF7">
        <w:t>While there is a positive return to R&amp;D expenditure growth for exporters, t</w:t>
      </w:r>
      <w:r w:rsidR="00F00D69">
        <w:t xml:space="preserve">here is insufficient evidence to draw any conclusions regarding the relationship between </w:t>
      </w:r>
      <w:r w:rsidR="00E24C5B">
        <w:t>age of exporter</w:t>
      </w:r>
      <w:r w:rsidR="00F00D69">
        <w:t xml:space="preserve"> and R&amp;D expenditure</w:t>
      </w:r>
      <w:r w:rsidR="00771DF7">
        <w:t xml:space="preserve"> growth</w:t>
      </w:r>
      <w:r w:rsidR="00F00D69">
        <w:t xml:space="preserve">. </w:t>
      </w:r>
      <w:r w:rsidR="00053DE9" w:rsidRPr="00053DE9">
        <w:t xml:space="preserve"> </w:t>
      </w:r>
    </w:p>
    <w:p w14:paraId="1AD6C8C5" w14:textId="034DC7EC" w:rsidR="00DE4F7D" w:rsidRDefault="00DE4F7D" w:rsidP="00DE4F7D">
      <w:pPr>
        <w:pStyle w:val="Caption"/>
      </w:pPr>
      <w:r w:rsidRPr="000618FB">
        <w:t xml:space="preserve">Table </w:t>
      </w:r>
      <w:r w:rsidR="00AC0B7A">
        <w:rPr>
          <w:noProof/>
        </w:rPr>
        <w:t>4</w:t>
      </w:r>
      <w:r w:rsidRPr="000618FB">
        <w:t>.</w:t>
      </w:r>
      <w:r>
        <w:rPr>
          <w:bCs w:val="0"/>
          <w:noProof/>
        </w:rPr>
        <w:fldChar w:fldCharType="begin"/>
      </w:r>
      <w:r>
        <w:rPr>
          <w:noProof/>
        </w:rPr>
        <w:instrText xml:space="preserve"> SEQ Table \* ARABIC \s 1 </w:instrText>
      </w:r>
      <w:r>
        <w:rPr>
          <w:bCs w:val="0"/>
          <w:noProof/>
        </w:rPr>
        <w:fldChar w:fldCharType="separate"/>
      </w:r>
      <w:r w:rsidR="00326788">
        <w:rPr>
          <w:noProof/>
        </w:rPr>
        <w:t>1</w:t>
      </w:r>
      <w:r>
        <w:rPr>
          <w:bCs w:val="0"/>
          <w:noProof/>
        </w:rPr>
        <w:fldChar w:fldCharType="end"/>
      </w:r>
      <w:r w:rsidRPr="000618FB">
        <w:t xml:space="preserve">: </w:t>
      </w:r>
      <w:r w:rsidR="002C2706">
        <w:t xml:space="preserve">Turnover </w:t>
      </w:r>
      <w:r>
        <w:t>gro</w:t>
      </w:r>
      <w:r w:rsidR="0057405F">
        <w:t xml:space="preserve">wth, size, age &amp; export status </w:t>
      </w:r>
      <w:r w:rsidR="003B72DD">
        <w:t>(decimals)</w:t>
      </w:r>
    </w:p>
    <w:tbl>
      <w:tblPr>
        <w:tblStyle w:val="OCETable"/>
        <w:tblW w:w="4979" w:type="pct"/>
        <w:tblInd w:w="57" w:type="dxa"/>
        <w:tblLayout w:type="fixed"/>
        <w:tblLook w:val="04A0" w:firstRow="1" w:lastRow="0" w:firstColumn="1" w:lastColumn="0" w:noHBand="0" w:noVBand="1"/>
        <w:tblCaption w:val="Turnover growth, size, age &amp; export status (decimals)"/>
        <w:tblDescription w:val="This table shows the results (equation 5) using turnover growth as the dependent variable. "/>
      </w:tblPr>
      <w:tblGrid>
        <w:gridCol w:w="1373"/>
        <w:gridCol w:w="1373"/>
        <w:gridCol w:w="1373"/>
        <w:gridCol w:w="1373"/>
        <w:gridCol w:w="1373"/>
      </w:tblGrid>
      <w:tr w:rsidR="0069519A" w14:paraId="794B6A98" w14:textId="64A1D5E0" w:rsidTr="0092519E">
        <w:trPr>
          <w:cnfStyle w:val="100000000000" w:firstRow="1" w:lastRow="0" w:firstColumn="0" w:lastColumn="0" w:oddVBand="0" w:evenVBand="0" w:oddHBand="0" w:evenHBand="0" w:firstRowFirstColumn="0" w:firstRowLastColumn="0" w:lastRowFirstColumn="0" w:lastRowLastColumn="0"/>
          <w:trHeight w:val="376"/>
          <w:tblHeader/>
        </w:trPr>
        <w:tc>
          <w:tcPr>
            <w:tcW w:w="1373" w:type="dxa"/>
          </w:tcPr>
          <w:p w14:paraId="3CE0DD4C" w14:textId="18EAE502" w:rsidR="0069519A" w:rsidRDefault="0069519A" w:rsidP="0069519A">
            <w:pPr>
              <w:pStyle w:val="Tableheader"/>
              <w:rPr>
                <w:lang w:eastAsia="en-AU"/>
              </w:rPr>
            </w:pPr>
          </w:p>
        </w:tc>
        <w:tc>
          <w:tcPr>
            <w:tcW w:w="1373" w:type="dxa"/>
          </w:tcPr>
          <w:p w14:paraId="19967B23" w14:textId="6F86E05A" w:rsidR="0069519A" w:rsidRDefault="0069519A" w:rsidP="005C6083">
            <w:pPr>
              <w:pStyle w:val="Tableheader"/>
              <w:rPr>
                <w:lang w:eastAsia="en-AU"/>
              </w:rPr>
            </w:pPr>
            <w:r>
              <w:rPr>
                <w:lang w:eastAsia="en-AU"/>
              </w:rPr>
              <w:t>All firms</w:t>
            </w:r>
          </w:p>
        </w:tc>
        <w:tc>
          <w:tcPr>
            <w:tcW w:w="1373" w:type="dxa"/>
          </w:tcPr>
          <w:p w14:paraId="3CFEAEFA" w14:textId="271A4E44" w:rsidR="0069519A" w:rsidRDefault="0069519A" w:rsidP="005C6083">
            <w:pPr>
              <w:pStyle w:val="Tableheader"/>
              <w:rPr>
                <w:lang w:eastAsia="en-AU"/>
              </w:rPr>
            </w:pPr>
            <w:r>
              <w:rPr>
                <w:lang w:eastAsia="en-AU"/>
              </w:rPr>
              <w:t>Less than 3 years old</w:t>
            </w:r>
          </w:p>
        </w:tc>
        <w:tc>
          <w:tcPr>
            <w:tcW w:w="1373" w:type="dxa"/>
          </w:tcPr>
          <w:p w14:paraId="118B8EAE" w14:textId="11EA6E14" w:rsidR="0069519A" w:rsidRDefault="00BA69D2" w:rsidP="005C6083">
            <w:pPr>
              <w:pStyle w:val="Tableheader"/>
              <w:rPr>
                <w:lang w:eastAsia="en-AU"/>
              </w:rPr>
            </w:pPr>
            <w:r>
              <w:rPr>
                <w:lang w:eastAsia="en-AU"/>
              </w:rPr>
              <w:t xml:space="preserve">3 to </w:t>
            </w:r>
            <w:r w:rsidR="0069519A">
              <w:rPr>
                <w:lang w:eastAsia="en-AU"/>
              </w:rPr>
              <w:t>6 years old</w:t>
            </w:r>
          </w:p>
        </w:tc>
        <w:tc>
          <w:tcPr>
            <w:tcW w:w="1373" w:type="dxa"/>
          </w:tcPr>
          <w:p w14:paraId="31ED653B" w14:textId="0879162D" w:rsidR="0069519A" w:rsidRDefault="0069519A" w:rsidP="005C6083">
            <w:pPr>
              <w:pStyle w:val="Tableheader"/>
              <w:rPr>
                <w:lang w:eastAsia="en-AU"/>
              </w:rPr>
            </w:pPr>
            <w:r>
              <w:rPr>
                <w:lang w:eastAsia="en-AU"/>
              </w:rPr>
              <w:t>More than 6 years old</w:t>
            </w:r>
          </w:p>
        </w:tc>
      </w:tr>
      <w:tr w:rsidR="00303337" w14:paraId="68F927DE" w14:textId="4A6DE4F3" w:rsidTr="00960DA0">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5D45423A" w14:textId="4BD0F5DA" w:rsidR="00303337" w:rsidRPr="00C91BB1" w:rsidRDefault="00303337" w:rsidP="00C91BB1">
            <w:pPr>
              <w:pStyle w:val="Tabletext"/>
              <w:tabs>
                <w:tab w:val="right" w:pos="2082"/>
              </w:tabs>
            </w:pPr>
            <w:r>
              <w:t>Exporter</w:t>
            </w:r>
          </w:p>
        </w:tc>
        <w:tc>
          <w:tcPr>
            <w:tcW w:w="1373" w:type="dxa"/>
          </w:tcPr>
          <w:p w14:paraId="450A9265" w14:textId="55018506" w:rsidR="00303337" w:rsidRDefault="00303337" w:rsidP="005C6083">
            <w:pPr>
              <w:pStyle w:val="Tabletext"/>
              <w:tabs>
                <w:tab w:val="right" w:pos="2082"/>
              </w:tabs>
            </w:pPr>
            <w:r w:rsidRPr="001D0F82">
              <w:t>0.186***</w:t>
            </w:r>
          </w:p>
        </w:tc>
        <w:tc>
          <w:tcPr>
            <w:tcW w:w="1373" w:type="dxa"/>
          </w:tcPr>
          <w:p w14:paraId="419F190A" w14:textId="147E2101" w:rsidR="00303337" w:rsidRDefault="00303337" w:rsidP="005C6083">
            <w:pPr>
              <w:pStyle w:val="Tabletext"/>
              <w:tabs>
                <w:tab w:val="right" w:pos="2082"/>
              </w:tabs>
            </w:pPr>
            <w:r w:rsidRPr="001D0F82">
              <w:t>0.219***</w:t>
            </w:r>
          </w:p>
        </w:tc>
        <w:tc>
          <w:tcPr>
            <w:tcW w:w="1373" w:type="dxa"/>
          </w:tcPr>
          <w:p w14:paraId="0F906123" w14:textId="2E4CE6EE" w:rsidR="00303337" w:rsidRDefault="00303337" w:rsidP="005C6083">
            <w:pPr>
              <w:pStyle w:val="Tabletext"/>
              <w:tabs>
                <w:tab w:val="right" w:pos="2082"/>
              </w:tabs>
            </w:pPr>
            <w:r w:rsidRPr="001D0F82">
              <w:t>0.176***</w:t>
            </w:r>
          </w:p>
        </w:tc>
        <w:tc>
          <w:tcPr>
            <w:tcW w:w="1373" w:type="dxa"/>
          </w:tcPr>
          <w:p w14:paraId="30EB40A6" w14:textId="67C9F94D" w:rsidR="00303337" w:rsidRDefault="00303337" w:rsidP="005C6083">
            <w:pPr>
              <w:pStyle w:val="Tabletext"/>
              <w:tabs>
                <w:tab w:val="right" w:pos="2082"/>
              </w:tabs>
            </w:pPr>
            <w:r w:rsidRPr="001D0F82">
              <w:t>0.151***</w:t>
            </w:r>
          </w:p>
        </w:tc>
      </w:tr>
      <w:tr w:rsidR="00303337" w14:paraId="2CE19260" w14:textId="5F20365F" w:rsidTr="00C91BB1">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397B6ECD" w14:textId="6319DA46" w:rsidR="00303337" w:rsidRPr="00C91BB1" w:rsidRDefault="00326788" w:rsidP="00C91BB1">
            <w:pPr>
              <w:pStyle w:val="Tabletext"/>
              <w:tabs>
                <w:tab w:val="right" w:pos="2082"/>
              </w:tabs>
              <w:ind w:right="188"/>
            </w:pPr>
            <m:oMathPara>
              <m:oMath>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size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oMath>
            </m:oMathPara>
          </w:p>
        </w:tc>
        <w:tc>
          <w:tcPr>
            <w:tcW w:w="1373" w:type="dxa"/>
            <w:vAlign w:val="bottom"/>
          </w:tcPr>
          <w:p w14:paraId="4F5691AD" w14:textId="750A6A1D" w:rsidR="00303337" w:rsidRDefault="00303337" w:rsidP="005C6083">
            <w:pPr>
              <w:pStyle w:val="Tabletext"/>
              <w:tabs>
                <w:tab w:val="right" w:pos="2082"/>
              </w:tabs>
            </w:pPr>
            <w:r w:rsidRPr="00C91BB1">
              <w:t>-0.030***</w:t>
            </w:r>
          </w:p>
        </w:tc>
        <w:tc>
          <w:tcPr>
            <w:tcW w:w="1373" w:type="dxa"/>
            <w:vAlign w:val="bottom"/>
          </w:tcPr>
          <w:p w14:paraId="471F8692" w14:textId="2EDE5771" w:rsidR="00303337" w:rsidRDefault="00303337" w:rsidP="005C6083">
            <w:pPr>
              <w:pStyle w:val="Tabletext"/>
              <w:tabs>
                <w:tab w:val="right" w:pos="2082"/>
              </w:tabs>
            </w:pPr>
            <w:r w:rsidRPr="00C91BB1">
              <w:t>-0.115***</w:t>
            </w:r>
          </w:p>
        </w:tc>
        <w:tc>
          <w:tcPr>
            <w:tcW w:w="1373" w:type="dxa"/>
            <w:vAlign w:val="bottom"/>
          </w:tcPr>
          <w:p w14:paraId="1F7A5806" w14:textId="3CA91190" w:rsidR="00303337" w:rsidRDefault="00303337" w:rsidP="005C6083">
            <w:pPr>
              <w:pStyle w:val="Tabletext"/>
              <w:tabs>
                <w:tab w:val="right" w:pos="2082"/>
              </w:tabs>
            </w:pPr>
            <w:r w:rsidRPr="00C91BB1">
              <w:t>0.005***</w:t>
            </w:r>
          </w:p>
        </w:tc>
        <w:tc>
          <w:tcPr>
            <w:tcW w:w="1373" w:type="dxa"/>
            <w:vAlign w:val="bottom"/>
          </w:tcPr>
          <w:p w14:paraId="338F8E82" w14:textId="309F0219" w:rsidR="00303337" w:rsidRDefault="00303337" w:rsidP="005C6083">
            <w:pPr>
              <w:pStyle w:val="Tabletext"/>
              <w:tabs>
                <w:tab w:val="right" w:pos="2082"/>
              </w:tabs>
            </w:pPr>
            <w:r w:rsidRPr="00C91BB1">
              <w:t>0.005**</w:t>
            </w:r>
          </w:p>
        </w:tc>
      </w:tr>
      <w:tr w:rsidR="00303337" w14:paraId="0155C942" w14:textId="2EFEB6C9" w:rsidTr="00C91BB1">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255B7FA6" w14:textId="59F5693E" w:rsidR="00303337" w:rsidRPr="006B2662" w:rsidRDefault="00326788" w:rsidP="00C91BB1">
            <w:pPr>
              <w:pStyle w:val="Tabletext"/>
              <w:tabs>
                <w:tab w:val="right" w:pos="2082"/>
              </w:tabs>
              <w:ind w:right="188"/>
            </w:pPr>
            <m:oMathPara>
              <m:oMath>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size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e>
                  <m:sup>
                    <m:r>
                      <m:rPr>
                        <m:sty m:val="p"/>
                      </m:rPr>
                      <w:rPr>
                        <w:rFonts w:ascii="Cambria Math" w:hAnsi="Cambria Math"/>
                      </w:rPr>
                      <m:t>2</m:t>
                    </m:r>
                  </m:sup>
                </m:sSup>
              </m:oMath>
            </m:oMathPara>
          </w:p>
        </w:tc>
        <w:tc>
          <w:tcPr>
            <w:tcW w:w="1373" w:type="dxa"/>
            <w:vAlign w:val="bottom"/>
          </w:tcPr>
          <w:p w14:paraId="423CB6B5" w14:textId="656FA6E6" w:rsidR="00303337" w:rsidRPr="006B2662" w:rsidRDefault="00303337" w:rsidP="005C6083">
            <w:pPr>
              <w:pStyle w:val="Tabletext"/>
              <w:tabs>
                <w:tab w:val="right" w:pos="2082"/>
              </w:tabs>
            </w:pPr>
            <w:r w:rsidRPr="00C91BB1">
              <w:t>0.005***</w:t>
            </w:r>
          </w:p>
        </w:tc>
        <w:tc>
          <w:tcPr>
            <w:tcW w:w="1373" w:type="dxa"/>
            <w:vAlign w:val="bottom"/>
          </w:tcPr>
          <w:p w14:paraId="2E3A0875" w14:textId="7201C3E4" w:rsidR="00303337" w:rsidRPr="006B2662" w:rsidRDefault="00303337" w:rsidP="005C6083">
            <w:pPr>
              <w:pStyle w:val="Tabletext"/>
              <w:tabs>
                <w:tab w:val="right" w:pos="2082"/>
              </w:tabs>
            </w:pPr>
            <w:r w:rsidRPr="00C91BB1">
              <w:t>-0.001</w:t>
            </w:r>
          </w:p>
        </w:tc>
        <w:tc>
          <w:tcPr>
            <w:tcW w:w="1373" w:type="dxa"/>
            <w:vAlign w:val="bottom"/>
          </w:tcPr>
          <w:p w14:paraId="03634E05" w14:textId="4484F159" w:rsidR="00303337" w:rsidRPr="006B2662" w:rsidRDefault="00303337" w:rsidP="005C6083">
            <w:pPr>
              <w:pStyle w:val="Tabletext"/>
              <w:tabs>
                <w:tab w:val="right" w:pos="2082"/>
              </w:tabs>
            </w:pPr>
            <w:r w:rsidRPr="00C91BB1">
              <w:t>0.001**</w:t>
            </w:r>
          </w:p>
        </w:tc>
        <w:tc>
          <w:tcPr>
            <w:tcW w:w="1373" w:type="dxa"/>
            <w:vAlign w:val="bottom"/>
          </w:tcPr>
          <w:p w14:paraId="13B4BD4F" w14:textId="19A0202A" w:rsidR="00303337" w:rsidRPr="006B2662" w:rsidRDefault="00303337" w:rsidP="005C6083">
            <w:pPr>
              <w:pStyle w:val="Tabletext"/>
              <w:tabs>
                <w:tab w:val="right" w:pos="2082"/>
              </w:tabs>
            </w:pPr>
            <w:r w:rsidRPr="00C91BB1">
              <w:t>0.002*</w:t>
            </w:r>
          </w:p>
        </w:tc>
      </w:tr>
      <w:tr w:rsidR="00842CD8" w14:paraId="1FDCA7BE" w14:textId="7CC0F862" w:rsidTr="00960DA0">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64B92B5D" w14:textId="4A1877C9" w:rsidR="00842CD8" w:rsidRPr="00C91BB1" w:rsidRDefault="00326788" w:rsidP="00C91BB1">
            <w:pPr>
              <w:pStyle w:val="Tabletext"/>
              <w:tabs>
                <w:tab w:val="right" w:pos="2082"/>
              </w:tabs>
              <w:ind w:right="188"/>
            </w:pPr>
            <m:oMathPara>
              <m:oMath>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d>
                          <m:dPr>
                            <m:ctrlPr>
                              <w:rPr>
                                <w:rFonts w:ascii="Cambria Math" w:hAnsi="Cambria Math"/>
                              </w:rPr>
                            </m:ctrlPr>
                          </m:dPr>
                          <m:e>
                            <m:r>
                              <w:rPr>
                                <w:rFonts w:ascii="Cambria Math" w:hAnsi="Cambria Math"/>
                              </w:rPr>
                              <m:t>age</m:t>
                            </m:r>
                          </m:e>
                        </m:d>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func>
              </m:oMath>
            </m:oMathPara>
          </w:p>
        </w:tc>
        <w:tc>
          <w:tcPr>
            <w:tcW w:w="1373" w:type="dxa"/>
          </w:tcPr>
          <w:p w14:paraId="2EC17B5C" w14:textId="63D20C40" w:rsidR="00842CD8" w:rsidRPr="00C91BB1" w:rsidRDefault="00303337" w:rsidP="005C6083">
            <w:pPr>
              <w:pStyle w:val="Tabletext"/>
              <w:tabs>
                <w:tab w:val="right" w:pos="2082"/>
              </w:tabs>
            </w:pPr>
            <w:r w:rsidRPr="00C91BB1">
              <w:t>-0.285***</w:t>
            </w:r>
          </w:p>
        </w:tc>
        <w:tc>
          <w:tcPr>
            <w:tcW w:w="1373" w:type="dxa"/>
          </w:tcPr>
          <w:p w14:paraId="4FA63377" w14:textId="0C2CEBE3" w:rsidR="00842CD8" w:rsidRDefault="00842CD8" w:rsidP="005C6083">
            <w:pPr>
              <w:pStyle w:val="Tabletext"/>
              <w:tabs>
                <w:tab w:val="right" w:pos="2082"/>
              </w:tabs>
            </w:pPr>
          </w:p>
        </w:tc>
        <w:tc>
          <w:tcPr>
            <w:tcW w:w="1373" w:type="dxa"/>
          </w:tcPr>
          <w:p w14:paraId="36113B2A" w14:textId="326227E0" w:rsidR="00842CD8" w:rsidRDefault="00842CD8" w:rsidP="005C6083">
            <w:pPr>
              <w:pStyle w:val="Tabletext"/>
              <w:tabs>
                <w:tab w:val="right" w:pos="2082"/>
              </w:tabs>
            </w:pPr>
          </w:p>
        </w:tc>
        <w:tc>
          <w:tcPr>
            <w:tcW w:w="1373" w:type="dxa"/>
          </w:tcPr>
          <w:p w14:paraId="4E17996B" w14:textId="7AA08FFE" w:rsidR="00842CD8" w:rsidRDefault="00842CD8" w:rsidP="005C6083">
            <w:pPr>
              <w:pStyle w:val="Tabletext"/>
              <w:tabs>
                <w:tab w:val="right" w:pos="2082"/>
              </w:tabs>
            </w:pPr>
          </w:p>
        </w:tc>
      </w:tr>
      <w:tr w:rsidR="00303337" w14:paraId="4F9DC13F" w14:textId="061853EE" w:rsidTr="00C91BB1">
        <w:trPr>
          <w:cnfStyle w:val="000000100000" w:firstRow="0" w:lastRow="0" w:firstColumn="0" w:lastColumn="0" w:oddVBand="0" w:evenVBand="0" w:oddHBand="1" w:evenHBand="0" w:firstRowFirstColumn="0" w:firstRowLastColumn="0" w:lastRowFirstColumn="0" w:lastRowLastColumn="0"/>
          <w:trHeight w:val="270"/>
        </w:trPr>
        <w:tc>
          <w:tcPr>
            <w:tcW w:w="1373" w:type="dxa"/>
          </w:tcPr>
          <w:p w14:paraId="6F1BE67B" w14:textId="024501CB" w:rsidR="00303337" w:rsidRPr="00C91BB1" w:rsidRDefault="00303337" w:rsidP="00C91BB1">
            <w:pPr>
              <w:pStyle w:val="Tabletext"/>
              <w:tabs>
                <w:tab w:val="right" w:pos="2082"/>
              </w:tabs>
            </w:pPr>
            <w:r w:rsidRPr="00C91BB1">
              <w:t>n</w:t>
            </w:r>
          </w:p>
        </w:tc>
        <w:tc>
          <w:tcPr>
            <w:tcW w:w="1373" w:type="dxa"/>
            <w:vAlign w:val="bottom"/>
          </w:tcPr>
          <w:p w14:paraId="1C66014F" w14:textId="5B2472C8" w:rsidR="00303337" w:rsidRDefault="00303337" w:rsidP="005C6083">
            <w:pPr>
              <w:pStyle w:val="Tabletext"/>
              <w:tabs>
                <w:tab w:val="right" w:pos="2082"/>
              </w:tabs>
            </w:pPr>
            <w:r w:rsidRPr="00C91BB1">
              <w:t>1,336,772</w:t>
            </w:r>
          </w:p>
        </w:tc>
        <w:tc>
          <w:tcPr>
            <w:tcW w:w="1373" w:type="dxa"/>
            <w:vAlign w:val="bottom"/>
          </w:tcPr>
          <w:p w14:paraId="104CFAA9" w14:textId="5E5BFADF" w:rsidR="00303337" w:rsidRDefault="00303337" w:rsidP="005C6083">
            <w:pPr>
              <w:pStyle w:val="Tabletext"/>
              <w:tabs>
                <w:tab w:val="right" w:pos="2082"/>
              </w:tabs>
            </w:pPr>
            <w:r w:rsidRPr="00C91BB1">
              <w:t>417,427</w:t>
            </w:r>
          </w:p>
        </w:tc>
        <w:tc>
          <w:tcPr>
            <w:tcW w:w="1373" w:type="dxa"/>
            <w:vAlign w:val="bottom"/>
          </w:tcPr>
          <w:p w14:paraId="7438D964" w14:textId="5EBAA566" w:rsidR="00303337" w:rsidRDefault="00303337" w:rsidP="005C6083">
            <w:pPr>
              <w:pStyle w:val="Tabletext"/>
              <w:tabs>
                <w:tab w:val="right" w:pos="2082"/>
              </w:tabs>
            </w:pPr>
            <w:r w:rsidRPr="00C91BB1">
              <w:t>599,611</w:t>
            </w:r>
          </w:p>
        </w:tc>
        <w:tc>
          <w:tcPr>
            <w:tcW w:w="1373" w:type="dxa"/>
            <w:vAlign w:val="bottom"/>
          </w:tcPr>
          <w:p w14:paraId="43F8D3C7" w14:textId="69B5FF84" w:rsidR="00303337" w:rsidRDefault="00303337" w:rsidP="005C6083">
            <w:pPr>
              <w:pStyle w:val="Tabletext"/>
              <w:tabs>
                <w:tab w:val="right" w:pos="2082"/>
              </w:tabs>
            </w:pPr>
            <w:r w:rsidRPr="00C91BB1">
              <w:t>219,903</w:t>
            </w:r>
          </w:p>
        </w:tc>
      </w:tr>
      <w:tr w:rsidR="00C91BB1" w14:paraId="3B7658E9" w14:textId="41DA81CA" w:rsidTr="00FF3F00">
        <w:trPr>
          <w:cnfStyle w:val="000000010000" w:firstRow="0" w:lastRow="0" w:firstColumn="0" w:lastColumn="0" w:oddVBand="0" w:evenVBand="0" w:oddHBand="0" w:evenHBand="1" w:firstRowFirstColumn="0" w:firstRowLastColumn="0" w:lastRowFirstColumn="0" w:lastRowLastColumn="0"/>
          <w:trHeight w:val="270"/>
        </w:trPr>
        <w:tc>
          <w:tcPr>
            <w:tcW w:w="1373" w:type="dxa"/>
          </w:tcPr>
          <w:p w14:paraId="04D796E4" w14:textId="57B0FD2C" w:rsidR="00C91BB1" w:rsidRDefault="00C91BB1" w:rsidP="00C91BB1">
            <w:pPr>
              <w:pStyle w:val="Tabletext"/>
              <w:tabs>
                <w:tab w:val="right" w:pos="2082"/>
              </w:tabs>
            </w:pPr>
            <w:r>
              <w:t>Adjusted R²</w:t>
            </w:r>
          </w:p>
        </w:tc>
        <w:tc>
          <w:tcPr>
            <w:tcW w:w="1373" w:type="dxa"/>
          </w:tcPr>
          <w:p w14:paraId="5DC44F6A" w14:textId="1F9EF5D7" w:rsidR="00C91BB1" w:rsidRPr="00C91BB1" w:rsidRDefault="00C91BB1" w:rsidP="005C6083">
            <w:pPr>
              <w:pStyle w:val="Tabletext"/>
              <w:tabs>
                <w:tab w:val="right" w:pos="2082"/>
              </w:tabs>
            </w:pPr>
            <w:r w:rsidRPr="003423ED">
              <w:t>0.055</w:t>
            </w:r>
          </w:p>
        </w:tc>
        <w:tc>
          <w:tcPr>
            <w:tcW w:w="1373" w:type="dxa"/>
          </w:tcPr>
          <w:p w14:paraId="4F278440" w14:textId="1F399F7A" w:rsidR="00C91BB1" w:rsidRPr="00C91BB1" w:rsidRDefault="00C91BB1" w:rsidP="005C6083">
            <w:pPr>
              <w:pStyle w:val="Tabletext"/>
              <w:tabs>
                <w:tab w:val="right" w:pos="2082"/>
              </w:tabs>
            </w:pPr>
            <w:r w:rsidRPr="003423ED">
              <w:t>0.031</w:t>
            </w:r>
          </w:p>
        </w:tc>
        <w:tc>
          <w:tcPr>
            <w:tcW w:w="1373" w:type="dxa"/>
          </w:tcPr>
          <w:p w14:paraId="3A0976EC" w14:textId="3E9FE629" w:rsidR="00C91BB1" w:rsidRPr="00C91BB1" w:rsidRDefault="00C91BB1" w:rsidP="005C6083">
            <w:pPr>
              <w:pStyle w:val="Tabletext"/>
              <w:tabs>
                <w:tab w:val="right" w:pos="2082"/>
              </w:tabs>
            </w:pPr>
            <w:r w:rsidRPr="003423ED">
              <w:t>0.005</w:t>
            </w:r>
          </w:p>
        </w:tc>
        <w:tc>
          <w:tcPr>
            <w:tcW w:w="1373" w:type="dxa"/>
          </w:tcPr>
          <w:p w14:paraId="18241640" w14:textId="150026BB" w:rsidR="00C91BB1" w:rsidRPr="00C91BB1" w:rsidRDefault="00C91BB1" w:rsidP="005C6083">
            <w:pPr>
              <w:pStyle w:val="Tabletext"/>
              <w:tabs>
                <w:tab w:val="right" w:pos="2082"/>
              </w:tabs>
            </w:pPr>
            <w:r w:rsidRPr="003423ED">
              <w:t>0.004</w:t>
            </w:r>
          </w:p>
        </w:tc>
      </w:tr>
    </w:tbl>
    <w:p w14:paraId="609AB47F" w14:textId="72D0B86F" w:rsidR="00DE4F7D" w:rsidRDefault="00DE4F7D" w:rsidP="00DE4F7D">
      <w:pPr>
        <w:pStyle w:val="Note"/>
        <w:rPr>
          <w:lang w:eastAsia="en-AU"/>
        </w:rPr>
      </w:pPr>
      <w:r>
        <w:rPr>
          <w:lang w:eastAsia="en-AU"/>
        </w:rPr>
        <w:t xml:space="preserve">Notes: </w:t>
      </w:r>
      <w:r w:rsidR="00AE79D6">
        <w:rPr>
          <w:lang w:eastAsia="en-AU"/>
        </w:rPr>
        <w:t xml:space="preserve">All </w:t>
      </w:r>
      <w:r w:rsidR="002919DE">
        <w:rPr>
          <w:lang w:eastAsia="en-AU"/>
        </w:rPr>
        <w:t>coefficients are elasticities</w:t>
      </w:r>
      <w:r w:rsidR="003B72DD">
        <w:rPr>
          <w:lang w:eastAsia="en-AU"/>
        </w:rPr>
        <w:t>.</w:t>
      </w:r>
      <w:r w:rsidR="002919DE">
        <w:rPr>
          <w:lang w:eastAsia="en-AU"/>
        </w:rPr>
        <w:t xml:space="preserve"> </w:t>
      </w:r>
      <w:r w:rsidR="00C6561F">
        <w:rPr>
          <w:lang w:eastAsia="en-AU"/>
        </w:rPr>
        <w:t xml:space="preserve">Results are robust to controlling for firm entry and exit and robust to restricting the sample of employing firms only. </w:t>
      </w:r>
    </w:p>
    <w:p w14:paraId="705D2620" w14:textId="69475D9C" w:rsidR="004258A8" w:rsidRPr="00D63B72" w:rsidRDefault="00B37DC5" w:rsidP="00D20F1F">
      <w:pPr>
        <w:pStyle w:val="Source"/>
        <w:pBdr>
          <w:bottom w:val="single" w:sz="4" w:space="0" w:color="595A5B"/>
        </w:pBdr>
        <w:rPr>
          <w:lang w:eastAsia="en-AU"/>
        </w:rPr>
      </w:pPr>
      <w:r>
        <w:rPr>
          <w:lang w:eastAsia="en-AU"/>
        </w:rPr>
        <w:t xml:space="preserve">Source: </w:t>
      </w:r>
      <w:r w:rsidR="0007710B">
        <w:rPr>
          <w:lang w:eastAsia="en-AU"/>
        </w:rPr>
        <w:t>BLADE (2019)</w:t>
      </w:r>
      <w:r w:rsidR="004A51D2">
        <w:rPr>
          <w:lang w:eastAsia="en-AU"/>
        </w:rPr>
        <w:t xml:space="preserve"> </w:t>
      </w:r>
    </w:p>
    <w:p w14:paraId="67B5AB71" w14:textId="379792D9" w:rsidR="00242542" w:rsidRDefault="00242542" w:rsidP="00B564E1">
      <w:pPr>
        <w:pStyle w:val="Caption"/>
      </w:pPr>
      <w:r w:rsidRPr="000618FB">
        <w:lastRenderedPageBreak/>
        <w:t xml:space="preserve">Table </w:t>
      </w:r>
      <w:r w:rsidR="00AC0B7A">
        <w:rPr>
          <w:noProof/>
        </w:rPr>
        <w:t>4</w:t>
      </w:r>
      <w:r w:rsidRPr="000618FB">
        <w:t>.</w:t>
      </w:r>
      <w:r>
        <w:rPr>
          <w:noProof/>
        </w:rPr>
        <w:fldChar w:fldCharType="begin"/>
      </w:r>
      <w:r>
        <w:rPr>
          <w:noProof/>
        </w:rPr>
        <w:instrText xml:space="preserve"> SEQ Table \* ARABIC \s 1 </w:instrText>
      </w:r>
      <w:r>
        <w:rPr>
          <w:noProof/>
        </w:rPr>
        <w:fldChar w:fldCharType="separate"/>
      </w:r>
      <w:r w:rsidR="00326788">
        <w:rPr>
          <w:noProof/>
        </w:rPr>
        <w:t>2</w:t>
      </w:r>
      <w:r>
        <w:rPr>
          <w:noProof/>
        </w:rPr>
        <w:fldChar w:fldCharType="end"/>
      </w:r>
      <w:r w:rsidRPr="000618FB">
        <w:t xml:space="preserve">: </w:t>
      </w:r>
      <w:r w:rsidR="0007487C">
        <w:t>Average annual growth differentials</w:t>
      </w:r>
      <w:r w:rsidR="00F66F61">
        <w:t xml:space="preserve"> between </w:t>
      </w:r>
      <w:r w:rsidR="00724937">
        <w:t>exporters and non-exporters, by age</w:t>
      </w:r>
      <w:r w:rsidR="00F66F61">
        <w:t xml:space="preserve"> </w:t>
      </w:r>
      <w:r w:rsidR="007A2290">
        <w:t>(</w:t>
      </w:r>
      <w:r w:rsidR="003B72DD">
        <w:t>decimals</w:t>
      </w:r>
      <w:r w:rsidR="007A2290">
        <w:t>)</w:t>
      </w:r>
    </w:p>
    <w:tbl>
      <w:tblPr>
        <w:tblStyle w:val="OCETable"/>
        <w:tblW w:w="5030" w:type="pct"/>
        <w:tblInd w:w="57" w:type="dxa"/>
        <w:tblLayout w:type="fixed"/>
        <w:tblLook w:val="04A0" w:firstRow="1" w:lastRow="0" w:firstColumn="1" w:lastColumn="0" w:noHBand="0" w:noVBand="1"/>
        <w:tblCaption w:val="Average annual growth differentials between exporters and non-exporters, by age (decimals)"/>
        <w:tblDescription w:val="Results based on equation 5, similar table to 4.1 but now testing on all other dependent variables."/>
      </w:tblPr>
      <w:tblGrid>
        <w:gridCol w:w="1387"/>
        <w:gridCol w:w="1387"/>
        <w:gridCol w:w="1387"/>
        <w:gridCol w:w="1387"/>
        <w:gridCol w:w="1387"/>
      </w:tblGrid>
      <w:tr w:rsidR="0069519A" w14:paraId="67B5AB75" w14:textId="6EAE65C5"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67B5AB72" w14:textId="21234E0D" w:rsidR="0069519A" w:rsidRDefault="0069519A" w:rsidP="0069519A">
            <w:pPr>
              <w:pStyle w:val="Tableheader"/>
              <w:rPr>
                <w:lang w:eastAsia="en-AU"/>
              </w:rPr>
            </w:pPr>
            <w:r>
              <w:rPr>
                <w:lang w:eastAsia="en-AU"/>
              </w:rPr>
              <w:t>Performance indicator</w:t>
            </w:r>
          </w:p>
        </w:tc>
        <w:tc>
          <w:tcPr>
            <w:tcW w:w="1387" w:type="dxa"/>
          </w:tcPr>
          <w:p w14:paraId="67B5AB73" w14:textId="28546C87" w:rsidR="0069519A" w:rsidRDefault="0069519A" w:rsidP="0069519A">
            <w:pPr>
              <w:pStyle w:val="Tableheader"/>
              <w:rPr>
                <w:lang w:eastAsia="en-AU"/>
              </w:rPr>
            </w:pPr>
            <w:r>
              <w:rPr>
                <w:lang w:eastAsia="en-AU"/>
              </w:rPr>
              <w:t>All firms</w:t>
            </w:r>
          </w:p>
        </w:tc>
        <w:tc>
          <w:tcPr>
            <w:tcW w:w="1387" w:type="dxa"/>
          </w:tcPr>
          <w:p w14:paraId="67B5AB74" w14:textId="49D44904" w:rsidR="0069519A" w:rsidRDefault="0069519A" w:rsidP="0069519A">
            <w:pPr>
              <w:pStyle w:val="Tableheader"/>
              <w:rPr>
                <w:lang w:eastAsia="en-AU"/>
              </w:rPr>
            </w:pPr>
            <w:r>
              <w:rPr>
                <w:lang w:eastAsia="en-AU"/>
              </w:rPr>
              <w:t>Less than 3 years old</w:t>
            </w:r>
          </w:p>
        </w:tc>
        <w:tc>
          <w:tcPr>
            <w:tcW w:w="1387" w:type="dxa"/>
          </w:tcPr>
          <w:p w14:paraId="4E5463BD" w14:textId="4B294384" w:rsidR="0069519A" w:rsidRDefault="00BA69D2" w:rsidP="0069519A">
            <w:pPr>
              <w:pStyle w:val="Tableheader"/>
              <w:rPr>
                <w:lang w:eastAsia="en-AU"/>
              </w:rPr>
            </w:pPr>
            <w:r>
              <w:rPr>
                <w:lang w:eastAsia="en-AU"/>
              </w:rPr>
              <w:t xml:space="preserve">3 to </w:t>
            </w:r>
            <w:r w:rsidR="0069519A">
              <w:rPr>
                <w:lang w:eastAsia="en-AU"/>
              </w:rPr>
              <w:t>6 years old</w:t>
            </w:r>
          </w:p>
        </w:tc>
        <w:tc>
          <w:tcPr>
            <w:tcW w:w="1387" w:type="dxa"/>
          </w:tcPr>
          <w:p w14:paraId="3383332C" w14:textId="14FB79CD" w:rsidR="0069519A" w:rsidRDefault="0069519A" w:rsidP="0069519A">
            <w:pPr>
              <w:pStyle w:val="Tableheader"/>
              <w:rPr>
                <w:lang w:eastAsia="en-AU"/>
              </w:rPr>
            </w:pPr>
            <w:r>
              <w:rPr>
                <w:lang w:eastAsia="en-AU"/>
              </w:rPr>
              <w:t>More than 6 years old</w:t>
            </w:r>
          </w:p>
        </w:tc>
      </w:tr>
      <w:tr w:rsidR="00F75D62" w14:paraId="67B5AB79" w14:textId="0ADD959C" w:rsidTr="00960DA0">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67B5AB76" w14:textId="4CEA10AF" w:rsidR="00F75D62" w:rsidRDefault="00F75D62" w:rsidP="00F75D62">
            <w:pPr>
              <w:pStyle w:val="Tabletext"/>
              <w:rPr>
                <w:lang w:eastAsia="en-AU"/>
              </w:rPr>
            </w:pPr>
            <w:r>
              <w:rPr>
                <w:lang w:eastAsia="en-AU"/>
              </w:rPr>
              <w:t xml:space="preserve">Turnover </w:t>
            </w:r>
          </w:p>
        </w:tc>
        <w:tc>
          <w:tcPr>
            <w:tcW w:w="1387" w:type="dxa"/>
          </w:tcPr>
          <w:p w14:paraId="67B5AB77" w14:textId="5BC062A1" w:rsidR="00F75D62" w:rsidRDefault="00F75D62" w:rsidP="00F75D62">
            <w:pPr>
              <w:pStyle w:val="Tabletext"/>
              <w:tabs>
                <w:tab w:val="right" w:pos="2082"/>
              </w:tabs>
              <w:rPr>
                <w:lang w:eastAsia="en-AU"/>
              </w:rPr>
            </w:pPr>
            <w:r w:rsidRPr="0074004E">
              <w:t>0.186***</w:t>
            </w:r>
          </w:p>
        </w:tc>
        <w:tc>
          <w:tcPr>
            <w:tcW w:w="1387" w:type="dxa"/>
          </w:tcPr>
          <w:p w14:paraId="67B5AB78" w14:textId="7E949047" w:rsidR="00F75D62" w:rsidRDefault="00F75D62" w:rsidP="00F75D62">
            <w:pPr>
              <w:pStyle w:val="Tabletext"/>
              <w:tabs>
                <w:tab w:val="right" w:pos="2082"/>
              </w:tabs>
              <w:rPr>
                <w:lang w:eastAsia="en-AU"/>
              </w:rPr>
            </w:pPr>
            <w:r w:rsidRPr="0074004E">
              <w:t>0.219***</w:t>
            </w:r>
          </w:p>
        </w:tc>
        <w:tc>
          <w:tcPr>
            <w:tcW w:w="1387" w:type="dxa"/>
          </w:tcPr>
          <w:p w14:paraId="1910DDC9" w14:textId="246FF32C" w:rsidR="00F75D62" w:rsidRDefault="00F75D62" w:rsidP="00F75D62">
            <w:pPr>
              <w:pStyle w:val="Tabletext"/>
              <w:tabs>
                <w:tab w:val="right" w:pos="2082"/>
              </w:tabs>
              <w:rPr>
                <w:lang w:eastAsia="en-AU"/>
              </w:rPr>
            </w:pPr>
            <w:r w:rsidRPr="0074004E">
              <w:t>0.176***</w:t>
            </w:r>
          </w:p>
        </w:tc>
        <w:tc>
          <w:tcPr>
            <w:tcW w:w="1387" w:type="dxa"/>
          </w:tcPr>
          <w:p w14:paraId="71C13705" w14:textId="59AFEB7D" w:rsidR="00F75D62" w:rsidRDefault="00F75D62" w:rsidP="00F75D62">
            <w:pPr>
              <w:pStyle w:val="Tabletext"/>
              <w:tabs>
                <w:tab w:val="right" w:pos="2082"/>
              </w:tabs>
              <w:rPr>
                <w:lang w:eastAsia="en-AU"/>
              </w:rPr>
            </w:pPr>
            <w:r w:rsidRPr="0074004E">
              <w:t>0.151***</w:t>
            </w:r>
          </w:p>
        </w:tc>
      </w:tr>
      <w:tr w:rsidR="00F75D62" w14:paraId="2DABD156" w14:textId="77777777" w:rsidTr="00960DA0">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440E908F" w14:textId="11147A99" w:rsidR="00F75D62" w:rsidRDefault="00F75D62" w:rsidP="00F75D62">
            <w:pPr>
              <w:pStyle w:val="Tabletext"/>
              <w:rPr>
                <w:lang w:eastAsia="en-AU"/>
              </w:rPr>
            </w:pPr>
            <w:r>
              <w:rPr>
                <w:lang w:eastAsia="en-AU"/>
              </w:rPr>
              <w:t>Employment</w:t>
            </w:r>
          </w:p>
        </w:tc>
        <w:tc>
          <w:tcPr>
            <w:tcW w:w="1387" w:type="dxa"/>
          </w:tcPr>
          <w:p w14:paraId="7DCC88B9" w14:textId="1482CB09" w:rsidR="00F75D62" w:rsidRPr="00D10260" w:rsidRDefault="00F75D62" w:rsidP="00F75D62">
            <w:pPr>
              <w:pStyle w:val="Tabletext"/>
              <w:tabs>
                <w:tab w:val="right" w:pos="2082"/>
              </w:tabs>
            </w:pPr>
            <w:r w:rsidRPr="00D10260">
              <w:t>0.105***</w:t>
            </w:r>
          </w:p>
        </w:tc>
        <w:tc>
          <w:tcPr>
            <w:tcW w:w="1387" w:type="dxa"/>
          </w:tcPr>
          <w:p w14:paraId="2AA62C0D" w14:textId="78B3E0DF" w:rsidR="00F75D62" w:rsidRPr="00D10260" w:rsidRDefault="00F75D62" w:rsidP="00F75D62">
            <w:pPr>
              <w:pStyle w:val="Tabletext"/>
              <w:tabs>
                <w:tab w:val="right" w:pos="2082"/>
              </w:tabs>
            </w:pPr>
            <w:r w:rsidRPr="00D10260">
              <w:t>0.141***</w:t>
            </w:r>
          </w:p>
        </w:tc>
        <w:tc>
          <w:tcPr>
            <w:tcW w:w="1387" w:type="dxa"/>
          </w:tcPr>
          <w:p w14:paraId="43F4B887" w14:textId="27C6CB97" w:rsidR="00F75D62" w:rsidRPr="00D10260" w:rsidRDefault="00F75D62" w:rsidP="00F75D62">
            <w:pPr>
              <w:pStyle w:val="Tabletext"/>
              <w:tabs>
                <w:tab w:val="right" w:pos="2082"/>
              </w:tabs>
            </w:pPr>
            <w:r w:rsidRPr="00D10260">
              <w:t>0.094***</w:t>
            </w:r>
          </w:p>
        </w:tc>
        <w:tc>
          <w:tcPr>
            <w:tcW w:w="1387" w:type="dxa"/>
          </w:tcPr>
          <w:p w14:paraId="1E57E9AA" w14:textId="0103FD2E" w:rsidR="00F75D62" w:rsidRPr="00D10260" w:rsidRDefault="00F75D62" w:rsidP="00F75D62">
            <w:pPr>
              <w:pStyle w:val="Tabletext"/>
              <w:tabs>
                <w:tab w:val="right" w:pos="2082"/>
              </w:tabs>
            </w:pPr>
            <w:r w:rsidRPr="00D10260">
              <w:t>0.076***</w:t>
            </w:r>
          </w:p>
        </w:tc>
      </w:tr>
      <w:tr w:rsidR="00F75D62" w14:paraId="5D5ABE24" w14:textId="77777777" w:rsidTr="00960DA0">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56FDD696" w14:textId="3137F076" w:rsidR="00F75D62" w:rsidRDefault="00F75D62" w:rsidP="00F75D62">
            <w:pPr>
              <w:pStyle w:val="Tabletext"/>
              <w:rPr>
                <w:lang w:eastAsia="en-AU"/>
              </w:rPr>
            </w:pPr>
            <w:r>
              <w:rPr>
                <w:lang w:eastAsia="en-AU"/>
              </w:rPr>
              <w:t>Productivity</w:t>
            </w:r>
          </w:p>
        </w:tc>
        <w:tc>
          <w:tcPr>
            <w:tcW w:w="1387" w:type="dxa"/>
          </w:tcPr>
          <w:p w14:paraId="631E11BB" w14:textId="09C5BCA4" w:rsidR="00F75D62" w:rsidRPr="00D10260" w:rsidRDefault="00F75D62" w:rsidP="00F75D62">
            <w:pPr>
              <w:pStyle w:val="Tabletext"/>
              <w:tabs>
                <w:tab w:val="right" w:pos="2082"/>
              </w:tabs>
            </w:pPr>
            <w:r w:rsidRPr="00094A0C">
              <w:t>0.021***</w:t>
            </w:r>
          </w:p>
        </w:tc>
        <w:tc>
          <w:tcPr>
            <w:tcW w:w="1387" w:type="dxa"/>
          </w:tcPr>
          <w:p w14:paraId="139B1997" w14:textId="01E29CE0" w:rsidR="00F75D62" w:rsidRPr="00D10260" w:rsidRDefault="00F75D62" w:rsidP="00F75D62">
            <w:pPr>
              <w:pStyle w:val="Tabletext"/>
              <w:tabs>
                <w:tab w:val="right" w:pos="2082"/>
              </w:tabs>
            </w:pPr>
            <w:r w:rsidRPr="00094A0C">
              <w:t>0.028***</w:t>
            </w:r>
          </w:p>
        </w:tc>
        <w:tc>
          <w:tcPr>
            <w:tcW w:w="1387" w:type="dxa"/>
          </w:tcPr>
          <w:p w14:paraId="4031637D" w14:textId="6DA8E0D0" w:rsidR="00F75D62" w:rsidRPr="00D10260" w:rsidRDefault="00F75D62" w:rsidP="00F75D62">
            <w:pPr>
              <w:pStyle w:val="Tabletext"/>
              <w:tabs>
                <w:tab w:val="right" w:pos="2082"/>
              </w:tabs>
            </w:pPr>
            <w:r w:rsidRPr="00094A0C">
              <w:t>0.014***</w:t>
            </w:r>
          </w:p>
        </w:tc>
        <w:tc>
          <w:tcPr>
            <w:tcW w:w="1387" w:type="dxa"/>
          </w:tcPr>
          <w:p w14:paraId="41C27DA3" w14:textId="1ADD2743" w:rsidR="00F75D62" w:rsidRDefault="00F75D62" w:rsidP="00F75D62">
            <w:pPr>
              <w:pStyle w:val="Tabletext"/>
              <w:tabs>
                <w:tab w:val="right" w:pos="2082"/>
              </w:tabs>
            </w:pPr>
            <w:r w:rsidRPr="00094A0C">
              <w:t>0.018***</w:t>
            </w:r>
          </w:p>
        </w:tc>
      </w:tr>
      <w:tr w:rsidR="00F75D62" w14:paraId="5177BD07" w14:textId="77777777" w:rsidTr="00960DA0">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3C1C5234" w14:textId="5CCC0B5F" w:rsidR="00F75D62" w:rsidRDefault="00F75D62" w:rsidP="00F75D62">
            <w:pPr>
              <w:pStyle w:val="Tabletext"/>
              <w:rPr>
                <w:lang w:eastAsia="en-AU"/>
              </w:rPr>
            </w:pPr>
            <w:r>
              <w:rPr>
                <w:lang w:eastAsia="en-AU"/>
              </w:rPr>
              <w:t xml:space="preserve">Capital </w:t>
            </w:r>
          </w:p>
        </w:tc>
        <w:tc>
          <w:tcPr>
            <w:tcW w:w="1387" w:type="dxa"/>
          </w:tcPr>
          <w:p w14:paraId="258A64EA" w14:textId="7798EF8A" w:rsidR="00F75D62" w:rsidRPr="00D10260" w:rsidRDefault="00F75D62" w:rsidP="00F75D62">
            <w:pPr>
              <w:pStyle w:val="Tabletext"/>
              <w:tabs>
                <w:tab w:val="right" w:pos="2082"/>
              </w:tabs>
            </w:pPr>
            <w:r w:rsidRPr="005136F8">
              <w:t>0.052***</w:t>
            </w:r>
          </w:p>
        </w:tc>
        <w:tc>
          <w:tcPr>
            <w:tcW w:w="1387" w:type="dxa"/>
          </w:tcPr>
          <w:p w14:paraId="494E3E8C" w14:textId="412A7054" w:rsidR="00F75D62" w:rsidRPr="00D10260" w:rsidRDefault="00F75D62" w:rsidP="00F75D62">
            <w:pPr>
              <w:pStyle w:val="Tabletext"/>
              <w:tabs>
                <w:tab w:val="right" w:pos="2082"/>
              </w:tabs>
            </w:pPr>
            <w:r w:rsidRPr="005136F8">
              <w:t>0.120***</w:t>
            </w:r>
          </w:p>
        </w:tc>
        <w:tc>
          <w:tcPr>
            <w:tcW w:w="1387" w:type="dxa"/>
          </w:tcPr>
          <w:p w14:paraId="59C25D05" w14:textId="14240F46" w:rsidR="00F75D62" w:rsidRPr="00D10260" w:rsidRDefault="00F75D62" w:rsidP="00F75D62">
            <w:pPr>
              <w:pStyle w:val="Tabletext"/>
              <w:tabs>
                <w:tab w:val="right" w:pos="2082"/>
              </w:tabs>
            </w:pPr>
            <w:r w:rsidRPr="005136F8">
              <w:t>0.023*</w:t>
            </w:r>
          </w:p>
        </w:tc>
        <w:tc>
          <w:tcPr>
            <w:tcW w:w="1387" w:type="dxa"/>
          </w:tcPr>
          <w:p w14:paraId="107772B1" w14:textId="67485404" w:rsidR="00F75D62" w:rsidRDefault="00F75D62" w:rsidP="00F75D62">
            <w:pPr>
              <w:pStyle w:val="Tabletext"/>
              <w:tabs>
                <w:tab w:val="right" w:pos="2082"/>
              </w:tabs>
            </w:pPr>
            <w:r w:rsidRPr="005136F8">
              <w:t>0.054**</w:t>
            </w:r>
          </w:p>
        </w:tc>
      </w:tr>
      <w:tr w:rsidR="00F75D62" w14:paraId="67B5AB7D" w14:textId="6941AA48" w:rsidTr="00960DA0">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67B5AB7A" w14:textId="6B8BA510" w:rsidR="00F75D62" w:rsidRDefault="00F75D62" w:rsidP="00F75D62">
            <w:pPr>
              <w:pStyle w:val="Tabletext"/>
              <w:tabs>
                <w:tab w:val="right" w:pos="2082"/>
              </w:tabs>
              <w:rPr>
                <w:lang w:eastAsia="en-AU"/>
              </w:rPr>
            </w:pPr>
            <w:r>
              <w:rPr>
                <w:lang w:eastAsia="en-AU"/>
              </w:rPr>
              <w:t xml:space="preserve">R&amp;D </w:t>
            </w:r>
          </w:p>
        </w:tc>
        <w:tc>
          <w:tcPr>
            <w:tcW w:w="1387" w:type="dxa"/>
          </w:tcPr>
          <w:p w14:paraId="67B5AB7B" w14:textId="285726A9" w:rsidR="00F75D62" w:rsidRDefault="00F75D62" w:rsidP="00F75D62">
            <w:pPr>
              <w:pStyle w:val="Tabletext"/>
              <w:tabs>
                <w:tab w:val="right" w:pos="2082"/>
              </w:tabs>
              <w:rPr>
                <w:lang w:eastAsia="en-AU"/>
              </w:rPr>
            </w:pPr>
            <w:r w:rsidRPr="008D243F">
              <w:t>0.024*</w:t>
            </w:r>
          </w:p>
        </w:tc>
        <w:tc>
          <w:tcPr>
            <w:tcW w:w="1387" w:type="dxa"/>
          </w:tcPr>
          <w:p w14:paraId="67B5AB7C" w14:textId="3272DDDD" w:rsidR="00F75D62" w:rsidRDefault="00F75D62" w:rsidP="00F75D62">
            <w:pPr>
              <w:pStyle w:val="Tabletext"/>
              <w:tabs>
                <w:tab w:val="right" w:pos="2082"/>
              </w:tabs>
              <w:rPr>
                <w:lang w:eastAsia="en-AU"/>
              </w:rPr>
            </w:pPr>
            <w:r>
              <w:t>-</w:t>
            </w:r>
          </w:p>
        </w:tc>
        <w:tc>
          <w:tcPr>
            <w:tcW w:w="1387" w:type="dxa"/>
          </w:tcPr>
          <w:p w14:paraId="732F115F" w14:textId="7BB63129" w:rsidR="00F75D62" w:rsidRDefault="00F75D62" w:rsidP="00F75D62">
            <w:pPr>
              <w:pStyle w:val="Tabletext"/>
              <w:tabs>
                <w:tab w:val="right" w:pos="2082"/>
              </w:tabs>
              <w:rPr>
                <w:lang w:eastAsia="en-AU"/>
              </w:rPr>
            </w:pPr>
            <w:r>
              <w:t>-</w:t>
            </w:r>
          </w:p>
        </w:tc>
        <w:tc>
          <w:tcPr>
            <w:tcW w:w="1387" w:type="dxa"/>
          </w:tcPr>
          <w:p w14:paraId="172E6EFD" w14:textId="651180EB" w:rsidR="00F75D62" w:rsidRDefault="00F75D62" w:rsidP="00F75D62">
            <w:pPr>
              <w:pStyle w:val="Tabletext"/>
              <w:tabs>
                <w:tab w:val="right" w:pos="2082"/>
              </w:tabs>
              <w:rPr>
                <w:lang w:eastAsia="en-AU"/>
              </w:rPr>
            </w:pPr>
            <w:r>
              <w:t>-</w:t>
            </w:r>
          </w:p>
        </w:tc>
      </w:tr>
    </w:tbl>
    <w:p w14:paraId="67B5AB82" w14:textId="7F87A1C1" w:rsidR="00242542" w:rsidRDefault="00242542" w:rsidP="00B564E1">
      <w:pPr>
        <w:pStyle w:val="Note"/>
        <w:rPr>
          <w:lang w:eastAsia="en-AU"/>
        </w:rPr>
      </w:pPr>
      <w:r>
        <w:rPr>
          <w:lang w:eastAsia="en-AU"/>
        </w:rPr>
        <w:t xml:space="preserve">Notes: </w:t>
      </w:r>
      <w:r w:rsidR="00AE79D6">
        <w:rPr>
          <w:lang w:eastAsia="en-AU"/>
        </w:rPr>
        <w:t>All coefficients are elasticities</w:t>
      </w:r>
      <w:r w:rsidR="003B72DD">
        <w:rPr>
          <w:lang w:eastAsia="en-AU"/>
        </w:rPr>
        <w:t>.</w:t>
      </w:r>
      <w:r w:rsidR="00C6561F">
        <w:rPr>
          <w:lang w:eastAsia="en-AU"/>
        </w:rPr>
        <w:t xml:space="preserve"> Results are robust to controlling for firm entry and exit and robust to restricting the sample of employing firms only.</w:t>
      </w:r>
    </w:p>
    <w:p w14:paraId="3CA43C61" w14:textId="6BAA32F7" w:rsidR="00917AF1" w:rsidRPr="00203886" w:rsidRDefault="00242542" w:rsidP="00EC37CF">
      <w:pPr>
        <w:pStyle w:val="Source"/>
        <w:rPr>
          <w:lang w:eastAsia="en-AU"/>
        </w:rPr>
      </w:pPr>
      <w:r>
        <w:rPr>
          <w:lang w:eastAsia="en-AU"/>
        </w:rPr>
        <w:t xml:space="preserve">Source: </w:t>
      </w:r>
      <w:r w:rsidR="000D151A">
        <w:rPr>
          <w:lang w:eastAsia="en-AU"/>
        </w:rPr>
        <w:t>BLADE (2019)</w:t>
      </w:r>
    </w:p>
    <w:p w14:paraId="67B5AB98" w14:textId="77777777" w:rsidR="00D50399" w:rsidRDefault="00F307F4" w:rsidP="00D50399">
      <w:pPr>
        <w:pStyle w:val="Heading1"/>
      </w:pPr>
      <w:r>
        <w:t xml:space="preserve">Response to exchange rate fluctuations </w:t>
      </w:r>
    </w:p>
    <w:p w14:paraId="02C6EDB1" w14:textId="78F3BE8B" w:rsidR="00A93FA6" w:rsidRDefault="00A93FA6" w:rsidP="00A93FA6">
      <w:pPr>
        <w:pStyle w:val="BodyText"/>
      </w:pPr>
      <w:r>
        <w:t xml:space="preserve">The study of export behaviour to exchange rate </w:t>
      </w:r>
      <w:r w:rsidR="00E76073">
        <w:t xml:space="preserve">fluctuations </w:t>
      </w:r>
      <w:r>
        <w:t xml:space="preserve">started with Feenstra, Gagnon and Knetter (1996) and Goldberg and Verboven (2001) studying price behaviour in the international car market when official firm-level customs data became available. Recent focus on the firms role in international trade (Bernard et. al, 2007; Melitz, 2003) means more studies have used firm-level data to explore the relationship between export behaviour and exchange rate fluctuations (Grazzi &amp; Moschella, 2018; Xu, Mao &amp; Tong, 2016; Mayer, Melitz &amp; Ottaviano, 2014; Chatterjee et al., 2013). These authors use firm-product-country data to analyse exchange rate fluctuations and firm export behaviour in Italy, China, France and Brazil, respectively. Most of this research is centred on studying how firms adjust their prices, volumes and product-mix in response to exchange rate fluctuations, </w:t>
      </w:r>
      <w:r w:rsidR="00360E20">
        <w:t>except</w:t>
      </w:r>
      <w:r>
        <w:t xml:space="preserve"> Grazzi and Moschella (2018) </w:t>
      </w:r>
      <w:r w:rsidR="00360E20">
        <w:t xml:space="preserve">who </w:t>
      </w:r>
      <w:r>
        <w:t xml:space="preserve">are the first to study the performance of young and old exporters at the product-country level under exchange rate variation. They show that young exporters are more resilient to exchange rate fluctuations than older firms, using customs data for Italian firms between 2000 and 2007 and bilateral exchange rates. </w:t>
      </w:r>
    </w:p>
    <w:p w14:paraId="54A8BACD" w14:textId="36A0A2C4" w:rsidR="00003F55" w:rsidRDefault="00A93FA6" w:rsidP="00003F55">
      <w:pPr>
        <w:pStyle w:val="BodyText"/>
      </w:pPr>
      <w:r>
        <w:t>The existing literature on the relationship between export performance and exchange rates in the Australian economy has been limited to the macro-level effects of exchange rate fluctuations, and the impact on broad industry groups such as manufacturing (Swift, 2007; Manalo et al., 2015). This leaves a significant gap in the knowledge of the firm-level response to exchange rate variation in the Australian context. Therefore</w:t>
      </w:r>
      <w:r w:rsidR="00360E20">
        <w:t>,</w:t>
      </w:r>
      <w:r>
        <w:t xml:space="preserve"> </w:t>
      </w:r>
      <w:r w:rsidR="00E74FD4">
        <w:t>t</w:t>
      </w:r>
      <w:r w:rsidR="00E85648">
        <w:t>his</w:t>
      </w:r>
      <w:r w:rsidR="00E74FD4">
        <w:t xml:space="preserve"> </w:t>
      </w:r>
      <w:r w:rsidR="000E4FEC">
        <w:t>section</w:t>
      </w:r>
      <w:r>
        <w:t xml:space="preserve"> follow</w:t>
      </w:r>
      <w:r w:rsidR="000E4FEC">
        <w:t>s</w:t>
      </w:r>
      <w:r>
        <w:t xml:space="preserve"> the lead of Grazzi and Moschella (2018) in studying the response of Australian exporters to exchange rates. </w:t>
      </w:r>
      <w:r w:rsidR="00003F55">
        <w:t>A limitati</w:t>
      </w:r>
      <w:r w:rsidR="009874B4">
        <w:t xml:space="preserve">on </w:t>
      </w:r>
      <w:r w:rsidR="00360E20">
        <w:t>faced</w:t>
      </w:r>
      <w:r w:rsidR="009874B4">
        <w:t xml:space="preserve"> in following Grazzi and</w:t>
      </w:r>
      <w:r w:rsidR="00003F55">
        <w:t xml:space="preserve"> Moschella’s </w:t>
      </w:r>
      <w:r w:rsidR="003303C7">
        <w:t xml:space="preserve">methodology </w:t>
      </w:r>
      <w:r w:rsidR="00003F55">
        <w:t xml:space="preserve">is that </w:t>
      </w:r>
      <w:r w:rsidR="00BA045C">
        <w:t xml:space="preserve">the BLADE </w:t>
      </w:r>
      <w:r w:rsidR="00003F55">
        <w:t xml:space="preserve">does not </w:t>
      </w:r>
      <w:r w:rsidR="00360E20">
        <w:t xml:space="preserve">contain product-country detail. As such, the analysis is restricted </w:t>
      </w:r>
      <w:r w:rsidR="00003F55">
        <w:t>to using a trade-weight indexed</w:t>
      </w:r>
      <w:r w:rsidR="00F91837">
        <w:t xml:space="preserve"> (TWI)</w:t>
      </w:r>
      <w:r w:rsidR="00003F55">
        <w:t xml:space="preserve"> real exchange rate, </w:t>
      </w:r>
      <w:r w:rsidR="00FD0CBD">
        <w:t>instead of</w:t>
      </w:r>
      <w:r w:rsidR="00003F55">
        <w:t xml:space="preserve"> bilateral exchange rates. </w:t>
      </w:r>
      <w:r w:rsidR="00BB6ACC">
        <w:t>O</w:t>
      </w:r>
      <w:r w:rsidR="00EB193C">
        <w:t>nly</w:t>
      </w:r>
      <w:r w:rsidR="00003F55">
        <w:t xml:space="preserve"> </w:t>
      </w:r>
      <w:r w:rsidR="00EB193C">
        <w:t>annual</w:t>
      </w:r>
      <w:r w:rsidR="00D538EB">
        <w:t xml:space="preserve"> </w:t>
      </w:r>
      <w:r w:rsidR="00003F55">
        <w:t>export value</w:t>
      </w:r>
      <w:r w:rsidR="00EB193C">
        <w:t>s</w:t>
      </w:r>
      <w:r w:rsidR="00D538EB">
        <w:t xml:space="preserve"> for each firm</w:t>
      </w:r>
      <w:r w:rsidR="00ED63C8">
        <w:t xml:space="preserve"> can be accessed</w:t>
      </w:r>
      <w:r w:rsidR="00003F55">
        <w:t xml:space="preserve">, and therefore </w:t>
      </w:r>
      <w:r w:rsidR="00360E20">
        <w:t xml:space="preserve">export volumes and prices cannot be disaggregated. </w:t>
      </w:r>
      <w:r w:rsidR="00543ED8">
        <w:t xml:space="preserve">Given limited data (Australia’s TWI exchange rate </w:t>
      </w:r>
      <w:r w:rsidR="00543ED8">
        <w:lastRenderedPageBreak/>
        <w:t>appreciated for most years between 2001 and 2016), we could not examine the asymmetric effects of exchange rate fluctuations on export values.</w:t>
      </w:r>
    </w:p>
    <w:p w14:paraId="67B5AB99" w14:textId="77777777" w:rsidR="002A75FD" w:rsidRDefault="006D7394" w:rsidP="00C350B6">
      <w:pPr>
        <w:pStyle w:val="Heading2"/>
        <w:ind w:left="709"/>
      </w:pPr>
      <w:r>
        <w:t xml:space="preserve">Specification </w:t>
      </w:r>
    </w:p>
    <w:p w14:paraId="7A845AF9" w14:textId="39E1C951" w:rsidR="00312FEC" w:rsidRPr="00312FEC" w:rsidRDefault="00312FEC" w:rsidP="00312FEC">
      <w:pPr>
        <w:pStyle w:val="BodyText"/>
      </w:pPr>
      <w:r>
        <w:t xml:space="preserve">We follow </w:t>
      </w:r>
      <w:r w:rsidR="00D46C78">
        <w:t>Grazzi and Moschella</w:t>
      </w:r>
      <w:r>
        <w:t>’s use of a simple OLS regression fra</w:t>
      </w:r>
      <w:r w:rsidR="00F73475">
        <w:t>mework. As an alternative to</w:t>
      </w:r>
      <w:r w:rsidR="005F4031">
        <w:t xml:space="preserve"> measuring the relationship between </w:t>
      </w:r>
      <w:r w:rsidR="005E68E0">
        <w:t xml:space="preserve">the </w:t>
      </w:r>
      <w:r w:rsidR="005F4031">
        <w:t>change in export sales and the change in the real exchange rate simultaneously, we introduce a 12 month lag.</w:t>
      </w:r>
    </w:p>
    <w:p w14:paraId="7E77EEF5" w14:textId="42E2480E" w:rsidR="00C41265" w:rsidRPr="00E01D06" w:rsidRDefault="00C41265" w:rsidP="00C41265">
      <w:pPr>
        <w:pStyle w:val="BodyText"/>
        <w:jc w:val="left"/>
      </w:pPr>
      <m:oMath>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r>
          <w:rPr>
            <w:rFonts w:ascii="Cambria Math" w:hAnsi="Cambria Math"/>
          </w:rPr>
          <m:t>TWI</m:t>
        </m:r>
        <m:sSub>
          <m:sSubPr>
            <m:ctrlPr>
              <w:rPr>
                <w:rFonts w:ascii="Cambria Math" w:hAnsi="Cambria Math"/>
              </w:rPr>
            </m:ctrlPr>
          </m:sSubPr>
          <m:e>
            <m:r>
              <m:rPr>
                <m:sty m:val="p"/>
              </m:rPr>
              <w:rPr>
                <w:rFonts w:ascii="Cambria Math" w:hAnsi="Cambria Math"/>
              </w:rPr>
              <w:softHyphen/>
            </m:r>
          </m:e>
          <m:sub>
            <m:r>
              <w:rPr>
                <w:rFonts w:ascii="Cambria Math" w:hAnsi="Cambria Math"/>
              </w:rPr>
              <m:t>t</m:t>
            </m:r>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func>
          <m:funcPr>
            <m:ctrlPr>
              <w:rPr>
                <w:rFonts w:ascii="Cambria Math" w:hAnsi="Cambria Math"/>
              </w:rPr>
            </m:ctrlPr>
          </m:funcPr>
          <m:fName>
            <m:sSub>
              <m:sSubPr>
                <m:ctrlPr>
                  <w:rPr>
                    <w:rFonts w:ascii="Cambria Math" w:hAnsi="Cambria Math"/>
                    <w:i/>
                  </w:rPr>
                </m:ctrlPr>
              </m:sSubPr>
              <m:e>
                <m:d>
                  <m:dPr>
                    <m:ctrlPr>
                      <w:rPr>
                        <w:rFonts w:ascii="Cambria Math" w:hAnsi="Cambria Math"/>
                      </w:rPr>
                    </m:ctrlPr>
                  </m:dPr>
                  <m:e>
                    <m:r>
                      <w:rPr>
                        <w:rFonts w:ascii="Cambria Math" w:hAnsi="Cambria Math"/>
                      </w:rPr>
                      <m:t>Export_intensity</m:t>
                    </m:r>
                  </m:e>
                </m:d>
              </m:e>
              <m:sub>
                <m:r>
                  <w:rPr>
                    <w:rFonts w:ascii="Cambria Math" w:hAnsi="Cambria Math"/>
                  </w:rPr>
                  <m:t>i</m:t>
                </m:r>
              </m:sub>
            </m:sSub>
          </m:fName>
          <m:e>
            <m:r>
              <w:rPr>
                <w:rFonts w:ascii="Cambria Math" w:hAnsi="Cambria Math"/>
              </w:rPr>
              <m:t xml:space="preserve"> </m:t>
            </m:r>
          </m:e>
        </m:func>
        <m: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func>
          <m:funcPr>
            <m:ctrlPr>
              <w:rPr>
                <w:rFonts w:ascii="Cambria Math" w:hAnsi="Cambria Math"/>
              </w:rPr>
            </m:ctrlPr>
          </m:funcPr>
          <m:fName>
            <m:r>
              <m:rPr>
                <m:sty m:val="p"/>
              </m:rPr>
              <w:rPr>
                <w:rFonts w:ascii="Cambria Math" w:hAnsi="Cambria Math"/>
              </w:rPr>
              <m:t>ln</m:t>
            </m:r>
          </m:fName>
          <m:e>
            <m:sSub>
              <m:sSubPr>
                <m:ctrlPr>
                  <w:rPr>
                    <w:rFonts w:ascii="Cambria Math" w:hAnsi="Cambria Math"/>
                    <w:i/>
                  </w:rPr>
                </m:ctrlPr>
              </m:sSubPr>
              <m:e>
                <m:d>
                  <m:dPr>
                    <m:ctrlPr>
                      <w:rPr>
                        <w:rFonts w:ascii="Cambria Math" w:hAnsi="Cambria Math"/>
                      </w:rPr>
                    </m:ctrlPr>
                  </m:dPr>
                  <m:e>
                    <m:r>
                      <w:rPr>
                        <w:rFonts w:ascii="Cambria Math" w:hAnsi="Cambria Math"/>
                      </w:rPr>
                      <m:t>fte</m:t>
                    </m:r>
                  </m:e>
                </m:d>
                <m:ctrlPr>
                  <w:rPr>
                    <w:rFonts w:ascii="Cambria Math" w:hAnsi="Cambria Math"/>
                    <w:i/>
                    <w:iCs/>
                  </w:rPr>
                </m:ctrlPr>
              </m:e>
              <m:sub>
                <m:r>
                  <w:rPr>
                    <w:rFonts w:ascii="Cambria Math" w:hAnsi="Cambria Math"/>
                  </w:rPr>
                  <m:t>i</m:t>
                </m:r>
              </m:sub>
            </m:sSub>
          </m:e>
        </m:func>
        <m:r>
          <w:rPr>
            <w:rFonts w:ascii="Cambria Math" w:hAnsi="Cambria Math"/>
          </w:rPr>
          <m:t>+ χ</m:t>
        </m:r>
        <m:r>
          <m:rPr>
            <m:sty m:val="p"/>
          </m:rPr>
          <w:rPr>
            <w:rFonts w:ascii="Cambria Math" w:hAnsi="Cambria Math"/>
          </w:rPr>
          <w:softHyphen/>
        </m:r>
        <m:r>
          <m:rPr>
            <m:sty m:val="p"/>
          </m:rPr>
          <w:rPr>
            <w:rFonts w:ascii="Cambria Math" w:hAnsi="Cambria Math"/>
          </w:rPr>
          <w:softHyphen/>
        </m:r>
        <m:sSub>
          <m:sSubPr>
            <m:ctrlPr>
              <w:rPr>
                <w:rFonts w:ascii="Cambria Math" w:hAnsi="Cambria Math"/>
              </w:rPr>
            </m:ctrlPr>
          </m:sSubPr>
          <m:e>
            <m:r>
              <m:rPr>
                <m:sty m:val="p"/>
              </m:rPr>
              <w:rPr>
                <w:rFonts w:ascii="Cambria Math" w:hAnsi="Cambria Math"/>
              </w:rPr>
              <w:softHyphen/>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sub>
        </m:sSub>
        <m:r>
          <w:rPr>
            <w:rFonts w:ascii="Cambria Math" w:hAnsi="Cambria Math"/>
          </w:rPr>
          <m:t xml:space="preserve"> </m:t>
        </m:r>
      </m:oMath>
      <w:r>
        <w:rPr>
          <w:rFonts w:eastAsiaTheme="minorEastAsia"/>
        </w:rPr>
        <w:t>(</w:t>
      </w:r>
      <w:r w:rsidR="000747AF">
        <w:rPr>
          <w:rFonts w:eastAsiaTheme="minorEastAsia"/>
        </w:rPr>
        <w:t>6</w:t>
      </w:r>
      <w:r>
        <w:rPr>
          <w:rFonts w:eastAsiaTheme="minorEastAsia"/>
        </w:rPr>
        <w:t>)</w:t>
      </w:r>
    </w:p>
    <w:p w14:paraId="67B5AB9B" w14:textId="55964C1B" w:rsidR="00A07DE5" w:rsidRDefault="00A07DE5" w:rsidP="00A07DE5">
      <w:pPr>
        <w:pStyle w:val="BodyText"/>
        <w:rPr>
          <w:rFonts w:eastAsiaTheme="minorEastAsia"/>
        </w:rPr>
      </w:pPr>
      <w:r>
        <w:t xml:space="preserve">Where </w:t>
      </w:r>
      <m:oMath>
        <m:sSub>
          <m:sSubPr>
            <m:ctrlPr>
              <w:rPr>
                <w:rFonts w:ascii="Cambria Math" w:hAnsi="Cambria Math"/>
              </w:rPr>
            </m:ctrlPr>
          </m:sSubPr>
          <m:e>
            <m:r>
              <w:rPr>
                <w:rFonts w:ascii="Cambria Math" w:hAnsi="Cambria Math"/>
              </w:rPr>
              <m:t>∆E</m:t>
            </m:r>
          </m:e>
          <m:sub>
            <m:r>
              <w:rPr>
                <w:rFonts w:ascii="Cambria Math" w:hAnsi="Cambria Math"/>
              </w:rPr>
              <m:t>t</m:t>
            </m:r>
          </m:sub>
        </m:sSub>
      </m:oMath>
      <w:r>
        <w:rPr>
          <w:rFonts w:eastAsiaTheme="minorEastAsia"/>
        </w:rPr>
        <w:t xml:space="preserve"> is the change (log differe</w:t>
      </w:r>
      <w:r w:rsidR="00A42310">
        <w:rPr>
          <w:rFonts w:eastAsiaTheme="minorEastAsia"/>
        </w:rPr>
        <w:t xml:space="preserve">nce) in firm level export value, </w:t>
      </w:r>
      <m:oMath>
        <m:r>
          <w:rPr>
            <w:rFonts w:ascii="Cambria Math" w:hAnsi="Cambria Math"/>
          </w:rPr>
          <m:t>∆TWI</m:t>
        </m:r>
        <m:sSub>
          <m:sSubPr>
            <m:ctrlPr>
              <w:rPr>
                <w:rFonts w:ascii="Cambria Math" w:hAnsi="Cambria Math"/>
                <w:i/>
              </w:rPr>
            </m:ctrlPr>
          </m:sSubPr>
          <m:e>
            <m:r>
              <m:rPr>
                <m:sty m:val="p"/>
              </m:rPr>
              <w:rPr>
                <w:rFonts w:ascii="Cambria Math" w:hAnsi="Cambria Math"/>
              </w:rPr>
              <w:softHyphen/>
            </m:r>
          </m:e>
          <m:sub>
            <m:r>
              <w:rPr>
                <w:rFonts w:ascii="Cambria Math" w:hAnsi="Cambria Math"/>
              </w:rPr>
              <m:t>t</m:t>
            </m:r>
          </m:sub>
        </m:sSub>
      </m:oMath>
      <w:r w:rsidR="004B5FEB">
        <w:rPr>
          <w:rFonts w:eastAsiaTheme="minorEastAsia"/>
        </w:rPr>
        <w:t xml:space="preserve"> is the change (log</w:t>
      </w:r>
      <w:r w:rsidR="00A42310">
        <w:rPr>
          <w:rFonts w:eastAsiaTheme="minorEastAsia"/>
        </w:rPr>
        <w:t xml:space="preserve"> difference) in the real Australian trade weighted exchange rate</w:t>
      </w:r>
      <w:r w:rsidR="00B93B1C">
        <w:rPr>
          <w:rFonts w:eastAsiaTheme="minorEastAsia"/>
        </w:rPr>
        <w:t xml:space="preserve">, </w:t>
      </w:r>
      <m:oMath>
        <m:r>
          <w:rPr>
            <w:rFonts w:ascii="Cambria Math" w:hAnsi="Cambria Math"/>
          </w:rPr>
          <m:t>Export_intensity</m:t>
        </m:r>
      </m:oMath>
      <w:r w:rsidR="00540E9B">
        <w:rPr>
          <w:rFonts w:eastAsiaTheme="minorEastAsia"/>
        </w:rPr>
        <w:t xml:space="preserve"> </w:t>
      </w:r>
      <w:r w:rsidR="00B93B1C">
        <w:rPr>
          <w:rFonts w:eastAsiaTheme="minorEastAsia"/>
        </w:rPr>
        <w:t xml:space="preserve">is the </w:t>
      </w:r>
      <w:r w:rsidR="00493508">
        <w:rPr>
          <w:rFonts w:eastAsiaTheme="minorEastAsia"/>
        </w:rPr>
        <w:t xml:space="preserve">natural </w:t>
      </w:r>
      <w:r w:rsidR="00B93B1C">
        <w:rPr>
          <w:rFonts w:eastAsiaTheme="minorEastAsia"/>
        </w:rPr>
        <w:t>log</w:t>
      </w:r>
      <w:r w:rsidR="00493508">
        <w:rPr>
          <w:rFonts w:eastAsiaTheme="minorEastAsia"/>
        </w:rPr>
        <w:t>arithm</w:t>
      </w:r>
      <w:r w:rsidR="00B93B1C">
        <w:rPr>
          <w:rFonts w:eastAsiaTheme="minorEastAsia"/>
        </w:rPr>
        <w:t xml:space="preserve"> of export sales divided by total sales </w:t>
      </w:r>
      <w:r w:rsidR="009D1DEA">
        <w:rPr>
          <w:rFonts w:eastAsiaTheme="minorEastAsia"/>
        </w:rPr>
        <w:t>and</w:t>
      </w:r>
      <w:r w:rsidR="00A42310">
        <w:rPr>
          <w:rFonts w:eastAsiaTheme="minorEastAsia"/>
        </w:rPr>
        <w:t xml:space="preserve"> </w:t>
      </w:r>
      <m:oMath>
        <m:r>
          <w:rPr>
            <w:rFonts w:ascii="Cambria Math" w:hAnsi="Cambria Math"/>
          </w:rPr>
          <m:t>χ</m:t>
        </m:r>
        <m:r>
          <m:rPr>
            <m:sty m:val="p"/>
          </m:rPr>
          <w:rPr>
            <w:rFonts w:ascii="Cambria Math" w:hAnsi="Cambria Math"/>
          </w:rPr>
          <w:softHyphen/>
        </m:r>
        <m:r>
          <m:rPr>
            <m:sty m:val="p"/>
          </m:rPr>
          <w:rPr>
            <w:rFonts w:ascii="Cambria Math" w:hAnsi="Cambria Math"/>
          </w:rPr>
          <w:softHyphen/>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oMath>
      <w:r w:rsidR="009D1DEA">
        <w:rPr>
          <w:rFonts w:eastAsiaTheme="minorEastAsia"/>
        </w:rPr>
        <w:t xml:space="preserve"> </w:t>
      </w:r>
      <w:r w:rsidR="00540E9B">
        <w:rPr>
          <w:rFonts w:eastAsiaTheme="minorEastAsia"/>
        </w:rPr>
        <w:t xml:space="preserve">is a set of </w:t>
      </w:r>
      <w:r w:rsidR="0031333E">
        <w:rPr>
          <w:rFonts w:eastAsiaTheme="minorEastAsia"/>
        </w:rPr>
        <w:t xml:space="preserve">industry and </w:t>
      </w:r>
      <w:r w:rsidR="008E1992">
        <w:rPr>
          <w:rFonts w:eastAsiaTheme="minorEastAsia"/>
        </w:rPr>
        <w:t>year</w:t>
      </w:r>
      <w:r w:rsidR="0031333E">
        <w:rPr>
          <w:rFonts w:eastAsiaTheme="minorEastAsia"/>
        </w:rPr>
        <w:t xml:space="preserve"> dummies</w:t>
      </w:r>
      <w:r w:rsidR="00540E9B">
        <w:rPr>
          <w:rFonts w:eastAsiaTheme="minorEastAsia"/>
        </w:rPr>
        <w:t xml:space="preserve">. </w:t>
      </w:r>
    </w:p>
    <w:p w14:paraId="67B5AB9C" w14:textId="6F3998C1" w:rsidR="00A07DE5" w:rsidRPr="00E01D06" w:rsidRDefault="00326788" w:rsidP="00A07DE5">
      <w:pPr>
        <w:pStyle w:val="BodyText"/>
        <w:jc w:val="right"/>
      </w:pPr>
      <m:oMath>
        <m:sSub>
          <m:sSubPr>
            <m:ctrlPr>
              <w:rPr>
                <w:rFonts w:ascii="Cambria Math" w:hAnsi="Cambria Math"/>
              </w:rPr>
            </m:ctrlPr>
          </m:sSubPr>
          <m:e>
            <m:r>
              <w:rPr>
                <w:rFonts w:ascii="Cambria Math" w:hAnsi="Cambria Math"/>
              </w:rPr>
              <m:t>∆E</m:t>
            </m:r>
          </m:e>
          <m:sub>
            <m:r>
              <w:rPr>
                <w:rFonts w:ascii="Cambria Math" w:hAnsi="Cambria Math"/>
              </w:rPr>
              <m:t>i,t</m:t>
            </m:r>
          </m:sub>
        </m:sSub>
        <m:r>
          <w:rPr>
            <w:rFonts w:ascii="Cambria Math" w:hAnsi="Cambria Math"/>
          </w:rPr>
          <m:t>=ln(expor</m:t>
        </m:r>
        <m:sSub>
          <m:sSubPr>
            <m:ctrlPr>
              <w:rPr>
                <w:rFonts w:ascii="Cambria Math" w:hAnsi="Cambria Math"/>
                <w:i/>
              </w:rPr>
            </m:ctrlPr>
          </m:sSubPr>
          <m:e>
            <m:r>
              <w:rPr>
                <w:rFonts w:ascii="Cambria Math" w:hAnsi="Cambria Math"/>
              </w:rPr>
              <m:t>tvalue</m:t>
            </m:r>
          </m:e>
          <m:sub>
            <m:r>
              <w:rPr>
                <w:rFonts w:ascii="Cambria Math" w:hAnsi="Cambria Math"/>
              </w:rPr>
              <m:t>i,t</m:t>
            </m:r>
          </m:sub>
        </m:sSub>
        <m:r>
          <w:rPr>
            <w:rFonts w:ascii="Cambria Math" w:hAnsi="Cambria Math"/>
          </w:rPr>
          <m:t>- expor</m:t>
        </m:r>
        <m:sSub>
          <m:sSubPr>
            <m:ctrlPr>
              <w:rPr>
                <w:rFonts w:ascii="Cambria Math" w:hAnsi="Cambria Math"/>
                <w:i/>
              </w:rPr>
            </m:ctrlPr>
          </m:sSubPr>
          <m:e>
            <m:r>
              <w:rPr>
                <w:rFonts w:ascii="Cambria Math" w:hAnsi="Cambria Math"/>
              </w:rPr>
              <m:t>tvalue</m:t>
            </m:r>
          </m:e>
          <m:sub>
            <m:r>
              <w:rPr>
                <w:rFonts w:ascii="Cambria Math" w:hAnsi="Cambria Math"/>
              </w:rPr>
              <m:t>i,t-1</m:t>
            </m:r>
          </m:sub>
        </m:sSub>
        <m:r>
          <w:rPr>
            <w:rFonts w:ascii="Cambria Math" w:hAnsi="Cambria Math"/>
          </w:rPr>
          <m:t>)</m:t>
        </m:r>
      </m:oMath>
      <w:r w:rsidR="00A07DE5">
        <w:rPr>
          <w:rFonts w:eastAsiaTheme="minorEastAsia"/>
        </w:rPr>
        <w:t xml:space="preserve">   </w:t>
      </w:r>
      <w:r w:rsidR="00A07DE5">
        <w:rPr>
          <w:rFonts w:eastAsiaTheme="minorEastAsia"/>
        </w:rPr>
        <w:tab/>
      </w:r>
      <w:r w:rsidR="00A07DE5">
        <w:rPr>
          <w:rFonts w:eastAsiaTheme="minorEastAsia"/>
        </w:rPr>
        <w:tab/>
      </w:r>
      <w:r w:rsidR="00A07DE5">
        <w:rPr>
          <w:rFonts w:eastAsiaTheme="minorEastAsia"/>
        </w:rPr>
        <w:tab/>
      </w:r>
      <w:r w:rsidR="003D50E0">
        <w:rPr>
          <w:rFonts w:eastAsiaTheme="minorEastAsia"/>
        </w:rPr>
        <w:t>(</w:t>
      </w:r>
      <w:r w:rsidR="000747AF">
        <w:rPr>
          <w:rFonts w:eastAsiaTheme="minorEastAsia"/>
        </w:rPr>
        <w:t>7</w:t>
      </w:r>
      <w:r w:rsidR="00A07DE5">
        <w:rPr>
          <w:rFonts w:eastAsiaTheme="minorEastAsia"/>
        </w:rPr>
        <w:t>)</w:t>
      </w:r>
    </w:p>
    <w:p w14:paraId="57A2C4EF" w14:textId="3DD6B998" w:rsidR="00304551" w:rsidRDefault="001A2C65" w:rsidP="008E76E2">
      <w:pPr>
        <w:pStyle w:val="BodyText"/>
        <w:rPr>
          <w:rFonts w:eastAsiaTheme="minorEastAsia"/>
        </w:rPr>
      </w:pPr>
      <m:oMath>
        <m:r>
          <w:rPr>
            <w:rFonts w:ascii="Cambria Math" w:hAnsi="Cambria Math"/>
          </w:rPr>
          <m:t xml:space="preserve">                    ∆TWI</m:t>
        </m:r>
        <m:sSub>
          <m:sSubPr>
            <m:ctrlPr>
              <w:rPr>
                <w:rFonts w:ascii="Cambria Math" w:hAnsi="Cambria Math"/>
                <w:i/>
              </w:rPr>
            </m:ctrlPr>
          </m:sSubPr>
          <m:e>
            <m:r>
              <m:rPr>
                <m:sty m:val="p"/>
              </m:rPr>
              <w:rPr>
                <w:rFonts w:ascii="Cambria Math" w:hAnsi="Cambria Math"/>
              </w:rPr>
              <w:softHyphen/>
            </m:r>
          </m:e>
          <m:sub>
            <m:r>
              <w:rPr>
                <w:rFonts w:ascii="Cambria Math" w:hAnsi="Cambria Math"/>
              </w:rPr>
              <m:t>t</m:t>
            </m:r>
          </m:sub>
        </m:sSub>
        <m:r>
          <w:rPr>
            <w:rFonts w:ascii="Cambria Math" w:hAnsi="Cambria Math"/>
          </w:rPr>
          <m:t>=ln( TWI</m:t>
        </m:r>
        <m:sSub>
          <m:sSubPr>
            <m:ctrlPr>
              <w:rPr>
                <w:rFonts w:ascii="Cambria Math" w:hAnsi="Cambria Math"/>
                <w:i/>
              </w:rPr>
            </m:ctrlPr>
          </m:sSubPr>
          <m:e>
            <m:r>
              <m:rPr>
                <m:sty m:val="p"/>
              </m:rPr>
              <w:rPr>
                <w:rFonts w:ascii="Cambria Math" w:hAnsi="Cambria Math"/>
              </w:rPr>
              <w:softHyphen/>
            </m:r>
          </m:e>
          <m:sub>
            <m:r>
              <w:rPr>
                <w:rFonts w:ascii="Cambria Math" w:hAnsi="Cambria Math"/>
              </w:rPr>
              <m:t>t</m:t>
            </m:r>
          </m:sub>
        </m:sSub>
        <m:r>
          <w:rPr>
            <w:rFonts w:ascii="Cambria Math" w:hAnsi="Cambria Math"/>
          </w:rPr>
          <m:t>-TWI</m:t>
        </m:r>
        <m:sSub>
          <m:sSubPr>
            <m:ctrlPr>
              <w:rPr>
                <w:rFonts w:ascii="Cambria Math" w:hAnsi="Cambria Math"/>
                <w:i/>
              </w:rPr>
            </m:ctrlPr>
          </m:sSubPr>
          <m:e>
            <m:r>
              <m:rPr>
                <m:sty m:val="p"/>
              </m:rPr>
              <w:rPr>
                <w:rFonts w:ascii="Cambria Math" w:hAnsi="Cambria Math"/>
              </w:rPr>
              <w:softHyphen/>
            </m:r>
          </m:e>
          <m:sub>
            <m:r>
              <w:rPr>
                <w:rFonts w:ascii="Cambria Math" w:hAnsi="Cambria Math"/>
              </w:rPr>
              <m:t>t-1</m:t>
            </m:r>
          </m:sub>
        </m:sSub>
        <m:r>
          <w:rPr>
            <w:rFonts w:ascii="Cambria Math" w:hAnsi="Cambria Math"/>
          </w:rPr>
          <m:t>)</m:t>
        </m:r>
      </m:oMath>
      <w:r w:rsidR="007B12B9" w:rsidRPr="007B12B9">
        <w:rPr>
          <w:rFonts w:eastAsiaTheme="minorEastAsia"/>
        </w:rPr>
        <w:t xml:space="preserve"> </w:t>
      </w:r>
      <w:r w:rsidR="007B12B9">
        <w:rPr>
          <w:rFonts w:eastAsiaTheme="minorEastAsia"/>
        </w:rPr>
        <w:t xml:space="preserve">                                                          </w:t>
      </w:r>
      <w:r w:rsidR="003D50E0">
        <w:rPr>
          <w:rFonts w:eastAsiaTheme="minorEastAsia"/>
        </w:rPr>
        <w:t>(</w:t>
      </w:r>
      <w:r w:rsidR="000747AF">
        <w:rPr>
          <w:rFonts w:eastAsiaTheme="minorEastAsia"/>
        </w:rPr>
        <w:t>8</w:t>
      </w:r>
      <w:r w:rsidR="003D50E0">
        <w:rPr>
          <w:rFonts w:eastAsiaTheme="minorEastAsia"/>
        </w:rPr>
        <w:t>)</w:t>
      </w:r>
      <w:r w:rsidR="00304551">
        <w:rPr>
          <w:rFonts w:eastAsiaTheme="minorEastAsia"/>
        </w:rPr>
        <w:t xml:space="preserve">         </w:t>
      </w:r>
    </w:p>
    <w:p w14:paraId="63ABC82A" w14:textId="69504693" w:rsidR="001A59EC" w:rsidRDefault="001A59EC" w:rsidP="008E76E2">
      <w:pPr>
        <w:pStyle w:val="BodyText"/>
        <w:rPr>
          <w:rFonts w:eastAsiaTheme="minorEastAsia"/>
        </w:rPr>
      </w:pPr>
      <w:r>
        <w:rPr>
          <w:rFonts w:eastAsiaTheme="minorEastAsia"/>
        </w:rPr>
        <w:t>All coefficients in (</w:t>
      </w:r>
      <w:r w:rsidR="000747AF">
        <w:rPr>
          <w:rFonts w:eastAsiaTheme="minorEastAsia"/>
        </w:rPr>
        <w:t>6</w:t>
      </w:r>
      <w:r>
        <w:rPr>
          <w:rFonts w:eastAsiaTheme="minorEastAsia"/>
        </w:rPr>
        <w:t xml:space="preserve">) are statistically significant. Firm size and export intensity are positively related to the </w:t>
      </w:r>
      <w:r w:rsidR="00B93B1C">
        <w:rPr>
          <w:rFonts w:eastAsiaTheme="minorEastAsia"/>
        </w:rPr>
        <w:t>growth in</w:t>
      </w:r>
      <w:r>
        <w:rPr>
          <w:rFonts w:eastAsiaTheme="minorEastAsia"/>
        </w:rPr>
        <w:t xml:space="preserve"> export sales</w:t>
      </w:r>
      <w:r w:rsidR="00763C08">
        <w:rPr>
          <w:rFonts w:eastAsiaTheme="minorEastAsia"/>
        </w:rPr>
        <w:t xml:space="preserve"> and</w:t>
      </w:r>
      <w:r w:rsidR="00C04A74">
        <w:rPr>
          <w:rFonts w:eastAsiaTheme="minorEastAsia"/>
        </w:rPr>
        <w:t xml:space="preserve"> age is</w:t>
      </w:r>
      <w:r w:rsidR="0038094C">
        <w:rPr>
          <w:rFonts w:eastAsiaTheme="minorEastAsia"/>
        </w:rPr>
        <w:t xml:space="preserve"> </w:t>
      </w:r>
      <w:r w:rsidR="00C04A74">
        <w:rPr>
          <w:rFonts w:eastAsiaTheme="minorEastAsia"/>
        </w:rPr>
        <w:t>negatively related to export sale growth.</w:t>
      </w:r>
    </w:p>
    <w:p w14:paraId="33557C6D" w14:textId="77089912" w:rsidR="003A63FE" w:rsidRDefault="000747AF" w:rsidP="00A72D93">
      <w:pPr>
        <w:pStyle w:val="BodyText"/>
        <w:rPr>
          <w:rFonts w:eastAsiaTheme="minorEastAsia"/>
        </w:rPr>
      </w:pPr>
      <w:r>
        <w:rPr>
          <w:rFonts w:eastAsiaTheme="minorEastAsia"/>
        </w:rPr>
        <w:t>Later, equation (6</w:t>
      </w:r>
      <w:r w:rsidR="00B64619">
        <w:rPr>
          <w:rFonts w:eastAsiaTheme="minorEastAsia"/>
        </w:rPr>
        <w:t xml:space="preserve">) is also restricted to only BGFs, </w:t>
      </w:r>
      <w:r w:rsidR="003A63FE">
        <w:rPr>
          <w:rFonts w:eastAsiaTheme="minorEastAsia"/>
        </w:rPr>
        <w:t xml:space="preserve">to determine whether </w:t>
      </w:r>
      <w:r w:rsidR="003D7292">
        <w:rPr>
          <w:rFonts w:eastAsiaTheme="minorEastAsia"/>
        </w:rPr>
        <w:t>BGFs</w:t>
      </w:r>
      <w:r w:rsidR="003A63FE">
        <w:rPr>
          <w:rFonts w:eastAsiaTheme="minorEastAsia"/>
        </w:rPr>
        <w:t xml:space="preserve"> are more or less sensitive to exchange rate </w:t>
      </w:r>
      <w:r w:rsidR="0091724E">
        <w:rPr>
          <w:rFonts w:eastAsiaTheme="minorEastAsia"/>
        </w:rPr>
        <w:t>fluctuations</w:t>
      </w:r>
      <w:r w:rsidR="003A63FE">
        <w:rPr>
          <w:rFonts w:eastAsiaTheme="minorEastAsia"/>
        </w:rPr>
        <w:t>.</w:t>
      </w:r>
    </w:p>
    <w:p w14:paraId="67B5AB9F" w14:textId="77777777" w:rsidR="00D61B9B" w:rsidRDefault="00D61B9B" w:rsidP="007113CD">
      <w:pPr>
        <w:pStyle w:val="Heading2"/>
        <w:ind w:left="709"/>
      </w:pPr>
      <w:r>
        <w:t>Results</w:t>
      </w:r>
    </w:p>
    <w:p w14:paraId="1CD5087F" w14:textId="72C5091F" w:rsidR="00BA5C4B" w:rsidRPr="00A72D93" w:rsidRDefault="00BA5C4B" w:rsidP="00A72D93">
      <w:pPr>
        <w:pStyle w:val="BodyText"/>
      </w:pPr>
      <w:r>
        <w:t>The elasticity of export sales to the real exchange rate is -0.21</w:t>
      </w:r>
      <w:r w:rsidR="0038094C">
        <w:t>8</w:t>
      </w:r>
      <w:r>
        <w:t xml:space="preserve">, </w:t>
      </w:r>
      <w:r w:rsidR="005254B3">
        <w:t>meaning that a one per cent appreciation in the Australian real TWI exchange rate is followed by a 0.21</w:t>
      </w:r>
      <w:r w:rsidR="00786AF6">
        <w:t>8</w:t>
      </w:r>
      <w:r w:rsidR="005254B3">
        <w:t xml:space="preserve"> per cent decline in export sales in the following year. </w:t>
      </w:r>
      <w:r w:rsidR="00B52E16">
        <w:t xml:space="preserve">This is similar to the -0.3 elasticity calculated using aggregate export volumes (RBA, 2016). </w:t>
      </w:r>
      <w:r w:rsidR="005254B3">
        <w:t>This elasticity</w:t>
      </w:r>
      <w:r>
        <w:t xml:space="preserve"> is </w:t>
      </w:r>
      <w:r w:rsidR="00B52E16">
        <w:t xml:space="preserve">also </w:t>
      </w:r>
      <w:r>
        <w:t>similar to the -0.282 elasticity found for Italian firms (</w:t>
      </w:r>
      <w:r w:rsidR="00D46C78">
        <w:t>Grazzi &amp; Moschella</w:t>
      </w:r>
      <w:r>
        <w:t>, 2019)</w:t>
      </w:r>
      <w:r w:rsidR="004819E3">
        <w:t xml:space="preserve">, however it is important to note the analysis on Italian firms is restricted to manufacturing firms, while </w:t>
      </w:r>
      <w:r w:rsidR="00EF1AF4">
        <w:t>the analysis presented in this section is based on four industries</w:t>
      </w:r>
      <w:r w:rsidR="00646DBF">
        <w:t xml:space="preserve"> that represent to bulk of Australia’s exporting business population</w:t>
      </w:r>
      <w:r w:rsidR="00EF1AF4">
        <w:t>.</w:t>
      </w:r>
      <w:r>
        <w:t xml:space="preserve"> </w:t>
      </w:r>
      <w:r w:rsidR="00E00C72">
        <w:t xml:space="preserve">Coefficients on industry effects indicate wholesale trade and retail trade firms are more resilient to exchange rate </w:t>
      </w:r>
      <w:r w:rsidR="0091724E">
        <w:t>fluctuations</w:t>
      </w:r>
      <w:r w:rsidR="00E00C72">
        <w:t xml:space="preserve">. </w:t>
      </w:r>
    </w:p>
    <w:p w14:paraId="37017DB2" w14:textId="4849ECD4" w:rsidR="00E4213C" w:rsidRDefault="00E4213C" w:rsidP="00905EC1">
      <w:pPr>
        <w:pStyle w:val="BodyText"/>
      </w:pPr>
      <w:r w:rsidRPr="00A72D93">
        <w:t>Y</w:t>
      </w:r>
      <w:r w:rsidR="00092E86" w:rsidRPr="00A72D93">
        <w:t>oung</w:t>
      </w:r>
      <w:r w:rsidR="00B34AD2" w:rsidRPr="00A72D93">
        <w:t xml:space="preserve"> firms</w:t>
      </w:r>
      <w:r w:rsidR="000C3F79" w:rsidRPr="00A72D93">
        <w:t xml:space="preserve"> </w:t>
      </w:r>
      <w:r w:rsidR="00092E86" w:rsidRPr="00A72D93">
        <w:t>(less than 3 years</w:t>
      </w:r>
      <w:r w:rsidR="00C738F8" w:rsidRPr="00A72D93">
        <w:t xml:space="preserve"> old)</w:t>
      </w:r>
      <w:r w:rsidR="00092E86" w:rsidRPr="00A72D93">
        <w:t xml:space="preserve"> </w:t>
      </w:r>
      <w:r w:rsidR="00B87252" w:rsidRPr="00A72D93">
        <w:t xml:space="preserve">are </w:t>
      </w:r>
      <w:r w:rsidRPr="00A72D93">
        <w:t>more</w:t>
      </w:r>
      <w:r w:rsidR="00B73654" w:rsidRPr="00A72D93">
        <w:t xml:space="preserve"> resilient to exchange rate </w:t>
      </w:r>
      <w:r w:rsidR="0091724E">
        <w:t>fluctuations</w:t>
      </w:r>
      <w:r w:rsidR="007935E5" w:rsidRPr="00A72D93">
        <w:t xml:space="preserve"> </w:t>
      </w:r>
      <w:r w:rsidRPr="00A72D93">
        <w:t xml:space="preserve">than </w:t>
      </w:r>
      <w:r w:rsidR="00FD3B03" w:rsidRPr="00A72D93">
        <w:t>firms between 3 and 6 years old, however mature firms (</w:t>
      </w:r>
      <w:r w:rsidR="00386DC5">
        <w:t>more than 9 years old</w:t>
      </w:r>
      <w:r w:rsidR="00FD3B03" w:rsidRPr="00A72D93">
        <w:t>) are the most resilient</w:t>
      </w:r>
      <w:r w:rsidR="004D1E7A" w:rsidRPr="00A72D93">
        <w:t xml:space="preserve"> (Table 5.1)</w:t>
      </w:r>
      <w:r w:rsidR="00FD3B03" w:rsidRPr="00A72D93">
        <w:t xml:space="preserve">. </w:t>
      </w:r>
      <w:r w:rsidR="004D1E7A" w:rsidRPr="00A72D93">
        <w:t xml:space="preserve">Additional analysis using a young dummy variable further confirms young firms are more resilient to exchange rates, consistent with findings </w:t>
      </w:r>
      <w:r w:rsidR="0075529D" w:rsidRPr="00A72D93">
        <w:t xml:space="preserve">from </w:t>
      </w:r>
      <w:r w:rsidR="00D46C78">
        <w:t>Grazzi and Moschella</w:t>
      </w:r>
      <w:r w:rsidR="004D1E7A" w:rsidRPr="00A72D93">
        <w:t xml:space="preserve"> </w:t>
      </w:r>
      <w:r w:rsidR="0075529D" w:rsidRPr="00A72D93">
        <w:t xml:space="preserve">(2019) </w:t>
      </w:r>
      <w:r w:rsidR="00B72D64">
        <w:t>(Table G</w:t>
      </w:r>
      <w:r w:rsidR="00C11229">
        <w:t>.</w:t>
      </w:r>
      <w:r w:rsidR="00B72D64">
        <w:t>1, at Appendix G</w:t>
      </w:r>
      <w:r w:rsidR="004D1E7A" w:rsidRPr="00A72D93">
        <w:t xml:space="preserve">). </w:t>
      </w:r>
      <w:r w:rsidRPr="00A72D93">
        <w:t xml:space="preserve"> </w:t>
      </w:r>
    </w:p>
    <w:p w14:paraId="0D529847" w14:textId="408775BE" w:rsidR="00B73654" w:rsidRDefault="00C07957" w:rsidP="00905EC1">
      <w:pPr>
        <w:pStyle w:val="BodyText"/>
      </w:pPr>
      <w:r>
        <w:t xml:space="preserve">The relationship </w:t>
      </w:r>
      <w:r w:rsidR="0038469C">
        <w:t>between experience</w:t>
      </w:r>
      <w:r w:rsidR="00701F57">
        <w:t xml:space="preserve"> (number of years on export markets)</w:t>
      </w:r>
      <w:r w:rsidR="0038469C">
        <w:t xml:space="preserve"> </w:t>
      </w:r>
      <w:r w:rsidR="00C738F8">
        <w:t xml:space="preserve">and resilience to exchange rate </w:t>
      </w:r>
      <w:r w:rsidR="0091724E">
        <w:t>fluctuations</w:t>
      </w:r>
      <w:r w:rsidR="0038469C">
        <w:t xml:space="preserve"> is U-shaped </w:t>
      </w:r>
      <w:r w:rsidR="009D21D1">
        <w:t>–</w:t>
      </w:r>
      <w:r w:rsidR="0038469C">
        <w:t xml:space="preserve"> </w:t>
      </w:r>
      <w:r w:rsidR="009D21D1">
        <w:t xml:space="preserve">less experienced firms </w:t>
      </w:r>
      <w:r w:rsidR="008D5896">
        <w:t xml:space="preserve">(less than 3 years of export experience) </w:t>
      </w:r>
      <w:r w:rsidR="009D21D1">
        <w:t xml:space="preserve">are more resilient, but only to a certain point. Firms with between </w:t>
      </w:r>
      <w:r w:rsidR="00D12F2B">
        <w:t xml:space="preserve">3 to </w:t>
      </w:r>
      <w:r w:rsidR="009D21D1">
        <w:t xml:space="preserve">6 years of experience are the least resilient to </w:t>
      </w:r>
      <w:r w:rsidR="009D21D1">
        <w:lastRenderedPageBreak/>
        <w:t xml:space="preserve">exchange rate </w:t>
      </w:r>
      <w:r w:rsidR="0091724E">
        <w:t>fluctuations</w:t>
      </w:r>
      <w:r w:rsidR="009D21D1">
        <w:t xml:space="preserve">, but firms </w:t>
      </w:r>
      <w:r w:rsidR="00471EFC">
        <w:t xml:space="preserve">with </w:t>
      </w:r>
      <w:r w:rsidR="009D21D1">
        <w:t>6</w:t>
      </w:r>
      <w:r w:rsidR="00922070">
        <w:t>-9</w:t>
      </w:r>
      <w:r w:rsidR="009D21D1">
        <w:t xml:space="preserve"> years </w:t>
      </w:r>
      <w:r w:rsidR="00CB4418">
        <w:t>of experience</w:t>
      </w:r>
      <w:r w:rsidR="004862F8">
        <w:t xml:space="preserve"> </w:t>
      </w:r>
      <w:r w:rsidR="009D21D1">
        <w:t>are the most resilient.</w:t>
      </w:r>
      <w:r w:rsidR="007935E5">
        <w:t xml:space="preserve"> (Table </w:t>
      </w:r>
      <w:r w:rsidR="00B87252">
        <w:t>5</w:t>
      </w:r>
      <w:r w:rsidR="007935E5">
        <w:t>.</w:t>
      </w:r>
      <w:r w:rsidR="00EE487C">
        <w:t>2</w:t>
      </w:r>
      <w:r w:rsidR="007935E5">
        <w:t xml:space="preserve">).  </w:t>
      </w:r>
    </w:p>
    <w:p w14:paraId="67B5ABA2" w14:textId="20C91DB3" w:rsidR="00FF6C57" w:rsidRDefault="008B4D82" w:rsidP="00905EC1">
      <w:pPr>
        <w:pStyle w:val="BodyText"/>
      </w:pPr>
      <w:r>
        <w:t>The smaller the firm, the more resilient it is to exc</w:t>
      </w:r>
      <w:r w:rsidR="00D12F2B">
        <w:t>hange rate fluctuations. While m</w:t>
      </w:r>
      <w:r>
        <w:t>ic</w:t>
      </w:r>
      <w:r w:rsidR="00D12F2B">
        <w:t xml:space="preserve">ro (less than 5 employees) and </w:t>
      </w:r>
      <w:r w:rsidR="00922070">
        <w:t xml:space="preserve">other </w:t>
      </w:r>
      <w:r w:rsidR="00D12F2B">
        <w:t>s</w:t>
      </w:r>
      <w:r>
        <w:t xml:space="preserve">mall (5 to 19 employees) firms behave similarly, </w:t>
      </w:r>
      <w:r w:rsidR="004E24D9">
        <w:t xml:space="preserve">there is a steep drop </w:t>
      </w:r>
      <w:r w:rsidR="00D12F2B">
        <w:t>in the level of resilience for m</w:t>
      </w:r>
      <w:r w:rsidR="004E24D9">
        <w:t>edium (20 to 199 employees) firms</w:t>
      </w:r>
      <w:r w:rsidR="00D12F2B">
        <w:t>, and an even steeper drop for l</w:t>
      </w:r>
      <w:r w:rsidR="004E24D9">
        <w:t xml:space="preserve">arge </w:t>
      </w:r>
      <w:r w:rsidR="0059225D">
        <w:t xml:space="preserve">(200 or more employees) </w:t>
      </w:r>
      <w:r w:rsidR="005518DC">
        <w:t>firms</w:t>
      </w:r>
      <w:r w:rsidR="007F1EEE">
        <w:t xml:space="preserve"> </w:t>
      </w:r>
      <w:r w:rsidR="00B87252">
        <w:t>(Table 5</w:t>
      </w:r>
      <w:r w:rsidR="001A1982">
        <w:t>.3)</w:t>
      </w:r>
      <w:r w:rsidR="00905EC1">
        <w:t>.</w:t>
      </w:r>
    </w:p>
    <w:p w14:paraId="5D603342" w14:textId="39918D63" w:rsidR="002654B3" w:rsidRDefault="004A653D" w:rsidP="00905EC1">
      <w:pPr>
        <w:pStyle w:val="BodyText"/>
      </w:pPr>
      <w:r>
        <w:t xml:space="preserve">The </w:t>
      </w:r>
      <w:r w:rsidR="0038094C">
        <w:t>coefficients on the regressions restricted to BGFs are generally not statistically significant across different BGFs (Table 5.4).</w:t>
      </w:r>
      <w:r w:rsidR="00E60F87">
        <w:t xml:space="preserve"> Interestingly, </w:t>
      </w:r>
      <w:r w:rsidR="00D80A3A">
        <w:t xml:space="preserve">the coefficient using the one year, 25 per cent threshold </w:t>
      </w:r>
      <w:r w:rsidR="00773AEE">
        <w:t xml:space="preserve">BGF </w:t>
      </w:r>
      <w:r w:rsidR="00FC4EA8">
        <w:t xml:space="preserve">definition </w:t>
      </w:r>
      <w:r w:rsidR="00D80A3A">
        <w:t xml:space="preserve">is positive and statistically significant. </w:t>
      </w:r>
    </w:p>
    <w:p w14:paraId="10CE0BC3" w14:textId="6FABB045" w:rsidR="00A842E6" w:rsidRDefault="00A842E6" w:rsidP="004618A7">
      <w:pPr>
        <w:pStyle w:val="Caption"/>
        <w:pBdr>
          <w:top w:val="single" w:sz="2" w:space="0" w:color="595A5B"/>
        </w:pBdr>
      </w:pPr>
      <w:r w:rsidRPr="000618FB">
        <w:t xml:space="preserve">Table </w:t>
      </w:r>
      <w:r>
        <w:rPr>
          <w:noProof/>
        </w:rPr>
        <w:t>5</w:t>
      </w:r>
      <w:r w:rsidRPr="000618FB">
        <w:t>.</w:t>
      </w:r>
      <w:r w:rsidR="003D400A">
        <w:rPr>
          <w:noProof/>
        </w:rPr>
        <w:t>1</w:t>
      </w:r>
      <w:r w:rsidRPr="000618FB">
        <w:t xml:space="preserve">: </w:t>
      </w:r>
      <w:r w:rsidRPr="00A72D93">
        <w:t xml:space="preserve">Response </w:t>
      </w:r>
      <w:r w:rsidR="004618A7" w:rsidRPr="00A72D93">
        <w:t>to</w:t>
      </w:r>
      <w:r w:rsidRPr="00A72D93">
        <w:t xml:space="preserve"> exchange </w:t>
      </w:r>
      <w:r w:rsidR="004618A7" w:rsidRPr="00A72D93">
        <w:t>rate fluctuations, by firm age</w:t>
      </w:r>
      <w:r w:rsidR="004618A7">
        <w:t xml:space="preserve"> </w:t>
      </w:r>
    </w:p>
    <w:tbl>
      <w:tblPr>
        <w:tblStyle w:val="OCETable"/>
        <w:tblW w:w="5000" w:type="pct"/>
        <w:tblInd w:w="57" w:type="dxa"/>
        <w:tblLayout w:type="fixed"/>
        <w:tblLook w:val="04A0" w:firstRow="1" w:lastRow="0" w:firstColumn="1" w:lastColumn="0" w:noHBand="0" w:noVBand="1"/>
        <w:tblCaption w:val="Response to exchange rate fluctuations, by firm age "/>
        <w:tblDescription w:val="Results from equation 6, by firm age."/>
      </w:tblPr>
      <w:tblGrid>
        <w:gridCol w:w="2296"/>
        <w:gridCol w:w="2299"/>
        <w:gridCol w:w="2299"/>
      </w:tblGrid>
      <w:tr w:rsidR="00A842E6" w14:paraId="7DC0F891" w14:textId="77777777" w:rsidTr="0092519E">
        <w:trPr>
          <w:cnfStyle w:val="100000000000" w:firstRow="1" w:lastRow="0" w:firstColumn="0" w:lastColumn="0" w:oddVBand="0" w:evenVBand="0" w:oddHBand="0" w:evenHBand="0" w:firstRowFirstColumn="0" w:firstRowLastColumn="0" w:lastRowFirstColumn="0" w:lastRowLastColumn="0"/>
          <w:trHeight w:val="557"/>
          <w:tblHeader/>
        </w:trPr>
        <w:tc>
          <w:tcPr>
            <w:tcW w:w="2338" w:type="dxa"/>
          </w:tcPr>
          <w:p w14:paraId="4BA5F5CE" w14:textId="77777777" w:rsidR="00A842E6" w:rsidRDefault="00A842E6" w:rsidP="00ED1E3F">
            <w:pPr>
              <w:pStyle w:val="Tableheadertext"/>
              <w:rPr>
                <w:lang w:val="en" w:eastAsia="en-AU"/>
              </w:rPr>
            </w:pPr>
          </w:p>
        </w:tc>
        <w:tc>
          <w:tcPr>
            <w:tcW w:w="2340" w:type="dxa"/>
          </w:tcPr>
          <w:p w14:paraId="38D3C1FE" w14:textId="77777777" w:rsidR="00A842E6" w:rsidRDefault="00A842E6" w:rsidP="00ED1E3F">
            <w:pPr>
              <w:pStyle w:val="Tableheadertext"/>
              <w:jc w:val="center"/>
              <w:rPr>
                <w:lang w:val="en" w:eastAsia="en-AU"/>
              </w:rPr>
            </w:pPr>
            <w:r>
              <w:rPr>
                <w:lang w:eastAsia="en-AU"/>
              </w:rPr>
              <w:t>Change in export sales (elasticity, one year lag)</w:t>
            </w:r>
          </w:p>
        </w:tc>
        <w:tc>
          <w:tcPr>
            <w:tcW w:w="2340" w:type="dxa"/>
          </w:tcPr>
          <w:p w14:paraId="2EC6052A" w14:textId="5BAD440A" w:rsidR="00A842E6" w:rsidRDefault="003C7269" w:rsidP="00A72D93">
            <w:pPr>
              <w:pStyle w:val="Tableheadertext"/>
              <w:rPr>
                <w:lang w:val="en" w:eastAsia="en-AU"/>
              </w:rPr>
            </w:pPr>
            <w:r>
              <w:rPr>
                <w:lang w:val="en" w:eastAsia="en-AU"/>
              </w:rPr>
              <w:t xml:space="preserve">n </w:t>
            </w:r>
          </w:p>
        </w:tc>
      </w:tr>
      <w:tr w:rsidR="00A842E6" w14:paraId="5E86550B" w14:textId="77777777" w:rsidTr="00ED1E3F">
        <w:trPr>
          <w:cnfStyle w:val="000000100000" w:firstRow="0" w:lastRow="0" w:firstColumn="0" w:lastColumn="0" w:oddVBand="0" w:evenVBand="0" w:oddHBand="1" w:evenHBand="0" w:firstRowFirstColumn="0" w:firstRowLastColumn="0" w:lastRowFirstColumn="0" w:lastRowLastColumn="0"/>
          <w:trHeight w:val="169"/>
        </w:trPr>
        <w:tc>
          <w:tcPr>
            <w:tcW w:w="2338" w:type="dxa"/>
          </w:tcPr>
          <w:p w14:paraId="6F0CCA7C" w14:textId="77777777" w:rsidR="00A842E6" w:rsidRDefault="00A842E6" w:rsidP="00ED1E3F">
            <w:pPr>
              <w:pStyle w:val="Tablebodytext"/>
              <w:rPr>
                <w:lang w:val="en" w:eastAsia="en-AU"/>
              </w:rPr>
            </w:pPr>
            <w:r>
              <w:rPr>
                <w:lang w:eastAsia="en-AU"/>
              </w:rPr>
              <w:t>All exporters</w:t>
            </w:r>
          </w:p>
        </w:tc>
        <w:tc>
          <w:tcPr>
            <w:tcW w:w="2340" w:type="dxa"/>
          </w:tcPr>
          <w:p w14:paraId="58C0E1F8" w14:textId="0D6F2823" w:rsidR="00A842E6" w:rsidRDefault="002B458D" w:rsidP="00786AF6">
            <w:pPr>
              <w:pStyle w:val="Tablebodytext"/>
              <w:rPr>
                <w:lang w:val="en" w:eastAsia="en-AU"/>
              </w:rPr>
            </w:pPr>
            <w:r>
              <w:rPr>
                <w:lang w:val="en" w:eastAsia="en-AU"/>
              </w:rPr>
              <w:t>-0.2</w:t>
            </w:r>
            <w:r w:rsidR="007320B5">
              <w:rPr>
                <w:lang w:val="en" w:eastAsia="en-AU"/>
              </w:rPr>
              <w:t>1</w:t>
            </w:r>
            <w:r w:rsidR="00786AF6">
              <w:rPr>
                <w:lang w:val="en" w:eastAsia="en-AU"/>
              </w:rPr>
              <w:t>8</w:t>
            </w:r>
            <w:r>
              <w:rPr>
                <w:lang w:val="en" w:eastAsia="en-AU"/>
              </w:rPr>
              <w:t>***</w:t>
            </w:r>
          </w:p>
        </w:tc>
        <w:tc>
          <w:tcPr>
            <w:tcW w:w="2340" w:type="dxa"/>
          </w:tcPr>
          <w:p w14:paraId="7AA9C8B9" w14:textId="609AF84A" w:rsidR="00A842E6" w:rsidRDefault="003C7269" w:rsidP="00ED1E3F">
            <w:pPr>
              <w:pStyle w:val="Tablebodytext"/>
              <w:rPr>
                <w:lang w:val="en" w:eastAsia="en-AU"/>
              </w:rPr>
            </w:pPr>
            <w:r w:rsidRPr="003C7269">
              <w:rPr>
                <w:lang w:val="en" w:eastAsia="en-AU"/>
              </w:rPr>
              <w:t>160</w:t>
            </w:r>
            <w:r>
              <w:rPr>
                <w:lang w:val="en" w:eastAsia="en-AU"/>
              </w:rPr>
              <w:t>,</w:t>
            </w:r>
            <w:r w:rsidRPr="003C7269">
              <w:rPr>
                <w:lang w:val="en" w:eastAsia="en-AU"/>
              </w:rPr>
              <w:t>871</w:t>
            </w:r>
          </w:p>
        </w:tc>
      </w:tr>
      <w:tr w:rsidR="00A842E6" w14:paraId="57C8E4F1" w14:textId="77777777" w:rsidTr="00ED1E3F">
        <w:trPr>
          <w:cnfStyle w:val="000000010000" w:firstRow="0" w:lastRow="0" w:firstColumn="0" w:lastColumn="0" w:oddVBand="0" w:evenVBand="0" w:oddHBand="0" w:evenHBand="1" w:firstRowFirstColumn="0" w:firstRowLastColumn="0" w:lastRowFirstColumn="0" w:lastRowLastColumn="0"/>
          <w:trHeight w:val="275"/>
        </w:trPr>
        <w:tc>
          <w:tcPr>
            <w:tcW w:w="2338" w:type="dxa"/>
          </w:tcPr>
          <w:p w14:paraId="6279804E" w14:textId="740E7E20" w:rsidR="00A842E6" w:rsidRDefault="00A842E6" w:rsidP="00A842E6">
            <w:pPr>
              <w:pStyle w:val="Tablebodytext"/>
              <w:rPr>
                <w:lang w:val="en" w:eastAsia="en-AU"/>
              </w:rPr>
            </w:pPr>
            <w:r>
              <w:rPr>
                <w:lang w:eastAsia="en-AU"/>
              </w:rPr>
              <w:t xml:space="preserve">Less than 3 years </w:t>
            </w:r>
          </w:p>
        </w:tc>
        <w:tc>
          <w:tcPr>
            <w:tcW w:w="2340" w:type="dxa"/>
          </w:tcPr>
          <w:p w14:paraId="6A3C0D18" w14:textId="11D86A18" w:rsidR="00A842E6" w:rsidRDefault="002B458D" w:rsidP="00786AF6">
            <w:pPr>
              <w:pStyle w:val="Tablebodytext"/>
              <w:rPr>
                <w:lang w:val="en" w:eastAsia="en-AU"/>
              </w:rPr>
            </w:pPr>
            <w:r>
              <w:rPr>
                <w:lang w:val="en" w:eastAsia="en-AU"/>
              </w:rPr>
              <w:t>-0.</w:t>
            </w:r>
            <w:r w:rsidR="00786AF6">
              <w:rPr>
                <w:lang w:val="en" w:eastAsia="en-AU"/>
              </w:rPr>
              <w:t>396</w:t>
            </w:r>
            <w:r>
              <w:rPr>
                <w:lang w:val="en" w:eastAsia="en-AU"/>
              </w:rPr>
              <w:t>***</w:t>
            </w:r>
          </w:p>
        </w:tc>
        <w:tc>
          <w:tcPr>
            <w:tcW w:w="2340" w:type="dxa"/>
          </w:tcPr>
          <w:p w14:paraId="1CCF4CFA" w14:textId="2865B344" w:rsidR="00A842E6" w:rsidRDefault="003C7269" w:rsidP="00ED1E3F">
            <w:pPr>
              <w:pStyle w:val="Tablebodytext"/>
              <w:rPr>
                <w:lang w:val="en" w:eastAsia="en-AU"/>
              </w:rPr>
            </w:pPr>
            <w:r>
              <w:rPr>
                <w:lang w:val="en" w:eastAsia="en-AU"/>
              </w:rPr>
              <w:t>9,444</w:t>
            </w:r>
          </w:p>
        </w:tc>
      </w:tr>
      <w:tr w:rsidR="00A842E6" w14:paraId="397EDCAA" w14:textId="77777777" w:rsidTr="00ED1E3F">
        <w:trPr>
          <w:cnfStyle w:val="000000100000" w:firstRow="0" w:lastRow="0" w:firstColumn="0" w:lastColumn="0" w:oddVBand="0" w:evenVBand="0" w:oddHBand="1" w:evenHBand="0" w:firstRowFirstColumn="0" w:firstRowLastColumn="0" w:lastRowFirstColumn="0" w:lastRowLastColumn="0"/>
          <w:trHeight w:val="169"/>
        </w:trPr>
        <w:tc>
          <w:tcPr>
            <w:tcW w:w="2338" w:type="dxa"/>
          </w:tcPr>
          <w:p w14:paraId="5103CE63" w14:textId="4B543137" w:rsidR="00A842E6" w:rsidRDefault="00A842E6" w:rsidP="00ED1E3F">
            <w:pPr>
              <w:pStyle w:val="Tablebodytext"/>
              <w:rPr>
                <w:lang w:val="en" w:eastAsia="en-AU"/>
              </w:rPr>
            </w:pPr>
            <w:r>
              <w:rPr>
                <w:lang w:eastAsia="en-AU"/>
              </w:rPr>
              <w:t xml:space="preserve">3-6 years </w:t>
            </w:r>
          </w:p>
        </w:tc>
        <w:tc>
          <w:tcPr>
            <w:tcW w:w="2340" w:type="dxa"/>
          </w:tcPr>
          <w:p w14:paraId="1A1187D4" w14:textId="0019B367" w:rsidR="00A842E6" w:rsidRDefault="002B458D" w:rsidP="00786AF6">
            <w:pPr>
              <w:pStyle w:val="Tablebodytext"/>
              <w:rPr>
                <w:lang w:val="en" w:eastAsia="en-AU"/>
              </w:rPr>
            </w:pPr>
            <w:r>
              <w:rPr>
                <w:lang w:val="en" w:eastAsia="en-AU"/>
              </w:rPr>
              <w:t>-0.</w:t>
            </w:r>
            <w:r w:rsidR="00786AF6">
              <w:rPr>
                <w:lang w:val="en" w:eastAsia="en-AU"/>
              </w:rPr>
              <w:t>448</w:t>
            </w:r>
            <w:r>
              <w:rPr>
                <w:lang w:val="en" w:eastAsia="en-AU"/>
              </w:rPr>
              <w:t>***</w:t>
            </w:r>
          </w:p>
        </w:tc>
        <w:tc>
          <w:tcPr>
            <w:tcW w:w="2340" w:type="dxa"/>
          </w:tcPr>
          <w:p w14:paraId="2D949E04" w14:textId="28210AD4" w:rsidR="00A842E6" w:rsidRDefault="003C7269" w:rsidP="00ED1E3F">
            <w:pPr>
              <w:pStyle w:val="Tablebodytext"/>
              <w:rPr>
                <w:lang w:val="en" w:eastAsia="en-AU"/>
              </w:rPr>
            </w:pPr>
            <w:r>
              <w:rPr>
                <w:lang w:val="en" w:eastAsia="en-AU"/>
              </w:rPr>
              <w:t>34,126</w:t>
            </w:r>
          </w:p>
        </w:tc>
      </w:tr>
      <w:tr w:rsidR="00A842E6" w14:paraId="1B76BD89" w14:textId="77777777" w:rsidTr="00ED1E3F">
        <w:trPr>
          <w:cnfStyle w:val="000000010000" w:firstRow="0" w:lastRow="0" w:firstColumn="0" w:lastColumn="0" w:oddVBand="0" w:evenVBand="0" w:oddHBand="0" w:evenHBand="1" w:firstRowFirstColumn="0" w:firstRowLastColumn="0" w:lastRowFirstColumn="0" w:lastRowLastColumn="0"/>
          <w:trHeight w:val="169"/>
        </w:trPr>
        <w:tc>
          <w:tcPr>
            <w:tcW w:w="2338" w:type="dxa"/>
          </w:tcPr>
          <w:p w14:paraId="52E43E19" w14:textId="3EAFE97C" w:rsidR="00A842E6" w:rsidRDefault="00A842E6" w:rsidP="00ED1E3F">
            <w:pPr>
              <w:pStyle w:val="Tablebodytext"/>
              <w:rPr>
                <w:lang w:val="en" w:eastAsia="en-AU"/>
              </w:rPr>
            </w:pPr>
            <w:r>
              <w:rPr>
                <w:lang w:eastAsia="en-AU"/>
              </w:rPr>
              <w:t xml:space="preserve">6-9 years </w:t>
            </w:r>
          </w:p>
        </w:tc>
        <w:tc>
          <w:tcPr>
            <w:tcW w:w="2340" w:type="dxa"/>
          </w:tcPr>
          <w:p w14:paraId="192F24D8" w14:textId="78788477" w:rsidR="00A842E6" w:rsidRDefault="002B458D" w:rsidP="007320B5">
            <w:pPr>
              <w:pStyle w:val="Tablebodytext"/>
              <w:rPr>
                <w:lang w:val="en" w:eastAsia="en-AU"/>
              </w:rPr>
            </w:pPr>
            <w:r>
              <w:rPr>
                <w:lang w:val="en" w:eastAsia="en-AU"/>
              </w:rPr>
              <w:t>-0.</w:t>
            </w:r>
            <w:r w:rsidR="00786AF6">
              <w:rPr>
                <w:lang w:val="en" w:eastAsia="en-AU"/>
              </w:rPr>
              <w:t>1</w:t>
            </w:r>
            <w:r w:rsidR="007320B5">
              <w:rPr>
                <w:lang w:val="en" w:eastAsia="en-AU"/>
              </w:rPr>
              <w:t>88</w:t>
            </w:r>
            <w:r>
              <w:rPr>
                <w:lang w:val="en" w:eastAsia="en-AU"/>
              </w:rPr>
              <w:t>***</w:t>
            </w:r>
          </w:p>
        </w:tc>
        <w:tc>
          <w:tcPr>
            <w:tcW w:w="2340" w:type="dxa"/>
          </w:tcPr>
          <w:p w14:paraId="40A52B31" w14:textId="019F114F" w:rsidR="00A842E6" w:rsidRDefault="003C7269" w:rsidP="00ED1E3F">
            <w:pPr>
              <w:pStyle w:val="Tablebodytext"/>
              <w:rPr>
                <w:lang w:val="en" w:eastAsia="en-AU"/>
              </w:rPr>
            </w:pPr>
            <w:r>
              <w:rPr>
                <w:lang w:val="en" w:eastAsia="en-AU"/>
              </w:rPr>
              <w:t>22,718</w:t>
            </w:r>
          </w:p>
        </w:tc>
      </w:tr>
      <w:tr w:rsidR="00A842E6" w14:paraId="302132D3" w14:textId="77777777" w:rsidTr="00ED1E3F">
        <w:trPr>
          <w:cnfStyle w:val="000000100000" w:firstRow="0" w:lastRow="0" w:firstColumn="0" w:lastColumn="0" w:oddVBand="0" w:evenVBand="0" w:oddHBand="1" w:evenHBand="0" w:firstRowFirstColumn="0" w:firstRowLastColumn="0" w:lastRowFirstColumn="0" w:lastRowLastColumn="0"/>
          <w:trHeight w:val="169"/>
        </w:trPr>
        <w:tc>
          <w:tcPr>
            <w:tcW w:w="2338" w:type="dxa"/>
          </w:tcPr>
          <w:p w14:paraId="2ADE4E6C" w14:textId="6BAD92E4" w:rsidR="00A842E6" w:rsidRDefault="00753132" w:rsidP="00ED1E3F">
            <w:pPr>
              <w:pStyle w:val="Tablebodytext"/>
              <w:rPr>
                <w:lang w:eastAsia="en-AU"/>
              </w:rPr>
            </w:pPr>
            <w:r>
              <w:rPr>
                <w:lang w:eastAsia="en-AU"/>
              </w:rPr>
              <w:t xml:space="preserve">More than 9 years </w:t>
            </w:r>
          </w:p>
        </w:tc>
        <w:tc>
          <w:tcPr>
            <w:tcW w:w="2340" w:type="dxa"/>
          </w:tcPr>
          <w:p w14:paraId="2D735BA1" w14:textId="65599E9A" w:rsidR="00A842E6" w:rsidRDefault="007320B5" w:rsidP="00ED1E3F">
            <w:pPr>
              <w:pStyle w:val="Tablebodytext"/>
              <w:rPr>
                <w:lang w:eastAsia="en-AU"/>
              </w:rPr>
            </w:pPr>
            <w:r>
              <w:rPr>
                <w:lang w:eastAsia="en-AU"/>
              </w:rPr>
              <w:t>-</w:t>
            </w:r>
            <w:r w:rsidR="00786AF6">
              <w:rPr>
                <w:lang w:eastAsia="en-AU"/>
              </w:rPr>
              <w:t>0.123</w:t>
            </w:r>
            <w:r w:rsidR="00A36F87">
              <w:rPr>
                <w:lang w:eastAsia="en-AU"/>
              </w:rPr>
              <w:t>***</w:t>
            </w:r>
          </w:p>
        </w:tc>
        <w:tc>
          <w:tcPr>
            <w:tcW w:w="2340" w:type="dxa"/>
          </w:tcPr>
          <w:p w14:paraId="3D8EF386" w14:textId="6CCB6B6A" w:rsidR="00A842E6" w:rsidRDefault="003C7269" w:rsidP="00ED1E3F">
            <w:pPr>
              <w:pStyle w:val="Tablebodytext"/>
              <w:rPr>
                <w:lang w:val="en" w:eastAsia="en-AU"/>
              </w:rPr>
            </w:pPr>
            <w:r>
              <w:rPr>
                <w:lang w:val="en" w:eastAsia="en-AU"/>
              </w:rPr>
              <w:t>94,583</w:t>
            </w:r>
          </w:p>
        </w:tc>
      </w:tr>
    </w:tbl>
    <w:p w14:paraId="3551F63B" w14:textId="77777777" w:rsidR="00A842E6" w:rsidRPr="0015092C" w:rsidRDefault="00A842E6" w:rsidP="00AC0AD6">
      <w:pPr>
        <w:pStyle w:val="Placeholder"/>
        <w:jc w:val="both"/>
      </w:pPr>
    </w:p>
    <w:p w14:paraId="245FF786" w14:textId="77777777" w:rsidR="00A842E6" w:rsidRDefault="00A842E6" w:rsidP="00A842E6">
      <w:pPr>
        <w:pStyle w:val="Note"/>
        <w:rPr>
          <w:lang w:eastAsia="en-AU"/>
        </w:rPr>
      </w:pPr>
      <w:r>
        <w:rPr>
          <w:lang w:eastAsia="en-AU"/>
        </w:rPr>
        <w:t>Notes: 12 month average of quarterly Australian dollar trade-weighted index used.</w:t>
      </w:r>
    </w:p>
    <w:p w14:paraId="2582EBBE" w14:textId="560312CC" w:rsidR="00A842E6" w:rsidRPr="00A842E6" w:rsidRDefault="00AC0AD6" w:rsidP="00AC0AD6">
      <w:pPr>
        <w:pStyle w:val="Source"/>
        <w:rPr>
          <w:lang w:eastAsia="en-AU"/>
        </w:rPr>
      </w:pPr>
      <w:r>
        <w:rPr>
          <w:lang w:eastAsia="en-AU"/>
        </w:rPr>
        <w:t xml:space="preserve">Source: </w:t>
      </w:r>
      <w:r w:rsidR="00DA6E85">
        <w:rPr>
          <w:lang w:eastAsia="en-AU"/>
        </w:rPr>
        <w:t>BLADE (2019)</w:t>
      </w:r>
      <w:r>
        <w:rPr>
          <w:lang w:eastAsia="en-AU"/>
        </w:rPr>
        <w:t>; RBA (</w:t>
      </w:r>
      <w:r w:rsidR="00DA6E85">
        <w:rPr>
          <w:lang w:eastAsia="en-AU"/>
        </w:rPr>
        <w:t>2019</w:t>
      </w:r>
      <w:r>
        <w:rPr>
          <w:lang w:eastAsia="en-AU"/>
        </w:rPr>
        <w:t>)</w:t>
      </w:r>
    </w:p>
    <w:p w14:paraId="33E1F7E6" w14:textId="700A51E2" w:rsidR="0015092C" w:rsidRPr="0015092C" w:rsidRDefault="004A28DF" w:rsidP="004618A7">
      <w:pPr>
        <w:pStyle w:val="Caption"/>
      </w:pPr>
      <w:r w:rsidRPr="000618FB">
        <w:t xml:space="preserve">Table </w:t>
      </w:r>
      <w:r w:rsidR="0012237B">
        <w:rPr>
          <w:noProof/>
        </w:rPr>
        <w:t>5</w:t>
      </w:r>
      <w:r w:rsidRPr="000618FB">
        <w:t>.</w:t>
      </w:r>
      <w:r w:rsidR="009A4273">
        <w:rPr>
          <w:noProof/>
        </w:rPr>
        <w:t>2</w:t>
      </w:r>
      <w:r w:rsidRPr="000618FB">
        <w:t xml:space="preserve">: </w:t>
      </w:r>
      <w:r w:rsidR="00DF268C" w:rsidRPr="00DF268C">
        <w:t xml:space="preserve">Response to exchange rate fluctuations, by </w:t>
      </w:r>
      <w:r w:rsidR="00DF268C">
        <w:t xml:space="preserve">experience </w:t>
      </w:r>
    </w:p>
    <w:tbl>
      <w:tblPr>
        <w:tblStyle w:val="OCETable"/>
        <w:tblW w:w="4922" w:type="pct"/>
        <w:tblInd w:w="57" w:type="dxa"/>
        <w:tblLayout w:type="fixed"/>
        <w:tblLook w:val="04A0" w:firstRow="1" w:lastRow="0" w:firstColumn="1" w:lastColumn="0" w:noHBand="0" w:noVBand="1"/>
        <w:tblCaption w:val="Response to exchange rate fluctuations, by experience "/>
        <w:tblDescription w:val="Response to exchange rate fluctuations, by firm experience"/>
      </w:tblPr>
      <w:tblGrid>
        <w:gridCol w:w="2260"/>
        <w:gridCol w:w="2263"/>
        <w:gridCol w:w="2263"/>
      </w:tblGrid>
      <w:tr w:rsidR="003C7269" w14:paraId="0C67805C" w14:textId="77777777" w:rsidTr="0092519E">
        <w:trPr>
          <w:cnfStyle w:val="100000000000" w:firstRow="1" w:lastRow="0" w:firstColumn="0" w:lastColumn="0" w:oddVBand="0" w:evenVBand="0" w:oddHBand="0" w:evenHBand="0" w:firstRowFirstColumn="0" w:firstRowLastColumn="0" w:lastRowFirstColumn="0" w:lastRowLastColumn="0"/>
          <w:trHeight w:val="576"/>
          <w:tblHeader/>
        </w:trPr>
        <w:tc>
          <w:tcPr>
            <w:tcW w:w="2260" w:type="dxa"/>
          </w:tcPr>
          <w:p w14:paraId="0F3093C4" w14:textId="5682877E" w:rsidR="003C7269" w:rsidRDefault="003C7269" w:rsidP="003C7269">
            <w:pPr>
              <w:pStyle w:val="Tableheadertext"/>
              <w:rPr>
                <w:lang w:val="en" w:eastAsia="en-AU"/>
              </w:rPr>
            </w:pPr>
          </w:p>
        </w:tc>
        <w:tc>
          <w:tcPr>
            <w:tcW w:w="2263" w:type="dxa"/>
          </w:tcPr>
          <w:p w14:paraId="162F41F2" w14:textId="0CF06F72" w:rsidR="003C7269" w:rsidRDefault="003C7269" w:rsidP="003C7269">
            <w:pPr>
              <w:pStyle w:val="Tableheadertext"/>
              <w:rPr>
                <w:lang w:val="en" w:eastAsia="en-AU"/>
              </w:rPr>
            </w:pPr>
            <w:r>
              <w:rPr>
                <w:lang w:eastAsia="en-AU"/>
              </w:rPr>
              <w:t xml:space="preserve">Change in export sales (elasticity, one year lag) </w:t>
            </w:r>
          </w:p>
        </w:tc>
        <w:tc>
          <w:tcPr>
            <w:tcW w:w="2263" w:type="dxa"/>
          </w:tcPr>
          <w:p w14:paraId="2E018C13" w14:textId="119C2A84" w:rsidR="003C7269" w:rsidRDefault="003C7269" w:rsidP="003C7269">
            <w:pPr>
              <w:pStyle w:val="Tableheadertext"/>
              <w:rPr>
                <w:lang w:val="en" w:eastAsia="en-AU"/>
              </w:rPr>
            </w:pPr>
            <w:r w:rsidRPr="004D722B">
              <w:t xml:space="preserve">n </w:t>
            </w:r>
          </w:p>
        </w:tc>
      </w:tr>
      <w:tr w:rsidR="003C7269" w14:paraId="4A5C8B6C" w14:textId="77777777" w:rsidTr="00D37AA8">
        <w:trPr>
          <w:cnfStyle w:val="000000100000" w:firstRow="0" w:lastRow="0" w:firstColumn="0" w:lastColumn="0" w:oddVBand="0" w:evenVBand="0" w:oddHBand="1" w:evenHBand="0" w:firstRowFirstColumn="0" w:firstRowLastColumn="0" w:lastRowFirstColumn="0" w:lastRowLastColumn="0"/>
          <w:trHeight w:val="284"/>
        </w:trPr>
        <w:tc>
          <w:tcPr>
            <w:tcW w:w="2260" w:type="dxa"/>
          </w:tcPr>
          <w:p w14:paraId="79B3F986" w14:textId="1239BB79" w:rsidR="003C7269" w:rsidRDefault="003C7269" w:rsidP="003C7269">
            <w:pPr>
              <w:pStyle w:val="Tablebodytext"/>
              <w:rPr>
                <w:lang w:val="en" w:eastAsia="en-AU"/>
              </w:rPr>
            </w:pPr>
            <w:r>
              <w:rPr>
                <w:lang w:eastAsia="en-AU"/>
              </w:rPr>
              <w:t>All exporters</w:t>
            </w:r>
          </w:p>
        </w:tc>
        <w:tc>
          <w:tcPr>
            <w:tcW w:w="2263" w:type="dxa"/>
          </w:tcPr>
          <w:p w14:paraId="796FA2D6" w14:textId="4536499F" w:rsidR="003C7269" w:rsidRDefault="003C7269" w:rsidP="00A36F87">
            <w:pPr>
              <w:pStyle w:val="Tablebodytext"/>
              <w:rPr>
                <w:lang w:val="en" w:eastAsia="en-AU"/>
              </w:rPr>
            </w:pPr>
            <w:r>
              <w:rPr>
                <w:lang w:eastAsia="en-AU"/>
              </w:rPr>
              <w:t>-0.</w:t>
            </w:r>
            <w:r w:rsidR="009135E1">
              <w:rPr>
                <w:lang w:eastAsia="en-AU"/>
              </w:rPr>
              <w:t>218</w:t>
            </w:r>
            <w:r>
              <w:rPr>
                <w:lang w:eastAsia="en-AU"/>
              </w:rPr>
              <w:t>***</w:t>
            </w:r>
          </w:p>
        </w:tc>
        <w:tc>
          <w:tcPr>
            <w:tcW w:w="2263" w:type="dxa"/>
          </w:tcPr>
          <w:p w14:paraId="4AC6DEC2" w14:textId="2F17B796" w:rsidR="003C7269" w:rsidRDefault="003C7269" w:rsidP="003C7269">
            <w:pPr>
              <w:pStyle w:val="Tablebodytext"/>
              <w:rPr>
                <w:lang w:val="en" w:eastAsia="en-AU"/>
              </w:rPr>
            </w:pPr>
            <w:r w:rsidRPr="004D722B">
              <w:t>160,871</w:t>
            </w:r>
          </w:p>
        </w:tc>
      </w:tr>
      <w:tr w:rsidR="003C7269" w14:paraId="7A5F13F1" w14:textId="77777777" w:rsidTr="00D37AA8">
        <w:trPr>
          <w:cnfStyle w:val="000000010000" w:firstRow="0" w:lastRow="0" w:firstColumn="0" w:lastColumn="0" w:oddVBand="0" w:evenVBand="0" w:oddHBand="0" w:evenHBand="1" w:firstRowFirstColumn="0" w:firstRowLastColumn="0" w:lastRowFirstColumn="0" w:lastRowLastColumn="0"/>
          <w:trHeight w:val="284"/>
        </w:trPr>
        <w:tc>
          <w:tcPr>
            <w:tcW w:w="2260" w:type="dxa"/>
          </w:tcPr>
          <w:p w14:paraId="5B5D8AFF" w14:textId="6A252A4D" w:rsidR="003C7269" w:rsidRDefault="003C7269" w:rsidP="003C7269">
            <w:pPr>
              <w:pStyle w:val="Tablebodytext"/>
              <w:rPr>
                <w:lang w:val="en" w:eastAsia="en-AU"/>
              </w:rPr>
            </w:pPr>
            <w:r>
              <w:rPr>
                <w:lang w:eastAsia="en-AU"/>
              </w:rPr>
              <w:t xml:space="preserve">Less than 3 years </w:t>
            </w:r>
          </w:p>
        </w:tc>
        <w:tc>
          <w:tcPr>
            <w:tcW w:w="2263" w:type="dxa"/>
          </w:tcPr>
          <w:p w14:paraId="3D98F3E1" w14:textId="7B05BC96" w:rsidR="003C7269" w:rsidRDefault="003C7269" w:rsidP="00A36F87">
            <w:pPr>
              <w:pStyle w:val="Tablebodytext"/>
              <w:rPr>
                <w:lang w:val="en" w:eastAsia="en-AU"/>
              </w:rPr>
            </w:pPr>
            <w:r>
              <w:rPr>
                <w:lang w:eastAsia="en-AU"/>
              </w:rPr>
              <w:t>-0.169***</w:t>
            </w:r>
          </w:p>
        </w:tc>
        <w:tc>
          <w:tcPr>
            <w:tcW w:w="2263" w:type="dxa"/>
          </w:tcPr>
          <w:p w14:paraId="2FD0DA9A" w14:textId="68A15699" w:rsidR="003C7269" w:rsidRDefault="003C7269" w:rsidP="003C7269">
            <w:pPr>
              <w:pStyle w:val="Tablebodytext"/>
              <w:rPr>
                <w:lang w:val="en" w:eastAsia="en-AU"/>
              </w:rPr>
            </w:pPr>
            <w:r>
              <w:t>29,332</w:t>
            </w:r>
          </w:p>
        </w:tc>
      </w:tr>
      <w:tr w:rsidR="003C7269" w14:paraId="218EDA79" w14:textId="77777777" w:rsidTr="00D37AA8">
        <w:trPr>
          <w:cnfStyle w:val="000000100000" w:firstRow="0" w:lastRow="0" w:firstColumn="0" w:lastColumn="0" w:oddVBand="0" w:evenVBand="0" w:oddHBand="1" w:evenHBand="0" w:firstRowFirstColumn="0" w:firstRowLastColumn="0" w:lastRowFirstColumn="0" w:lastRowLastColumn="0"/>
          <w:trHeight w:val="175"/>
        </w:trPr>
        <w:tc>
          <w:tcPr>
            <w:tcW w:w="2260" w:type="dxa"/>
          </w:tcPr>
          <w:p w14:paraId="2C8D0820" w14:textId="21F41FFF" w:rsidR="003C7269" w:rsidRDefault="003C7269" w:rsidP="003C7269">
            <w:pPr>
              <w:pStyle w:val="Tablebodytext"/>
              <w:rPr>
                <w:lang w:val="en" w:eastAsia="en-AU"/>
              </w:rPr>
            </w:pPr>
            <w:r>
              <w:rPr>
                <w:lang w:eastAsia="en-AU"/>
              </w:rPr>
              <w:t xml:space="preserve">3-6 years </w:t>
            </w:r>
          </w:p>
        </w:tc>
        <w:tc>
          <w:tcPr>
            <w:tcW w:w="2263" w:type="dxa"/>
          </w:tcPr>
          <w:p w14:paraId="6C22347E" w14:textId="4EFDB0D9" w:rsidR="003C7269" w:rsidRDefault="003C7269" w:rsidP="00A36F87">
            <w:pPr>
              <w:pStyle w:val="Tablebodytext"/>
              <w:rPr>
                <w:lang w:val="en" w:eastAsia="en-AU"/>
              </w:rPr>
            </w:pPr>
            <w:r>
              <w:rPr>
                <w:lang w:eastAsia="en-AU"/>
              </w:rPr>
              <w:t>-0.474***</w:t>
            </w:r>
          </w:p>
        </w:tc>
        <w:tc>
          <w:tcPr>
            <w:tcW w:w="2263" w:type="dxa"/>
          </w:tcPr>
          <w:p w14:paraId="7744B2DE" w14:textId="080F5AE4" w:rsidR="003C7269" w:rsidRDefault="003C7269" w:rsidP="003C7269">
            <w:pPr>
              <w:pStyle w:val="Tablebodytext"/>
              <w:rPr>
                <w:lang w:val="en" w:eastAsia="en-AU"/>
              </w:rPr>
            </w:pPr>
            <w:r>
              <w:t>30,892</w:t>
            </w:r>
          </w:p>
        </w:tc>
      </w:tr>
      <w:tr w:rsidR="003C7269" w14:paraId="0850D9BE" w14:textId="77777777" w:rsidTr="00D37AA8">
        <w:trPr>
          <w:cnfStyle w:val="000000010000" w:firstRow="0" w:lastRow="0" w:firstColumn="0" w:lastColumn="0" w:oddVBand="0" w:evenVBand="0" w:oddHBand="0" w:evenHBand="1" w:firstRowFirstColumn="0" w:firstRowLastColumn="0" w:lastRowFirstColumn="0" w:lastRowLastColumn="0"/>
          <w:trHeight w:val="175"/>
        </w:trPr>
        <w:tc>
          <w:tcPr>
            <w:tcW w:w="2260" w:type="dxa"/>
          </w:tcPr>
          <w:p w14:paraId="0060161F" w14:textId="66D27566" w:rsidR="003C7269" w:rsidRDefault="003C7269" w:rsidP="003C7269">
            <w:pPr>
              <w:pStyle w:val="Tablebodytext"/>
              <w:rPr>
                <w:lang w:val="en" w:eastAsia="en-AU"/>
              </w:rPr>
            </w:pPr>
            <w:r>
              <w:rPr>
                <w:lang w:val="en" w:eastAsia="en-AU"/>
              </w:rPr>
              <w:t>6-9 years</w:t>
            </w:r>
          </w:p>
        </w:tc>
        <w:tc>
          <w:tcPr>
            <w:tcW w:w="2263" w:type="dxa"/>
          </w:tcPr>
          <w:p w14:paraId="38C68EE2" w14:textId="4E860A7D" w:rsidR="003C7269" w:rsidRDefault="003C7269" w:rsidP="00A36F87">
            <w:pPr>
              <w:pStyle w:val="Tablebodytext"/>
              <w:rPr>
                <w:lang w:val="en" w:eastAsia="en-AU"/>
              </w:rPr>
            </w:pPr>
            <w:r>
              <w:rPr>
                <w:lang w:eastAsia="en-AU"/>
              </w:rPr>
              <w:t>-0.307***</w:t>
            </w:r>
          </w:p>
        </w:tc>
        <w:tc>
          <w:tcPr>
            <w:tcW w:w="2263" w:type="dxa"/>
          </w:tcPr>
          <w:p w14:paraId="34645655" w14:textId="1A670C15" w:rsidR="003C7269" w:rsidRDefault="003C7269" w:rsidP="003C7269">
            <w:pPr>
              <w:pStyle w:val="Tablebodytext"/>
              <w:rPr>
                <w:lang w:val="en" w:eastAsia="en-AU"/>
              </w:rPr>
            </w:pPr>
            <w:r>
              <w:t>36,319</w:t>
            </w:r>
          </w:p>
        </w:tc>
      </w:tr>
      <w:tr w:rsidR="003C7269" w14:paraId="0299584F" w14:textId="77777777" w:rsidTr="00D37AA8">
        <w:trPr>
          <w:cnfStyle w:val="000000100000" w:firstRow="0" w:lastRow="0" w:firstColumn="0" w:lastColumn="0" w:oddVBand="0" w:evenVBand="0" w:oddHBand="1" w:evenHBand="0" w:firstRowFirstColumn="0" w:firstRowLastColumn="0" w:lastRowFirstColumn="0" w:lastRowLastColumn="0"/>
          <w:trHeight w:val="291"/>
        </w:trPr>
        <w:tc>
          <w:tcPr>
            <w:tcW w:w="2260" w:type="dxa"/>
          </w:tcPr>
          <w:p w14:paraId="20BDFFDA" w14:textId="1338DF38" w:rsidR="003C7269" w:rsidRDefault="003C7269" w:rsidP="003C7269">
            <w:pPr>
              <w:pStyle w:val="Tablebodytext"/>
              <w:rPr>
                <w:lang w:val="en" w:eastAsia="en-AU"/>
              </w:rPr>
            </w:pPr>
            <w:r>
              <w:rPr>
                <w:lang w:eastAsia="en-AU"/>
              </w:rPr>
              <w:t>More than 9 years</w:t>
            </w:r>
          </w:p>
        </w:tc>
        <w:tc>
          <w:tcPr>
            <w:tcW w:w="2263" w:type="dxa"/>
          </w:tcPr>
          <w:p w14:paraId="5F005EA3" w14:textId="3983D5F5" w:rsidR="003C7269" w:rsidRDefault="003C7269" w:rsidP="003C7269">
            <w:pPr>
              <w:pStyle w:val="Tablebodytext"/>
              <w:rPr>
                <w:lang w:val="en" w:eastAsia="en-AU"/>
              </w:rPr>
            </w:pPr>
            <w:r>
              <w:rPr>
                <w:lang w:val="en" w:eastAsia="en-AU"/>
              </w:rPr>
              <w:t>-</w:t>
            </w:r>
          </w:p>
        </w:tc>
        <w:tc>
          <w:tcPr>
            <w:tcW w:w="2263" w:type="dxa"/>
          </w:tcPr>
          <w:p w14:paraId="2C3B863B" w14:textId="1452ACF4" w:rsidR="003C7269" w:rsidRDefault="003C7269" w:rsidP="003C7269">
            <w:pPr>
              <w:pStyle w:val="Tablebodytext"/>
              <w:rPr>
                <w:lang w:val="en" w:eastAsia="en-AU"/>
              </w:rPr>
            </w:pPr>
            <w:r>
              <w:t>64,328</w:t>
            </w:r>
          </w:p>
        </w:tc>
      </w:tr>
    </w:tbl>
    <w:p w14:paraId="520B5B4C" w14:textId="192A2AD2" w:rsidR="004A28DF" w:rsidRDefault="004A28DF" w:rsidP="004A28DF">
      <w:pPr>
        <w:pStyle w:val="Note"/>
        <w:rPr>
          <w:lang w:eastAsia="en-AU"/>
        </w:rPr>
      </w:pPr>
      <w:r>
        <w:rPr>
          <w:lang w:eastAsia="en-AU"/>
        </w:rPr>
        <w:t xml:space="preserve">Notes: </w:t>
      </w:r>
      <w:r w:rsidR="0063534A">
        <w:rPr>
          <w:lang w:eastAsia="en-AU"/>
        </w:rPr>
        <w:t xml:space="preserve">12 month average of quarterly Australian dollar </w:t>
      </w:r>
      <w:r w:rsidR="00F42567">
        <w:rPr>
          <w:lang w:eastAsia="en-AU"/>
        </w:rPr>
        <w:t xml:space="preserve">real </w:t>
      </w:r>
      <w:r w:rsidR="0063534A">
        <w:rPr>
          <w:lang w:eastAsia="en-AU"/>
        </w:rPr>
        <w:t>trade-weighted index used.</w:t>
      </w:r>
    </w:p>
    <w:p w14:paraId="3412133C" w14:textId="0C7AAE92" w:rsidR="004A28DF" w:rsidRDefault="0063534A" w:rsidP="004A28DF">
      <w:pPr>
        <w:pStyle w:val="Source"/>
        <w:rPr>
          <w:lang w:eastAsia="en-AU"/>
        </w:rPr>
      </w:pPr>
      <w:r>
        <w:rPr>
          <w:lang w:eastAsia="en-AU"/>
        </w:rPr>
        <w:t xml:space="preserve">Source: </w:t>
      </w:r>
      <w:r w:rsidR="00682763">
        <w:rPr>
          <w:lang w:eastAsia="en-AU"/>
        </w:rPr>
        <w:t>BLADE</w:t>
      </w:r>
      <w:r w:rsidR="00860F4E">
        <w:rPr>
          <w:lang w:eastAsia="en-AU"/>
        </w:rPr>
        <w:t xml:space="preserve"> (2019)</w:t>
      </w:r>
      <w:r w:rsidRPr="0063534A">
        <w:rPr>
          <w:lang w:eastAsia="en-AU"/>
        </w:rPr>
        <w:t>; RBA (</w:t>
      </w:r>
      <w:r w:rsidR="00DA6E85" w:rsidRPr="0063534A">
        <w:rPr>
          <w:lang w:eastAsia="en-AU"/>
        </w:rPr>
        <w:t>201</w:t>
      </w:r>
      <w:r w:rsidR="00DA6E85">
        <w:rPr>
          <w:lang w:eastAsia="en-AU"/>
        </w:rPr>
        <w:t>9</w:t>
      </w:r>
      <w:r w:rsidRPr="0063534A">
        <w:rPr>
          <w:lang w:eastAsia="en-AU"/>
        </w:rPr>
        <w:t>)</w:t>
      </w:r>
    </w:p>
    <w:p w14:paraId="571CE6E3" w14:textId="2884219D" w:rsidR="00633B7F" w:rsidRPr="0015092C" w:rsidRDefault="00633B7F" w:rsidP="00D37AA8">
      <w:pPr>
        <w:pStyle w:val="Caption"/>
      </w:pPr>
      <w:r w:rsidRPr="000618FB">
        <w:lastRenderedPageBreak/>
        <w:t xml:space="preserve">Table </w:t>
      </w:r>
      <w:r w:rsidR="0012237B">
        <w:rPr>
          <w:noProof/>
        </w:rPr>
        <w:t>5</w:t>
      </w:r>
      <w:r w:rsidRPr="000618FB">
        <w:t>.</w:t>
      </w:r>
      <w:r w:rsidR="00E32924">
        <w:t>3</w:t>
      </w:r>
      <w:r w:rsidRPr="000618FB">
        <w:t xml:space="preserve">: </w:t>
      </w:r>
      <w:r w:rsidRPr="00DF268C">
        <w:t xml:space="preserve">Response </w:t>
      </w:r>
      <w:r w:rsidR="004618A7">
        <w:t>to</w:t>
      </w:r>
      <w:r w:rsidRPr="00DF268C">
        <w:t xml:space="preserve"> exchange rate fluctuations, by </w:t>
      </w:r>
      <w:r w:rsidR="00D37AA8">
        <w:t xml:space="preserve">firm size </w:t>
      </w:r>
    </w:p>
    <w:tbl>
      <w:tblPr>
        <w:tblStyle w:val="OCETable"/>
        <w:tblW w:w="4991" w:type="pct"/>
        <w:tblInd w:w="57" w:type="dxa"/>
        <w:tblLayout w:type="fixed"/>
        <w:tblLook w:val="04A0" w:firstRow="1" w:lastRow="0" w:firstColumn="1" w:lastColumn="0" w:noHBand="0" w:noVBand="1"/>
        <w:tblCaption w:val="Response to exchange rate fluctuations, by firm size "/>
        <w:tblDescription w:val="Results to equation 5. Response to exchange rate fluctuations, by firm size"/>
      </w:tblPr>
      <w:tblGrid>
        <w:gridCol w:w="2294"/>
        <w:gridCol w:w="2294"/>
        <w:gridCol w:w="2294"/>
      </w:tblGrid>
      <w:tr w:rsidR="0089013B" w14:paraId="363A5DF3" w14:textId="77777777" w:rsidTr="0092519E">
        <w:trPr>
          <w:cnfStyle w:val="100000000000" w:firstRow="1" w:lastRow="0" w:firstColumn="0" w:lastColumn="0" w:oddVBand="0" w:evenVBand="0" w:oddHBand="0" w:evenHBand="0" w:firstRowFirstColumn="0" w:firstRowLastColumn="0" w:lastRowFirstColumn="0" w:lastRowLastColumn="0"/>
          <w:trHeight w:val="783"/>
          <w:tblHeader/>
        </w:trPr>
        <w:tc>
          <w:tcPr>
            <w:tcW w:w="2294" w:type="dxa"/>
          </w:tcPr>
          <w:p w14:paraId="0AD27898" w14:textId="77777777" w:rsidR="0089013B" w:rsidRDefault="0089013B" w:rsidP="0089013B">
            <w:pPr>
              <w:pStyle w:val="Tableheadertext"/>
              <w:rPr>
                <w:lang w:val="en" w:eastAsia="en-AU"/>
              </w:rPr>
            </w:pPr>
          </w:p>
        </w:tc>
        <w:tc>
          <w:tcPr>
            <w:tcW w:w="2294" w:type="dxa"/>
          </w:tcPr>
          <w:p w14:paraId="7A13AA60" w14:textId="77777777" w:rsidR="0089013B" w:rsidRDefault="0089013B" w:rsidP="0089013B">
            <w:pPr>
              <w:pStyle w:val="Tableheadertext"/>
              <w:rPr>
                <w:lang w:val="en" w:eastAsia="en-AU"/>
              </w:rPr>
            </w:pPr>
            <w:r>
              <w:rPr>
                <w:lang w:eastAsia="en-AU"/>
              </w:rPr>
              <w:t xml:space="preserve">Change in export sales (elasticity, one year lag) </w:t>
            </w:r>
          </w:p>
        </w:tc>
        <w:tc>
          <w:tcPr>
            <w:tcW w:w="2294" w:type="dxa"/>
          </w:tcPr>
          <w:p w14:paraId="5F7C14E4" w14:textId="70099D03" w:rsidR="0089013B" w:rsidRDefault="0089013B" w:rsidP="0089013B">
            <w:pPr>
              <w:pStyle w:val="Tableheadertext"/>
              <w:rPr>
                <w:lang w:val="en" w:eastAsia="en-AU"/>
              </w:rPr>
            </w:pPr>
            <w:r w:rsidRPr="00CD6B5D">
              <w:t xml:space="preserve">n </w:t>
            </w:r>
          </w:p>
        </w:tc>
      </w:tr>
      <w:tr w:rsidR="0089013B" w14:paraId="65B78D03" w14:textId="77777777" w:rsidTr="004618A7">
        <w:trPr>
          <w:cnfStyle w:val="000000100000" w:firstRow="0" w:lastRow="0" w:firstColumn="0" w:lastColumn="0" w:oddVBand="0" w:evenVBand="0" w:oddHBand="1" w:evenHBand="0" w:firstRowFirstColumn="0" w:firstRowLastColumn="0" w:lastRowFirstColumn="0" w:lastRowLastColumn="0"/>
          <w:trHeight w:val="238"/>
        </w:trPr>
        <w:tc>
          <w:tcPr>
            <w:tcW w:w="2294" w:type="dxa"/>
          </w:tcPr>
          <w:p w14:paraId="7832F510" w14:textId="3FAE2CEA" w:rsidR="0089013B" w:rsidRDefault="0089013B" w:rsidP="0089013B">
            <w:pPr>
              <w:pStyle w:val="Tablebodytext"/>
              <w:rPr>
                <w:lang w:val="en" w:eastAsia="en-AU"/>
              </w:rPr>
            </w:pPr>
            <w:r>
              <w:rPr>
                <w:lang w:eastAsia="en-AU"/>
              </w:rPr>
              <w:t>All exporters</w:t>
            </w:r>
          </w:p>
        </w:tc>
        <w:tc>
          <w:tcPr>
            <w:tcW w:w="2294" w:type="dxa"/>
          </w:tcPr>
          <w:p w14:paraId="26783BF8" w14:textId="195F1B49" w:rsidR="0089013B" w:rsidRDefault="0089013B" w:rsidP="0018466A">
            <w:pPr>
              <w:pStyle w:val="Tablebodytext"/>
              <w:rPr>
                <w:lang w:val="en" w:eastAsia="en-AU"/>
              </w:rPr>
            </w:pPr>
            <w:r>
              <w:rPr>
                <w:lang w:val="en" w:eastAsia="en-AU"/>
              </w:rPr>
              <w:t>-0.</w:t>
            </w:r>
            <w:r w:rsidR="006E2EC7">
              <w:rPr>
                <w:lang w:val="en" w:eastAsia="en-AU"/>
              </w:rPr>
              <w:t>218</w:t>
            </w:r>
            <w:r>
              <w:rPr>
                <w:lang w:val="en" w:eastAsia="en-AU"/>
              </w:rPr>
              <w:t>***</w:t>
            </w:r>
          </w:p>
        </w:tc>
        <w:tc>
          <w:tcPr>
            <w:tcW w:w="2294" w:type="dxa"/>
          </w:tcPr>
          <w:p w14:paraId="6DA172A1" w14:textId="3BD96990" w:rsidR="0089013B" w:rsidRDefault="0089013B" w:rsidP="0089013B">
            <w:pPr>
              <w:pStyle w:val="Tablebodytext"/>
              <w:rPr>
                <w:lang w:val="en" w:eastAsia="en-AU"/>
              </w:rPr>
            </w:pPr>
            <w:r w:rsidRPr="00CD6B5D">
              <w:t>160,871</w:t>
            </w:r>
          </w:p>
        </w:tc>
      </w:tr>
      <w:tr w:rsidR="0089013B" w14:paraId="3BFA9806" w14:textId="77777777" w:rsidTr="004618A7">
        <w:trPr>
          <w:cnfStyle w:val="000000010000" w:firstRow="0" w:lastRow="0" w:firstColumn="0" w:lastColumn="0" w:oddVBand="0" w:evenVBand="0" w:oddHBand="0" w:evenHBand="1" w:firstRowFirstColumn="0" w:firstRowLastColumn="0" w:lastRowFirstColumn="0" w:lastRowLastColumn="0"/>
          <w:trHeight w:val="238"/>
        </w:trPr>
        <w:tc>
          <w:tcPr>
            <w:tcW w:w="2294" w:type="dxa"/>
          </w:tcPr>
          <w:p w14:paraId="4DA9961D" w14:textId="7F3B0AC8" w:rsidR="0089013B" w:rsidRDefault="0089013B" w:rsidP="0089013B">
            <w:pPr>
              <w:pStyle w:val="Tablebodytext"/>
              <w:rPr>
                <w:lang w:val="en" w:eastAsia="en-AU"/>
              </w:rPr>
            </w:pPr>
            <w:r>
              <w:rPr>
                <w:lang w:eastAsia="en-AU"/>
              </w:rPr>
              <w:t>Micro (1-4)</w:t>
            </w:r>
          </w:p>
        </w:tc>
        <w:tc>
          <w:tcPr>
            <w:tcW w:w="2294" w:type="dxa"/>
          </w:tcPr>
          <w:p w14:paraId="1EAC7520" w14:textId="4CD59561" w:rsidR="0089013B" w:rsidRDefault="0089013B" w:rsidP="00DD197C">
            <w:pPr>
              <w:pStyle w:val="Tablebodytext"/>
              <w:rPr>
                <w:lang w:val="en" w:eastAsia="en-AU"/>
              </w:rPr>
            </w:pPr>
            <w:r>
              <w:rPr>
                <w:lang w:val="en" w:eastAsia="en-AU"/>
              </w:rPr>
              <w:t>-0.</w:t>
            </w:r>
            <w:r w:rsidR="00DD197C">
              <w:rPr>
                <w:lang w:val="en" w:eastAsia="en-AU"/>
              </w:rPr>
              <w:t>135</w:t>
            </w:r>
            <w:r>
              <w:rPr>
                <w:lang w:val="en" w:eastAsia="en-AU"/>
              </w:rPr>
              <w:t>***</w:t>
            </w:r>
          </w:p>
        </w:tc>
        <w:tc>
          <w:tcPr>
            <w:tcW w:w="2294" w:type="dxa"/>
          </w:tcPr>
          <w:p w14:paraId="5915FF93" w14:textId="0EC84645" w:rsidR="0089013B" w:rsidRDefault="0089013B" w:rsidP="0089013B">
            <w:pPr>
              <w:pStyle w:val="Tablebodytext"/>
              <w:rPr>
                <w:lang w:val="en" w:eastAsia="en-AU"/>
              </w:rPr>
            </w:pPr>
            <w:r>
              <w:t>57,110</w:t>
            </w:r>
          </w:p>
        </w:tc>
      </w:tr>
      <w:tr w:rsidR="0089013B" w14:paraId="1C587B14" w14:textId="77777777" w:rsidTr="004618A7">
        <w:trPr>
          <w:cnfStyle w:val="000000100000" w:firstRow="0" w:lastRow="0" w:firstColumn="0" w:lastColumn="0" w:oddVBand="0" w:evenVBand="0" w:oddHBand="1" w:evenHBand="0" w:firstRowFirstColumn="0" w:firstRowLastColumn="0" w:lastRowFirstColumn="0" w:lastRowLastColumn="0"/>
          <w:trHeight w:val="238"/>
        </w:trPr>
        <w:tc>
          <w:tcPr>
            <w:tcW w:w="2294" w:type="dxa"/>
          </w:tcPr>
          <w:p w14:paraId="17A6EE0E" w14:textId="4B1A89E5" w:rsidR="0089013B" w:rsidRDefault="0089013B" w:rsidP="0089013B">
            <w:pPr>
              <w:pStyle w:val="Tablebodytext"/>
              <w:rPr>
                <w:lang w:val="en" w:eastAsia="en-AU"/>
              </w:rPr>
            </w:pPr>
            <w:r>
              <w:rPr>
                <w:lang w:eastAsia="en-AU"/>
              </w:rPr>
              <w:t>Small (5-19)</w:t>
            </w:r>
          </w:p>
        </w:tc>
        <w:tc>
          <w:tcPr>
            <w:tcW w:w="2294" w:type="dxa"/>
          </w:tcPr>
          <w:p w14:paraId="2FAD50BB" w14:textId="0F6AF5F3" w:rsidR="0089013B" w:rsidRDefault="0089013B" w:rsidP="0089013B">
            <w:pPr>
              <w:pStyle w:val="Tablebodytext"/>
              <w:rPr>
                <w:lang w:val="en" w:eastAsia="en-AU"/>
              </w:rPr>
            </w:pPr>
            <w:r>
              <w:rPr>
                <w:lang w:val="en" w:eastAsia="en-AU"/>
              </w:rPr>
              <w:t>-0.23</w:t>
            </w:r>
            <w:r w:rsidR="00DD197C">
              <w:rPr>
                <w:lang w:val="en" w:eastAsia="en-AU"/>
              </w:rPr>
              <w:t>0</w:t>
            </w:r>
            <w:r>
              <w:rPr>
                <w:lang w:val="en" w:eastAsia="en-AU"/>
              </w:rPr>
              <w:t>***</w:t>
            </w:r>
          </w:p>
        </w:tc>
        <w:tc>
          <w:tcPr>
            <w:tcW w:w="2294" w:type="dxa"/>
          </w:tcPr>
          <w:p w14:paraId="26FEE9B5" w14:textId="114E54CA" w:rsidR="0089013B" w:rsidRDefault="00822E95" w:rsidP="0089013B">
            <w:pPr>
              <w:pStyle w:val="Tablebodytext"/>
              <w:rPr>
                <w:lang w:val="en" w:eastAsia="en-AU"/>
              </w:rPr>
            </w:pPr>
            <w:r>
              <w:t>53,138</w:t>
            </w:r>
          </w:p>
        </w:tc>
      </w:tr>
      <w:tr w:rsidR="0089013B" w14:paraId="11E23BE1" w14:textId="77777777" w:rsidTr="004618A7">
        <w:trPr>
          <w:cnfStyle w:val="000000010000" w:firstRow="0" w:lastRow="0" w:firstColumn="0" w:lastColumn="0" w:oddVBand="0" w:evenVBand="0" w:oddHBand="0" w:evenHBand="1" w:firstRowFirstColumn="0" w:firstRowLastColumn="0" w:lastRowFirstColumn="0" w:lastRowLastColumn="0"/>
          <w:trHeight w:val="387"/>
        </w:trPr>
        <w:tc>
          <w:tcPr>
            <w:tcW w:w="2294" w:type="dxa"/>
          </w:tcPr>
          <w:p w14:paraId="09767C32" w14:textId="4179157C" w:rsidR="0089013B" w:rsidRDefault="0089013B" w:rsidP="0089013B">
            <w:pPr>
              <w:pStyle w:val="Tablebodytext"/>
              <w:rPr>
                <w:lang w:val="en" w:eastAsia="en-AU"/>
              </w:rPr>
            </w:pPr>
            <w:r>
              <w:rPr>
                <w:lang w:val="en" w:eastAsia="en-AU"/>
              </w:rPr>
              <w:t>Medium (20-199)</w:t>
            </w:r>
          </w:p>
        </w:tc>
        <w:tc>
          <w:tcPr>
            <w:tcW w:w="2294" w:type="dxa"/>
          </w:tcPr>
          <w:p w14:paraId="05AE2BE4" w14:textId="156A1D1C" w:rsidR="0089013B" w:rsidRDefault="0089013B" w:rsidP="00DD197C">
            <w:pPr>
              <w:pStyle w:val="Tablebodytext"/>
              <w:rPr>
                <w:lang w:val="en" w:eastAsia="en-AU"/>
              </w:rPr>
            </w:pPr>
            <w:r>
              <w:rPr>
                <w:lang w:val="en" w:eastAsia="en-AU"/>
              </w:rPr>
              <w:t>-0.</w:t>
            </w:r>
            <w:r w:rsidR="00DD197C">
              <w:rPr>
                <w:lang w:val="en" w:eastAsia="en-AU"/>
              </w:rPr>
              <w:t>404</w:t>
            </w:r>
            <w:r>
              <w:rPr>
                <w:lang w:val="en" w:eastAsia="en-AU"/>
              </w:rPr>
              <w:t>***</w:t>
            </w:r>
          </w:p>
        </w:tc>
        <w:tc>
          <w:tcPr>
            <w:tcW w:w="2294" w:type="dxa"/>
          </w:tcPr>
          <w:p w14:paraId="05D68613" w14:textId="5E52F46D" w:rsidR="0089013B" w:rsidRDefault="00822E95" w:rsidP="0089013B">
            <w:pPr>
              <w:pStyle w:val="Tablebodytext"/>
              <w:rPr>
                <w:lang w:val="en" w:eastAsia="en-AU"/>
              </w:rPr>
            </w:pPr>
            <w:r>
              <w:t>28,594</w:t>
            </w:r>
          </w:p>
        </w:tc>
      </w:tr>
      <w:tr w:rsidR="0089013B" w14:paraId="785D8ECE" w14:textId="77777777" w:rsidTr="004618A7">
        <w:trPr>
          <w:cnfStyle w:val="000000100000" w:firstRow="0" w:lastRow="0" w:firstColumn="0" w:lastColumn="0" w:oddVBand="0" w:evenVBand="0" w:oddHBand="1" w:evenHBand="0" w:firstRowFirstColumn="0" w:firstRowLastColumn="0" w:lastRowFirstColumn="0" w:lastRowLastColumn="0"/>
          <w:trHeight w:val="238"/>
        </w:trPr>
        <w:tc>
          <w:tcPr>
            <w:tcW w:w="2294" w:type="dxa"/>
          </w:tcPr>
          <w:p w14:paraId="2F1FEA53" w14:textId="1601FA57" w:rsidR="0089013B" w:rsidRDefault="0089013B" w:rsidP="0089013B">
            <w:pPr>
              <w:pStyle w:val="Tablebodytext"/>
              <w:rPr>
                <w:lang w:val="en" w:eastAsia="en-AU"/>
              </w:rPr>
            </w:pPr>
            <w:r>
              <w:rPr>
                <w:lang w:eastAsia="en-AU"/>
              </w:rPr>
              <w:t xml:space="preserve">Large (200+) </w:t>
            </w:r>
          </w:p>
        </w:tc>
        <w:tc>
          <w:tcPr>
            <w:tcW w:w="2294" w:type="dxa"/>
          </w:tcPr>
          <w:p w14:paraId="58B3D245" w14:textId="406ABE95" w:rsidR="0089013B" w:rsidRDefault="0089013B" w:rsidP="0089013B">
            <w:pPr>
              <w:pStyle w:val="Tablebodytext"/>
              <w:rPr>
                <w:lang w:val="en" w:eastAsia="en-AU"/>
              </w:rPr>
            </w:pPr>
            <w:r>
              <w:rPr>
                <w:lang w:val="en" w:eastAsia="en-AU"/>
              </w:rPr>
              <w:t>-</w:t>
            </w:r>
            <w:r w:rsidR="00DD197C">
              <w:rPr>
                <w:lang w:val="en" w:eastAsia="en-AU"/>
              </w:rPr>
              <w:t>1.432*</w:t>
            </w:r>
          </w:p>
        </w:tc>
        <w:tc>
          <w:tcPr>
            <w:tcW w:w="2294" w:type="dxa"/>
          </w:tcPr>
          <w:p w14:paraId="059676F0" w14:textId="298CED34" w:rsidR="0089013B" w:rsidRDefault="00822E95" w:rsidP="0089013B">
            <w:pPr>
              <w:pStyle w:val="Tablebodytext"/>
              <w:rPr>
                <w:lang w:val="en" w:eastAsia="en-AU"/>
              </w:rPr>
            </w:pPr>
            <w:r>
              <w:t>633</w:t>
            </w:r>
          </w:p>
        </w:tc>
      </w:tr>
    </w:tbl>
    <w:p w14:paraId="7570658F" w14:textId="63AA79D8" w:rsidR="00633B7F" w:rsidRDefault="00633B7F" w:rsidP="00633B7F">
      <w:pPr>
        <w:pStyle w:val="Note"/>
        <w:rPr>
          <w:lang w:eastAsia="en-AU"/>
        </w:rPr>
      </w:pPr>
      <w:r>
        <w:rPr>
          <w:lang w:eastAsia="en-AU"/>
        </w:rPr>
        <w:t>Notes:</w:t>
      </w:r>
      <w:r w:rsidR="00B77430">
        <w:rPr>
          <w:lang w:eastAsia="en-AU"/>
        </w:rPr>
        <w:t xml:space="preserve"> </w:t>
      </w:r>
      <w:r>
        <w:rPr>
          <w:lang w:eastAsia="en-AU"/>
        </w:rPr>
        <w:t>12 month average of quarterly Australian dollar real trade-weighted index used.</w:t>
      </w:r>
    </w:p>
    <w:p w14:paraId="73F51E66" w14:textId="7FD2AA1F" w:rsidR="00633B7F" w:rsidRDefault="00633B7F" w:rsidP="00633B7F">
      <w:pPr>
        <w:pStyle w:val="Source"/>
        <w:rPr>
          <w:lang w:eastAsia="en-AU"/>
        </w:rPr>
      </w:pPr>
      <w:r>
        <w:rPr>
          <w:lang w:eastAsia="en-AU"/>
        </w:rPr>
        <w:t xml:space="preserve">Source: </w:t>
      </w:r>
      <w:r w:rsidR="00860F4E">
        <w:rPr>
          <w:lang w:eastAsia="en-AU"/>
        </w:rPr>
        <w:t>BLADE (2019)</w:t>
      </w:r>
      <w:r w:rsidRPr="0063534A">
        <w:rPr>
          <w:lang w:eastAsia="en-AU"/>
        </w:rPr>
        <w:t>; RBA (</w:t>
      </w:r>
      <w:r w:rsidR="0011232B" w:rsidRPr="0063534A">
        <w:rPr>
          <w:lang w:eastAsia="en-AU"/>
        </w:rPr>
        <w:t>201</w:t>
      </w:r>
      <w:r w:rsidR="0011232B">
        <w:rPr>
          <w:lang w:eastAsia="en-AU"/>
        </w:rPr>
        <w:t>9</w:t>
      </w:r>
      <w:r w:rsidRPr="0063534A">
        <w:rPr>
          <w:lang w:eastAsia="en-AU"/>
        </w:rPr>
        <w:t>)</w:t>
      </w:r>
    </w:p>
    <w:p w14:paraId="0C09ECB7" w14:textId="707BBBAE" w:rsidR="00AC0AD6" w:rsidRPr="0015092C" w:rsidRDefault="00AC0AD6" w:rsidP="001A59EC">
      <w:pPr>
        <w:pStyle w:val="Caption"/>
      </w:pPr>
      <w:r w:rsidRPr="000618FB">
        <w:t xml:space="preserve">Table </w:t>
      </w:r>
      <w:r>
        <w:rPr>
          <w:noProof/>
        </w:rPr>
        <w:t>5</w:t>
      </w:r>
      <w:r w:rsidRPr="000618FB">
        <w:t>.</w:t>
      </w:r>
      <w:r>
        <w:t>4</w:t>
      </w:r>
      <w:r w:rsidRPr="000618FB">
        <w:t xml:space="preserve">: </w:t>
      </w:r>
      <w:r w:rsidRPr="00DF268C">
        <w:t xml:space="preserve">Response to exchange rate fluctuations, </w:t>
      </w:r>
      <w:r w:rsidR="00C323D9">
        <w:t>by BGF definition</w:t>
      </w:r>
      <w:r>
        <w:t xml:space="preserve"> </w:t>
      </w:r>
    </w:p>
    <w:tbl>
      <w:tblPr>
        <w:tblStyle w:val="OCETable"/>
        <w:tblW w:w="5004" w:type="pct"/>
        <w:tblInd w:w="57" w:type="dxa"/>
        <w:tblLayout w:type="fixed"/>
        <w:tblLook w:val="04A0" w:firstRow="1" w:lastRow="0" w:firstColumn="1" w:lastColumn="0" w:noHBand="0" w:noVBand="1"/>
        <w:tblCaption w:val="Response to exchange rate fluctuations, by BGF definition "/>
        <w:tblDescription w:val="Results to equation 6, but restricted to BGFs. Response to exchange rate fluctuations, by BGF definition. "/>
      </w:tblPr>
      <w:tblGrid>
        <w:gridCol w:w="1744"/>
        <w:gridCol w:w="1289"/>
        <w:gridCol w:w="1289"/>
        <w:gridCol w:w="1289"/>
        <w:gridCol w:w="1289"/>
      </w:tblGrid>
      <w:tr w:rsidR="003A0A11" w14:paraId="3E12C4C5" w14:textId="67530207" w:rsidTr="0092519E">
        <w:trPr>
          <w:cnfStyle w:val="100000000000" w:firstRow="1" w:lastRow="0" w:firstColumn="0" w:lastColumn="0" w:oddVBand="0" w:evenVBand="0" w:oddHBand="0" w:evenHBand="0" w:firstRowFirstColumn="0" w:firstRowLastColumn="0" w:lastRowFirstColumn="0" w:lastRowLastColumn="0"/>
          <w:trHeight w:val="635"/>
          <w:tblHeader/>
        </w:trPr>
        <w:tc>
          <w:tcPr>
            <w:tcW w:w="1744" w:type="dxa"/>
          </w:tcPr>
          <w:p w14:paraId="73CAE9D1" w14:textId="5DA58560" w:rsidR="003A0A11" w:rsidRDefault="003A0A11" w:rsidP="002D499C">
            <w:pPr>
              <w:pStyle w:val="Tableheadertext"/>
              <w:rPr>
                <w:lang w:val="en" w:eastAsia="en-AU"/>
              </w:rPr>
            </w:pPr>
            <w:r>
              <w:rPr>
                <w:lang w:val="en" w:eastAsia="en-AU"/>
              </w:rPr>
              <w:t>Covariate</w:t>
            </w:r>
          </w:p>
        </w:tc>
        <w:tc>
          <w:tcPr>
            <w:tcW w:w="1289" w:type="dxa"/>
          </w:tcPr>
          <w:p w14:paraId="4A78DFC0" w14:textId="36191AA1" w:rsidR="003A0A11" w:rsidRDefault="003A0A11" w:rsidP="002D499C">
            <w:pPr>
              <w:pStyle w:val="Tableheadertext"/>
              <w:rPr>
                <w:lang w:val="en" w:eastAsia="en-AU"/>
              </w:rPr>
            </w:pPr>
            <w:r>
              <w:rPr>
                <w:lang w:eastAsia="en-AU"/>
              </w:rPr>
              <w:t xml:space="preserve">1 year </w:t>
            </w:r>
          </w:p>
        </w:tc>
        <w:tc>
          <w:tcPr>
            <w:tcW w:w="1289" w:type="dxa"/>
          </w:tcPr>
          <w:p w14:paraId="6EEE2FEF" w14:textId="7747E399" w:rsidR="003A0A11" w:rsidRDefault="003A0A11" w:rsidP="003A0A11">
            <w:pPr>
              <w:pStyle w:val="Tableheadertext"/>
              <w:rPr>
                <w:lang w:eastAsia="en-AU"/>
              </w:rPr>
            </w:pPr>
            <w:r>
              <w:rPr>
                <w:lang w:eastAsia="en-AU"/>
              </w:rPr>
              <w:t xml:space="preserve">1 year, 25% </w:t>
            </w:r>
          </w:p>
        </w:tc>
        <w:tc>
          <w:tcPr>
            <w:tcW w:w="1289" w:type="dxa"/>
          </w:tcPr>
          <w:p w14:paraId="60E3A722" w14:textId="10FA5727" w:rsidR="003A0A11" w:rsidRDefault="003A0A11" w:rsidP="002D499C">
            <w:pPr>
              <w:pStyle w:val="Tableheadertext"/>
              <w:rPr>
                <w:lang w:eastAsia="en-AU"/>
              </w:rPr>
            </w:pPr>
            <w:r>
              <w:rPr>
                <w:lang w:eastAsia="en-AU"/>
              </w:rPr>
              <w:t xml:space="preserve">3 year, 25% </w:t>
            </w:r>
          </w:p>
        </w:tc>
        <w:tc>
          <w:tcPr>
            <w:tcW w:w="1289" w:type="dxa"/>
          </w:tcPr>
          <w:p w14:paraId="7681C192" w14:textId="5B74D0BB" w:rsidR="003A0A11" w:rsidRDefault="003A0A11" w:rsidP="002D499C">
            <w:pPr>
              <w:pStyle w:val="Tableheadertext"/>
              <w:rPr>
                <w:lang w:eastAsia="en-AU"/>
              </w:rPr>
            </w:pPr>
            <w:r>
              <w:rPr>
                <w:lang w:eastAsia="en-AU"/>
              </w:rPr>
              <w:t>3 year, 100%</w:t>
            </w:r>
          </w:p>
        </w:tc>
      </w:tr>
      <w:tr w:rsidR="003A0A11" w14:paraId="31AF0D2F" w14:textId="69D99748" w:rsidTr="003A0A11">
        <w:trPr>
          <w:cnfStyle w:val="000000100000" w:firstRow="0" w:lastRow="0" w:firstColumn="0" w:lastColumn="0" w:oddVBand="0" w:evenVBand="0" w:oddHBand="1" w:evenHBand="0" w:firstRowFirstColumn="0" w:firstRowLastColumn="0" w:lastRowFirstColumn="0" w:lastRowLastColumn="0"/>
          <w:trHeight w:val="192"/>
        </w:trPr>
        <w:tc>
          <w:tcPr>
            <w:tcW w:w="1744" w:type="dxa"/>
          </w:tcPr>
          <w:p w14:paraId="711381DF" w14:textId="30FED993" w:rsidR="003A0A11" w:rsidRPr="004A412A" w:rsidRDefault="003A0A11" w:rsidP="00D6357D">
            <w:pPr>
              <w:pStyle w:val="Tablebodytext"/>
              <w:ind w:right="2919"/>
              <w:rPr>
                <w:lang w:val="en" w:eastAsia="en-AU"/>
              </w:rPr>
            </w:pPr>
            <m:oMathPara>
              <m:oMathParaPr>
                <m:jc m:val="left"/>
              </m:oMathParaPr>
              <m:oMath>
                <m:r>
                  <m:rPr>
                    <m:sty m:val="p"/>
                  </m:rPr>
                  <w:rPr>
                    <w:rFonts w:ascii="Cambria Math" w:hAnsi="Cambria Math"/>
                    <w:lang w:val="en" w:eastAsia="en-AU"/>
                  </w:rPr>
                  <m:t>∆TWI</m:t>
                </m:r>
                <m:sSub>
                  <m:sSubPr>
                    <m:ctrlPr>
                      <w:rPr>
                        <w:rFonts w:ascii="Cambria Math" w:hAnsi="Cambria Math"/>
                        <w:lang w:val="en" w:eastAsia="en-AU"/>
                      </w:rPr>
                    </m:ctrlPr>
                  </m:sSubPr>
                  <m:e>
                    <m:r>
                      <m:rPr>
                        <m:sty m:val="p"/>
                      </m:rPr>
                      <w:rPr>
                        <w:rFonts w:ascii="Cambria Math" w:hAnsi="Cambria Math"/>
                        <w:lang w:val="en" w:eastAsia="en-AU"/>
                      </w:rPr>
                      <w:softHyphen/>
                    </m:r>
                  </m:e>
                  <m:sub>
                    <m:r>
                      <m:rPr>
                        <m:sty m:val="p"/>
                      </m:rPr>
                      <w:rPr>
                        <w:rFonts w:ascii="Cambria Math" w:hAnsi="Cambria Math"/>
                        <w:lang w:val="en" w:eastAsia="en-AU"/>
                      </w:rPr>
                      <m:t>t-1</m:t>
                    </m:r>
                  </m:sub>
                </m:sSub>
              </m:oMath>
            </m:oMathPara>
          </w:p>
        </w:tc>
        <w:tc>
          <w:tcPr>
            <w:tcW w:w="1289" w:type="dxa"/>
          </w:tcPr>
          <w:p w14:paraId="146A2CB8" w14:textId="7DC629D0" w:rsidR="003A0A11" w:rsidRDefault="002C13BE" w:rsidP="00C323D9">
            <w:pPr>
              <w:pStyle w:val="Tablebodytext"/>
              <w:rPr>
                <w:lang w:val="en" w:eastAsia="en-AU"/>
              </w:rPr>
            </w:pPr>
            <w:r>
              <w:rPr>
                <w:lang w:val="en" w:eastAsia="en-AU"/>
              </w:rPr>
              <w:t>ª</w:t>
            </w:r>
          </w:p>
        </w:tc>
        <w:tc>
          <w:tcPr>
            <w:tcW w:w="1289" w:type="dxa"/>
          </w:tcPr>
          <w:p w14:paraId="33E363F1" w14:textId="5081B7D5" w:rsidR="003A0A11" w:rsidRDefault="00BB2F8C" w:rsidP="00DB46FA">
            <w:pPr>
              <w:pStyle w:val="Tablebodytext"/>
              <w:rPr>
                <w:lang w:val="en" w:eastAsia="en-AU"/>
              </w:rPr>
            </w:pPr>
            <w:r w:rsidRPr="00BB2F8C">
              <w:rPr>
                <w:lang w:val="en" w:eastAsia="en-AU"/>
              </w:rPr>
              <w:t>0.375**</w:t>
            </w:r>
          </w:p>
        </w:tc>
        <w:tc>
          <w:tcPr>
            <w:tcW w:w="1289" w:type="dxa"/>
          </w:tcPr>
          <w:p w14:paraId="63191DAA" w14:textId="026E03D4" w:rsidR="003A0A11" w:rsidRDefault="002C13BE" w:rsidP="002C13BE">
            <w:pPr>
              <w:pStyle w:val="Tablebodytext"/>
              <w:rPr>
                <w:lang w:val="en" w:eastAsia="en-AU"/>
              </w:rPr>
            </w:pPr>
            <w:r>
              <w:rPr>
                <w:lang w:val="en" w:eastAsia="en-AU"/>
              </w:rPr>
              <w:t>ᵇ</w:t>
            </w:r>
          </w:p>
        </w:tc>
        <w:tc>
          <w:tcPr>
            <w:tcW w:w="1289" w:type="dxa"/>
          </w:tcPr>
          <w:p w14:paraId="5B8DA701" w14:textId="2577F2A0" w:rsidR="003A0A11" w:rsidRDefault="002C13BE" w:rsidP="002C13BE">
            <w:pPr>
              <w:pStyle w:val="Tablebodytext"/>
              <w:rPr>
                <w:lang w:val="en" w:eastAsia="en-AU"/>
              </w:rPr>
            </w:pPr>
            <w:r>
              <w:rPr>
                <w:lang w:val="en" w:eastAsia="en-AU"/>
              </w:rPr>
              <w:t>ᵇ</w:t>
            </w:r>
          </w:p>
        </w:tc>
      </w:tr>
      <w:tr w:rsidR="003A0A11" w14:paraId="6AB44CEE" w14:textId="2C843ADC" w:rsidTr="003A0A11">
        <w:trPr>
          <w:cnfStyle w:val="000000010000" w:firstRow="0" w:lastRow="0" w:firstColumn="0" w:lastColumn="0" w:oddVBand="0" w:evenVBand="0" w:oddHBand="0" w:evenHBand="1" w:firstRowFirstColumn="0" w:firstRowLastColumn="0" w:lastRowFirstColumn="0" w:lastRowLastColumn="0"/>
          <w:trHeight w:val="192"/>
        </w:trPr>
        <w:tc>
          <w:tcPr>
            <w:tcW w:w="1744" w:type="dxa"/>
          </w:tcPr>
          <w:p w14:paraId="2399A243" w14:textId="46611831" w:rsidR="003A0A11" w:rsidRPr="00AA7BD8" w:rsidRDefault="003A0A11" w:rsidP="007F3CD5">
            <w:pPr>
              <w:pStyle w:val="Tablebodytext"/>
              <w:rPr>
                <w:lang w:val="en" w:eastAsia="en-AU"/>
              </w:rPr>
            </w:pPr>
            <w:r>
              <w:rPr>
                <w:lang w:val="en" w:eastAsia="en-AU"/>
              </w:rPr>
              <w:t>Export intensity</w:t>
            </w:r>
          </w:p>
        </w:tc>
        <w:tc>
          <w:tcPr>
            <w:tcW w:w="1289" w:type="dxa"/>
          </w:tcPr>
          <w:p w14:paraId="57F2A42D" w14:textId="29CE2B50" w:rsidR="003A0A11" w:rsidRDefault="0028745B" w:rsidP="0028745B">
            <w:pPr>
              <w:pStyle w:val="Tablebodytext"/>
              <w:rPr>
                <w:lang w:val="en" w:eastAsia="en-AU"/>
              </w:rPr>
            </w:pPr>
            <w:r>
              <w:rPr>
                <w:lang w:val="en" w:eastAsia="en-AU"/>
              </w:rPr>
              <w:t>3.693***</w:t>
            </w:r>
          </w:p>
        </w:tc>
        <w:tc>
          <w:tcPr>
            <w:tcW w:w="1289" w:type="dxa"/>
          </w:tcPr>
          <w:p w14:paraId="4FF2196F" w14:textId="2DF0CE5F" w:rsidR="003A0A11" w:rsidRDefault="00BB2F8C" w:rsidP="00CE08AB">
            <w:pPr>
              <w:pStyle w:val="Tablebodytext"/>
              <w:rPr>
                <w:lang w:val="en" w:eastAsia="en-AU"/>
              </w:rPr>
            </w:pPr>
            <w:r w:rsidRPr="00BB2F8C">
              <w:rPr>
                <w:lang w:val="en" w:eastAsia="en-AU"/>
              </w:rPr>
              <w:t>2.658**</w:t>
            </w:r>
          </w:p>
        </w:tc>
        <w:tc>
          <w:tcPr>
            <w:tcW w:w="1289" w:type="dxa"/>
          </w:tcPr>
          <w:p w14:paraId="5B2D3659" w14:textId="455B9FFB" w:rsidR="003A0A11" w:rsidRDefault="00BB2F8C" w:rsidP="00CE08AB">
            <w:pPr>
              <w:pStyle w:val="Tablebodytext"/>
              <w:rPr>
                <w:lang w:val="en" w:eastAsia="en-AU"/>
              </w:rPr>
            </w:pPr>
            <w:r w:rsidRPr="00BB2F8C">
              <w:rPr>
                <w:lang w:val="en" w:eastAsia="en-AU"/>
              </w:rPr>
              <w:t>2.644***</w:t>
            </w:r>
          </w:p>
        </w:tc>
        <w:tc>
          <w:tcPr>
            <w:tcW w:w="1289" w:type="dxa"/>
          </w:tcPr>
          <w:p w14:paraId="67D2D513" w14:textId="63965B73" w:rsidR="003A0A11" w:rsidRDefault="00BB2F8C" w:rsidP="00CE08AB">
            <w:pPr>
              <w:pStyle w:val="Tablebodytext"/>
              <w:rPr>
                <w:lang w:val="en" w:eastAsia="en-AU"/>
              </w:rPr>
            </w:pPr>
            <w:r w:rsidRPr="00BB2F8C">
              <w:rPr>
                <w:lang w:val="en" w:eastAsia="en-AU"/>
              </w:rPr>
              <w:t>2.189***</w:t>
            </w:r>
          </w:p>
        </w:tc>
      </w:tr>
      <w:tr w:rsidR="003A0A11" w14:paraId="1DD28525" w14:textId="76879EAA" w:rsidTr="003A0A11">
        <w:trPr>
          <w:cnfStyle w:val="000000100000" w:firstRow="0" w:lastRow="0" w:firstColumn="0" w:lastColumn="0" w:oddVBand="0" w:evenVBand="0" w:oddHBand="1" w:evenHBand="0" w:firstRowFirstColumn="0" w:firstRowLastColumn="0" w:lastRowFirstColumn="0" w:lastRowLastColumn="0"/>
          <w:trHeight w:val="192"/>
        </w:trPr>
        <w:tc>
          <w:tcPr>
            <w:tcW w:w="1744" w:type="dxa"/>
          </w:tcPr>
          <w:p w14:paraId="21F82C24" w14:textId="64C4FC99" w:rsidR="003A0A11" w:rsidRPr="00AA7BD8" w:rsidRDefault="003A0A11" w:rsidP="00DB46FA">
            <w:pPr>
              <w:pStyle w:val="Tablebodytext"/>
              <w:rPr>
                <w:lang w:val="en" w:eastAsia="en-AU"/>
              </w:rPr>
            </w:pPr>
            <w:r w:rsidRPr="00371870">
              <w:t>ln(fte)</w:t>
            </w:r>
          </w:p>
        </w:tc>
        <w:tc>
          <w:tcPr>
            <w:tcW w:w="1289" w:type="dxa"/>
          </w:tcPr>
          <w:p w14:paraId="48C22736" w14:textId="06FD3EAF" w:rsidR="003A0A11" w:rsidRDefault="0028745B" w:rsidP="00DB46FA">
            <w:pPr>
              <w:pStyle w:val="Tablebodytext"/>
              <w:rPr>
                <w:lang w:val="en" w:eastAsia="en-AU"/>
              </w:rPr>
            </w:pPr>
            <w:r>
              <w:rPr>
                <w:lang w:val="en" w:eastAsia="en-AU"/>
              </w:rPr>
              <w:t>0.725***</w:t>
            </w:r>
          </w:p>
        </w:tc>
        <w:tc>
          <w:tcPr>
            <w:tcW w:w="1289" w:type="dxa"/>
          </w:tcPr>
          <w:p w14:paraId="509C2E87" w14:textId="2238A979" w:rsidR="003A0A11" w:rsidRDefault="00BB2F8C" w:rsidP="00DB46FA">
            <w:pPr>
              <w:pStyle w:val="Tablebodytext"/>
              <w:rPr>
                <w:lang w:val="en" w:eastAsia="en-AU"/>
              </w:rPr>
            </w:pPr>
            <w:r w:rsidRPr="00BB2F8C">
              <w:rPr>
                <w:lang w:val="en" w:eastAsia="en-AU"/>
              </w:rPr>
              <w:t>0.826***</w:t>
            </w:r>
          </w:p>
        </w:tc>
        <w:tc>
          <w:tcPr>
            <w:tcW w:w="1289" w:type="dxa"/>
          </w:tcPr>
          <w:p w14:paraId="0FCA92DE" w14:textId="5974FF12" w:rsidR="003A0A11" w:rsidRDefault="00BB2F8C" w:rsidP="00DB46FA">
            <w:pPr>
              <w:pStyle w:val="Tablebodytext"/>
              <w:rPr>
                <w:lang w:val="en" w:eastAsia="en-AU"/>
              </w:rPr>
            </w:pPr>
            <w:r w:rsidRPr="00BB2F8C">
              <w:rPr>
                <w:lang w:val="en" w:eastAsia="en-AU"/>
              </w:rPr>
              <w:t>0.789***</w:t>
            </w:r>
          </w:p>
        </w:tc>
        <w:tc>
          <w:tcPr>
            <w:tcW w:w="1289" w:type="dxa"/>
          </w:tcPr>
          <w:p w14:paraId="4BDED193" w14:textId="1B511484" w:rsidR="003A0A11" w:rsidRDefault="00BB2F8C" w:rsidP="00DB46FA">
            <w:pPr>
              <w:pStyle w:val="Tablebodytext"/>
              <w:rPr>
                <w:lang w:val="en" w:eastAsia="en-AU"/>
              </w:rPr>
            </w:pPr>
            <w:r w:rsidRPr="00BB2F8C">
              <w:rPr>
                <w:lang w:val="en" w:eastAsia="en-AU"/>
              </w:rPr>
              <w:t>0.833***</w:t>
            </w:r>
          </w:p>
        </w:tc>
      </w:tr>
      <w:tr w:rsidR="003A0A11" w14:paraId="046F5094" w14:textId="054C0E5E" w:rsidTr="003A0A11">
        <w:trPr>
          <w:cnfStyle w:val="000000010000" w:firstRow="0" w:lastRow="0" w:firstColumn="0" w:lastColumn="0" w:oddVBand="0" w:evenVBand="0" w:oddHBand="0" w:evenHBand="1" w:firstRowFirstColumn="0" w:firstRowLastColumn="0" w:lastRowFirstColumn="0" w:lastRowLastColumn="0"/>
          <w:trHeight w:val="313"/>
        </w:trPr>
        <w:tc>
          <w:tcPr>
            <w:tcW w:w="1744" w:type="dxa"/>
          </w:tcPr>
          <w:p w14:paraId="304A94DD" w14:textId="741B5943" w:rsidR="003A0A11" w:rsidRPr="00AA7BD8" w:rsidRDefault="003A0A11" w:rsidP="00DB46FA">
            <w:pPr>
              <w:pStyle w:val="Tablebodytext"/>
              <w:rPr>
                <w:lang w:val="en" w:eastAsia="en-AU"/>
              </w:rPr>
            </w:pPr>
            <w:r w:rsidRPr="00371870">
              <w:t>n</w:t>
            </w:r>
          </w:p>
        </w:tc>
        <w:tc>
          <w:tcPr>
            <w:tcW w:w="1289" w:type="dxa"/>
          </w:tcPr>
          <w:p w14:paraId="383DB382" w14:textId="5D00075A" w:rsidR="003A0A11" w:rsidRPr="00A72D93" w:rsidRDefault="0028745B" w:rsidP="00DB46FA">
            <w:pPr>
              <w:pStyle w:val="Tablebodytext"/>
              <w:rPr>
                <w:lang w:val="en" w:eastAsia="en-AU"/>
              </w:rPr>
            </w:pPr>
            <w:r>
              <w:rPr>
                <w:lang w:val="en" w:eastAsia="en-AU"/>
              </w:rPr>
              <w:t>16,864</w:t>
            </w:r>
          </w:p>
        </w:tc>
        <w:tc>
          <w:tcPr>
            <w:tcW w:w="1289" w:type="dxa"/>
          </w:tcPr>
          <w:p w14:paraId="605C98BE" w14:textId="0B30E7A3" w:rsidR="003A0A11" w:rsidRPr="00A72D93" w:rsidRDefault="00093006" w:rsidP="00DB46FA">
            <w:pPr>
              <w:pStyle w:val="Tablebodytext"/>
              <w:rPr>
                <w:lang w:val="en" w:eastAsia="en-AU"/>
              </w:rPr>
            </w:pPr>
            <w:r w:rsidRPr="00093006">
              <w:rPr>
                <w:lang w:val="en" w:eastAsia="en-AU"/>
              </w:rPr>
              <w:t>5</w:t>
            </w:r>
            <w:r>
              <w:rPr>
                <w:lang w:val="en" w:eastAsia="en-AU"/>
              </w:rPr>
              <w:t>,</w:t>
            </w:r>
            <w:r w:rsidRPr="00093006">
              <w:rPr>
                <w:lang w:val="en" w:eastAsia="en-AU"/>
              </w:rPr>
              <w:t>038</w:t>
            </w:r>
          </w:p>
        </w:tc>
        <w:tc>
          <w:tcPr>
            <w:tcW w:w="1289" w:type="dxa"/>
          </w:tcPr>
          <w:p w14:paraId="7C714E5F" w14:textId="25758224" w:rsidR="003A0A11" w:rsidRPr="00A72D93" w:rsidRDefault="00BB2F8C" w:rsidP="00DB46FA">
            <w:pPr>
              <w:pStyle w:val="Tablebodytext"/>
              <w:rPr>
                <w:lang w:val="en" w:eastAsia="en-AU"/>
              </w:rPr>
            </w:pPr>
            <w:r w:rsidRPr="00BB2F8C">
              <w:rPr>
                <w:lang w:val="en" w:eastAsia="en-AU"/>
              </w:rPr>
              <w:t>12</w:t>
            </w:r>
            <w:r>
              <w:rPr>
                <w:lang w:val="en" w:eastAsia="en-AU"/>
              </w:rPr>
              <w:t>,</w:t>
            </w:r>
            <w:r w:rsidRPr="00BB2F8C">
              <w:rPr>
                <w:lang w:val="en" w:eastAsia="en-AU"/>
              </w:rPr>
              <w:t>956</w:t>
            </w:r>
          </w:p>
        </w:tc>
        <w:tc>
          <w:tcPr>
            <w:tcW w:w="1289" w:type="dxa"/>
          </w:tcPr>
          <w:p w14:paraId="51CFE9E3" w14:textId="6A6F1F14" w:rsidR="003A0A11" w:rsidRPr="00A72D93" w:rsidRDefault="00BB2F8C" w:rsidP="00DB46FA">
            <w:pPr>
              <w:pStyle w:val="Tablebodytext"/>
              <w:rPr>
                <w:lang w:val="en" w:eastAsia="en-AU"/>
              </w:rPr>
            </w:pPr>
            <w:r w:rsidRPr="00BB2F8C">
              <w:rPr>
                <w:lang w:val="en" w:eastAsia="en-AU"/>
              </w:rPr>
              <w:t>2</w:t>
            </w:r>
            <w:r>
              <w:rPr>
                <w:lang w:val="en" w:eastAsia="en-AU"/>
              </w:rPr>
              <w:t>,</w:t>
            </w:r>
            <w:r w:rsidRPr="00BB2F8C">
              <w:rPr>
                <w:lang w:val="en" w:eastAsia="en-AU"/>
              </w:rPr>
              <w:t>865</w:t>
            </w:r>
          </w:p>
        </w:tc>
      </w:tr>
      <w:tr w:rsidR="003A0A11" w14:paraId="051A8F80" w14:textId="6AA88580" w:rsidTr="003A0A11">
        <w:trPr>
          <w:cnfStyle w:val="000000100000" w:firstRow="0" w:lastRow="0" w:firstColumn="0" w:lastColumn="0" w:oddVBand="0" w:evenVBand="0" w:oddHBand="1" w:evenHBand="0" w:firstRowFirstColumn="0" w:firstRowLastColumn="0" w:lastRowFirstColumn="0" w:lastRowLastColumn="0"/>
          <w:trHeight w:val="192"/>
        </w:trPr>
        <w:tc>
          <w:tcPr>
            <w:tcW w:w="1744" w:type="dxa"/>
          </w:tcPr>
          <w:p w14:paraId="7C06ADBE" w14:textId="583C5DD1" w:rsidR="003A0A11" w:rsidRPr="00AA7BD8" w:rsidRDefault="003A0A11" w:rsidP="00DB46FA">
            <w:pPr>
              <w:pStyle w:val="Tablebodytext"/>
              <w:rPr>
                <w:lang w:val="en" w:eastAsia="en-AU"/>
              </w:rPr>
            </w:pPr>
            <w:r w:rsidRPr="00371870">
              <w:t>R²</w:t>
            </w:r>
          </w:p>
        </w:tc>
        <w:tc>
          <w:tcPr>
            <w:tcW w:w="1289" w:type="dxa"/>
          </w:tcPr>
          <w:p w14:paraId="274443B1" w14:textId="371A96BC" w:rsidR="003A0A11" w:rsidRDefault="0028745B" w:rsidP="00DB46FA">
            <w:pPr>
              <w:pStyle w:val="Tablebodytext"/>
              <w:rPr>
                <w:lang w:val="en" w:eastAsia="en-AU"/>
              </w:rPr>
            </w:pPr>
            <w:r>
              <w:rPr>
                <w:lang w:val="en" w:eastAsia="en-AU"/>
              </w:rPr>
              <w:t>0.42</w:t>
            </w:r>
          </w:p>
        </w:tc>
        <w:tc>
          <w:tcPr>
            <w:tcW w:w="1289" w:type="dxa"/>
          </w:tcPr>
          <w:p w14:paraId="63D39441" w14:textId="43DC0836" w:rsidR="003A0A11" w:rsidRDefault="00786AF6" w:rsidP="00786AF6">
            <w:pPr>
              <w:pStyle w:val="Tablebodytext"/>
              <w:rPr>
                <w:lang w:val="en" w:eastAsia="en-AU"/>
              </w:rPr>
            </w:pPr>
            <w:r w:rsidRPr="00786AF6">
              <w:rPr>
                <w:lang w:val="en" w:eastAsia="en-AU"/>
              </w:rPr>
              <w:t>0.</w:t>
            </w:r>
            <w:r>
              <w:rPr>
                <w:lang w:val="en" w:eastAsia="en-AU"/>
              </w:rPr>
              <w:t>40</w:t>
            </w:r>
          </w:p>
        </w:tc>
        <w:tc>
          <w:tcPr>
            <w:tcW w:w="1289" w:type="dxa"/>
          </w:tcPr>
          <w:p w14:paraId="0C4362B3" w14:textId="470FEDDA" w:rsidR="003A0A11" w:rsidRDefault="00497D04" w:rsidP="00DB46FA">
            <w:pPr>
              <w:pStyle w:val="Tablebodytext"/>
              <w:rPr>
                <w:lang w:val="en" w:eastAsia="en-AU"/>
              </w:rPr>
            </w:pPr>
            <w:r>
              <w:rPr>
                <w:lang w:val="en" w:eastAsia="en-AU"/>
              </w:rPr>
              <w:t>0.43</w:t>
            </w:r>
          </w:p>
        </w:tc>
        <w:tc>
          <w:tcPr>
            <w:tcW w:w="1289" w:type="dxa"/>
          </w:tcPr>
          <w:p w14:paraId="5E1681E0" w14:textId="27C9134F" w:rsidR="003A0A11" w:rsidRDefault="00497D04" w:rsidP="00DB46FA">
            <w:pPr>
              <w:pStyle w:val="Tablebodytext"/>
              <w:rPr>
                <w:lang w:val="en" w:eastAsia="en-AU"/>
              </w:rPr>
            </w:pPr>
            <w:r>
              <w:rPr>
                <w:lang w:val="en" w:eastAsia="en-AU"/>
              </w:rPr>
              <w:t>0.38</w:t>
            </w:r>
          </w:p>
        </w:tc>
      </w:tr>
    </w:tbl>
    <w:p w14:paraId="66FFC949" w14:textId="626B8161" w:rsidR="00AC0AD6" w:rsidRDefault="00AC0AD6" w:rsidP="00AC0AD6">
      <w:pPr>
        <w:pStyle w:val="Note"/>
        <w:rPr>
          <w:lang w:eastAsia="en-AU"/>
        </w:rPr>
      </w:pPr>
      <w:r>
        <w:rPr>
          <w:lang w:eastAsia="en-AU"/>
        </w:rPr>
        <w:t>Notes</w:t>
      </w:r>
      <w:r w:rsidR="00B77430">
        <w:rPr>
          <w:lang w:eastAsia="en-AU"/>
        </w:rPr>
        <w:t>:</w:t>
      </w:r>
      <w:r>
        <w:rPr>
          <w:lang w:eastAsia="en-AU"/>
        </w:rPr>
        <w:t xml:space="preserve"> 12 month average of quarterly Australian dollar real trade-weighted index used.</w:t>
      </w:r>
      <w:r w:rsidR="00881F79">
        <w:rPr>
          <w:lang w:eastAsia="en-AU"/>
        </w:rPr>
        <w:t xml:space="preserve"> </w:t>
      </w:r>
      <w:r w:rsidR="00F20C12">
        <w:rPr>
          <w:lang w:eastAsia="en-AU"/>
        </w:rPr>
        <w:t xml:space="preserve">ªResult is positive but not statistically significant. ᵇResult is negative but not statistically significant. </w:t>
      </w:r>
    </w:p>
    <w:p w14:paraId="42D4785E" w14:textId="6A3C9FE0" w:rsidR="00633B7F" w:rsidRDefault="00AC0AD6" w:rsidP="00175943">
      <w:pPr>
        <w:pStyle w:val="Source"/>
        <w:tabs>
          <w:tab w:val="left" w:pos="1701"/>
        </w:tabs>
        <w:rPr>
          <w:lang w:eastAsia="en-AU"/>
        </w:rPr>
      </w:pPr>
      <w:r>
        <w:rPr>
          <w:lang w:eastAsia="en-AU"/>
        </w:rPr>
        <w:t xml:space="preserve">Source: </w:t>
      </w:r>
      <w:r w:rsidR="003A7325">
        <w:rPr>
          <w:lang w:eastAsia="en-AU"/>
        </w:rPr>
        <w:t>BLADE</w:t>
      </w:r>
      <w:r w:rsidR="004A649D">
        <w:rPr>
          <w:lang w:eastAsia="en-AU"/>
        </w:rPr>
        <w:t xml:space="preserve"> </w:t>
      </w:r>
      <w:r w:rsidR="003A7325">
        <w:rPr>
          <w:lang w:eastAsia="en-AU"/>
        </w:rPr>
        <w:t>(2019)</w:t>
      </w:r>
      <w:r w:rsidRPr="0063534A">
        <w:rPr>
          <w:lang w:eastAsia="en-AU"/>
        </w:rPr>
        <w:t>; RBA (</w:t>
      </w:r>
      <w:r w:rsidR="0011232B" w:rsidRPr="0063534A">
        <w:rPr>
          <w:lang w:eastAsia="en-AU"/>
        </w:rPr>
        <w:t>201</w:t>
      </w:r>
      <w:r w:rsidR="0011232B">
        <w:rPr>
          <w:lang w:eastAsia="en-AU"/>
        </w:rPr>
        <w:t>9</w:t>
      </w:r>
      <w:r w:rsidRPr="0063534A">
        <w:rPr>
          <w:lang w:eastAsia="en-AU"/>
        </w:rPr>
        <w:t>)</w:t>
      </w:r>
    </w:p>
    <w:p w14:paraId="7F95D887" w14:textId="52F241B0" w:rsidR="00C36613" w:rsidRDefault="00C36613" w:rsidP="008E419B">
      <w:pPr>
        <w:pStyle w:val="Heading1"/>
        <w:numPr>
          <w:ilvl w:val="0"/>
          <w:numId w:val="9"/>
        </w:numPr>
        <w:ind w:left="709"/>
      </w:pPr>
      <w:bookmarkStart w:id="2" w:name="_Ref12866888"/>
      <w:r>
        <w:t xml:space="preserve">Implications for entrepreneurship and </w:t>
      </w:r>
      <w:bookmarkEnd w:id="2"/>
      <w:r>
        <w:t>exporting policies</w:t>
      </w:r>
    </w:p>
    <w:p w14:paraId="5BB5BAC4" w14:textId="5FAF9133" w:rsidR="008075FB" w:rsidRDefault="00043C6B" w:rsidP="003633CE">
      <w:pPr>
        <w:pStyle w:val="BodyText"/>
      </w:pPr>
      <w:r>
        <w:t xml:space="preserve">The business entry rate, the share of born global exporters as well as the exporting business share in Australia has experienced a general downward trend and has only </w:t>
      </w:r>
      <w:r w:rsidR="008075FB">
        <w:t xml:space="preserve">started to </w:t>
      </w:r>
      <w:r>
        <w:t xml:space="preserve">recover in more recent years (Figure 2.1).  </w:t>
      </w:r>
      <w:r w:rsidR="008075FB">
        <w:t>This slow recovery is concerning, given that e</w:t>
      </w:r>
      <w:r w:rsidR="008075FB" w:rsidRPr="001029E3">
        <w:t>ntrepreneurship and the entry of new firms into the market are important d</w:t>
      </w:r>
      <w:r w:rsidR="008075FB">
        <w:t>rivers of job creation and long-</w:t>
      </w:r>
      <w:r w:rsidR="008075FB" w:rsidRPr="001029E3">
        <w:t>term economic growth</w:t>
      </w:r>
      <w:r w:rsidR="008075FB">
        <w:t xml:space="preserve"> (Bakhtiari, 2019</w:t>
      </w:r>
      <w:r w:rsidR="005D74D3">
        <w:t>a</w:t>
      </w:r>
      <w:r w:rsidR="008075FB">
        <w:t xml:space="preserve">). Moreover, a sub-optimal number of exporting firms are detrimental to </w:t>
      </w:r>
      <w:r w:rsidR="005D74D3">
        <w:t xml:space="preserve">economic </w:t>
      </w:r>
      <w:r w:rsidR="008075FB">
        <w:t>growth given the evidence on the relative outperformance of exporting firms compared to similar non-exporting firms</w:t>
      </w:r>
      <w:r w:rsidR="005D74D3">
        <w:t xml:space="preserve"> in Australia</w:t>
      </w:r>
      <w:r w:rsidR="008075FB">
        <w:t xml:space="preserve"> </w:t>
      </w:r>
      <w:r w:rsidR="005D74D3">
        <w:t>(</w:t>
      </w:r>
      <w:r w:rsidR="008075FB">
        <w:t xml:space="preserve">Tuhin </w:t>
      </w:r>
      <w:r w:rsidR="005D74D3">
        <w:t>&amp;</w:t>
      </w:r>
      <w:r w:rsidR="008075FB">
        <w:t xml:space="preserve"> Swanepoel</w:t>
      </w:r>
      <w:r w:rsidR="005D74D3">
        <w:t>,</w:t>
      </w:r>
      <w:r w:rsidR="008075FB">
        <w:t xml:space="preserve"> </w:t>
      </w:r>
      <w:r w:rsidR="005D74D3">
        <w:t>2016)</w:t>
      </w:r>
      <w:r w:rsidR="008075FB">
        <w:t>.</w:t>
      </w:r>
    </w:p>
    <w:p w14:paraId="366D8847" w14:textId="661B398D" w:rsidR="003633CE" w:rsidRDefault="005D74D3" w:rsidP="003633CE">
      <w:pPr>
        <w:pStyle w:val="BodyText"/>
      </w:pPr>
      <w:r w:rsidRPr="00F61F1B">
        <w:t>While entering foreign markets are costly for firms (particularly small firms) in general,</w:t>
      </w:r>
      <w:r w:rsidRPr="00B15F81">
        <w:t xml:space="preserve"> the cohort of BGFs defies this trend </w:t>
      </w:r>
      <w:r w:rsidRPr="00F60F40">
        <w:t>given their ability</w:t>
      </w:r>
      <w:r w:rsidRPr="006E28BB">
        <w:t xml:space="preserve"> to start exporting from b</w:t>
      </w:r>
      <w:r w:rsidRPr="00664444">
        <w:t xml:space="preserve">irth. </w:t>
      </w:r>
      <w:r w:rsidR="003633CE">
        <w:t>Based on our analysis on the characteristics and performance of Australia’s BGFs, we identify the following for further policy consideration</w:t>
      </w:r>
      <w:r w:rsidR="005D0F24">
        <w:t xml:space="preserve"> to boost entrepreneurship and exporting activity</w:t>
      </w:r>
      <w:r w:rsidR="003633CE">
        <w:t>.</w:t>
      </w:r>
    </w:p>
    <w:p w14:paraId="4555C4AE" w14:textId="74ADF65A" w:rsidR="005D0F24" w:rsidRDefault="00CB332A" w:rsidP="005D0F24">
      <w:pPr>
        <w:pStyle w:val="Heading3"/>
        <w:numPr>
          <w:ilvl w:val="2"/>
          <w:numId w:val="9"/>
        </w:numPr>
      </w:pPr>
      <w:r>
        <w:lastRenderedPageBreak/>
        <w:t>E</w:t>
      </w:r>
      <w:r w:rsidR="005D0F24">
        <w:t xml:space="preserve">ntrepreneurship and exports </w:t>
      </w:r>
      <w:r>
        <w:t>are important drivers of growth</w:t>
      </w:r>
    </w:p>
    <w:p w14:paraId="049B80D7" w14:textId="2CD1D997" w:rsidR="005D0F24" w:rsidRDefault="004D3C13" w:rsidP="00F61F1B">
      <w:pPr>
        <w:pStyle w:val="BodyText"/>
      </w:pPr>
      <w:r>
        <w:t>The results of this study illustrate that BGFs outperform similar non-exporting firms in R&amp;D expenditure growth and capital expenditure growth</w:t>
      </w:r>
      <w:r w:rsidR="00CB332A">
        <w:t xml:space="preserve"> -</w:t>
      </w:r>
      <w:r>
        <w:t xml:space="preserve"> necessary investments that can lead to innovation and improved business performance in the future. BGFs als</w:t>
      </w:r>
      <w:r w:rsidR="00CB332A">
        <w:t>o</w:t>
      </w:r>
      <w:r>
        <w:t xml:space="preserve"> experience higher survival rates than the small employing business population. The results also show that smaller, younger exporting firms are more resilient to exchange rate fluctuations than larger, older firms. T</w:t>
      </w:r>
      <w:r w:rsidR="005D0F24">
        <w:t>here is</w:t>
      </w:r>
      <w:r>
        <w:t xml:space="preserve"> therefore</w:t>
      </w:r>
      <w:r w:rsidR="005D0F24">
        <w:t xml:space="preserve"> considerable policy potential to further encourage the wider cohort of </w:t>
      </w:r>
      <w:r w:rsidR="00CB332A">
        <w:t>small young firms to</w:t>
      </w:r>
      <w:r w:rsidR="005D0F24">
        <w:t xml:space="preserve"> </w:t>
      </w:r>
      <w:r w:rsidR="00CB332A">
        <w:t>access international markets. Doing so will expose them to</w:t>
      </w:r>
      <w:r w:rsidR="005D0F24">
        <w:t xml:space="preserve"> more innovative and competitive market dynamics</w:t>
      </w:r>
      <w:r w:rsidR="00CB332A">
        <w:t xml:space="preserve"> that will lift business performance</w:t>
      </w:r>
      <w:r w:rsidR="005D0F24">
        <w:t>.</w:t>
      </w:r>
    </w:p>
    <w:p w14:paraId="7BEB4E5C" w14:textId="5CAA71E0" w:rsidR="003633CE" w:rsidRDefault="003633CE" w:rsidP="00CB332A">
      <w:pPr>
        <w:pStyle w:val="Heading3"/>
      </w:pPr>
      <w:r>
        <w:t xml:space="preserve">Consideration for size </w:t>
      </w:r>
      <w:r w:rsidR="005D0F24">
        <w:t xml:space="preserve">and age </w:t>
      </w:r>
      <w:r>
        <w:t>contingent policies is important</w:t>
      </w:r>
    </w:p>
    <w:p w14:paraId="2323B2F9" w14:textId="6938F062" w:rsidR="003633CE" w:rsidRDefault="00F1234A" w:rsidP="003633CE">
      <w:pPr>
        <w:pStyle w:val="BodyText"/>
      </w:pPr>
      <w:r w:rsidRPr="00F1234A">
        <w:t>The growth premium to exporting decreases with firm age.</w:t>
      </w:r>
      <w:r>
        <w:t xml:space="preserve"> More should be done to encourage mature exporting firms to stay competitive and become persistent exporters, while a focus on small young exporting firms will also pay dividends in terms of economic growth.</w:t>
      </w:r>
    </w:p>
    <w:p w14:paraId="017B2B46" w14:textId="4FDA9575" w:rsidR="005C325B" w:rsidRDefault="00043057" w:rsidP="00453110">
      <w:pPr>
        <w:pStyle w:val="Heading3"/>
      </w:pPr>
      <w:r>
        <w:t>Effective t</w:t>
      </w:r>
      <w:r w:rsidR="005C325B">
        <w:t>argeting</w:t>
      </w:r>
      <w:r>
        <w:t xml:space="preserve"> of</w:t>
      </w:r>
      <w:r w:rsidR="005C325B">
        <w:t xml:space="preserve"> BGFs</w:t>
      </w:r>
    </w:p>
    <w:p w14:paraId="3C2CA1FA" w14:textId="2DA2A6F5" w:rsidR="00EB48B1" w:rsidRDefault="005C325B" w:rsidP="003633CE">
      <w:pPr>
        <w:pStyle w:val="BodyText"/>
      </w:pPr>
      <w:r>
        <w:t xml:space="preserve">We identified BGFs in various industries, although they seem to be </w:t>
      </w:r>
      <w:r w:rsidR="00453110">
        <w:t>concentrated</w:t>
      </w:r>
      <w:r>
        <w:t xml:space="preserve"> in </w:t>
      </w:r>
      <w:r w:rsidR="00507794">
        <w:t xml:space="preserve">four industries, namely </w:t>
      </w:r>
      <w:r w:rsidR="00453110">
        <w:t xml:space="preserve">the Wholesale Trade, Professional, Scientific &amp; Technical Services, Retail Trade and Manufacturing industries. </w:t>
      </w:r>
      <w:r w:rsidR="007F0275">
        <w:t>Although we found a reasonable share of BGFs in the ‘</w:t>
      </w:r>
      <w:r w:rsidR="007F0275" w:rsidRPr="007F0275">
        <w:t>Computer System Design and Related Services</w:t>
      </w:r>
      <w:r w:rsidR="007F0275">
        <w:t>’ industry, i</w:t>
      </w:r>
      <w:r w:rsidR="00B15F81">
        <w:t xml:space="preserve">t </w:t>
      </w:r>
      <w:r w:rsidR="007F0275">
        <w:t>would be</w:t>
      </w:r>
      <w:r w:rsidR="00B15F81">
        <w:t xml:space="preserve"> wrong to assume that BGFs are mostly high-tech firms. </w:t>
      </w:r>
      <w:r w:rsidR="00EB48B1">
        <w:t xml:space="preserve">The results also show that policies that aim to encourage very young firms to export should </w:t>
      </w:r>
      <w:r w:rsidR="00F3300C">
        <w:t>focus on micro firms</w:t>
      </w:r>
      <w:r w:rsidR="00EB48B1">
        <w:t xml:space="preserve"> given that BGFs are </w:t>
      </w:r>
      <w:r w:rsidR="00453110">
        <w:t>overwhelmingly employing less than five people.</w:t>
      </w:r>
      <w:r w:rsidR="00F60F40">
        <w:t xml:space="preserve"> As judged by the characteristics of 3-year BGFs that are 100 per cent export intensive, it seems that the intensions of most BGFs are to remain micro in size. </w:t>
      </w:r>
      <w:r w:rsidR="00F3300C">
        <w:t xml:space="preserve">It is also important to point out that </w:t>
      </w:r>
      <w:r w:rsidR="00EB48B1">
        <w:t>BGFs should not be associated with High Growth Firms (HGFs)</w:t>
      </w:r>
      <w:r w:rsidR="00F3300C">
        <w:t xml:space="preserve"> given differences in their size and age profile. HGFs per definition have at least ten employees and achieve at least 20 per cent average annualised growt</w:t>
      </w:r>
      <w:r w:rsidR="00B15F81">
        <w:t>h over three consecutive years</w:t>
      </w:r>
      <w:r w:rsidR="00057F74">
        <w:t xml:space="preserve">, while BGFs are overwhelmingly micro in size and don’t </w:t>
      </w:r>
      <w:r w:rsidR="00A04CBD">
        <w:t xml:space="preserve">necessarily </w:t>
      </w:r>
      <w:r w:rsidR="00057F74">
        <w:t>have an initial growth advantage in terms of employment or turnover.</w:t>
      </w:r>
    </w:p>
    <w:p w14:paraId="0FC3A5E3" w14:textId="7233ADD2" w:rsidR="005C325B" w:rsidRDefault="00043057" w:rsidP="00453110">
      <w:pPr>
        <w:pStyle w:val="Heading3"/>
      </w:pPr>
      <w:r>
        <w:t>Potential d</w:t>
      </w:r>
      <w:r w:rsidR="00507794">
        <w:t>rivers of BGF performance</w:t>
      </w:r>
    </w:p>
    <w:p w14:paraId="71BC0A48" w14:textId="0AF033C6" w:rsidR="00507794" w:rsidRDefault="00453110" w:rsidP="003633CE">
      <w:pPr>
        <w:pStyle w:val="BodyText"/>
      </w:pPr>
      <w:r>
        <w:t xml:space="preserve">BGFs appear to be more capital intensive and R&amp;D </w:t>
      </w:r>
      <w:r w:rsidR="0019002C">
        <w:t>intensive</w:t>
      </w:r>
      <w:r>
        <w:t xml:space="preserve"> than similar non-exporting firms, highlighting that access to finance might be an important ingredient to facilitate their growth. </w:t>
      </w:r>
      <w:r w:rsidR="00043057">
        <w:t>The results on the financial health of BGFs compared to other firms underscore that there are no significant alarm bells associated with BGFs. As such, appropriate and responsible lending to these firms should be encouraged.</w:t>
      </w:r>
    </w:p>
    <w:p w14:paraId="109E58B9" w14:textId="3767F340" w:rsidR="00507794" w:rsidRDefault="00453110" w:rsidP="003633CE">
      <w:pPr>
        <w:pStyle w:val="BodyText"/>
      </w:pPr>
      <w:r>
        <w:t xml:space="preserve">Appropriate training for entrepreneurs are also important, given that the results show that principal managers of BGFs are on average older and have higher levels of educational attainment, compared to other small exporters.  </w:t>
      </w:r>
    </w:p>
    <w:p w14:paraId="0EC41D58" w14:textId="0A66BB2A" w:rsidR="00453110" w:rsidRDefault="00453110" w:rsidP="00C82C2E">
      <w:pPr>
        <w:pStyle w:val="BodyText"/>
      </w:pPr>
      <w:r>
        <w:lastRenderedPageBreak/>
        <w:t>BGFs are on average more likely to be home-based businesses</w:t>
      </w:r>
      <w:r w:rsidR="00C82C2E">
        <w:t xml:space="preserve"> and might therefore lack the appropriate networks to gr</w:t>
      </w:r>
      <w:r w:rsidR="00065545">
        <w:t>ow</w:t>
      </w:r>
      <w:r w:rsidR="00C82C2E">
        <w:t xml:space="preserve"> their businesses. Initiatives such as the Landing Pad program and SME Export Hub grants seem to be well placed given their ability to provide access to some of the world’s most renowned hubs and </w:t>
      </w:r>
      <w:r w:rsidR="00065545">
        <w:t xml:space="preserve">to facilitate </w:t>
      </w:r>
      <w:r w:rsidR="00C82C2E">
        <w:t>business collaborations.</w:t>
      </w:r>
    </w:p>
    <w:p w14:paraId="2DC02B73" w14:textId="69CC6B09" w:rsidR="00F61F1B" w:rsidRDefault="00F61F1B" w:rsidP="00AF114A">
      <w:pPr>
        <w:pStyle w:val="BodyText"/>
        <w:rPr>
          <w:rFonts w:eastAsiaTheme="minorEastAsia"/>
        </w:rPr>
      </w:pPr>
      <w:r>
        <w:t>The productivity of BGFs can be shaped and developed by programs such as the Entrepreneurs’ Program</w:t>
      </w:r>
      <w:r w:rsidR="00AF114A">
        <w:t xml:space="preserve"> (EP)</w:t>
      </w:r>
      <w:r>
        <w:t>. The results of this study show that although</w:t>
      </w:r>
      <w:r>
        <w:rPr>
          <w:rFonts w:eastAsiaTheme="minorEastAsia"/>
        </w:rPr>
        <w:t xml:space="preserve"> BGFs experience less productivity growth in the beginning of the firm life cycle, they catch up as they mature and experience a productivity growth premium compared to other exporters. This is consistent with the broader findings from Bakhtiari (2019</w:t>
      </w:r>
      <w:r w:rsidR="003B0AD6">
        <w:rPr>
          <w:rFonts w:eastAsiaTheme="minorEastAsia"/>
        </w:rPr>
        <w:t>c</w:t>
      </w:r>
      <w:r>
        <w:rPr>
          <w:rFonts w:eastAsiaTheme="minorEastAsia"/>
        </w:rPr>
        <w:t xml:space="preserve">), who finds entrepreneurs are quite unproductive upon entry, yet the productivity of those that survive makes a quantum leap and converges to that of mature firms. </w:t>
      </w:r>
      <w:r w:rsidR="00AF114A">
        <w:rPr>
          <w:rFonts w:eastAsiaTheme="minorEastAsia"/>
        </w:rPr>
        <w:t xml:space="preserve">One reason behind </w:t>
      </w:r>
      <w:r w:rsidR="000C4A32">
        <w:rPr>
          <w:rFonts w:eastAsiaTheme="minorEastAsia"/>
        </w:rPr>
        <w:t xml:space="preserve">the initial poor productivity performance </w:t>
      </w:r>
      <w:r w:rsidR="00AF114A">
        <w:rPr>
          <w:rFonts w:eastAsiaTheme="minorEastAsia"/>
        </w:rPr>
        <w:t xml:space="preserve">might be that BGF strategies are lacking in the area of marketing, advertising and promotion, innovation and ICT – areas that could be improved via </w:t>
      </w:r>
      <w:r w:rsidR="000C4A32">
        <w:rPr>
          <w:rFonts w:eastAsiaTheme="minorEastAsia"/>
        </w:rPr>
        <w:t>EP</w:t>
      </w:r>
      <w:r w:rsidR="00AF114A">
        <w:rPr>
          <w:rFonts w:eastAsiaTheme="minorEastAsia"/>
        </w:rPr>
        <w:t xml:space="preserve">. </w:t>
      </w:r>
    </w:p>
    <w:p w14:paraId="74C1E59E" w14:textId="0D35930C" w:rsidR="00EF200B" w:rsidRDefault="00EF200B" w:rsidP="00EF200B">
      <w:pPr>
        <w:pStyle w:val="BodyText"/>
        <w:rPr>
          <w:rFonts w:eastAsiaTheme="minorEastAsia"/>
        </w:rPr>
      </w:pPr>
      <w:r>
        <w:rPr>
          <w:rFonts w:eastAsiaTheme="minorEastAsia"/>
        </w:rPr>
        <w:t>The results also point to the importance of digital business for BGFs. Their g</w:t>
      </w:r>
      <w:r w:rsidRPr="00EF200B">
        <w:rPr>
          <w:rFonts w:eastAsiaTheme="minorEastAsia"/>
        </w:rPr>
        <w:t>reater access to high speed broadband and mobile internet</w:t>
      </w:r>
      <w:r>
        <w:rPr>
          <w:rFonts w:eastAsiaTheme="minorEastAsia"/>
        </w:rPr>
        <w:t>, g</w:t>
      </w:r>
      <w:r w:rsidRPr="00EF200B">
        <w:rPr>
          <w:rFonts w:eastAsiaTheme="minorEastAsia"/>
        </w:rPr>
        <w:t>reater use of high speed broadband, cybersecurity, data analytics, ecommerce, intelligent software systems, mobile internet</w:t>
      </w:r>
      <w:r>
        <w:rPr>
          <w:rFonts w:eastAsiaTheme="minorEastAsia"/>
        </w:rPr>
        <w:t xml:space="preserve"> etc. underscore the importance of reliable, secure and affordable access to digital infrastructure in Australia.</w:t>
      </w:r>
    </w:p>
    <w:p w14:paraId="18A9CFF8" w14:textId="63F262AF" w:rsidR="00664444" w:rsidRPr="00147662" w:rsidRDefault="0078017A" w:rsidP="00043057">
      <w:pPr>
        <w:pStyle w:val="BodyText"/>
      </w:pPr>
      <w:r>
        <w:t>The evidence suggest that BGFs are m</w:t>
      </w:r>
      <w:r w:rsidRPr="0078017A">
        <w:t>ore likely to t</w:t>
      </w:r>
      <w:r>
        <w:t>arget additional export markets. Policies such as the EMDG are therefore essential given that it empowers SMEs to develop export markets.</w:t>
      </w:r>
    </w:p>
    <w:p w14:paraId="060BCFF1" w14:textId="31073601" w:rsidR="00E321AD" w:rsidRDefault="00EE3DAC" w:rsidP="0081737B">
      <w:pPr>
        <w:pStyle w:val="Heading1"/>
        <w:tabs>
          <w:tab w:val="left" w:pos="1701"/>
        </w:tabs>
      </w:pPr>
      <w:r>
        <w:t>Conclusion</w:t>
      </w:r>
    </w:p>
    <w:p w14:paraId="33624EDB" w14:textId="19FDC5FF" w:rsidR="000966C9" w:rsidRPr="007632E7" w:rsidRDefault="00196CD8" w:rsidP="00311890">
      <w:pPr>
        <w:pStyle w:val="BodyText"/>
        <w:rPr>
          <w:szCs w:val="20"/>
        </w:rPr>
      </w:pPr>
      <w:r w:rsidRPr="007632E7">
        <w:rPr>
          <w:szCs w:val="20"/>
        </w:rPr>
        <w:t xml:space="preserve">This research will assist policymakers to better target policies aimed at export promotion and entrepreneurship in Australia. </w:t>
      </w:r>
      <w:r w:rsidR="00A94D45" w:rsidRPr="007632E7">
        <w:rPr>
          <w:szCs w:val="20"/>
        </w:rPr>
        <w:t xml:space="preserve">The </w:t>
      </w:r>
      <w:r w:rsidR="005A30B3" w:rsidRPr="007632E7">
        <w:rPr>
          <w:szCs w:val="20"/>
        </w:rPr>
        <w:t xml:space="preserve">share </w:t>
      </w:r>
      <w:r w:rsidR="00A94D45" w:rsidRPr="007632E7">
        <w:rPr>
          <w:szCs w:val="20"/>
        </w:rPr>
        <w:t xml:space="preserve">of </w:t>
      </w:r>
      <w:r w:rsidR="003D7292" w:rsidRPr="007632E7">
        <w:rPr>
          <w:szCs w:val="20"/>
        </w:rPr>
        <w:t>BGFs</w:t>
      </w:r>
      <w:r w:rsidR="00A94D45" w:rsidRPr="007632E7">
        <w:rPr>
          <w:szCs w:val="20"/>
        </w:rPr>
        <w:t xml:space="preserve"> in Australia has been increasing</w:t>
      </w:r>
      <w:r w:rsidR="005A30B3" w:rsidRPr="007632E7">
        <w:rPr>
          <w:szCs w:val="20"/>
        </w:rPr>
        <w:t xml:space="preserve"> recently</w:t>
      </w:r>
      <w:r w:rsidR="005251C6" w:rsidRPr="007632E7">
        <w:rPr>
          <w:szCs w:val="20"/>
        </w:rPr>
        <w:t>, and in contrast New Zealand has not experienced the same post-GFC recovery</w:t>
      </w:r>
      <w:r w:rsidR="00A94D45" w:rsidRPr="007632E7">
        <w:rPr>
          <w:szCs w:val="20"/>
        </w:rPr>
        <w:t xml:space="preserve"> </w:t>
      </w:r>
      <w:r w:rsidR="005251C6" w:rsidRPr="007632E7">
        <w:rPr>
          <w:szCs w:val="20"/>
        </w:rPr>
        <w:t>in the born global share of exporters.</w:t>
      </w:r>
      <w:r w:rsidR="00AB2E3F" w:rsidRPr="007632E7">
        <w:rPr>
          <w:szCs w:val="20"/>
        </w:rPr>
        <w:t xml:space="preserve"> Australian </w:t>
      </w:r>
      <w:r w:rsidR="003D7292" w:rsidRPr="007632E7">
        <w:rPr>
          <w:szCs w:val="20"/>
        </w:rPr>
        <w:t>BGFs</w:t>
      </w:r>
      <w:r w:rsidR="004B60BE" w:rsidRPr="007632E7">
        <w:rPr>
          <w:szCs w:val="20"/>
        </w:rPr>
        <w:t xml:space="preserve"> ar</w:t>
      </w:r>
      <w:r w:rsidR="009704A2" w:rsidRPr="007632E7">
        <w:rPr>
          <w:szCs w:val="20"/>
        </w:rPr>
        <w:t>e overwhelmingly micro in siz</w:t>
      </w:r>
      <w:r w:rsidR="00E04A34" w:rsidRPr="007632E7">
        <w:rPr>
          <w:szCs w:val="20"/>
        </w:rPr>
        <w:t>e</w:t>
      </w:r>
      <w:r w:rsidR="004B60BE" w:rsidRPr="007632E7">
        <w:rPr>
          <w:szCs w:val="20"/>
        </w:rPr>
        <w:t xml:space="preserve">, </w:t>
      </w:r>
      <w:r w:rsidR="005A3C16" w:rsidRPr="007632E7">
        <w:rPr>
          <w:szCs w:val="20"/>
        </w:rPr>
        <w:t xml:space="preserve">concentrated in four industries, </w:t>
      </w:r>
      <w:r w:rsidR="004B60BE" w:rsidRPr="007632E7">
        <w:rPr>
          <w:szCs w:val="20"/>
        </w:rPr>
        <w:t>highly export</w:t>
      </w:r>
      <w:r w:rsidR="00AF3DB0" w:rsidRPr="007632E7">
        <w:rPr>
          <w:szCs w:val="20"/>
        </w:rPr>
        <w:t xml:space="preserve"> </w:t>
      </w:r>
      <w:r w:rsidR="004B60BE" w:rsidRPr="007632E7">
        <w:rPr>
          <w:szCs w:val="20"/>
        </w:rPr>
        <w:t>intensive, more persistent on export markets later in life</w:t>
      </w:r>
      <w:r w:rsidR="00554D10" w:rsidRPr="007632E7">
        <w:rPr>
          <w:szCs w:val="20"/>
        </w:rPr>
        <w:t>,</w:t>
      </w:r>
      <w:r w:rsidR="004B60BE" w:rsidRPr="007632E7">
        <w:rPr>
          <w:szCs w:val="20"/>
        </w:rPr>
        <w:t xml:space="preserve"> but have similar rates of R&amp;D activity and foreign ownership compared to overall exporters.</w:t>
      </w:r>
      <w:r w:rsidR="009704A2" w:rsidRPr="007632E7">
        <w:rPr>
          <w:szCs w:val="20"/>
        </w:rPr>
        <w:t xml:space="preserve"> </w:t>
      </w:r>
      <w:r w:rsidR="000966C9" w:rsidRPr="007632E7">
        <w:rPr>
          <w:szCs w:val="20"/>
        </w:rPr>
        <w:t>Our results also show that the average and median export intensity of born global firms has risen sharply in recent years, whereas the trend for other exporters has remained flat.</w:t>
      </w:r>
    </w:p>
    <w:p w14:paraId="465ED985" w14:textId="0A6E6E6E" w:rsidR="0065281C" w:rsidRDefault="00CD2A6A" w:rsidP="00311890">
      <w:pPr>
        <w:pStyle w:val="BodyText"/>
      </w:pPr>
      <w:r w:rsidRPr="007632E7">
        <w:rPr>
          <w:szCs w:val="20"/>
        </w:rPr>
        <w:t xml:space="preserve">In general, </w:t>
      </w:r>
      <w:r w:rsidR="003D7292" w:rsidRPr="007632E7">
        <w:rPr>
          <w:szCs w:val="20"/>
        </w:rPr>
        <w:t>BGFs</w:t>
      </w:r>
      <w:r w:rsidR="009704A2" w:rsidRPr="007632E7">
        <w:rPr>
          <w:szCs w:val="20"/>
        </w:rPr>
        <w:t xml:space="preserve"> </w:t>
      </w:r>
      <w:r w:rsidR="0043392A" w:rsidRPr="007632E7">
        <w:rPr>
          <w:szCs w:val="20"/>
        </w:rPr>
        <w:t xml:space="preserve">did not </w:t>
      </w:r>
      <w:r w:rsidR="009704A2" w:rsidRPr="007632E7">
        <w:rPr>
          <w:szCs w:val="20"/>
        </w:rPr>
        <w:t xml:space="preserve">exhibit higher </w:t>
      </w:r>
      <w:r w:rsidRPr="007632E7">
        <w:rPr>
          <w:szCs w:val="20"/>
        </w:rPr>
        <w:t xml:space="preserve">business </w:t>
      </w:r>
      <w:r w:rsidR="009704A2" w:rsidRPr="007632E7">
        <w:rPr>
          <w:szCs w:val="20"/>
        </w:rPr>
        <w:t xml:space="preserve">performance </w:t>
      </w:r>
      <w:r w:rsidR="00E021EE" w:rsidRPr="007632E7">
        <w:rPr>
          <w:szCs w:val="20"/>
        </w:rPr>
        <w:t xml:space="preserve">on a range of measures </w:t>
      </w:r>
      <w:r w:rsidR="009704A2" w:rsidRPr="007632E7">
        <w:rPr>
          <w:szCs w:val="20"/>
        </w:rPr>
        <w:t>compared to other</w:t>
      </w:r>
      <w:r w:rsidR="002F6216" w:rsidRPr="007632E7">
        <w:rPr>
          <w:szCs w:val="20"/>
        </w:rPr>
        <w:t xml:space="preserve"> </w:t>
      </w:r>
      <w:r w:rsidR="009704A2" w:rsidRPr="007632E7">
        <w:rPr>
          <w:szCs w:val="20"/>
        </w:rPr>
        <w:t>exporting firms</w:t>
      </w:r>
      <w:r w:rsidR="00F537C3" w:rsidRPr="007632E7">
        <w:rPr>
          <w:szCs w:val="20"/>
        </w:rPr>
        <w:t>, except for a productivity premium experienced as the BGF matures</w:t>
      </w:r>
      <w:r w:rsidR="009704A2" w:rsidRPr="007632E7">
        <w:rPr>
          <w:szCs w:val="20"/>
        </w:rPr>
        <w:t xml:space="preserve">. </w:t>
      </w:r>
      <w:r w:rsidR="000A5C90" w:rsidRPr="007632E7">
        <w:rPr>
          <w:szCs w:val="20"/>
        </w:rPr>
        <w:t>When</w:t>
      </w:r>
      <w:r w:rsidR="00C72572" w:rsidRPr="007632E7">
        <w:rPr>
          <w:szCs w:val="20"/>
        </w:rPr>
        <w:t xml:space="preserve"> comparing born global firm performance to the performance of non-exporting</w:t>
      </w:r>
      <w:r w:rsidR="007B25E5" w:rsidRPr="007632E7">
        <w:rPr>
          <w:szCs w:val="20"/>
        </w:rPr>
        <w:t xml:space="preserve"> </w:t>
      </w:r>
      <w:r w:rsidR="00554D10" w:rsidRPr="007632E7">
        <w:rPr>
          <w:szCs w:val="20"/>
        </w:rPr>
        <w:t xml:space="preserve">firms, </w:t>
      </w:r>
      <w:r w:rsidR="003D7292" w:rsidRPr="007632E7">
        <w:rPr>
          <w:szCs w:val="20"/>
        </w:rPr>
        <w:t>BGFs</w:t>
      </w:r>
      <w:r w:rsidR="00C72572" w:rsidRPr="007632E7">
        <w:rPr>
          <w:szCs w:val="20"/>
        </w:rPr>
        <w:t xml:space="preserve"> </w:t>
      </w:r>
      <w:r w:rsidR="000A5C90" w:rsidRPr="007632E7">
        <w:rPr>
          <w:szCs w:val="20"/>
        </w:rPr>
        <w:t xml:space="preserve">have higher growth in R&amp;D and capital expenditures, though </w:t>
      </w:r>
      <w:r w:rsidR="00D735DA" w:rsidRPr="007632E7">
        <w:rPr>
          <w:szCs w:val="20"/>
        </w:rPr>
        <w:t xml:space="preserve">have lower turnover and productivity growth. However, this result is sensitive to the BGF used, with a wider definition of BGFs concluding </w:t>
      </w:r>
      <w:r w:rsidR="008A2185" w:rsidRPr="007632E7">
        <w:rPr>
          <w:szCs w:val="20"/>
        </w:rPr>
        <w:t>these firms outperform non-exporting firms on all performance metrics, particularly when BGFs are young</w:t>
      </w:r>
      <w:r w:rsidR="001A5119">
        <w:rPr>
          <w:szCs w:val="20"/>
        </w:rPr>
        <w:t>.</w:t>
      </w:r>
      <w:r w:rsidR="00352C8A">
        <w:rPr>
          <w:szCs w:val="20"/>
        </w:rPr>
        <w:t xml:space="preserve"> </w:t>
      </w:r>
      <w:r w:rsidR="00EE70C7" w:rsidRPr="007632E7">
        <w:rPr>
          <w:szCs w:val="20"/>
        </w:rPr>
        <w:t xml:space="preserve">It is important to note that a robust control group will have to control for the self-selection of firms into exporting. </w:t>
      </w:r>
      <w:r w:rsidR="00311890" w:rsidRPr="007632E7">
        <w:rPr>
          <w:szCs w:val="20"/>
        </w:rPr>
        <w:t>Given that the results on the relative performance of BGFs are impacted by the rigour that</w:t>
      </w:r>
      <w:r w:rsidR="00311890">
        <w:t xml:space="preserve"> is applied to constructing a control group, </w:t>
      </w:r>
      <w:r w:rsidR="00311890">
        <w:rPr>
          <w:lang w:eastAsia="en-AU"/>
        </w:rPr>
        <w:t xml:space="preserve">a </w:t>
      </w:r>
      <w:r w:rsidR="00311890">
        <w:rPr>
          <w:lang w:eastAsia="en-AU"/>
        </w:rPr>
        <w:lastRenderedPageBreak/>
        <w:t xml:space="preserve">useful avenue for future research would be to extent our analysis and control for additional factors on business and growth dynamics of </w:t>
      </w:r>
      <w:r w:rsidR="00554D10">
        <w:rPr>
          <w:lang w:eastAsia="en-AU"/>
        </w:rPr>
        <w:t xml:space="preserve">young </w:t>
      </w:r>
      <w:r w:rsidR="00311890">
        <w:rPr>
          <w:lang w:eastAsia="en-AU"/>
        </w:rPr>
        <w:t>non-exporting firms via a matching procedure</w:t>
      </w:r>
      <w:r w:rsidR="006371FE">
        <w:rPr>
          <w:lang w:eastAsia="en-AU"/>
        </w:rPr>
        <w:t xml:space="preserve"> to ensure these firms are as close as possible to the identified born global firms</w:t>
      </w:r>
      <w:r w:rsidR="00311890">
        <w:rPr>
          <w:lang w:eastAsia="en-AU"/>
        </w:rPr>
        <w:t>.</w:t>
      </w:r>
      <w:r w:rsidR="003979A3">
        <w:rPr>
          <w:lang w:eastAsia="en-AU"/>
        </w:rPr>
        <w:t xml:space="preserve"> </w:t>
      </w:r>
      <w:r w:rsidR="00C62257">
        <w:rPr>
          <w:lang w:eastAsia="en-AU"/>
        </w:rPr>
        <w:t xml:space="preserve">Another limitation of our analysis is the inability to identify </w:t>
      </w:r>
      <w:r w:rsidR="00C62257" w:rsidRPr="00C62257">
        <w:rPr>
          <w:lang w:eastAsia="en-AU"/>
        </w:rPr>
        <w:t>“true start-ups” in BLADE</w:t>
      </w:r>
      <w:r w:rsidR="00C62257">
        <w:rPr>
          <w:lang w:eastAsia="en-AU"/>
        </w:rPr>
        <w:t xml:space="preserve">. As such, </w:t>
      </w:r>
      <w:r w:rsidR="00C62257" w:rsidRPr="00C62257">
        <w:rPr>
          <w:lang w:eastAsia="en-AU"/>
        </w:rPr>
        <w:t>the results might be impacted by spin-outs and mergers</w:t>
      </w:r>
      <w:r w:rsidR="00C62257">
        <w:rPr>
          <w:lang w:eastAsia="en-AU"/>
        </w:rPr>
        <w:t xml:space="preserve"> as these firms </w:t>
      </w:r>
      <w:r w:rsidR="00C62257" w:rsidRPr="00C62257">
        <w:rPr>
          <w:lang w:eastAsia="en-AU"/>
        </w:rPr>
        <w:t>are expected to have different characteristics compared to other new firms.</w:t>
      </w:r>
      <w:r w:rsidR="00554D10">
        <w:rPr>
          <w:lang w:eastAsia="en-AU"/>
        </w:rPr>
        <w:t xml:space="preserve"> As such, no major conclusions should be drawn from the results on the relative business performance between BGFs and non-exporting young firms. </w:t>
      </w:r>
      <w:r w:rsidR="006A7223">
        <w:rPr>
          <w:lang w:eastAsia="en-AU"/>
        </w:rPr>
        <w:t>There is some evidence that BGFs with higher export intensities outperform BGFs with lower export intensities.</w:t>
      </w:r>
      <w:r w:rsidR="004D4B20" w:rsidRPr="004D4B20">
        <w:t xml:space="preserve"> </w:t>
      </w:r>
      <w:r w:rsidR="004D4B20">
        <w:rPr>
          <w:lang w:eastAsia="en-AU"/>
        </w:rPr>
        <w:t>BGFs e</w:t>
      </w:r>
      <w:r w:rsidR="004D4B20" w:rsidRPr="004D4B20">
        <w:rPr>
          <w:lang w:eastAsia="en-AU"/>
        </w:rPr>
        <w:t>xperience lower survival rates than more mature exporters, but higher survival rates tha</w:t>
      </w:r>
      <w:r w:rsidR="003D0AAB">
        <w:rPr>
          <w:lang w:eastAsia="en-AU"/>
        </w:rPr>
        <w:t xml:space="preserve">n the small employing business </w:t>
      </w:r>
      <w:r w:rsidR="004D4B20" w:rsidRPr="004D4B20">
        <w:rPr>
          <w:lang w:eastAsia="en-AU"/>
        </w:rPr>
        <w:t>population.</w:t>
      </w:r>
      <w:r w:rsidR="006A7223">
        <w:rPr>
          <w:lang w:eastAsia="en-AU"/>
        </w:rPr>
        <w:t xml:space="preserve"> </w:t>
      </w:r>
      <w:r w:rsidR="004D4B20">
        <w:rPr>
          <w:lang w:eastAsia="en-AU"/>
        </w:rPr>
        <w:t>BGFs also ha</w:t>
      </w:r>
      <w:r w:rsidR="004D4B20" w:rsidRPr="004D4B20">
        <w:rPr>
          <w:lang w:eastAsia="en-AU"/>
        </w:rPr>
        <w:t xml:space="preserve">ve higher earnings and return on assets compared to </w:t>
      </w:r>
      <w:r w:rsidR="004D4B20">
        <w:rPr>
          <w:lang w:eastAsia="en-AU"/>
        </w:rPr>
        <w:t>more mature</w:t>
      </w:r>
      <w:r w:rsidR="004D4B20" w:rsidRPr="004D4B20">
        <w:rPr>
          <w:lang w:eastAsia="en-AU"/>
        </w:rPr>
        <w:t xml:space="preserve"> exporters</w:t>
      </w:r>
      <w:r w:rsidR="004D4B20">
        <w:rPr>
          <w:lang w:eastAsia="en-AU"/>
        </w:rPr>
        <w:t xml:space="preserve">. </w:t>
      </w:r>
    </w:p>
    <w:p w14:paraId="25210B5C" w14:textId="7E219D49" w:rsidR="00BB0A3E" w:rsidRDefault="00512A4F" w:rsidP="00A6116C">
      <w:pPr>
        <w:pStyle w:val="BodyText"/>
      </w:pPr>
      <w:r>
        <w:t xml:space="preserve">Extending the work on the </w:t>
      </w:r>
      <w:r w:rsidR="00882206">
        <w:t xml:space="preserve">growth </w:t>
      </w:r>
      <w:r>
        <w:t xml:space="preserve">premium to Australian exporters (Tuhin &amp; Swanepoel, 2016), it is found this export </w:t>
      </w:r>
      <w:r w:rsidR="00BB0A3E">
        <w:t>premium</w:t>
      </w:r>
      <w:r w:rsidR="002004E3">
        <w:t xml:space="preserve"> decreases with firm age. T</w:t>
      </w:r>
      <w:r w:rsidR="00BB0A3E">
        <w:t>herefore</w:t>
      </w:r>
      <w:r w:rsidR="002004E3">
        <w:t>,</w:t>
      </w:r>
      <w:r w:rsidR="00BB0A3E">
        <w:t xml:space="preserve"> policy interventions targeted at exporters should not ignore the role of firm age.</w:t>
      </w:r>
    </w:p>
    <w:p w14:paraId="2EBB8D88" w14:textId="25D8846B" w:rsidR="00BE5B21" w:rsidRDefault="005D6DBD" w:rsidP="00A6116C">
      <w:pPr>
        <w:pStyle w:val="BodyText"/>
      </w:pPr>
      <w:r>
        <w:t>Our</w:t>
      </w:r>
      <w:r w:rsidR="00C2149F">
        <w:t xml:space="preserve"> approach to </w:t>
      </w:r>
      <w:r w:rsidR="00C86130">
        <w:t>Australian firm-level exchange rate analysis</w:t>
      </w:r>
      <w:r>
        <w:t xml:space="preserve"> has found that</w:t>
      </w:r>
      <w:r w:rsidR="00C2149F">
        <w:t xml:space="preserve"> smaller</w:t>
      </w:r>
      <w:r w:rsidR="009A333F">
        <w:t xml:space="preserve"> </w:t>
      </w:r>
      <w:r w:rsidR="00AE49FC">
        <w:t xml:space="preserve">and younger </w:t>
      </w:r>
      <w:r w:rsidR="00C2149F">
        <w:t xml:space="preserve">firms are more resilient to exchange rate </w:t>
      </w:r>
      <w:r w:rsidR="0091724E">
        <w:t>fluctuations</w:t>
      </w:r>
      <w:r w:rsidR="00C2149F">
        <w:t xml:space="preserve"> than larger</w:t>
      </w:r>
      <w:r w:rsidR="00AE49FC">
        <w:t xml:space="preserve"> and mature</w:t>
      </w:r>
      <w:r w:rsidR="00C2149F">
        <w:t xml:space="preserve"> firms.</w:t>
      </w:r>
      <w:r w:rsidR="008B39D1">
        <w:t xml:space="preserve"> </w:t>
      </w:r>
      <w:r w:rsidR="005D43FF">
        <w:t xml:space="preserve">Less experienced exporters are </w:t>
      </w:r>
      <w:r w:rsidR="00AE49FC">
        <w:t xml:space="preserve">also </w:t>
      </w:r>
      <w:r w:rsidR="005D43FF">
        <w:t xml:space="preserve">more resilient to exchange rate fluctuations. </w:t>
      </w:r>
      <w:r w:rsidR="00E443FD">
        <w:t>The relationship between export sales and exchange rates is less clear when restricting the analysis to BGFs</w:t>
      </w:r>
      <w:r w:rsidR="00367B83">
        <w:t xml:space="preserve">. </w:t>
      </w:r>
      <w:r w:rsidR="005A12D5">
        <w:t xml:space="preserve">When more </w:t>
      </w:r>
      <w:r w:rsidR="00844804">
        <w:t xml:space="preserve">firm-level </w:t>
      </w:r>
      <w:r w:rsidR="005A12D5">
        <w:t>data becomes available</w:t>
      </w:r>
      <w:r w:rsidR="00844804">
        <w:t xml:space="preserve"> in BLADE</w:t>
      </w:r>
      <w:r w:rsidR="005A12D5">
        <w:t xml:space="preserve">, we recommend extending this analysis by incorporating product-country destination level data to </w:t>
      </w:r>
      <w:r w:rsidR="00697FDF">
        <w:t>decompose</w:t>
      </w:r>
      <w:r w:rsidR="005A12D5">
        <w:t xml:space="preserve"> </w:t>
      </w:r>
      <w:r w:rsidR="00697FDF">
        <w:t>the</w:t>
      </w:r>
      <w:r w:rsidR="005A12D5">
        <w:t xml:space="preserve"> analysis into </w:t>
      </w:r>
      <w:r w:rsidR="00697FDF">
        <w:t>extensive (quantity) and intensive margins (unit p</w:t>
      </w:r>
      <w:r w:rsidR="005A12D5">
        <w:t>rices</w:t>
      </w:r>
      <w:r w:rsidR="00697FDF">
        <w:t xml:space="preserve">). </w:t>
      </w:r>
    </w:p>
    <w:p w14:paraId="4D5A8CCD" w14:textId="77777777" w:rsidR="007D2A9C" w:rsidRDefault="007D2A9C" w:rsidP="00A6116C">
      <w:pPr>
        <w:pStyle w:val="BodyText"/>
      </w:pPr>
    </w:p>
    <w:p w14:paraId="168D392E" w14:textId="77777777" w:rsidR="00A6116C" w:rsidRDefault="00A6116C" w:rsidP="00A6116C">
      <w:pPr>
        <w:pStyle w:val="AgendaTableColHeading"/>
      </w:pPr>
      <w:r>
        <w:t>Disclaimer</w:t>
      </w:r>
    </w:p>
    <w:p w14:paraId="436E666E" w14:textId="77777777" w:rsidR="00F7188D" w:rsidRDefault="00A6116C" w:rsidP="00F7188D">
      <w:pPr>
        <w:pStyle w:val="FirstParagraph"/>
      </w:pPr>
      <w:r w:rsidRPr="00C147D2">
        <w:rPr>
          <w:sz w:val="18"/>
          <w:szCs w:val="18"/>
        </w:rPr>
        <w:t>The results of these studies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w:t>
      </w:r>
      <w:r w:rsidR="00F7188D" w:rsidRPr="00F7188D">
        <w:t xml:space="preserve"> </w:t>
      </w:r>
    </w:p>
    <w:p w14:paraId="6594786F" w14:textId="226E04F6" w:rsidR="00DE09BF" w:rsidRDefault="00F7188D" w:rsidP="00F7188D">
      <w:pPr>
        <w:pStyle w:val="FirstParagraph"/>
        <w:rPr>
          <w:sz w:val="18"/>
          <w:szCs w:val="18"/>
        </w:rPr>
      </w:pPr>
      <w:r w:rsidRPr="00F7188D">
        <w:rPr>
          <w:sz w:val="18"/>
          <w:szCs w:val="18"/>
        </w:rPr>
        <w:t>The results are based in part on tax data supplied by Inland Revenue to Statistics NZ under the Tax Administration Act 1994. This tax data must be used only for statistical purposes, and no individual information may be published or disclosed in any other form, or provided to Inland Revenue for administ</w:t>
      </w:r>
      <w:r>
        <w:rPr>
          <w:sz w:val="18"/>
          <w:szCs w:val="18"/>
        </w:rPr>
        <w:t xml:space="preserve">rative or regulatory purposes. </w:t>
      </w:r>
      <w:r w:rsidRPr="00F7188D">
        <w:rPr>
          <w:sz w:val="18"/>
          <w:szCs w:val="18"/>
        </w:rPr>
        <w:t>Any person who has had access to the unit record data has certified that they have been shown, have read, and have understood section 81 of the Tax Administration Act 1994, which relates to secrecy. Any discussion of data limitations or weaknesses is in the context of using the IDI for statistical purposes, and is not related to the data’s ability to support Inland Revenue’s core operational requirements</w:t>
      </w:r>
    </w:p>
    <w:p w14:paraId="5D119DAD" w14:textId="77777777" w:rsidR="00F7188D" w:rsidRPr="00F7188D" w:rsidRDefault="00F7188D" w:rsidP="00F7188D">
      <w:pPr>
        <w:pStyle w:val="BodyText"/>
        <w:rPr>
          <w:lang w:val="en-US"/>
        </w:rPr>
      </w:pPr>
    </w:p>
    <w:p w14:paraId="13B629AB" w14:textId="77777777" w:rsidR="00DF5F31" w:rsidRDefault="00FD3CA7" w:rsidP="00FD3CA7">
      <w:pPr>
        <w:pStyle w:val="Heading1"/>
      </w:pPr>
      <w:r>
        <w:t xml:space="preserve">References </w:t>
      </w:r>
    </w:p>
    <w:p w14:paraId="7EC81128" w14:textId="21473546" w:rsidR="00D169E3" w:rsidRPr="00DA379E" w:rsidRDefault="00D169E3" w:rsidP="00B678FD">
      <w:pPr>
        <w:pStyle w:val="BodyText"/>
        <w:rPr>
          <w:rFonts w:cstheme="minorHAnsi"/>
        </w:rPr>
      </w:pPr>
      <w:r w:rsidRPr="00DA379E">
        <w:rPr>
          <w:rFonts w:cstheme="minorHAnsi"/>
        </w:rPr>
        <w:t xml:space="preserve">Australian Government, (2018). </w:t>
      </w:r>
      <w:r w:rsidRPr="00DA379E">
        <w:rPr>
          <w:rFonts w:cstheme="minorHAnsi"/>
          <w:i/>
        </w:rPr>
        <w:t>Australia’s Tech future: delivering a strong, safe and inclusive digital economy,</w:t>
      </w:r>
      <w:r w:rsidRPr="00DA379E">
        <w:rPr>
          <w:rFonts w:cstheme="minorHAnsi"/>
        </w:rPr>
        <w:t xml:space="preserve"> Industry.gov.au</w:t>
      </w:r>
    </w:p>
    <w:p w14:paraId="5FDE709C" w14:textId="5EC0FA1C" w:rsidR="00B678FD" w:rsidRPr="00DA379E" w:rsidRDefault="00B678FD" w:rsidP="00B678FD">
      <w:pPr>
        <w:pStyle w:val="BodyText"/>
        <w:rPr>
          <w:rFonts w:cstheme="minorHAnsi"/>
        </w:rPr>
      </w:pPr>
      <w:r w:rsidRPr="00DA379E">
        <w:rPr>
          <w:rFonts w:cstheme="minorHAnsi"/>
        </w:rPr>
        <w:t>Acs, Z.J, Acs, Zoltan J, &amp; Audretsch, D</w:t>
      </w:r>
      <w:r w:rsidR="00291865">
        <w:rPr>
          <w:rFonts w:cstheme="minorHAnsi"/>
        </w:rPr>
        <w:t>.</w:t>
      </w:r>
      <w:r w:rsidRPr="00DA379E">
        <w:rPr>
          <w:rFonts w:cstheme="minorHAnsi"/>
        </w:rPr>
        <w:t xml:space="preserve">B. (2003). </w:t>
      </w:r>
      <w:r w:rsidRPr="00DA379E">
        <w:rPr>
          <w:rFonts w:cstheme="minorHAnsi"/>
          <w:i/>
        </w:rPr>
        <w:t xml:space="preserve">Handbook of Entrepreneurship Research An Interdisciplinary Survey and Introduction (International Handbook Series on </w:t>
      </w:r>
      <w:r w:rsidR="00291865">
        <w:rPr>
          <w:rFonts w:cstheme="minorHAnsi"/>
          <w:i/>
        </w:rPr>
        <w:t>Entrepreneurship</w:t>
      </w:r>
      <w:r w:rsidR="00F10CD6" w:rsidRPr="00DA379E">
        <w:rPr>
          <w:rFonts w:cstheme="minorHAnsi"/>
          <w:i/>
        </w:rPr>
        <w:t>;</w:t>
      </w:r>
      <w:r w:rsidRPr="00DA379E">
        <w:rPr>
          <w:rFonts w:cstheme="minorHAnsi"/>
          <w:i/>
        </w:rPr>
        <w:t xml:space="preserve">1). </w:t>
      </w:r>
      <w:r w:rsidRPr="00DA379E">
        <w:rPr>
          <w:rFonts w:cstheme="minorHAnsi"/>
        </w:rPr>
        <w:t>Boston, MA: Springer US.</w:t>
      </w:r>
    </w:p>
    <w:p w14:paraId="3BE60841" w14:textId="0D524F93" w:rsidR="00D63A61" w:rsidRPr="00DA379E" w:rsidRDefault="00D63A61" w:rsidP="00B678FD">
      <w:pPr>
        <w:pStyle w:val="BodyText"/>
        <w:rPr>
          <w:rFonts w:cstheme="minorHAnsi"/>
        </w:rPr>
      </w:pPr>
      <w:r w:rsidRPr="00DA379E">
        <w:rPr>
          <w:rFonts w:cstheme="minorHAnsi"/>
        </w:rPr>
        <w:t>Bakhtiari, S. (2019</w:t>
      </w:r>
      <w:r w:rsidR="005D74D3" w:rsidRPr="00DA379E">
        <w:rPr>
          <w:rFonts w:cstheme="minorHAnsi"/>
        </w:rPr>
        <w:t>a</w:t>
      </w:r>
      <w:r w:rsidRPr="00DA379E">
        <w:rPr>
          <w:rFonts w:cstheme="minorHAnsi"/>
        </w:rPr>
        <w:t>)</w:t>
      </w:r>
      <w:r w:rsidR="003B22B9" w:rsidRPr="00DA379E">
        <w:rPr>
          <w:rFonts w:cstheme="minorHAnsi"/>
        </w:rPr>
        <w:t>.</w:t>
      </w:r>
      <w:r w:rsidRPr="00DA379E">
        <w:rPr>
          <w:rFonts w:cstheme="minorHAnsi"/>
        </w:rPr>
        <w:t xml:space="preserve"> Entrepreneurship Dynamics in Australia: Lessons from Micro</w:t>
      </w:r>
      <w:r w:rsidRPr="00DA379E">
        <w:rPr>
          <w:rFonts w:ascii="Cambria Math" w:hAnsi="Cambria Math" w:cs="Cambria Math"/>
        </w:rPr>
        <w:t>‐</w:t>
      </w:r>
      <w:r w:rsidRPr="00DA379E">
        <w:rPr>
          <w:rFonts w:cstheme="minorHAnsi"/>
        </w:rPr>
        <w:t>data. Econ</w:t>
      </w:r>
      <w:r w:rsidR="0034008A">
        <w:rPr>
          <w:rFonts w:cstheme="minorHAnsi"/>
        </w:rPr>
        <w:t>omic</w:t>
      </w:r>
      <w:r w:rsidRPr="00DA379E">
        <w:rPr>
          <w:rFonts w:cstheme="minorHAnsi"/>
        </w:rPr>
        <w:t xml:space="preserve"> Rec</w:t>
      </w:r>
      <w:r w:rsidR="0034008A">
        <w:rPr>
          <w:rFonts w:cstheme="minorHAnsi"/>
        </w:rPr>
        <w:t>ord</w:t>
      </w:r>
      <w:r w:rsidRPr="00DA379E">
        <w:rPr>
          <w:rFonts w:cstheme="minorHAnsi"/>
        </w:rPr>
        <w:t>, 95</w:t>
      </w:r>
      <w:r w:rsidR="0034008A">
        <w:rPr>
          <w:rFonts w:cstheme="minorHAnsi"/>
        </w:rPr>
        <w:t xml:space="preserve">(308), </w:t>
      </w:r>
      <w:r w:rsidRPr="00DA379E">
        <w:rPr>
          <w:rFonts w:cstheme="minorHAnsi"/>
        </w:rPr>
        <w:t>14-140.</w:t>
      </w:r>
    </w:p>
    <w:p w14:paraId="38099E37" w14:textId="256C2AE2" w:rsidR="00CA24C1" w:rsidRPr="00DA379E" w:rsidRDefault="00873CC6" w:rsidP="00D63A61">
      <w:pPr>
        <w:pStyle w:val="BodyText"/>
        <w:rPr>
          <w:rFonts w:cstheme="minorHAnsi"/>
        </w:rPr>
      </w:pPr>
      <w:r w:rsidRPr="00DA379E">
        <w:rPr>
          <w:rFonts w:cstheme="minorHAnsi"/>
        </w:rPr>
        <w:t>Bakhtiari, S. (2019</w:t>
      </w:r>
      <w:r w:rsidR="005D74D3" w:rsidRPr="00DA379E">
        <w:rPr>
          <w:rFonts w:cstheme="minorHAnsi"/>
        </w:rPr>
        <w:t>b</w:t>
      </w:r>
      <w:r w:rsidRPr="00DA379E">
        <w:rPr>
          <w:rFonts w:cstheme="minorHAnsi"/>
        </w:rPr>
        <w:t xml:space="preserve">). Trends in Market Concentration of Australian Industries, Department of Industry, Innovation and Science, </w:t>
      </w:r>
      <w:r w:rsidRPr="00DA379E">
        <w:rPr>
          <w:rFonts w:cstheme="minorHAnsi"/>
          <w:i/>
        </w:rPr>
        <w:t>Staff research paper</w:t>
      </w:r>
      <w:r w:rsidRPr="00DA379E">
        <w:rPr>
          <w:rFonts w:cstheme="minorHAnsi"/>
        </w:rPr>
        <w:t xml:space="preserve"> </w:t>
      </w:r>
      <w:r w:rsidR="00C765B8">
        <w:rPr>
          <w:rFonts w:cstheme="minorHAnsi"/>
        </w:rPr>
        <w:t>8/2019</w:t>
      </w:r>
    </w:p>
    <w:p w14:paraId="08296B57" w14:textId="17E74E05" w:rsidR="003B0D0E" w:rsidRDefault="003B0D0E" w:rsidP="00D63A61">
      <w:pPr>
        <w:pStyle w:val="BodyText"/>
        <w:rPr>
          <w:rFonts w:cstheme="minorHAnsi"/>
        </w:rPr>
      </w:pPr>
      <w:r w:rsidRPr="00DA379E">
        <w:rPr>
          <w:rFonts w:cstheme="minorHAnsi"/>
        </w:rPr>
        <w:t>Bakhtiari, S. (2019c</w:t>
      </w:r>
      <w:r w:rsidR="00B160FE" w:rsidRPr="00DA379E">
        <w:rPr>
          <w:rFonts w:cstheme="minorHAnsi"/>
        </w:rPr>
        <w:t>).</w:t>
      </w:r>
      <w:r w:rsidRPr="00DA379E">
        <w:rPr>
          <w:rFonts w:cstheme="minorHAnsi"/>
        </w:rPr>
        <w:t xml:space="preserve"> </w:t>
      </w:r>
      <w:r w:rsidR="00E259AA" w:rsidRPr="00DA379E">
        <w:rPr>
          <w:rFonts w:cstheme="minorHAnsi"/>
        </w:rPr>
        <w:t>Do manufacturing entrepreneurs in Australia have (or develop) a productivity advantage? Department of Industry, Innovation and Science, Staff research paper 7/2019</w:t>
      </w:r>
    </w:p>
    <w:p w14:paraId="4563AD5B" w14:textId="7CADCE1E" w:rsidR="00880EA4" w:rsidRPr="00DA379E" w:rsidRDefault="00880EA4" w:rsidP="00D63A61">
      <w:pPr>
        <w:pStyle w:val="BodyText"/>
        <w:rPr>
          <w:rFonts w:cstheme="minorHAnsi"/>
        </w:rPr>
      </w:pPr>
      <w:r w:rsidRPr="00DA379E">
        <w:rPr>
          <w:rFonts w:cstheme="minorHAnsi"/>
        </w:rPr>
        <w:t>Bakhtiari, S. (2019</w:t>
      </w:r>
      <w:r>
        <w:rPr>
          <w:rFonts w:cstheme="minorHAnsi"/>
        </w:rPr>
        <w:t>d</w:t>
      </w:r>
      <w:r w:rsidRPr="00DA379E">
        <w:rPr>
          <w:rFonts w:cstheme="minorHAnsi"/>
        </w:rPr>
        <w:t xml:space="preserve">). </w:t>
      </w:r>
      <w:r>
        <w:rPr>
          <w:rFonts w:cstheme="minorHAnsi"/>
        </w:rPr>
        <w:t xml:space="preserve">Updates in entrepreneurship dynamics in Australia, </w:t>
      </w:r>
      <w:r w:rsidRPr="00DA379E">
        <w:rPr>
          <w:rFonts w:cstheme="minorHAnsi"/>
        </w:rPr>
        <w:t xml:space="preserve">Department of Industry, Innovation and Science, Staff research paper </w:t>
      </w:r>
      <w:r>
        <w:rPr>
          <w:rFonts w:cstheme="minorHAnsi"/>
        </w:rPr>
        <w:t>9</w:t>
      </w:r>
      <w:r w:rsidRPr="00DA379E">
        <w:rPr>
          <w:rFonts w:cstheme="minorHAnsi"/>
        </w:rPr>
        <w:t>/2019</w:t>
      </w:r>
    </w:p>
    <w:p w14:paraId="7B9E9FBA" w14:textId="06A73E5B" w:rsidR="0085680E" w:rsidRPr="00DA379E" w:rsidRDefault="0085680E" w:rsidP="0085680E">
      <w:pPr>
        <w:pStyle w:val="BodyText"/>
        <w:rPr>
          <w:rFonts w:cstheme="minorHAnsi"/>
        </w:rPr>
      </w:pPr>
      <w:r w:rsidRPr="00DA379E">
        <w:rPr>
          <w:rFonts w:cstheme="minorHAnsi"/>
        </w:rPr>
        <w:t xml:space="preserve">Bals, L., Berry, H., &amp; Hartmann, E. (2008). </w:t>
      </w:r>
      <w:r w:rsidRPr="00DA379E">
        <w:rPr>
          <w:rFonts w:cstheme="minorHAnsi"/>
          <w:i/>
        </w:rPr>
        <w:t>What is a” born global” Firm? Working paper.</w:t>
      </w:r>
      <w:r w:rsidRPr="00DA379E">
        <w:rPr>
          <w:rFonts w:cstheme="minorHAnsi"/>
        </w:rPr>
        <w:t xml:space="preserve"> Philadelphia, United States: Wharton School, University of Pennsylvania.</w:t>
      </w:r>
    </w:p>
    <w:p w14:paraId="7392FA18" w14:textId="77777777" w:rsidR="00B678FD" w:rsidRPr="00DA379E" w:rsidRDefault="00B678FD" w:rsidP="00B678FD">
      <w:pPr>
        <w:pStyle w:val="BodyText"/>
        <w:rPr>
          <w:rFonts w:cstheme="minorHAnsi"/>
        </w:rPr>
      </w:pPr>
      <w:r w:rsidRPr="00DA379E">
        <w:rPr>
          <w:rFonts w:cstheme="minorHAnsi"/>
        </w:rPr>
        <w:t xml:space="preserve">Bernard, A. B., Bradford Jensen, J., Redding, S. J., &amp; Schott, P. K. (2007). </w:t>
      </w:r>
      <w:r w:rsidRPr="00DA379E">
        <w:rPr>
          <w:rFonts w:cstheme="minorHAnsi"/>
          <w:i/>
        </w:rPr>
        <w:t>Firms in international trade</w:t>
      </w:r>
      <w:r w:rsidRPr="00DA379E">
        <w:rPr>
          <w:rFonts w:cstheme="minorHAnsi"/>
        </w:rPr>
        <w:t>. NBER WP series, 13054.</w:t>
      </w:r>
    </w:p>
    <w:p w14:paraId="68915A5C" w14:textId="77777777" w:rsidR="00B678FD" w:rsidRPr="00DA379E" w:rsidRDefault="00B678FD" w:rsidP="00B678FD">
      <w:pPr>
        <w:pStyle w:val="BodyText"/>
        <w:rPr>
          <w:rFonts w:cstheme="minorHAnsi"/>
        </w:rPr>
      </w:pPr>
      <w:r w:rsidRPr="00DA379E">
        <w:rPr>
          <w:rFonts w:cstheme="minorHAnsi"/>
        </w:rPr>
        <w:t xml:space="preserve">Braunerhjelm, &amp; Halldin. (2019). Born globals – presence, performance and prospects. </w:t>
      </w:r>
      <w:r w:rsidRPr="00DA379E">
        <w:rPr>
          <w:rFonts w:cstheme="minorHAnsi"/>
          <w:i/>
        </w:rPr>
        <w:t>International Business Review</w:t>
      </w:r>
      <w:r w:rsidRPr="00DA379E">
        <w:rPr>
          <w:rFonts w:cstheme="minorHAnsi"/>
        </w:rPr>
        <w:t>, 28(1), 60-73.</w:t>
      </w:r>
    </w:p>
    <w:p w14:paraId="2B446E24" w14:textId="77777777" w:rsidR="00B678FD" w:rsidRPr="00DA379E" w:rsidRDefault="00B678FD" w:rsidP="00B678FD">
      <w:pPr>
        <w:pStyle w:val="BodyText"/>
        <w:rPr>
          <w:rFonts w:cstheme="minorHAnsi"/>
        </w:rPr>
      </w:pPr>
      <w:r w:rsidRPr="00DA379E">
        <w:rPr>
          <w:rFonts w:cstheme="minorHAnsi"/>
        </w:rPr>
        <w:t xml:space="preserve">Chatterjee, A., Dix-Carneiro, R., &amp; Vichyanond, J. (2013). Multi-Product Firms and Exchange Rate Fluctuations. </w:t>
      </w:r>
      <w:r w:rsidRPr="00DA379E">
        <w:rPr>
          <w:rFonts w:cstheme="minorHAnsi"/>
          <w:i/>
        </w:rPr>
        <w:t>American Economic Journal: Economic Policy</w:t>
      </w:r>
      <w:r w:rsidRPr="00DA379E">
        <w:rPr>
          <w:rFonts w:cstheme="minorHAnsi"/>
        </w:rPr>
        <w:t>, 5(2), 77-110.</w:t>
      </w:r>
    </w:p>
    <w:p w14:paraId="7B421212" w14:textId="77777777" w:rsidR="00B678FD" w:rsidRPr="00DA379E" w:rsidRDefault="00B678FD" w:rsidP="00B678FD">
      <w:pPr>
        <w:pStyle w:val="BodyText"/>
        <w:rPr>
          <w:rFonts w:cstheme="minorHAnsi"/>
        </w:rPr>
      </w:pPr>
      <w:r w:rsidRPr="00DA379E">
        <w:rPr>
          <w:rFonts w:cstheme="minorHAnsi"/>
        </w:rPr>
        <w:t xml:space="preserve">Chetty, S., &amp; Campbell-Hunt, C. (2004). A Strategic Approach to Internationalization: A Traditional versus a "Born-Global" Approach. </w:t>
      </w:r>
      <w:r w:rsidRPr="00DA379E">
        <w:rPr>
          <w:rFonts w:cstheme="minorHAnsi"/>
          <w:i/>
        </w:rPr>
        <w:t>Journal of International Marketing</w:t>
      </w:r>
      <w:r w:rsidRPr="00DA379E">
        <w:rPr>
          <w:rFonts w:cstheme="minorHAnsi"/>
        </w:rPr>
        <w:t>, 12(1), 57-81.</w:t>
      </w:r>
    </w:p>
    <w:p w14:paraId="73CCDAA7" w14:textId="4DDA6959" w:rsidR="00B160FE" w:rsidRPr="00DA379E" w:rsidRDefault="00B160FE" w:rsidP="00B160FE">
      <w:pPr>
        <w:pStyle w:val="BodyText"/>
        <w:rPr>
          <w:rFonts w:cstheme="minorHAnsi"/>
        </w:rPr>
      </w:pPr>
      <w:r w:rsidRPr="00DA379E">
        <w:rPr>
          <w:rFonts w:cstheme="minorHAnsi"/>
        </w:rPr>
        <w:t xml:space="preserve">Choquette, E., Raks, M., Sala, D., &amp; Schröder, P. (2017). Born Globals—Is there fire behind the smoke? </w:t>
      </w:r>
      <w:r w:rsidRPr="00DA379E">
        <w:rPr>
          <w:rFonts w:cstheme="minorHAnsi"/>
          <w:i/>
        </w:rPr>
        <w:t>International Business Review</w:t>
      </w:r>
      <w:r w:rsidRPr="00DA379E">
        <w:rPr>
          <w:rFonts w:cstheme="minorHAnsi"/>
        </w:rPr>
        <w:t>, 26, 448–460.</w:t>
      </w:r>
    </w:p>
    <w:p w14:paraId="30BC492E" w14:textId="77777777" w:rsidR="00B678FD" w:rsidRPr="00DA379E" w:rsidRDefault="00B678FD" w:rsidP="00B678FD">
      <w:pPr>
        <w:pStyle w:val="BodyText"/>
        <w:rPr>
          <w:rFonts w:cstheme="minorHAnsi"/>
        </w:rPr>
      </w:pPr>
      <w:r w:rsidRPr="00DA379E">
        <w:rPr>
          <w:rFonts w:cstheme="minorHAnsi"/>
        </w:rPr>
        <w:t xml:space="preserve">Decker, R., Haltiwanger, J., Jarmin, R., &amp; Miranda, J. (2014). The Role of Entrepreneurship in US Job Creation and Economic Dynamism. </w:t>
      </w:r>
      <w:r w:rsidRPr="00DA379E">
        <w:rPr>
          <w:rFonts w:cstheme="minorHAnsi"/>
          <w:i/>
        </w:rPr>
        <w:t>Journal of Economic Perspectives</w:t>
      </w:r>
      <w:r w:rsidRPr="00DA379E">
        <w:rPr>
          <w:rFonts w:cstheme="minorHAnsi"/>
        </w:rPr>
        <w:t>, 28(3), 3-24.</w:t>
      </w:r>
    </w:p>
    <w:p w14:paraId="4250414D" w14:textId="77777777" w:rsidR="00B678FD" w:rsidRPr="00DA379E" w:rsidRDefault="00B678FD" w:rsidP="00B678FD">
      <w:pPr>
        <w:pStyle w:val="BodyText"/>
        <w:rPr>
          <w:rFonts w:cstheme="minorHAnsi"/>
        </w:rPr>
      </w:pPr>
      <w:r w:rsidRPr="00DA379E">
        <w:rPr>
          <w:rFonts w:cstheme="minorHAnsi"/>
        </w:rPr>
        <w:t xml:space="preserve">Feenstra, Gagnon, &amp; Knetter. (1996). Market share and exchange rate pass-through in world automobile trade. </w:t>
      </w:r>
      <w:r w:rsidRPr="00DA379E">
        <w:rPr>
          <w:rFonts w:cstheme="minorHAnsi"/>
          <w:i/>
        </w:rPr>
        <w:t>Journal of International Economics</w:t>
      </w:r>
      <w:r w:rsidRPr="00DA379E">
        <w:rPr>
          <w:rFonts w:cstheme="minorHAnsi"/>
        </w:rPr>
        <w:t>, 40(1), 187-207.</w:t>
      </w:r>
    </w:p>
    <w:p w14:paraId="5408C948" w14:textId="6B42B9BB" w:rsidR="0085680E" w:rsidRPr="00DA379E" w:rsidRDefault="0085680E" w:rsidP="0085680E">
      <w:pPr>
        <w:pStyle w:val="BodyText"/>
        <w:rPr>
          <w:rFonts w:cstheme="minorHAnsi"/>
        </w:rPr>
      </w:pPr>
      <w:r w:rsidRPr="00DA379E">
        <w:rPr>
          <w:rFonts w:cstheme="minorHAnsi"/>
        </w:rPr>
        <w:lastRenderedPageBreak/>
        <w:t xml:space="preserve">Gabrielsson, M., &amp; Kirpalani, V. (2012). </w:t>
      </w:r>
      <w:r w:rsidRPr="00DA379E">
        <w:rPr>
          <w:rFonts w:cstheme="minorHAnsi"/>
          <w:i/>
        </w:rPr>
        <w:t>Handbook of research on born globals</w:t>
      </w:r>
      <w:r w:rsidRPr="00DA379E">
        <w:rPr>
          <w:rFonts w:cstheme="minorHAnsi"/>
        </w:rPr>
        <w:t>. Cheltenham: Edward Elgar Publishing.</w:t>
      </w:r>
    </w:p>
    <w:p w14:paraId="1BE60DC7" w14:textId="2491B4FA" w:rsidR="00B678FD" w:rsidRPr="00DA379E" w:rsidRDefault="00B678FD" w:rsidP="00B678FD">
      <w:pPr>
        <w:pStyle w:val="BodyText"/>
        <w:rPr>
          <w:rFonts w:cstheme="minorHAnsi"/>
        </w:rPr>
      </w:pPr>
      <w:r w:rsidRPr="00DA379E">
        <w:rPr>
          <w:rFonts w:cstheme="minorHAnsi"/>
        </w:rPr>
        <w:t>Grazzi, M. &amp; Moschella, D. (201</w:t>
      </w:r>
      <w:r w:rsidR="00D46C78" w:rsidRPr="00DA379E">
        <w:rPr>
          <w:rFonts w:cstheme="minorHAnsi"/>
        </w:rPr>
        <w:t>9</w:t>
      </w:r>
      <w:r w:rsidRPr="00DA379E">
        <w:rPr>
          <w:rFonts w:cstheme="minorHAnsi"/>
        </w:rPr>
        <w:t xml:space="preserve">). Small, young and exporters: New evidence on the determinants of firm growth, </w:t>
      </w:r>
      <w:r w:rsidRPr="00DA379E">
        <w:rPr>
          <w:rFonts w:cstheme="minorHAnsi"/>
          <w:i/>
        </w:rPr>
        <w:t>Journal of Evolutionary Economics</w:t>
      </w:r>
      <w:r w:rsidRPr="00DA379E">
        <w:rPr>
          <w:rFonts w:cstheme="minorHAnsi"/>
        </w:rPr>
        <w:t>, 28(1), 125-152.</w:t>
      </w:r>
    </w:p>
    <w:p w14:paraId="63AB46DC" w14:textId="77777777" w:rsidR="00B678FD" w:rsidRPr="00DA379E" w:rsidRDefault="00B678FD" w:rsidP="00B678FD">
      <w:pPr>
        <w:pStyle w:val="BodyText"/>
        <w:rPr>
          <w:rFonts w:cstheme="minorHAnsi"/>
        </w:rPr>
      </w:pPr>
      <w:r w:rsidRPr="00DA379E">
        <w:rPr>
          <w:rFonts w:cstheme="minorHAnsi"/>
        </w:rPr>
        <w:t>Goldberg, P., &amp; Verboven, F. (2001). The evolution of price dispersion in the European car market. The Review of Economic Studies, 68(237), 811-848.</w:t>
      </w:r>
    </w:p>
    <w:p w14:paraId="3CCA4F46" w14:textId="77777777" w:rsidR="00B678FD" w:rsidRPr="00DA379E" w:rsidRDefault="00B678FD" w:rsidP="00B678FD">
      <w:pPr>
        <w:pStyle w:val="BodyText"/>
        <w:rPr>
          <w:rFonts w:cstheme="minorHAnsi"/>
        </w:rPr>
      </w:pPr>
      <w:r w:rsidRPr="00DA379E">
        <w:rPr>
          <w:rFonts w:cstheme="minorHAnsi"/>
        </w:rPr>
        <w:t>Hansell, D., &amp; Rafi, B. (2018). Firm</w:t>
      </w:r>
      <w:r w:rsidRPr="00DA379E">
        <w:rPr>
          <w:rFonts w:ascii="Cambria Math" w:hAnsi="Cambria Math" w:cs="Cambria Math"/>
        </w:rPr>
        <w:t>‐</w:t>
      </w:r>
      <w:r w:rsidRPr="00DA379E">
        <w:rPr>
          <w:rFonts w:cstheme="minorHAnsi"/>
        </w:rPr>
        <w:t xml:space="preserve">Level Analysis Using the ABS’ Business Longitudinal Analysis Data Environment (BLADE). </w:t>
      </w:r>
      <w:r w:rsidRPr="00DA379E">
        <w:rPr>
          <w:rFonts w:cstheme="minorHAnsi"/>
          <w:i/>
        </w:rPr>
        <w:t>Australian Economic Review</w:t>
      </w:r>
      <w:r w:rsidRPr="00DA379E">
        <w:rPr>
          <w:rFonts w:cstheme="minorHAnsi"/>
        </w:rPr>
        <w:t>, 51(1), 132-138.</w:t>
      </w:r>
    </w:p>
    <w:p w14:paraId="384FF2BE" w14:textId="77777777" w:rsidR="00B678FD" w:rsidRPr="00DA379E" w:rsidRDefault="00B678FD" w:rsidP="00B678FD">
      <w:pPr>
        <w:pStyle w:val="BodyText"/>
        <w:rPr>
          <w:rFonts w:cstheme="minorHAnsi"/>
        </w:rPr>
      </w:pPr>
      <w:r w:rsidRPr="00DA379E">
        <w:rPr>
          <w:rFonts w:cstheme="minorHAnsi"/>
        </w:rPr>
        <w:t xml:space="preserve">Haltiwanger, J., Jarmin, R., &amp; Miranda, J. (2013). Who Creates Jobs? Small versus Large versus Young. </w:t>
      </w:r>
      <w:r w:rsidRPr="00DA379E">
        <w:rPr>
          <w:rFonts w:cstheme="minorHAnsi"/>
          <w:i/>
        </w:rPr>
        <w:t>The Review of Economics and Statistics</w:t>
      </w:r>
      <w:r w:rsidRPr="00DA379E">
        <w:rPr>
          <w:rFonts w:cstheme="minorHAnsi"/>
        </w:rPr>
        <w:t>, 92(2), 347.</w:t>
      </w:r>
    </w:p>
    <w:p w14:paraId="6E203358" w14:textId="77777777" w:rsidR="00B678FD" w:rsidRPr="00DA379E" w:rsidRDefault="00B678FD" w:rsidP="00B678FD">
      <w:pPr>
        <w:pStyle w:val="BodyText"/>
        <w:rPr>
          <w:rFonts w:cstheme="minorHAnsi"/>
        </w:rPr>
      </w:pPr>
      <w:r w:rsidRPr="00DA379E">
        <w:rPr>
          <w:rFonts w:cstheme="minorHAnsi"/>
        </w:rPr>
        <w:t xml:space="preserve">Knight, G. &amp; Cavusgil, S. (1996). </w:t>
      </w:r>
      <w:r w:rsidRPr="00DA379E">
        <w:rPr>
          <w:rFonts w:cstheme="minorHAnsi"/>
          <w:i/>
        </w:rPr>
        <w:t>Advances in International Marketing.</w:t>
      </w:r>
      <w:r w:rsidRPr="00DA379E">
        <w:rPr>
          <w:rFonts w:cstheme="minorHAnsi"/>
        </w:rPr>
        <w:t xml:space="preserve"> Greenwich, CT: JAI Press</w:t>
      </w:r>
    </w:p>
    <w:p w14:paraId="1F07F75B" w14:textId="6E1E092E" w:rsidR="00B678FD" w:rsidRPr="00DA379E" w:rsidRDefault="00B678FD" w:rsidP="00B678FD">
      <w:pPr>
        <w:pStyle w:val="BodyText"/>
        <w:rPr>
          <w:rFonts w:cstheme="minorHAnsi"/>
        </w:rPr>
      </w:pPr>
      <w:r w:rsidRPr="00DA379E">
        <w:rPr>
          <w:rFonts w:cstheme="minorHAnsi"/>
        </w:rPr>
        <w:t xml:space="preserve">Knight, G. A., &amp; Kim, D. (2009). International business competence and the contemporary firm. </w:t>
      </w:r>
      <w:r w:rsidRPr="00DA379E">
        <w:rPr>
          <w:rFonts w:cstheme="minorHAnsi"/>
          <w:i/>
        </w:rPr>
        <w:t>Journal of International Business Studies</w:t>
      </w:r>
      <w:r w:rsidRPr="00DA379E">
        <w:rPr>
          <w:rFonts w:cstheme="minorHAnsi"/>
        </w:rPr>
        <w:t>, 40(2): 255–273.</w:t>
      </w:r>
    </w:p>
    <w:p w14:paraId="11ADB8B1" w14:textId="7448BC2F" w:rsidR="00B678FD" w:rsidRPr="00DA379E" w:rsidRDefault="00B678FD" w:rsidP="00B678FD">
      <w:pPr>
        <w:pStyle w:val="BodyText"/>
        <w:rPr>
          <w:rFonts w:cstheme="minorHAnsi"/>
        </w:rPr>
      </w:pPr>
      <w:r w:rsidRPr="00DA379E">
        <w:rPr>
          <w:rFonts w:cstheme="minorHAnsi"/>
        </w:rPr>
        <w:t xml:space="preserve">Kuivalainen, O., Sundqvist, S., &amp; Servais, P. (2007). Firms’ degree of born-globalness, international entrepreneurial orientation and export performance. </w:t>
      </w:r>
      <w:r w:rsidRPr="00DA379E">
        <w:rPr>
          <w:rFonts w:cstheme="minorHAnsi"/>
          <w:i/>
        </w:rPr>
        <w:t>Journal of World Business</w:t>
      </w:r>
      <w:r w:rsidRPr="00DA379E">
        <w:rPr>
          <w:rFonts w:cstheme="minorHAnsi"/>
        </w:rPr>
        <w:t>, 42(3): 253–267.</w:t>
      </w:r>
    </w:p>
    <w:p w14:paraId="60181FE1" w14:textId="1830C19F" w:rsidR="007854B3" w:rsidRPr="00DA379E" w:rsidRDefault="007854B3" w:rsidP="00B678FD">
      <w:pPr>
        <w:pStyle w:val="BodyText"/>
        <w:rPr>
          <w:rFonts w:cstheme="minorHAnsi"/>
        </w:rPr>
      </w:pPr>
      <w:r w:rsidRPr="00DA379E">
        <w:rPr>
          <w:rFonts w:cstheme="minorHAnsi"/>
        </w:rPr>
        <w:t xml:space="preserve">Kaura, A. &amp; Suresh, M. (2019), </w:t>
      </w:r>
      <w:r w:rsidRPr="00DA379E">
        <w:rPr>
          <w:rFonts w:cstheme="minorHAnsi"/>
          <w:i/>
        </w:rPr>
        <w:t xml:space="preserve">The entrepreneurial landscape in Australia and around the world, </w:t>
      </w:r>
      <w:r w:rsidRPr="00DA379E">
        <w:rPr>
          <w:rFonts w:cstheme="minorHAnsi"/>
        </w:rPr>
        <w:t>LinkedIn and Department of Industry, Innovation and Science</w:t>
      </w:r>
      <w:r w:rsidR="003D7CBE" w:rsidRPr="00DA379E">
        <w:rPr>
          <w:rFonts w:cstheme="minorHAnsi"/>
        </w:rPr>
        <w:t xml:space="preserve"> research report</w:t>
      </w:r>
      <w:r w:rsidRPr="00DA379E">
        <w:rPr>
          <w:rFonts w:cstheme="minorHAnsi"/>
          <w:i/>
        </w:rPr>
        <w:t xml:space="preserve"> </w:t>
      </w:r>
      <w:r w:rsidRPr="00DA379E">
        <w:rPr>
          <w:rFonts w:cstheme="minorHAnsi"/>
        </w:rPr>
        <w:t>(forthcoming)</w:t>
      </w:r>
    </w:p>
    <w:p w14:paraId="50930D94" w14:textId="77777777" w:rsidR="00B678FD" w:rsidRPr="00DA379E" w:rsidRDefault="00B678FD" w:rsidP="00B678FD">
      <w:pPr>
        <w:pStyle w:val="BodyText"/>
        <w:rPr>
          <w:rFonts w:cstheme="minorHAnsi"/>
        </w:rPr>
      </w:pPr>
      <w:r w:rsidRPr="00DA379E">
        <w:rPr>
          <w:rFonts w:cstheme="minorHAnsi"/>
        </w:rPr>
        <w:t xml:space="preserve">Lawless, M. (2014). Age or size? Contributions to job creation. </w:t>
      </w:r>
      <w:r w:rsidRPr="00DA379E">
        <w:rPr>
          <w:rFonts w:cstheme="minorHAnsi"/>
          <w:i/>
        </w:rPr>
        <w:t>Small Business Economics</w:t>
      </w:r>
      <w:r w:rsidRPr="00DA379E">
        <w:rPr>
          <w:rFonts w:cstheme="minorHAnsi"/>
        </w:rPr>
        <w:t>, 42(4), 815-830.</w:t>
      </w:r>
    </w:p>
    <w:p w14:paraId="3AD5E9D6" w14:textId="458C2C55" w:rsidR="00C71991" w:rsidRPr="00DA379E" w:rsidRDefault="00B678FD" w:rsidP="00B678FD">
      <w:pPr>
        <w:pStyle w:val="BodyText"/>
        <w:rPr>
          <w:rFonts w:cstheme="minorHAnsi"/>
        </w:rPr>
      </w:pPr>
      <w:r w:rsidRPr="00DA379E">
        <w:rPr>
          <w:rFonts w:cstheme="minorHAnsi"/>
        </w:rPr>
        <w:t xml:space="preserve">Liesch, P., Steen, M., Middleton, S., &amp; Weerawardena, J. (2007). </w:t>
      </w:r>
      <w:r w:rsidRPr="00DA379E">
        <w:rPr>
          <w:rFonts w:cstheme="minorHAnsi"/>
          <w:i/>
        </w:rPr>
        <w:t>Born to be global: A closer look at the international venturing of Australian born global firms.</w:t>
      </w:r>
      <w:r w:rsidRPr="00DA379E">
        <w:rPr>
          <w:rFonts w:cstheme="minorHAnsi"/>
        </w:rPr>
        <w:t xml:space="preserve"> Sydney: Australian Business Foundation.</w:t>
      </w:r>
    </w:p>
    <w:p w14:paraId="65BDC67F" w14:textId="77777777" w:rsidR="00B678FD" w:rsidRPr="00DA379E" w:rsidRDefault="00B678FD" w:rsidP="00B678FD">
      <w:pPr>
        <w:pStyle w:val="BodyText"/>
        <w:rPr>
          <w:rFonts w:cstheme="minorHAnsi"/>
        </w:rPr>
      </w:pPr>
      <w:r w:rsidRPr="00DA379E">
        <w:rPr>
          <w:rFonts w:cstheme="minorHAnsi"/>
        </w:rPr>
        <w:t xml:space="preserve">Madsen, &amp; Servais. (1997). The internationalization of Born Globals: An evolutionary process? </w:t>
      </w:r>
      <w:r w:rsidRPr="00DA379E">
        <w:rPr>
          <w:rFonts w:cstheme="minorHAnsi"/>
          <w:i/>
        </w:rPr>
        <w:t>International Business Review</w:t>
      </w:r>
      <w:r w:rsidRPr="00DA379E">
        <w:rPr>
          <w:rFonts w:cstheme="minorHAnsi"/>
        </w:rPr>
        <w:t>, 6(6), 561-583.</w:t>
      </w:r>
    </w:p>
    <w:p w14:paraId="3C74EB7A" w14:textId="77777777" w:rsidR="00B678FD" w:rsidRPr="00DA379E" w:rsidRDefault="00B678FD" w:rsidP="00B678FD">
      <w:pPr>
        <w:pStyle w:val="BodyText"/>
        <w:rPr>
          <w:rFonts w:cstheme="minorHAnsi"/>
        </w:rPr>
      </w:pPr>
      <w:r w:rsidRPr="00DA379E">
        <w:rPr>
          <w:rFonts w:cstheme="minorHAnsi"/>
        </w:rPr>
        <w:t xml:space="preserve">Manalo, J., Perera, D., &amp; Rees, D. (2015). Exchange rate movements and the Australian economy. </w:t>
      </w:r>
      <w:r w:rsidRPr="00DA379E">
        <w:rPr>
          <w:rFonts w:cstheme="minorHAnsi"/>
          <w:i/>
        </w:rPr>
        <w:t>Economic Modelling</w:t>
      </w:r>
      <w:r w:rsidRPr="00DA379E">
        <w:rPr>
          <w:rFonts w:cstheme="minorHAnsi"/>
        </w:rPr>
        <w:t>, 47, 53-62.</w:t>
      </w:r>
    </w:p>
    <w:p w14:paraId="6C7A6C07" w14:textId="77777777" w:rsidR="00B678FD" w:rsidRPr="00DA379E" w:rsidRDefault="00B678FD" w:rsidP="00B678FD">
      <w:pPr>
        <w:pStyle w:val="BodyText"/>
        <w:rPr>
          <w:rFonts w:cstheme="minorHAnsi"/>
        </w:rPr>
      </w:pPr>
      <w:r w:rsidRPr="00DA379E">
        <w:rPr>
          <w:rFonts w:cstheme="minorHAnsi"/>
        </w:rPr>
        <w:t xml:space="preserve">Mayer, T., Melitz, M., &amp; Ottaviano, G. (2014). Market Size, Competition, and the Product Mix of Exporters. </w:t>
      </w:r>
      <w:r w:rsidRPr="00DA379E">
        <w:rPr>
          <w:rFonts w:cstheme="minorHAnsi"/>
          <w:i/>
        </w:rPr>
        <w:t>American Economic Review</w:t>
      </w:r>
      <w:r w:rsidRPr="00DA379E">
        <w:rPr>
          <w:rFonts w:cstheme="minorHAnsi"/>
        </w:rPr>
        <w:t>, 104(2), 495-536.</w:t>
      </w:r>
    </w:p>
    <w:p w14:paraId="246595E6" w14:textId="33554E47" w:rsidR="00B678FD" w:rsidRPr="00DA379E" w:rsidRDefault="00B678FD" w:rsidP="00B678FD">
      <w:pPr>
        <w:pStyle w:val="BodyText"/>
        <w:rPr>
          <w:rFonts w:cstheme="minorHAnsi"/>
        </w:rPr>
      </w:pPr>
      <w:r w:rsidRPr="00DA379E">
        <w:rPr>
          <w:rFonts w:cstheme="minorHAnsi"/>
        </w:rPr>
        <w:t xml:space="preserve">McAuley, A. (1999). Entrepreneurial instant exporters in the scottish arts and crafts sector. </w:t>
      </w:r>
      <w:r w:rsidRPr="00DA379E">
        <w:rPr>
          <w:rFonts w:cstheme="minorHAnsi"/>
          <w:i/>
        </w:rPr>
        <w:t>Journal of International Marketing</w:t>
      </w:r>
      <w:r w:rsidRPr="00DA379E">
        <w:rPr>
          <w:rFonts w:cstheme="minorHAnsi"/>
        </w:rPr>
        <w:t>, 7, 67–82.</w:t>
      </w:r>
    </w:p>
    <w:p w14:paraId="3EC2021D" w14:textId="2CCA69C6" w:rsidR="00B678FD" w:rsidRPr="00DA379E" w:rsidRDefault="00B678FD" w:rsidP="00B678FD">
      <w:pPr>
        <w:pStyle w:val="BodyText"/>
        <w:rPr>
          <w:rFonts w:cstheme="minorHAnsi"/>
        </w:rPr>
      </w:pPr>
      <w:r w:rsidRPr="00DA379E">
        <w:rPr>
          <w:rFonts w:cstheme="minorHAnsi"/>
        </w:rPr>
        <w:t xml:space="preserve">McDougall, P., Shane, S., &amp; Oviatt, B. M. (1994). Explaining the formation of international new ventures: The limits of theories from international business research. </w:t>
      </w:r>
      <w:r w:rsidRPr="00DA379E">
        <w:rPr>
          <w:rFonts w:cstheme="minorHAnsi"/>
          <w:i/>
        </w:rPr>
        <w:t>Journal of Business Venturing</w:t>
      </w:r>
      <w:r w:rsidRPr="00DA379E">
        <w:rPr>
          <w:rFonts w:cstheme="minorHAnsi"/>
        </w:rPr>
        <w:t>, 9, 469–487.</w:t>
      </w:r>
    </w:p>
    <w:p w14:paraId="7E2C49B0" w14:textId="6905D19F" w:rsidR="00B678FD" w:rsidRPr="00DA379E" w:rsidRDefault="00B678FD" w:rsidP="00B678FD">
      <w:pPr>
        <w:pStyle w:val="BodyText"/>
        <w:rPr>
          <w:rFonts w:cstheme="minorHAnsi"/>
        </w:rPr>
      </w:pPr>
      <w:r w:rsidRPr="00DA379E">
        <w:rPr>
          <w:rFonts w:cstheme="minorHAnsi"/>
        </w:rPr>
        <w:lastRenderedPageBreak/>
        <w:t xml:space="preserve">McDougall, P. P., Oviatt, B. M., &amp; Shrader, R. C. (2003). A comparison of international and domestic new ventures. </w:t>
      </w:r>
      <w:r w:rsidRPr="00DA379E">
        <w:rPr>
          <w:rFonts w:cstheme="minorHAnsi"/>
          <w:i/>
        </w:rPr>
        <w:t>Journal of International Entrepreneurship</w:t>
      </w:r>
      <w:r w:rsidRPr="00DA379E">
        <w:rPr>
          <w:rFonts w:cstheme="minorHAnsi"/>
        </w:rPr>
        <w:t>, 1, 59–82.</w:t>
      </w:r>
    </w:p>
    <w:p w14:paraId="0BFC7460" w14:textId="2D80B379" w:rsidR="00B678FD" w:rsidRPr="00DA379E" w:rsidRDefault="00B678FD" w:rsidP="00B678FD">
      <w:pPr>
        <w:pStyle w:val="BodyText"/>
        <w:rPr>
          <w:rFonts w:cstheme="minorHAnsi"/>
        </w:rPr>
      </w:pPr>
      <w:r w:rsidRPr="00DA379E">
        <w:rPr>
          <w:rFonts w:cstheme="minorHAnsi"/>
        </w:rPr>
        <w:t xml:space="preserve">Melitz, M. (2003). The impact of trade on intra-industry reallocations and aggregate industry productivity. </w:t>
      </w:r>
      <w:r w:rsidRPr="00DA379E">
        <w:rPr>
          <w:rFonts w:cstheme="minorHAnsi"/>
          <w:i/>
        </w:rPr>
        <w:t>Econometrica</w:t>
      </w:r>
      <w:r w:rsidRPr="00DA379E">
        <w:rPr>
          <w:rFonts w:cstheme="minorHAnsi"/>
        </w:rPr>
        <w:t>, 71, 1695–1725.</w:t>
      </w:r>
    </w:p>
    <w:p w14:paraId="50D0F7B4" w14:textId="5E8F54D3" w:rsidR="00B678FD" w:rsidRPr="00DA379E" w:rsidRDefault="00B678FD" w:rsidP="00B678FD">
      <w:pPr>
        <w:pStyle w:val="BodyText"/>
        <w:rPr>
          <w:rFonts w:cstheme="minorHAnsi"/>
        </w:rPr>
      </w:pPr>
      <w:r w:rsidRPr="00DA379E">
        <w:rPr>
          <w:rFonts w:cstheme="minorHAnsi"/>
        </w:rPr>
        <w:t xml:space="preserve">Mort, G. S., &amp; Weerawardena, J. (2006). Networking capability and international entrepreneurship – How networks function in Australian born global firms. </w:t>
      </w:r>
      <w:r w:rsidRPr="00DA379E">
        <w:rPr>
          <w:rFonts w:cstheme="minorHAnsi"/>
          <w:i/>
        </w:rPr>
        <w:t>International Marketing Review</w:t>
      </w:r>
      <w:r w:rsidRPr="00DA379E">
        <w:rPr>
          <w:rFonts w:cstheme="minorHAnsi"/>
        </w:rPr>
        <w:t>, 23(5): 549–572.</w:t>
      </w:r>
    </w:p>
    <w:p w14:paraId="7BBB8649" w14:textId="77777777" w:rsidR="00B678FD" w:rsidRPr="00DA379E" w:rsidRDefault="00B678FD" w:rsidP="00B678FD">
      <w:pPr>
        <w:pStyle w:val="BodyText"/>
        <w:rPr>
          <w:rFonts w:cstheme="minorHAnsi"/>
        </w:rPr>
      </w:pPr>
      <w:r w:rsidRPr="00DA379E">
        <w:rPr>
          <w:rFonts w:cstheme="minorHAnsi"/>
        </w:rPr>
        <w:t xml:space="preserve">Oviatt, B., &amp; McDougall, P. (1994). Toward a theory of international new ventures. </w:t>
      </w:r>
      <w:r w:rsidRPr="00DA379E">
        <w:rPr>
          <w:rFonts w:cstheme="minorHAnsi"/>
          <w:i/>
        </w:rPr>
        <w:t>Journal of International Business Studies</w:t>
      </w:r>
      <w:r w:rsidRPr="00DA379E">
        <w:rPr>
          <w:rFonts w:cstheme="minorHAnsi"/>
        </w:rPr>
        <w:t>, 25(1), 45.</w:t>
      </w:r>
    </w:p>
    <w:p w14:paraId="203CE53B" w14:textId="2110FC5E" w:rsidR="000369D3" w:rsidRPr="00DA379E" w:rsidRDefault="000369D3" w:rsidP="00B678FD">
      <w:pPr>
        <w:pStyle w:val="BodyText"/>
        <w:rPr>
          <w:rFonts w:cstheme="minorHAnsi"/>
        </w:rPr>
      </w:pPr>
      <w:r w:rsidRPr="00DA379E">
        <w:rPr>
          <w:rFonts w:cstheme="minorHAnsi"/>
        </w:rPr>
        <w:t xml:space="preserve">Parliament of Australia, (2019). From little things big things grow: Supporting Australian SMEs go global, </w:t>
      </w:r>
      <w:r w:rsidRPr="00DA379E">
        <w:rPr>
          <w:rFonts w:cstheme="minorHAnsi"/>
          <w:i/>
        </w:rPr>
        <w:t>Inquiry into access to free trade agreements by small and medium enterprises</w:t>
      </w:r>
    </w:p>
    <w:p w14:paraId="641B8CD0" w14:textId="77777777" w:rsidR="00B678FD" w:rsidRPr="00DA379E" w:rsidRDefault="00B678FD" w:rsidP="00B678FD">
      <w:pPr>
        <w:pStyle w:val="BodyText"/>
        <w:rPr>
          <w:rFonts w:cstheme="minorHAnsi"/>
        </w:rPr>
      </w:pPr>
      <w:r w:rsidRPr="00DA379E">
        <w:rPr>
          <w:rFonts w:cstheme="minorHAnsi"/>
        </w:rPr>
        <w:t xml:space="preserve">Preece, Miles, &amp; Baetz. (1999). Explaining the international intensity and global diversity of early-stage technology-based firms. </w:t>
      </w:r>
      <w:r w:rsidRPr="00DA379E">
        <w:rPr>
          <w:rFonts w:cstheme="minorHAnsi"/>
          <w:i/>
        </w:rPr>
        <w:t>Journal of Business Venturing</w:t>
      </w:r>
      <w:r w:rsidRPr="00DA379E">
        <w:rPr>
          <w:rFonts w:cstheme="minorHAnsi"/>
        </w:rPr>
        <w:t>, 14(3), 259-281.</w:t>
      </w:r>
    </w:p>
    <w:p w14:paraId="613022F8" w14:textId="41B056C4" w:rsidR="005F7527" w:rsidRPr="00DA379E" w:rsidRDefault="00C8668A" w:rsidP="00B678FD">
      <w:pPr>
        <w:pStyle w:val="BodyText"/>
        <w:rPr>
          <w:rFonts w:cstheme="minorHAnsi"/>
        </w:rPr>
      </w:pPr>
      <w:r w:rsidRPr="00DA379E">
        <w:rPr>
          <w:rFonts w:cstheme="minorHAnsi"/>
        </w:rPr>
        <w:t>Rafi, B &amp; Reynolds, C. (2019)</w:t>
      </w:r>
      <w:r w:rsidR="005F7527" w:rsidRPr="00DA379E">
        <w:rPr>
          <w:rFonts w:cstheme="minorHAnsi"/>
        </w:rPr>
        <w:t>.</w:t>
      </w:r>
      <w:r w:rsidRPr="00DA379E">
        <w:rPr>
          <w:rFonts w:cstheme="minorHAnsi"/>
        </w:rPr>
        <w:t xml:space="preserve"> </w:t>
      </w:r>
      <w:r w:rsidR="00141675" w:rsidRPr="00DA379E">
        <w:rPr>
          <w:rFonts w:cstheme="minorHAnsi"/>
        </w:rPr>
        <w:t>Is Servicing Debt an Issue for SME</w:t>
      </w:r>
      <w:r w:rsidR="005F7527" w:rsidRPr="00DA379E">
        <w:rPr>
          <w:rFonts w:cstheme="minorHAnsi"/>
        </w:rPr>
        <w:t>s</w:t>
      </w:r>
      <w:r w:rsidR="00141675" w:rsidRPr="00DA379E">
        <w:rPr>
          <w:rFonts w:cstheme="minorHAnsi"/>
        </w:rPr>
        <w:t>?</w:t>
      </w:r>
      <w:r w:rsidR="005F7527" w:rsidRPr="00DA379E">
        <w:rPr>
          <w:rFonts w:cstheme="minorHAnsi"/>
        </w:rPr>
        <w:t xml:space="preserve"> Department of Industry, Innovation and Science, </w:t>
      </w:r>
      <w:r w:rsidR="005F7527" w:rsidRPr="00DA379E">
        <w:rPr>
          <w:rFonts w:cstheme="minorHAnsi"/>
          <w:i/>
        </w:rPr>
        <w:t>Staff research paper</w:t>
      </w:r>
      <w:r w:rsidR="005F7527" w:rsidRPr="00DA379E">
        <w:rPr>
          <w:rFonts w:cstheme="minorHAnsi"/>
        </w:rPr>
        <w:t xml:space="preserve"> 2019 (forthcoming)</w:t>
      </w:r>
    </w:p>
    <w:p w14:paraId="78997C19" w14:textId="0EBA746A" w:rsidR="000E7B20" w:rsidRPr="00DA379E" w:rsidRDefault="000E7B20" w:rsidP="00B678FD">
      <w:pPr>
        <w:pStyle w:val="BodyText"/>
        <w:rPr>
          <w:rFonts w:cstheme="minorHAnsi"/>
        </w:rPr>
      </w:pPr>
      <w:r w:rsidRPr="00DA379E">
        <w:rPr>
          <w:rFonts w:cstheme="minorHAnsi"/>
        </w:rPr>
        <w:t>Reserve Bank of Australia (2019). Sensitivity of Australian Trade to the Exchange Rate</w:t>
      </w:r>
      <w:r w:rsidR="007750D8" w:rsidRPr="00DA379E">
        <w:rPr>
          <w:rFonts w:cstheme="minorHAnsi"/>
        </w:rPr>
        <w:t xml:space="preserve">. </w:t>
      </w:r>
      <w:r w:rsidR="007750D8" w:rsidRPr="00DA379E">
        <w:rPr>
          <w:rFonts w:cstheme="minorHAnsi"/>
          <w:i/>
        </w:rPr>
        <w:t>Bulletin -</w:t>
      </w:r>
      <w:r w:rsidRPr="00DA379E">
        <w:rPr>
          <w:rFonts w:cstheme="minorHAnsi"/>
          <w:i/>
        </w:rPr>
        <w:t xml:space="preserve"> September </w:t>
      </w:r>
      <w:r w:rsidR="007750D8" w:rsidRPr="00DA379E">
        <w:rPr>
          <w:rFonts w:cstheme="minorHAnsi"/>
          <w:i/>
        </w:rPr>
        <w:t xml:space="preserve">quarter </w:t>
      </w:r>
      <w:r w:rsidRPr="00DA379E">
        <w:rPr>
          <w:rFonts w:cstheme="minorHAnsi"/>
          <w:i/>
        </w:rPr>
        <w:t>2016</w:t>
      </w:r>
      <w:r w:rsidRPr="00DA379E">
        <w:rPr>
          <w:rFonts w:cstheme="minorHAnsi"/>
        </w:rPr>
        <w:t xml:space="preserve">. </w:t>
      </w:r>
    </w:p>
    <w:p w14:paraId="4CD1E9BF" w14:textId="77777777" w:rsidR="00291865" w:rsidRDefault="00543212" w:rsidP="00291865">
      <w:pPr>
        <w:pStyle w:val="BodyText"/>
        <w:rPr>
          <w:rFonts w:cstheme="minorHAnsi"/>
        </w:rPr>
      </w:pPr>
      <w:r w:rsidRPr="00DA379E">
        <w:rPr>
          <w:rFonts w:cstheme="minorHAnsi"/>
        </w:rPr>
        <w:t xml:space="preserve">Reserve Bank of Australia </w:t>
      </w:r>
      <w:r w:rsidR="00E60A0B" w:rsidRPr="00DA379E">
        <w:rPr>
          <w:rFonts w:cstheme="minorHAnsi"/>
        </w:rPr>
        <w:t xml:space="preserve">(2019). Historical Data, Exchange Rates – Monthly. </w:t>
      </w:r>
      <w:r w:rsidR="003966EF" w:rsidRPr="00DA379E">
        <w:rPr>
          <w:rFonts w:cstheme="minorHAnsi"/>
        </w:rPr>
        <w:t xml:space="preserve">Retrieved </w:t>
      </w:r>
      <w:r w:rsidR="00E60A0B" w:rsidRPr="00DA379E">
        <w:rPr>
          <w:rFonts w:cstheme="minorHAnsi"/>
        </w:rPr>
        <w:t>from</w:t>
      </w:r>
      <w:r w:rsidR="00291865">
        <w:rPr>
          <w:rFonts w:cstheme="minorHAnsi"/>
        </w:rPr>
        <w:t xml:space="preserve"> </w:t>
      </w:r>
    </w:p>
    <w:p w14:paraId="1E19B9C5" w14:textId="2C013288" w:rsidR="00E60A0B" w:rsidRPr="00DA379E" w:rsidRDefault="00E60A0B" w:rsidP="00291865">
      <w:pPr>
        <w:pStyle w:val="BodyText"/>
        <w:rPr>
          <w:rFonts w:cstheme="minorHAnsi"/>
        </w:rPr>
      </w:pPr>
      <w:r w:rsidRPr="00DA379E">
        <w:rPr>
          <w:rFonts w:cstheme="minorHAnsi"/>
        </w:rPr>
        <w:t>https://www.rba.gov.au/statistics/historical-data.html#exchange-rates</w:t>
      </w:r>
    </w:p>
    <w:p w14:paraId="0FF5EFCA" w14:textId="77777777" w:rsidR="00B678FD" w:rsidRPr="00DA379E" w:rsidRDefault="00B678FD" w:rsidP="00B678FD">
      <w:pPr>
        <w:pStyle w:val="BodyText"/>
        <w:rPr>
          <w:rFonts w:cstheme="minorHAnsi"/>
        </w:rPr>
      </w:pPr>
      <w:r w:rsidRPr="00DA379E">
        <w:rPr>
          <w:rFonts w:cstheme="minorHAnsi"/>
        </w:rPr>
        <w:t xml:space="preserve">Swift, R. (2007). Exchange Rate Implications for Australian Manufacturing Investment and Exports. </w:t>
      </w:r>
      <w:r w:rsidRPr="00DA379E">
        <w:rPr>
          <w:rFonts w:cstheme="minorHAnsi"/>
          <w:i/>
        </w:rPr>
        <w:t>Economic Analysis and Policy</w:t>
      </w:r>
      <w:r w:rsidRPr="00DA379E">
        <w:rPr>
          <w:rFonts w:cstheme="minorHAnsi"/>
        </w:rPr>
        <w:t>, 37(2), 145-162.</w:t>
      </w:r>
    </w:p>
    <w:p w14:paraId="68FCE542" w14:textId="77777777" w:rsidR="00B678FD" w:rsidRPr="00DA379E" w:rsidRDefault="00B678FD" w:rsidP="00B678FD">
      <w:pPr>
        <w:pStyle w:val="BodyText"/>
        <w:rPr>
          <w:rFonts w:cstheme="minorHAnsi"/>
        </w:rPr>
      </w:pPr>
      <w:r w:rsidRPr="00DA379E">
        <w:rPr>
          <w:rFonts w:cstheme="minorHAnsi"/>
        </w:rPr>
        <w:t xml:space="preserve">Tuhin, R &amp; Swanepoel, A. (2016). Export behaviour and business performance: evidence from Australian microdata. Department of Industry, Innovation and Science, </w:t>
      </w:r>
      <w:r w:rsidRPr="00DA379E">
        <w:rPr>
          <w:rFonts w:cstheme="minorHAnsi"/>
          <w:i/>
        </w:rPr>
        <w:t>Staff research paper</w:t>
      </w:r>
      <w:r w:rsidRPr="00DA379E">
        <w:rPr>
          <w:rFonts w:cstheme="minorHAnsi"/>
        </w:rPr>
        <w:t xml:space="preserve"> 7/2016</w:t>
      </w:r>
    </w:p>
    <w:p w14:paraId="48F3FCC1" w14:textId="77777777" w:rsidR="00B678FD" w:rsidRPr="00DA379E" w:rsidRDefault="00B678FD" w:rsidP="00B678FD">
      <w:pPr>
        <w:pStyle w:val="BodyText"/>
        <w:rPr>
          <w:rFonts w:cstheme="minorHAnsi"/>
        </w:rPr>
      </w:pPr>
      <w:r w:rsidRPr="00DA379E">
        <w:rPr>
          <w:rFonts w:cstheme="minorHAnsi"/>
        </w:rPr>
        <w:t xml:space="preserve">Xu, Mao, &amp; Tong. (2016). The impact of exchange rate movements on multi-product firms' export performance: Evidence from China. </w:t>
      </w:r>
      <w:r w:rsidRPr="00DA379E">
        <w:rPr>
          <w:rFonts w:cstheme="minorHAnsi"/>
          <w:i/>
        </w:rPr>
        <w:t>China Economic Review</w:t>
      </w:r>
      <w:r w:rsidRPr="00DA379E">
        <w:rPr>
          <w:rFonts w:cstheme="minorHAnsi"/>
        </w:rPr>
        <w:t>, 39, 46-62.</w:t>
      </w:r>
    </w:p>
    <w:p w14:paraId="584B6504" w14:textId="264B529A" w:rsidR="00DF5F31" w:rsidRPr="00DA379E" w:rsidRDefault="00B678FD" w:rsidP="00B678FD">
      <w:pPr>
        <w:pStyle w:val="BodyText"/>
        <w:rPr>
          <w:rFonts w:cstheme="minorHAnsi"/>
        </w:rPr>
      </w:pPr>
      <w:r w:rsidRPr="00DA379E">
        <w:rPr>
          <w:rFonts w:cstheme="minorHAnsi"/>
        </w:rPr>
        <w:t xml:space="preserve">Young, S., Dimitratos, P., &amp; Dana, L. P. (2003). International entrepreneurship theories: What scope for international business theories? </w:t>
      </w:r>
      <w:r w:rsidRPr="00DA379E">
        <w:rPr>
          <w:rFonts w:cstheme="minorHAnsi"/>
          <w:i/>
        </w:rPr>
        <w:t>Journal of International Entrepreneurship</w:t>
      </w:r>
      <w:r w:rsidRPr="00DA379E">
        <w:rPr>
          <w:rFonts w:cstheme="minorHAnsi"/>
        </w:rPr>
        <w:t>, 1(1): 31–42.</w:t>
      </w:r>
    </w:p>
    <w:p w14:paraId="0FF6FE15" w14:textId="2D280EDA" w:rsidR="0085680E" w:rsidRPr="00DA379E" w:rsidRDefault="0085680E" w:rsidP="00B678FD">
      <w:pPr>
        <w:pStyle w:val="BodyText"/>
        <w:rPr>
          <w:rFonts w:cstheme="minorHAnsi"/>
        </w:rPr>
      </w:pPr>
      <w:r w:rsidRPr="00DA379E">
        <w:rPr>
          <w:rFonts w:cstheme="minorHAnsi"/>
        </w:rPr>
        <w:t xml:space="preserve">Zahra, S., Ireland, R., &amp; Hitt, M. (2000). International expansion by new venture firms: International diversity, mode of market entry, technological learning, and performance. </w:t>
      </w:r>
      <w:r w:rsidRPr="00DA379E">
        <w:rPr>
          <w:rFonts w:cstheme="minorHAnsi"/>
          <w:i/>
        </w:rPr>
        <w:t>Academy Of Management Journal</w:t>
      </w:r>
      <w:r w:rsidRPr="00DA379E">
        <w:rPr>
          <w:rFonts w:cstheme="minorHAnsi"/>
        </w:rPr>
        <w:t>, 43(5), 925-950.</w:t>
      </w:r>
    </w:p>
    <w:p w14:paraId="19ED3374" w14:textId="77777777" w:rsidR="00941707" w:rsidRPr="00DA379E" w:rsidRDefault="003F6DA6" w:rsidP="003F6DA6">
      <w:pPr>
        <w:pStyle w:val="Heading6"/>
        <w:rPr>
          <w:rFonts w:asciiTheme="minorHAnsi" w:hAnsiTheme="minorHAnsi" w:cstheme="minorHAnsi"/>
        </w:rPr>
      </w:pPr>
      <w:r w:rsidRPr="00DA379E">
        <w:rPr>
          <w:rFonts w:asciiTheme="minorHAnsi" w:hAnsiTheme="minorHAnsi" w:cstheme="minorHAnsi"/>
        </w:rPr>
        <w:lastRenderedPageBreak/>
        <w:t>Data sources</w:t>
      </w:r>
    </w:p>
    <w:p w14:paraId="43A38CDF" w14:textId="77777777" w:rsidR="004C1E15" w:rsidRDefault="004C1E15" w:rsidP="004C1E15">
      <w:pPr>
        <w:pStyle w:val="Title"/>
        <w:spacing w:before="0" w:after="0"/>
        <w:rPr>
          <w:rFonts w:cs="Times New Roman"/>
          <w:b/>
          <w:sz w:val="22"/>
          <w:szCs w:val="22"/>
        </w:rPr>
      </w:pPr>
    </w:p>
    <w:p w14:paraId="107AE059" w14:textId="01E327A6" w:rsidR="006851E4" w:rsidRDefault="006851E4" w:rsidP="006851E4">
      <w:pPr>
        <w:pStyle w:val="Caption"/>
        <w:pBdr>
          <w:top w:val="single" w:sz="2" w:space="0" w:color="595A5B"/>
        </w:pBdr>
      </w:pPr>
      <w:r>
        <w:t xml:space="preserve">Table A.1: </w:t>
      </w:r>
      <w:r w:rsidRPr="006851E4">
        <w:t>V</w:t>
      </w:r>
      <w:r>
        <w:t xml:space="preserve">ariables in the Business Longitudinal Analysis Data Environment </w:t>
      </w:r>
    </w:p>
    <w:tbl>
      <w:tblPr>
        <w:tblStyle w:val="OCETable"/>
        <w:tblW w:w="5000" w:type="pct"/>
        <w:tblInd w:w="57" w:type="dxa"/>
        <w:tblLayout w:type="fixed"/>
        <w:tblLook w:val="04A0" w:firstRow="1" w:lastRow="0" w:firstColumn="1" w:lastColumn="0" w:noHBand="0" w:noVBand="1"/>
        <w:tblCaption w:val="Variables in the Business Longitudinal Analysis Data Environment "/>
        <w:tblDescription w:val="An explanation of what each variable in BLADE is. "/>
      </w:tblPr>
      <w:tblGrid>
        <w:gridCol w:w="2070"/>
        <w:gridCol w:w="2693"/>
        <w:gridCol w:w="2131"/>
      </w:tblGrid>
      <w:tr w:rsidR="006851E4" w14:paraId="53763237" w14:textId="77777777" w:rsidTr="00FE7E33">
        <w:trPr>
          <w:cnfStyle w:val="100000000000" w:firstRow="1" w:lastRow="0" w:firstColumn="0" w:lastColumn="0" w:oddVBand="0" w:evenVBand="0" w:oddHBand="0" w:evenHBand="0" w:firstRowFirstColumn="0" w:firstRowLastColumn="0" w:lastRowFirstColumn="0" w:lastRowLastColumn="0"/>
          <w:trHeight w:val="609"/>
          <w:tblHeader/>
        </w:trPr>
        <w:tc>
          <w:tcPr>
            <w:tcW w:w="4763" w:type="dxa"/>
            <w:gridSpan w:val="2"/>
          </w:tcPr>
          <w:p w14:paraId="54FD701A" w14:textId="3E878548" w:rsidR="006851E4" w:rsidRDefault="00720297" w:rsidP="00720297">
            <w:pPr>
              <w:pStyle w:val="Tableheader"/>
              <w:rPr>
                <w:lang w:eastAsia="en-AU"/>
              </w:rPr>
            </w:pPr>
            <w:r>
              <w:rPr>
                <w:lang w:eastAsia="en-AU"/>
              </w:rPr>
              <w:t>Variable</w:t>
            </w:r>
            <w:r w:rsidR="006851E4">
              <w:rPr>
                <w:lang w:eastAsia="en-AU"/>
              </w:rPr>
              <w:t xml:space="preserve"> </w:t>
            </w:r>
          </w:p>
        </w:tc>
        <w:tc>
          <w:tcPr>
            <w:tcW w:w="2131" w:type="dxa"/>
          </w:tcPr>
          <w:p w14:paraId="19C27103" w14:textId="39C6AA66" w:rsidR="006851E4" w:rsidRDefault="006851E4" w:rsidP="00720297">
            <w:pPr>
              <w:pStyle w:val="Tableheader"/>
              <w:jc w:val="right"/>
              <w:rPr>
                <w:lang w:eastAsia="en-AU"/>
              </w:rPr>
            </w:pPr>
          </w:p>
        </w:tc>
      </w:tr>
      <w:tr w:rsidR="00B5735F" w14:paraId="60EAE1DB" w14:textId="77777777" w:rsidTr="00E4673F">
        <w:trPr>
          <w:cnfStyle w:val="000000100000" w:firstRow="0" w:lastRow="0" w:firstColumn="0" w:lastColumn="0" w:oddVBand="0" w:evenVBand="0" w:oddHBand="1" w:evenHBand="0" w:firstRowFirstColumn="0" w:firstRowLastColumn="0" w:lastRowFirstColumn="0" w:lastRowLastColumn="0"/>
          <w:trHeight w:val="304"/>
        </w:trPr>
        <w:tc>
          <w:tcPr>
            <w:tcW w:w="2070" w:type="dxa"/>
            <w:vAlign w:val="center"/>
          </w:tcPr>
          <w:p w14:paraId="787155AC" w14:textId="25171332"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Year</w:t>
            </w:r>
          </w:p>
        </w:tc>
        <w:tc>
          <w:tcPr>
            <w:tcW w:w="4824" w:type="dxa"/>
            <w:gridSpan w:val="2"/>
            <w:vAlign w:val="center"/>
          </w:tcPr>
          <w:p w14:paraId="2EF0A4B1" w14:textId="594EEFDA"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Financial year</w:t>
            </w:r>
          </w:p>
        </w:tc>
      </w:tr>
      <w:tr w:rsidR="00B5735F" w14:paraId="0E6FAED5" w14:textId="77777777" w:rsidTr="00E4673F">
        <w:trPr>
          <w:cnfStyle w:val="000000010000" w:firstRow="0" w:lastRow="0" w:firstColumn="0" w:lastColumn="0" w:oddVBand="0" w:evenVBand="0" w:oddHBand="0" w:evenHBand="1" w:firstRowFirstColumn="0" w:firstRowLastColumn="0" w:lastRowFirstColumn="0" w:lastRowLastColumn="0"/>
          <w:trHeight w:val="304"/>
        </w:trPr>
        <w:tc>
          <w:tcPr>
            <w:tcW w:w="2070" w:type="dxa"/>
            <w:vAlign w:val="center"/>
          </w:tcPr>
          <w:p w14:paraId="2DE77A4F" w14:textId="481F43A5"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State</w:t>
            </w:r>
          </w:p>
        </w:tc>
        <w:tc>
          <w:tcPr>
            <w:tcW w:w="4824" w:type="dxa"/>
            <w:gridSpan w:val="2"/>
            <w:vAlign w:val="center"/>
          </w:tcPr>
          <w:p w14:paraId="244BE3D2" w14:textId="70620A69"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State of business address</w:t>
            </w:r>
          </w:p>
        </w:tc>
      </w:tr>
      <w:tr w:rsidR="00B5735F" w14:paraId="400EFA39" w14:textId="77777777" w:rsidTr="00E4673F">
        <w:trPr>
          <w:cnfStyle w:val="000000100000" w:firstRow="0" w:lastRow="0" w:firstColumn="0" w:lastColumn="0" w:oddVBand="0" w:evenVBand="0" w:oddHBand="1" w:evenHBand="0" w:firstRowFirstColumn="0" w:firstRowLastColumn="0" w:lastRowFirstColumn="0" w:lastRowLastColumn="0"/>
          <w:trHeight w:val="169"/>
        </w:trPr>
        <w:tc>
          <w:tcPr>
            <w:tcW w:w="2070" w:type="dxa"/>
            <w:vAlign w:val="center"/>
          </w:tcPr>
          <w:p w14:paraId="6D92D60D" w14:textId="3C07EA6A"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Postcode</w:t>
            </w:r>
          </w:p>
        </w:tc>
        <w:tc>
          <w:tcPr>
            <w:tcW w:w="4824" w:type="dxa"/>
            <w:gridSpan w:val="2"/>
            <w:vAlign w:val="center"/>
          </w:tcPr>
          <w:p w14:paraId="352AA52A" w14:textId="1D72A0C8"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Postcode of business address</w:t>
            </w:r>
          </w:p>
        </w:tc>
      </w:tr>
      <w:tr w:rsidR="00B5735F" w14:paraId="7772A6A8" w14:textId="77777777" w:rsidTr="00E4673F">
        <w:trPr>
          <w:cnfStyle w:val="000000010000" w:firstRow="0" w:lastRow="0" w:firstColumn="0" w:lastColumn="0" w:oddVBand="0" w:evenVBand="0" w:oddHBand="0" w:evenHBand="1" w:firstRowFirstColumn="0" w:firstRowLastColumn="0" w:lastRowFirstColumn="0" w:lastRowLastColumn="0"/>
          <w:trHeight w:val="231"/>
        </w:trPr>
        <w:tc>
          <w:tcPr>
            <w:tcW w:w="2070" w:type="dxa"/>
            <w:vAlign w:val="center"/>
          </w:tcPr>
          <w:p w14:paraId="19A23EDE" w14:textId="49DB1D73"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Tolo</w:t>
            </w:r>
          </w:p>
        </w:tc>
        <w:tc>
          <w:tcPr>
            <w:tcW w:w="4824" w:type="dxa"/>
            <w:gridSpan w:val="2"/>
            <w:vAlign w:val="center"/>
          </w:tcPr>
          <w:p w14:paraId="00527C2E" w14:textId="540C1FDC"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Type of legal organisation</w:t>
            </w:r>
          </w:p>
        </w:tc>
      </w:tr>
      <w:tr w:rsidR="00B5735F" w14:paraId="3E410E45" w14:textId="77777777" w:rsidTr="00E4673F">
        <w:trPr>
          <w:cnfStyle w:val="000000100000" w:firstRow="0" w:lastRow="0" w:firstColumn="0" w:lastColumn="0" w:oddVBand="0" w:evenVBand="0" w:oddHBand="1" w:evenHBand="0" w:firstRowFirstColumn="0" w:firstRowLastColumn="0" w:lastRowFirstColumn="0" w:lastRowLastColumn="0"/>
          <w:trHeight w:val="306"/>
        </w:trPr>
        <w:tc>
          <w:tcPr>
            <w:tcW w:w="2070" w:type="dxa"/>
            <w:vAlign w:val="center"/>
          </w:tcPr>
          <w:p w14:paraId="047072D9" w14:textId="04D89BA3" w:rsidR="00B5735F" w:rsidRPr="00C262AE" w:rsidRDefault="00B479DB" w:rsidP="00E4673F">
            <w:pPr>
              <w:pStyle w:val="Tabletext"/>
              <w:rPr>
                <w:rFonts w:asciiTheme="minorHAnsi" w:hAnsiTheme="minorHAnsi" w:cstheme="minorBidi"/>
              </w:rPr>
            </w:pPr>
            <w:r w:rsidRPr="00C262AE">
              <w:rPr>
                <w:rFonts w:asciiTheme="minorHAnsi" w:hAnsiTheme="minorHAnsi" w:cstheme="minorBidi"/>
              </w:rPr>
              <w:t xml:space="preserve">ANZSIC </w:t>
            </w:r>
            <w:r w:rsidR="00010FFE" w:rsidRPr="00C262AE">
              <w:rPr>
                <w:rFonts w:asciiTheme="minorHAnsi" w:hAnsiTheme="minorHAnsi" w:cstheme="minorBidi"/>
              </w:rPr>
              <w:t>2006</w:t>
            </w:r>
          </w:p>
        </w:tc>
        <w:tc>
          <w:tcPr>
            <w:tcW w:w="4824" w:type="dxa"/>
            <w:gridSpan w:val="2"/>
            <w:vAlign w:val="center"/>
          </w:tcPr>
          <w:p w14:paraId="68F29B6A" w14:textId="61B6CE6D"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4</w:t>
            </w:r>
            <w:r w:rsidR="000F3C49" w:rsidRPr="00C262AE">
              <w:rPr>
                <w:rFonts w:asciiTheme="minorHAnsi" w:hAnsiTheme="minorHAnsi" w:cstheme="minorBidi"/>
              </w:rPr>
              <w:t>-</w:t>
            </w:r>
            <w:r w:rsidRPr="00C262AE">
              <w:rPr>
                <w:rFonts w:asciiTheme="minorHAnsi" w:hAnsiTheme="minorHAnsi" w:cstheme="minorBidi"/>
              </w:rPr>
              <w:t xml:space="preserve">digit ANZ </w:t>
            </w:r>
            <w:r w:rsidR="00DA1B93" w:rsidRPr="00C262AE">
              <w:rPr>
                <w:rFonts w:asciiTheme="minorHAnsi" w:hAnsiTheme="minorHAnsi" w:cstheme="minorBidi"/>
              </w:rPr>
              <w:t>S</w:t>
            </w:r>
            <w:r w:rsidRPr="00C262AE">
              <w:rPr>
                <w:rFonts w:asciiTheme="minorHAnsi" w:hAnsiTheme="minorHAnsi" w:cstheme="minorBidi"/>
              </w:rPr>
              <w:t xml:space="preserve">tandard </w:t>
            </w:r>
            <w:r w:rsidR="00DA1B93" w:rsidRPr="00C262AE">
              <w:rPr>
                <w:rFonts w:asciiTheme="minorHAnsi" w:hAnsiTheme="minorHAnsi" w:cstheme="minorBidi"/>
              </w:rPr>
              <w:t>Industry Classification</w:t>
            </w:r>
          </w:p>
        </w:tc>
      </w:tr>
      <w:tr w:rsidR="00B5735F" w14:paraId="654B343F" w14:textId="77777777" w:rsidTr="00E4673F">
        <w:trPr>
          <w:cnfStyle w:val="000000010000" w:firstRow="0" w:lastRow="0" w:firstColumn="0" w:lastColumn="0" w:oddVBand="0" w:evenVBand="0" w:oddHBand="0" w:evenHBand="1" w:firstRowFirstColumn="0" w:firstRowLastColumn="0" w:lastRowFirstColumn="0" w:lastRowLastColumn="0"/>
          <w:trHeight w:val="383"/>
        </w:trPr>
        <w:tc>
          <w:tcPr>
            <w:tcW w:w="2070" w:type="dxa"/>
            <w:vAlign w:val="center"/>
          </w:tcPr>
          <w:p w14:paraId="60CD41F5" w14:textId="3ECCFD6D"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Domestic Sales</w:t>
            </w:r>
          </w:p>
        </w:tc>
        <w:tc>
          <w:tcPr>
            <w:tcW w:w="4824" w:type="dxa"/>
            <w:gridSpan w:val="2"/>
            <w:vAlign w:val="center"/>
          </w:tcPr>
          <w:p w14:paraId="3D684C7D" w14:textId="5B768D17" w:rsidR="00B5735F" w:rsidRPr="00C262AE" w:rsidRDefault="006F374D" w:rsidP="00E4673F">
            <w:pPr>
              <w:pStyle w:val="Tabletext"/>
              <w:rPr>
                <w:rFonts w:asciiTheme="minorHAnsi" w:hAnsiTheme="minorHAnsi" w:cstheme="minorBidi"/>
              </w:rPr>
            </w:pPr>
            <w:r w:rsidRPr="00C262AE">
              <w:rPr>
                <w:rFonts w:asciiTheme="minorHAnsi" w:hAnsiTheme="minorHAnsi" w:cstheme="minorBidi"/>
              </w:rPr>
              <w:t>Domestic sales from BAS</w:t>
            </w:r>
          </w:p>
        </w:tc>
      </w:tr>
      <w:tr w:rsidR="00B5735F" w14:paraId="2ACBB9F6" w14:textId="77777777" w:rsidTr="00E4673F">
        <w:trPr>
          <w:cnfStyle w:val="000000100000" w:firstRow="0" w:lastRow="0" w:firstColumn="0" w:lastColumn="0" w:oddVBand="0" w:evenVBand="0" w:oddHBand="1" w:evenHBand="0" w:firstRowFirstColumn="0" w:firstRowLastColumn="0" w:lastRowFirstColumn="0" w:lastRowLastColumn="0"/>
          <w:trHeight w:val="377"/>
        </w:trPr>
        <w:tc>
          <w:tcPr>
            <w:tcW w:w="2070" w:type="dxa"/>
            <w:vAlign w:val="center"/>
          </w:tcPr>
          <w:p w14:paraId="112030C1" w14:textId="2F2BB7DD"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Export Sales</w:t>
            </w:r>
          </w:p>
        </w:tc>
        <w:tc>
          <w:tcPr>
            <w:tcW w:w="4824" w:type="dxa"/>
            <w:gridSpan w:val="2"/>
            <w:vAlign w:val="center"/>
          </w:tcPr>
          <w:p w14:paraId="1AFB03C1" w14:textId="6877509F"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Export sales from BAS</w:t>
            </w:r>
          </w:p>
        </w:tc>
      </w:tr>
      <w:tr w:rsidR="00B5735F" w14:paraId="79ACDDAC" w14:textId="77777777" w:rsidTr="00E4673F">
        <w:trPr>
          <w:cnfStyle w:val="000000010000" w:firstRow="0" w:lastRow="0" w:firstColumn="0" w:lastColumn="0" w:oddVBand="0" w:evenVBand="0" w:oddHBand="0" w:evenHBand="1" w:firstRowFirstColumn="0" w:firstRowLastColumn="0" w:lastRowFirstColumn="0" w:lastRowLastColumn="0"/>
          <w:trHeight w:val="299"/>
        </w:trPr>
        <w:tc>
          <w:tcPr>
            <w:tcW w:w="2070" w:type="dxa"/>
            <w:vAlign w:val="center"/>
          </w:tcPr>
          <w:p w14:paraId="64A9EAB5" w14:textId="1220BCDA" w:rsidR="00B5735F" w:rsidRPr="00C262AE" w:rsidRDefault="006F374D" w:rsidP="00E4673F">
            <w:pPr>
              <w:pStyle w:val="Tabletext"/>
              <w:tabs>
                <w:tab w:val="left" w:pos="930"/>
              </w:tabs>
              <w:rPr>
                <w:rFonts w:asciiTheme="minorHAnsi" w:hAnsiTheme="minorHAnsi" w:cstheme="minorBidi"/>
              </w:rPr>
            </w:pPr>
            <w:r w:rsidRPr="00C262AE">
              <w:rPr>
                <w:rFonts w:asciiTheme="minorHAnsi" w:hAnsiTheme="minorHAnsi" w:cstheme="minorBidi"/>
              </w:rPr>
              <w:t xml:space="preserve">Assets </w:t>
            </w:r>
            <w:r w:rsidR="00010FFE" w:rsidRPr="00C262AE">
              <w:rPr>
                <w:rFonts w:asciiTheme="minorHAnsi" w:hAnsiTheme="minorHAnsi" w:cstheme="minorBidi"/>
              </w:rPr>
              <w:t>Non-Current</w:t>
            </w:r>
          </w:p>
        </w:tc>
        <w:tc>
          <w:tcPr>
            <w:tcW w:w="4824" w:type="dxa"/>
            <w:gridSpan w:val="2"/>
            <w:vAlign w:val="center"/>
          </w:tcPr>
          <w:p w14:paraId="659E0183" w14:textId="65000EAC"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The derived n</w:t>
            </w:r>
            <w:r w:rsidR="006F374D" w:rsidRPr="00C262AE">
              <w:rPr>
                <w:rFonts w:asciiTheme="minorHAnsi" w:hAnsiTheme="minorHAnsi" w:cstheme="minorBidi"/>
              </w:rPr>
              <w:t xml:space="preserve">on-current assets variable from </w:t>
            </w:r>
            <w:r w:rsidRPr="00C262AE">
              <w:rPr>
                <w:rFonts w:asciiTheme="minorHAnsi" w:hAnsiTheme="minorHAnsi" w:cstheme="minorBidi"/>
              </w:rPr>
              <w:t>BIT</w:t>
            </w:r>
          </w:p>
        </w:tc>
      </w:tr>
      <w:tr w:rsidR="00B5735F" w14:paraId="312B5405" w14:textId="77777777" w:rsidTr="00E4673F">
        <w:trPr>
          <w:cnfStyle w:val="000000100000" w:firstRow="0" w:lastRow="0" w:firstColumn="0" w:lastColumn="0" w:oddVBand="0" w:evenVBand="0" w:oddHBand="1" w:evenHBand="0" w:firstRowFirstColumn="0" w:firstRowLastColumn="0" w:lastRowFirstColumn="0" w:lastRowLastColumn="0"/>
          <w:trHeight w:val="363"/>
        </w:trPr>
        <w:tc>
          <w:tcPr>
            <w:tcW w:w="2070" w:type="dxa"/>
            <w:vAlign w:val="center"/>
          </w:tcPr>
          <w:p w14:paraId="77C0FC94" w14:textId="311409D3"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Capital Purchases</w:t>
            </w:r>
          </w:p>
        </w:tc>
        <w:tc>
          <w:tcPr>
            <w:tcW w:w="4824" w:type="dxa"/>
            <w:gridSpan w:val="2"/>
            <w:vAlign w:val="center"/>
          </w:tcPr>
          <w:p w14:paraId="41A6A596" w14:textId="4ADAD2E5"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Capital expenditure from BAS</w:t>
            </w:r>
          </w:p>
        </w:tc>
      </w:tr>
      <w:tr w:rsidR="00B5735F" w14:paraId="056454FA" w14:textId="77777777" w:rsidTr="00E4673F">
        <w:trPr>
          <w:cnfStyle w:val="000000010000" w:firstRow="0" w:lastRow="0" w:firstColumn="0" w:lastColumn="0" w:oddVBand="0" w:evenVBand="0" w:oddHBand="0" w:evenHBand="1" w:firstRowFirstColumn="0" w:firstRowLastColumn="0" w:lastRowFirstColumn="0" w:lastRowLastColumn="0"/>
          <w:trHeight w:val="279"/>
        </w:trPr>
        <w:tc>
          <w:tcPr>
            <w:tcW w:w="2070" w:type="dxa"/>
            <w:vAlign w:val="center"/>
          </w:tcPr>
          <w:p w14:paraId="50844CCC" w14:textId="1E99DAE5"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Non Capital Purchases</w:t>
            </w:r>
          </w:p>
        </w:tc>
        <w:tc>
          <w:tcPr>
            <w:tcW w:w="4824" w:type="dxa"/>
            <w:gridSpan w:val="2"/>
            <w:vAlign w:val="center"/>
          </w:tcPr>
          <w:p w14:paraId="7E83125C" w14:textId="5D8A78FC"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Other expenditure from BAS</w:t>
            </w:r>
          </w:p>
        </w:tc>
      </w:tr>
      <w:tr w:rsidR="00B5735F" w14:paraId="7328524C" w14:textId="77777777" w:rsidTr="00E4673F">
        <w:trPr>
          <w:cnfStyle w:val="000000100000" w:firstRow="0" w:lastRow="0" w:firstColumn="0" w:lastColumn="0" w:oddVBand="0" w:evenVBand="0" w:oddHBand="1" w:evenHBand="0" w:firstRowFirstColumn="0" w:firstRowLastColumn="0" w:lastRowFirstColumn="0" w:lastRowLastColumn="0"/>
          <w:trHeight w:val="293"/>
        </w:trPr>
        <w:tc>
          <w:tcPr>
            <w:tcW w:w="2070" w:type="dxa"/>
            <w:vAlign w:val="center"/>
          </w:tcPr>
          <w:p w14:paraId="1D386BD1" w14:textId="3D1A06B6"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G</w:t>
            </w:r>
            <w:r w:rsidR="000F3C49" w:rsidRPr="00C262AE">
              <w:rPr>
                <w:rFonts w:asciiTheme="minorHAnsi" w:hAnsiTheme="minorHAnsi" w:cstheme="minorBidi"/>
              </w:rPr>
              <w:t>ST</w:t>
            </w:r>
            <w:r w:rsidRPr="00C262AE">
              <w:rPr>
                <w:rFonts w:asciiTheme="minorHAnsi" w:hAnsiTheme="minorHAnsi" w:cstheme="minorBidi"/>
              </w:rPr>
              <w:t xml:space="preserve"> On Sales</w:t>
            </w:r>
          </w:p>
        </w:tc>
        <w:tc>
          <w:tcPr>
            <w:tcW w:w="4824" w:type="dxa"/>
            <w:gridSpan w:val="2"/>
            <w:vAlign w:val="center"/>
          </w:tcPr>
          <w:p w14:paraId="188CF88F" w14:textId="338C01B0"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GST payable from BAS</w:t>
            </w:r>
          </w:p>
        </w:tc>
      </w:tr>
      <w:tr w:rsidR="00B5735F" w14:paraId="54837634" w14:textId="77777777" w:rsidTr="00E4673F">
        <w:trPr>
          <w:cnfStyle w:val="000000010000" w:firstRow="0" w:lastRow="0" w:firstColumn="0" w:lastColumn="0" w:oddVBand="0" w:evenVBand="0" w:oddHBand="0" w:evenHBand="1" w:firstRowFirstColumn="0" w:firstRowLastColumn="0" w:lastRowFirstColumn="0" w:lastRowLastColumn="0"/>
          <w:trHeight w:val="215"/>
        </w:trPr>
        <w:tc>
          <w:tcPr>
            <w:tcW w:w="2070" w:type="dxa"/>
            <w:vAlign w:val="center"/>
          </w:tcPr>
          <w:p w14:paraId="125BDA06" w14:textId="35B80D88"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Taxable Income</w:t>
            </w:r>
          </w:p>
        </w:tc>
        <w:tc>
          <w:tcPr>
            <w:tcW w:w="4824" w:type="dxa"/>
            <w:gridSpan w:val="2"/>
            <w:vAlign w:val="center"/>
          </w:tcPr>
          <w:p w14:paraId="68C7D000" w14:textId="479440B0"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Taxable income for current financial year from BIT</w:t>
            </w:r>
          </w:p>
        </w:tc>
      </w:tr>
      <w:tr w:rsidR="00B5735F" w14:paraId="1547F98F" w14:textId="77777777" w:rsidTr="00E4673F">
        <w:trPr>
          <w:cnfStyle w:val="000000100000" w:firstRow="0" w:lastRow="0" w:firstColumn="0" w:lastColumn="0" w:oddVBand="0" w:evenVBand="0" w:oddHBand="1" w:evenHBand="0" w:firstRowFirstColumn="0" w:firstRowLastColumn="0" w:lastRowFirstColumn="0" w:lastRowLastColumn="0"/>
          <w:trHeight w:val="420"/>
        </w:trPr>
        <w:tc>
          <w:tcPr>
            <w:tcW w:w="2070" w:type="dxa"/>
            <w:vAlign w:val="center"/>
          </w:tcPr>
          <w:p w14:paraId="4DCCD47B" w14:textId="6AB61511"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R</w:t>
            </w:r>
            <w:r w:rsidR="006E63D9" w:rsidRPr="00C262AE">
              <w:rPr>
                <w:rFonts w:asciiTheme="minorHAnsi" w:hAnsiTheme="minorHAnsi" w:cstheme="minorBidi"/>
              </w:rPr>
              <w:t>&amp;D</w:t>
            </w:r>
            <w:r w:rsidRPr="00C262AE">
              <w:rPr>
                <w:rFonts w:asciiTheme="minorHAnsi" w:hAnsiTheme="minorHAnsi" w:cstheme="minorBidi"/>
              </w:rPr>
              <w:t xml:space="preserve"> Expenditure</w:t>
            </w:r>
          </w:p>
        </w:tc>
        <w:tc>
          <w:tcPr>
            <w:tcW w:w="4824" w:type="dxa"/>
            <w:gridSpan w:val="2"/>
            <w:vAlign w:val="center"/>
          </w:tcPr>
          <w:p w14:paraId="4600519E" w14:textId="5AC5DB09"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R&amp;D Expenditure from BERD where available</w:t>
            </w:r>
          </w:p>
        </w:tc>
      </w:tr>
      <w:tr w:rsidR="00B5735F" w14:paraId="020EFEF4" w14:textId="77777777" w:rsidTr="00E4673F">
        <w:trPr>
          <w:cnfStyle w:val="000000010000" w:firstRow="0" w:lastRow="0" w:firstColumn="0" w:lastColumn="0" w:oddVBand="0" w:evenVBand="0" w:oddHBand="0" w:evenHBand="1" w:firstRowFirstColumn="0" w:firstRowLastColumn="0" w:lastRowFirstColumn="0" w:lastRowLastColumn="0"/>
          <w:trHeight w:val="285"/>
        </w:trPr>
        <w:tc>
          <w:tcPr>
            <w:tcW w:w="2070" w:type="dxa"/>
            <w:vAlign w:val="center"/>
          </w:tcPr>
          <w:p w14:paraId="7B286BD5" w14:textId="205A40E8"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Turnover</w:t>
            </w:r>
          </w:p>
        </w:tc>
        <w:tc>
          <w:tcPr>
            <w:tcW w:w="4824" w:type="dxa"/>
            <w:gridSpan w:val="2"/>
            <w:vAlign w:val="center"/>
          </w:tcPr>
          <w:p w14:paraId="58BDBD2B" w14:textId="44FE3BCE"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Total Sales from BAS</w:t>
            </w:r>
          </w:p>
        </w:tc>
      </w:tr>
      <w:tr w:rsidR="00B5735F" w14:paraId="465BCCCE" w14:textId="77777777" w:rsidTr="00E4673F">
        <w:trPr>
          <w:cnfStyle w:val="000000100000" w:firstRow="0" w:lastRow="0" w:firstColumn="0" w:lastColumn="0" w:oddVBand="0" w:evenVBand="0" w:oddHBand="1" w:evenHBand="0" w:firstRowFirstColumn="0" w:firstRowLastColumn="0" w:lastRowFirstColumn="0" w:lastRowLastColumn="0"/>
          <w:trHeight w:val="279"/>
        </w:trPr>
        <w:tc>
          <w:tcPr>
            <w:tcW w:w="2070" w:type="dxa"/>
            <w:vAlign w:val="center"/>
          </w:tcPr>
          <w:p w14:paraId="354F6174" w14:textId="51DA805E"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Headcount</w:t>
            </w:r>
          </w:p>
        </w:tc>
        <w:tc>
          <w:tcPr>
            <w:tcW w:w="4824" w:type="dxa"/>
            <w:gridSpan w:val="2"/>
            <w:vAlign w:val="center"/>
          </w:tcPr>
          <w:p w14:paraId="415A7588" w14:textId="15941359"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From PAYG</w:t>
            </w:r>
          </w:p>
        </w:tc>
      </w:tr>
      <w:tr w:rsidR="00B5735F" w14:paraId="71965794" w14:textId="77777777" w:rsidTr="00E4673F">
        <w:trPr>
          <w:cnfStyle w:val="000000010000" w:firstRow="0" w:lastRow="0" w:firstColumn="0" w:lastColumn="0" w:oddVBand="0" w:evenVBand="0" w:oddHBand="0" w:evenHBand="1" w:firstRowFirstColumn="0" w:firstRowLastColumn="0" w:lastRowFirstColumn="0" w:lastRowLastColumn="0"/>
          <w:trHeight w:val="339"/>
        </w:trPr>
        <w:tc>
          <w:tcPr>
            <w:tcW w:w="2070" w:type="dxa"/>
            <w:vAlign w:val="center"/>
          </w:tcPr>
          <w:p w14:paraId="50A141A7" w14:textId="0AF0F2A7"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Employment</w:t>
            </w:r>
          </w:p>
        </w:tc>
        <w:tc>
          <w:tcPr>
            <w:tcW w:w="4824" w:type="dxa"/>
            <w:gridSpan w:val="2"/>
            <w:vAlign w:val="center"/>
          </w:tcPr>
          <w:p w14:paraId="55607C88" w14:textId="7C48E72B"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Number of employees (FTE derived) from PAYG</w:t>
            </w:r>
          </w:p>
        </w:tc>
      </w:tr>
      <w:tr w:rsidR="00B5735F" w14:paraId="1B6021B4" w14:textId="77777777" w:rsidTr="00E4673F">
        <w:trPr>
          <w:cnfStyle w:val="000000100000" w:firstRow="0" w:lastRow="0" w:firstColumn="0" w:lastColumn="0" w:oddVBand="0" w:evenVBand="0" w:oddHBand="1" w:evenHBand="0" w:firstRowFirstColumn="0" w:firstRowLastColumn="0" w:lastRowFirstColumn="0" w:lastRowLastColumn="0"/>
          <w:trHeight w:val="275"/>
        </w:trPr>
        <w:tc>
          <w:tcPr>
            <w:tcW w:w="2070" w:type="dxa"/>
            <w:vAlign w:val="center"/>
          </w:tcPr>
          <w:p w14:paraId="74B52801" w14:textId="17FEBF58"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Wages</w:t>
            </w:r>
          </w:p>
        </w:tc>
        <w:tc>
          <w:tcPr>
            <w:tcW w:w="4824" w:type="dxa"/>
            <w:gridSpan w:val="2"/>
            <w:vAlign w:val="center"/>
          </w:tcPr>
          <w:p w14:paraId="64CCAEF0" w14:textId="1F7412D8"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Total salary, wages and other payments from BAS</w:t>
            </w:r>
          </w:p>
        </w:tc>
      </w:tr>
      <w:tr w:rsidR="00B5735F" w14:paraId="3F4862AE" w14:textId="77777777" w:rsidTr="00E4673F">
        <w:trPr>
          <w:cnfStyle w:val="000000010000" w:firstRow="0" w:lastRow="0" w:firstColumn="0" w:lastColumn="0" w:oddVBand="0" w:evenVBand="0" w:oddHBand="0" w:evenHBand="1" w:firstRowFirstColumn="0" w:firstRowLastColumn="0" w:lastRowFirstColumn="0" w:lastRowLastColumn="0"/>
          <w:trHeight w:val="87"/>
        </w:trPr>
        <w:tc>
          <w:tcPr>
            <w:tcW w:w="2070" w:type="dxa"/>
            <w:vAlign w:val="center"/>
          </w:tcPr>
          <w:p w14:paraId="7662A52D" w14:textId="351EE205"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Cost Of Contractors</w:t>
            </w:r>
          </w:p>
        </w:tc>
        <w:tc>
          <w:tcPr>
            <w:tcW w:w="4824" w:type="dxa"/>
            <w:gridSpan w:val="2"/>
            <w:vAlign w:val="center"/>
          </w:tcPr>
          <w:p w14:paraId="41679EEB" w14:textId="547B9F18"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Total cost of contractors</w:t>
            </w:r>
          </w:p>
        </w:tc>
      </w:tr>
      <w:tr w:rsidR="00B5735F" w14:paraId="46C67412" w14:textId="77777777" w:rsidTr="00E4673F">
        <w:trPr>
          <w:cnfStyle w:val="000000100000" w:firstRow="0" w:lastRow="0" w:firstColumn="0" w:lastColumn="0" w:oddVBand="0" w:evenVBand="0" w:oddHBand="1" w:evenHBand="0" w:firstRowFirstColumn="0" w:firstRowLastColumn="0" w:lastRowFirstColumn="0" w:lastRowLastColumn="0"/>
          <w:trHeight w:val="261"/>
        </w:trPr>
        <w:tc>
          <w:tcPr>
            <w:tcW w:w="2070" w:type="dxa"/>
            <w:vAlign w:val="center"/>
          </w:tcPr>
          <w:p w14:paraId="6A441D72" w14:textId="1259578E" w:rsidR="00B5735F" w:rsidRPr="00C262AE" w:rsidRDefault="00010FFE" w:rsidP="00E4673F">
            <w:pPr>
              <w:pStyle w:val="Tabletext"/>
              <w:rPr>
                <w:rFonts w:asciiTheme="minorHAnsi" w:hAnsiTheme="minorHAnsi" w:cstheme="minorBidi"/>
              </w:rPr>
            </w:pPr>
            <w:r w:rsidRPr="00C262AE">
              <w:rPr>
                <w:rFonts w:asciiTheme="minorHAnsi" w:hAnsiTheme="minorHAnsi" w:cstheme="minorBidi"/>
              </w:rPr>
              <w:t>Birth Date</w:t>
            </w:r>
          </w:p>
        </w:tc>
        <w:tc>
          <w:tcPr>
            <w:tcW w:w="4824" w:type="dxa"/>
            <w:gridSpan w:val="2"/>
            <w:vAlign w:val="center"/>
          </w:tcPr>
          <w:p w14:paraId="522A95ED" w14:textId="28FFF318" w:rsidR="00B5735F" w:rsidRPr="00C262AE" w:rsidRDefault="00B5735F" w:rsidP="00E4673F">
            <w:pPr>
              <w:pStyle w:val="Tabletext"/>
              <w:rPr>
                <w:rFonts w:asciiTheme="minorHAnsi" w:hAnsiTheme="minorHAnsi" w:cstheme="minorBidi"/>
              </w:rPr>
            </w:pPr>
            <w:r w:rsidRPr="00C262AE">
              <w:rPr>
                <w:rFonts w:asciiTheme="minorHAnsi" w:hAnsiTheme="minorHAnsi" w:cstheme="minorBidi"/>
              </w:rPr>
              <w:t>Birth date or firm age (derived)</w:t>
            </w:r>
          </w:p>
        </w:tc>
      </w:tr>
    </w:tbl>
    <w:p w14:paraId="4C66CA5C" w14:textId="2A80492A" w:rsidR="006851E4" w:rsidRDefault="006851E4" w:rsidP="006851E4">
      <w:pPr>
        <w:pStyle w:val="Source"/>
      </w:pPr>
      <w:r>
        <w:t xml:space="preserve">Source: </w:t>
      </w:r>
      <w:r w:rsidR="000F3C49">
        <w:t>BLADE (2019)</w:t>
      </w:r>
    </w:p>
    <w:p w14:paraId="3B030EBC" w14:textId="0A92750B" w:rsidR="006851E4" w:rsidRDefault="006851E4" w:rsidP="006851E4"/>
    <w:p w14:paraId="1228B19B" w14:textId="1C23803D" w:rsidR="009B22F3" w:rsidRDefault="009B22F3" w:rsidP="009B22F3">
      <w:pPr>
        <w:ind w:left="0"/>
      </w:pPr>
    </w:p>
    <w:p w14:paraId="5CC3BE0F" w14:textId="7EBF0544" w:rsidR="009B22F3" w:rsidRDefault="009B22F3" w:rsidP="009B22F3">
      <w:pPr>
        <w:pStyle w:val="Caption"/>
        <w:pBdr>
          <w:top w:val="single" w:sz="2" w:space="0" w:color="595A5B"/>
        </w:pBdr>
      </w:pPr>
      <w:r>
        <w:lastRenderedPageBreak/>
        <w:t xml:space="preserve">Table A.2: </w:t>
      </w:r>
      <w:r w:rsidR="0031431F" w:rsidRPr="009947A8">
        <w:t xml:space="preserve">Topics covered in the </w:t>
      </w:r>
      <w:r w:rsidR="0031431F">
        <w:t>Business Characteristics Survey (B</w:t>
      </w:r>
      <w:r w:rsidR="0031431F" w:rsidRPr="009947A8">
        <w:t>CS)</w:t>
      </w:r>
    </w:p>
    <w:tbl>
      <w:tblPr>
        <w:tblStyle w:val="OCETable"/>
        <w:tblW w:w="4955" w:type="pct"/>
        <w:tblInd w:w="57" w:type="dxa"/>
        <w:tblLayout w:type="fixed"/>
        <w:tblLook w:val="04A0" w:firstRow="1" w:lastRow="0" w:firstColumn="1" w:lastColumn="0" w:noHBand="0" w:noVBand="1"/>
        <w:tblCaption w:val="Topics covered in the Business Characteristics Survey (BCS)"/>
        <w:tblDescription w:val="A list of topics covered in the BCS"/>
      </w:tblPr>
      <w:tblGrid>
        <w:gridCol w:w="6832"/>
      </w:tblGrid>
      <w:tr w:rsidR="009947A8" w14:paraId="18DC37B9" w14:textId="77777777" w:rsidTr="0092519E">
        <w:trPr>
          <w:cnfStyle w:val="100000000000" w:firstRow="1" w:lastRow="0" w:firstColumn="0" w:lastColumn="0" w:oddVBand="0" w:evenVBand="0" w:oddHBand="0" w:evenHBand="0" w:firstRowFirstColumn="0" w:firstRowLastColumn="0" w:lastRowFirstColumn="0" w:lastRowLastColumn="0"/>
          <w:trHeight w:val="227"/>
          <w:tblHeader/>
        </w:trPr>
        <w:tc>
          <w:tcPr>
            <w:tcW w:w="6832" w:type="dxa"/>
          </w:tcPr>
          <w:p w14:paraId="54714073" w14:textId="0C8C7A6D" w:rsidR="009947A8" w:rsidRDefault="009947A8" w:rsidP="00010FFE">
            <w:pPr>
              <w:pStyle w:val="Tableheader"/>
              <w:rPr>
                <w:lang w:eastAsia="en-AU"/>
              </w:rPr>
            </w:pPr>
            <w:r>
              <w:rPr>
                <w:lang w:eastAsia="en-AU"/>
              </w:rPr>
              <w:t xml:space="preserve">Topic </w:t>
            </w:r>
          </w:p>
        </w:tc>
      </w:tr>
      <w:tr w:rsidR="009947A8" w14:paraId="1D3541D2" w14:textId="77777777" w:rsidTr="009947A8">
        <w:trPr>
          <w:cnfStyle w:val="000000100000" w:firstRow="0" w:lastRow="0" w:firstColumn="0" w:lastColumn="0" w:oddVBand="0" w:evenVBand="0" w:oddHBand="1" w:evenHBand="0" w:firstRowFirstColumn="0" w:firstRowLastColumn="0" w:lastRowFirstColumn="0" w:lastRowLastColumn="0"/>
          <w:trHeight w:val="227"/>
        </w:trPr>
        <w:tc>
          <w:tcPr>
            <w:tcW w:w="6832" w:type="dxa"/>
          </w:tcPr>
          <w:p w14:paraId="535279D1" w14:textId="48A42613"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Geographic markets</w:t>
            </w:r>
          </w:p>
        </w:tc>
      </w:tr>
      <w:tr w:rsidR="009947A8" w14:paraId="1E17F3A0" w14:textId="77777777" w:rsidTr="009947A8">
        <w:trPr>
          <w:cnfStyle w:val="000000010000" w:firstRow="0" w:lastRow="0" w:firstColumn="0" w:lastColumn="0" w:oddVBand="0" w:evenVBand="0" w:oddHBand="0" w:evenHBand="1" w:firstRowFirstColumn="0" w:firstRowLastColumn="0" w:lastRowFirstColumn="0" w:lastRowLastColumn="0"/>
          <w:trHeight w:val="227"/>
        </w:trPr>
        <w:tc>
          <w:tcPr>
            <w:tcW w:w="6832" w:type="dxa"/>
          </w:tcPr>
          <w:p w14:paraId="101C05D2" w14:textId="5C557593"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Business finance sought</w:t>
            </w:r>
          </w:p>
        </w:tc>
      </w:tr>
      <w:tr w:rsidR="009947A8" w14:paraId="1D4C12B1" w14:textId="77777777" w:rsidTr="009947A8">
        <w:trPr>
          <w:cnfStyle w:val="000000100000" w:firstRow="0" w:lastRow="0" w:firstColumn="0" w:lastColumn="0" w:oddVBand="0" w:evenVBand="0" w:oddHBand="1" w:evenHBand="0" w:firstRowFirstColumn="0" w:firstRowLastColumn="0" w:lastRowFirstColumn="0" w:lastRowLastColumn="0"/>
          <w:trHeight w:val="227"/>
        </w:trPr>
        <w:tc>
          <w:tcPr>
            <w:tcW w:w="6832" w:type="dxa"/>
          </w:tcPr>
          <w:p w14:paraId="08F4401B" w14:textId="558C7DF7"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 xml:space="preserve">Business innovation </w:t>
            </w:r>
          </w:p>
        </w:tc>
      </w:tr>
      <w:tr w:rsidR="009947A8" w14:paraId="5D67B560" w14:textId="77777777" w:rsidTr="00D90034">
        <w:trPr>
          <w:cnfStyle w:val="000000010000" w:firstRow="0" w:lastRow="0" w:firstColumn="0" w:lastColumn="0" w:oddVBand="0" w:evenVBand="0" w:oddHBand="0" w:evenHBand="1" w:firstRowFirstColumn="0" w:firstRowLastColumn="0" w:lastRowFirstColumn="0" w:lastRowLastColumn="0"/>
          <w:trHeight w:val="283"/>
        </w:trPr>
        <w:tc>
          <w:tcPr>
            <w:tcW w:w="6832" w:type="dxa"/>
          </w:tcPr>
          <w:p w14:paraId="1F2ACB17" w14:textId="09C94659"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Changes to business performance and activity</w:t>
            </w:r>
          </w:p>
        </w:tc>
      </w:tr>
      <w:tr w:rsidR="009947A8" w14:paraId="2101DCB6" w14:textId="77777777" w:rsidTr="009947A8">
        <w:trPr>
          <w:cnfStyle w:val="000000100000" w:firstRow="0" w:lastRow="0" w:firstColumn="0" w:lastColumn="0" w:oddVBand="0" w:evenVBand="0" w:oddHBand="1" w:evenHBand="0" w:firstRowFirstColumn="0" w:firstRowLastColumn="0" w:lastRowFirstColumn="0" w:lastRowLastColumn="0"/>
          <w:trHeight w:val="373"/>
        </w:trPr>
        <w:tc>
          <w:tcPr>
            <w:tcW w:w="6832" w:type="dxa"/>
          </w:tcPr>
          <w:p w14:paraId="6EA5FDB6" w14:textId="099C811A"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Barriers to innovation</w:t>
            </w:r>
          </w:p>
        </w:tc>
      </w:tr>
      <w:tr w:rsidR="009947A8" w14:paraId="119B45B9" w14:textId="77777777" w:rsidTr="009947A8">
        <w:trPr>
          <w:cnfStyle w:val="000000010000" w:firstRow="0" w:lastRow="0" w:firstColumn="0" w:lastColumn="0" w:oddVBand="0" w:evenVBand="0" w:oddHBand="0" w:evenHBand="1" w:firstRowFirstColumn="0" w:firstRowLastColumn="0" w:lastRowFirstColumn="0" w:lastRowLastColumn="0"/>
          <w:trHeight w:val="373"/>
        </w:trPr>
        <w:tc>
          <w:tcPr>
            <w:tcW w:w="6832" w:type="dxa"/>
          </w:tcPr>
          <w:p w14:paraId="5F7CE7FD" w14:textId="541181D5" w:rsidR="009947A8" w:rsidRPr="00C262AE" w:rsidRDefault="009947A8" w:rsidP="009947A8">
            <w:pPr>
              <w:pStyle w:val="Tabletext"/>
              <w:rPr>
                <w:lang w:eastAsia="en-AU"/>
              </w:rPr>
            </w:pPr>
            <w:r w:rsidRPr="00C262AE">
              <w:rPr>
                <w:rFonts w:asciiTheme="minorHAnsi" w:hAnsiTheme="minorHAnsi" w:cstheme="minorBidi"/>
              </w:rPr>
              <w:t>Skills shortage and deficiency</w:t>
            </w:r>
          </w:p>
        </w:tc>
      </w:tr>
    </w:tbl>
    <w:p w14:paraId="53FF0516" w14:textId="168389F5" w:rsidR="009B22F3" w:rsidRDefault="009B22F3" w:rsidP="009B22F3">
      <w:pPr>
        <w:pStyle w:val="Source"/>
      </w:pPr>
      <w:r>
        <w:t xml:space="preserve">Source: </w:t>
      </w:r>
      <w:r w:rsidR="000F3C49">
        <w:t>BCS (2019)</w:t>
      </w:r>
    </w:p>
    <w:p w14:paraId="09E31635" w14:textId="3A938D7D" w:rsidR="009947A8" w:rsidRDefault="009947A8" w:rsidP="009947A8">
      <w:pPr>
        <w:pStyle w:val="Caption"/>
        <w:pBdr>
          <w:top w:val="single" w:sz="2" w:space="0" w:color="595A5B"/>
        </w:pBdr>
      </w:pPr>
      <w:r>
        <w:t xml:space="preserve">Table A.3: </w:t>
      </w:r>
      <w:r w:rsidRPr="009947A8">
        <w:t xml:space="preserve">Topics covered in the </w:t>
      </w:r>
      <w:r w:rsidR="00AC6484">
        <w:t>Management capability module</w:t>
      </w:r>
      <w:r w:rsidRPr="009947A8">
        <w:t xml:space="preserve"> (</w:t>
      </w:r>
      <w:r w:rsidR="00AC6484" w:rsidRPr="009947A8">
        <w:t>MC</w:t>
      </w:r>
      <w:r w:rsidR="00AC6484">
        <w:t>M</w:t>
      </w:r>
      <w:r w:rsidRPr="009947A8">
        <w:t>)</w:t>
      </w:r>
    </w:p>
    <w:tbl>
      <w:tblPr>
        <w:tblStyle w:val="OCETable"/>
        <w:tblW w:w="4911" w:type="pct"/>
        <w:tblInd w:w="57" w:type="dxa"/>
        <w:tblLayout w:type="fixed"/>
        <w:tblLook w:val="04A0" w:firstRow="1" w:lastRow="0" w:firstColumn="1" w:lastColumn="0" w:noHBand="0" w:noVBand="1"/>
        <w:tblCaption w:val="Topics covered in the Management capability module (MCM)"/>
        <w:tblDescription w:val="A list of topics covered in the Management capability module."/>
      </w:tblPr>
      <w:tblGrid>
        <w:gridCol w:w="6771"/>
      </w:tblGrid>
      <w:tr w:rsidR="009947A8" w14:paraId="4C6FDBF5" w14:textId="77777777" w:rsidTr="0092519E">
        <w:trPr>
          <w:cnfStyle w:val="100000000000" w:firstRow="1" w:lastRow="0" w:firstColumn="0" w:lastColumn="0" w:oddVBand="0" w:evenVBand="0" w:oddHBand="0" w:evenHBand="0" w:firstRowFirstColumn="0" w:firstRowLastColumn="0" w:lastRowFirstColumn="0" w:lastRowLastColumn="0"/>
          <w:trHeight w:val="294"/>
          <w:tblHeader/>
        </w:trPr>
        <w:tc>
          <w:tcPr>
            <w:tcW w:w="6771" w:type="dxa"/>
          </w:tcPr>
          <w:p w14:paraId="47E3A273" w14:textId="7FB20397" w:rsidR="009947A8" w:rsidRDefault="009947A8" w:rsidP="00010FFE">
            <w:pPr>
              <w:pStyle w:val="Tableheader"/>
              <w:rPr>
                <w:lang w:eastAsia="en-AU"/>
              </w:rPr>
            </w:pPr>
            <w:r w:rsidRPr="00010FFE">
              <w:rPr>
                <w:lang w:eastAsia="en-AU"/>
              </w:rPr>
              <w:t>Key Performance Indicators</w:t>
            </w:r>
          </w:p>
        </w:tc>
      </w:tr>
      <w:tr w:rsidR="009947A8" w14:paraId="76EDD53B" w14:textId="77777777" w:rsidTr="009947A8">
        <w:trPr>
          <w:cnfStyle w:val="000000100000" w:firstRow="0" w:lastRow="0" w:firstColumn="0" w:lastColumn="0" w:oddVBand="0" w:evenVBand="0" w:oddHBand="1" w:evenHBand="0" w:firstRowFirstColumn="0" w:firstRowLastColumn="0" w:lastRowFirstColumn="0" w:lastRowLastColumn="0"/>
          <w:trHeight w:val="294"/>
        </w:trPr>
        <w:tc>
          <w:tcPr>
            <w:tcW w:w="6771" w:type="dxa"/>
          </w:tcPr>
          <w:p w14:paraId="7A56113B" w14:textId="2BB6F6A6"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Use of data in decision making</w:t>
            </w:r>
          </w:p>
        </w:tc>
      </w:tr>
      <w:tr w:rsidR="009947A8" w14:paraId="2EE5BFA6" w14:textId="77777777" w:rsidTr="00D90034">
        <w:trPr>
          <w:cnfStyle w:val="000000010000" w:firstRow="0" w:lastRow="0" w:firstColumn="0" w:lastColumn="0" w:oddVBand="0" w:evenVBand="0" w:oddHBand="0" w:evenHBand="1" w:firstRowFirstColumn="0" w:firstRowLastColumn="0" w:lastRowFirstColumn="0" w:lastRowLastColumn="0"/>
          <w:trHeight w:val="313"/>
        </w:trPr>
        <w:tc>
          <w:tcPr>
            <w:tcW w:w="6771" w:type="dxa"/>
          </w:tcPr>
          <w:p w14:paraId="1D1A3F75" w14:textId="7DE24090"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Strategic plans</w:t>
            </w:r>
          </w:p>
        </w:tc>
      </w:tr>
      <w:tr w:rsidR="009947A8" w14:paraId="3B9F8F22" w14:textId="77777777" w:rsidTr="00D90034">
        <w:trPr>
          <w:cnfStyle w:val="000000100000" w:firstRow="0" w:lastRow="0" w:firstColumn="0" w:lastColumn="0" w:oddVBand="0" w:evenVBand="0" w:oddHBand="1" w:evenHBand="0" w:firstRowFirstColumn="0" w:firstRowLastColumn="0" w:lastRowFirstColumn="0" w:lastRowLastColumn="0"/>
          <w:trHeight w:val="247"/>
        </w:trPr>
        <w:tc>
          <w:tcPr>
            <w:tcW w:w="6771" w:type="dxa"/>
          </w:tcPr>
          <w:p w14:paraId="3EF60504" w14:textId="39055845"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 xml:space="preserve">Skills </w:t>
            </w:r>
          </w:p>
        </w:tc>
      </w:tr>
      <w:tr w:rsidR="009947A8" w14:paraId="76685E6C" w14:textId="77777777" w:rsidTr="00D90034">
        <w:trPr>
          <w:cnfStyle w:val="000000010000" w:firstRow="0" w:lastRow="0" w:firstColumn="0" w:lastColumn="0" w:oddVBand="0" w:evenVBand="0" w:oddHBand="0" w:evenHBand="1" w:firstRowFirstColumn="0" w:firstRowLastColumn="0" w:lastRowFirstColumn="0" w:lastRowLastColumn="0"/>
          <w:trHeight w:val="323"/>
        </w:trPr>
        <w:tc>
          <w:tcPr>
            <w:tcW w:w="6771" w:type="dxa"/>
          </w:tcPr>
          <w:p w14:paraId="7342D41B" w14:textId="40F1F475"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Supply chain</w:t>
            </w:r>
          </w:p>
        </w:tc>
      </w:tr>
      <w:tr w:rsidR="009947A8" w14:paraId="7672E8D8" w14:textId="77777777" w:rsidTr="00D90034">
        <w:trPr>
          <w:cnfStyle w:val="000000100000" w:firstRow="0" w:lastRow="0" w:firstColumn="0" w:lastColumn="0" w:oddVBand="0" w:evenVBand="0" w:oddHBand="1" w:evenHBand="0" w:firstRowFirstColumn="0" w:firstRowLastColumn="0" w:lastRowFirstColumn="0" w:lastRowLastColumn="0"/>
          <w:trHeight w:val="257"/>
        </w:trPr>
        <w:tc>
          <w:tcPr>
            <w:tcW w:w="6771" w:type="dxa"/>
          </w:tcPr>
          <w:p w14:paraId="1CFB4F12" w14:textId="10CF6A61" w:rsidR="009947A8" w:rsidRPr="00C262AE" w:rsidRDefault="00D43D2D" w:rsidP="009947A8">
            <w:pPr>
              <w:pStyle w:val="Tabletext"/>
              <w:rPr>
                <w:rFonts w:asciiTheme="minorHAnsi" w:hAnsiTheme="minorHAnsi" w:cstheme="minorBidi"/>
              </w:rPr>
            </w:pPr>
            <w:r w:rsidRPr="00C262AE">
              <w:rPr>
                <w:rFonts w:asciiTheme="minorHAnsi" w:hAnsiTheme="minorHAnsi" w:cstheme="minorBidi"/>
              </w:rPr>
              <w:t>Environmental</w:t>
            </w:r>
            <w:r w:rsidR="009947A8" w:rsidRPr="00C262AE">
              <w:rPr>
                <w:rFonts w:asciiTheme="minorHAnsi" w:hAnsiTheme="minorHAnsi" w:cstheme="minorBidi"/>
              </w:rPr>
              <w:t xml:space="preserve"> management </w:t>
            </w:r>
          </w:p>
        </w:tc>
      </w:tr>
      <w:tr w:rsidR="009947A8" w14:paraId="26C57909" w14:textId="77777777" w:rsidTr="009947A8">
        <w:trPr>
          <w:cnfStyle w:val="000000010000" w:firstRow="0" w:lastRow="0" w:firstColumn="0" w:lastColumn="0" w:oddVBand="0" w:evenVBand="0" w:oddHBand="0" w:evenHBand="1" w:firstRowFirstColumn="0" w:firstRowLastColumn="0" w:lastRowFirstColumn="0" w:lastRowLastColumn="0"/>
          <w:trHeight w:val="483"/>
        </w:trPr>
        <w:tc>
          <w:tcPr>
            <w:tcW w:w="6771" w:type="dxa"/>
          </w:tcPr>
          <w:p w14:paraId="315B997C" w14:textId="0AF2BA12" w:rsidR="009947A8" w:rsidRPr="00C262AE" w:rsidRDefault="009947A8" w:rsidP="009947A8">
            <w:pPr>
              <w:pStyle w:val="Tabletext"/>
              <w:rPr>
                <w:rFonts w:asciiTheme="minorHAnsi" w:hAnsiTheme="minorHAnsi" w:cstheme="minorBidi"/>
              </w:rPr>
            </w:pPr>
            <w:r w:rsidRPr="00C262AE">
              <w:rPr>
                <w:rFonts w:asciiTheme="minorHAnsi" w:hAnsiTheme="minorHAnsi" w:cstheme="minorBidi"/>
              </w:rPr>
              <w:t xml:space="preserve">Principal Manager characteristics </w:t>
            </w:r>
          </w:p>
        </w:tc>
      </w:tr>
    </w:tbl>
    <w:p w14:paraId="0C6ED462" w14:textId="49A7CB1A" w:rsidR="009947A8" w:rsidRDefault="009947A8" w:rsidP="009947A8">
      <w:pPr>
        <w:pStyle w:val="Source"/>
      </w:pPr>
      <w:r>
        <w:t xml:space="preserve">Source: </w:t>
      </w:r>
      <w:r w:rsidR="00AC6484">
        <w:t xml:space="preserve">MCM </w:t>
      </w:r>
      <w:r w:rsidR="000F3C49">
        <w:t>(2019)</w:t>
      </w:r>
    </w:p>
    <w:p w14:paraId="7C6F51FF" w14:textId="0ABFF9FF" w:rsidR="008C7A77" w:rsidRPr="008C7A77" w:rsidRDefault="00EA5C47" w:rsidP="00E37939">
      <w:pPr>
        <w:pStyle w:val="Heading6"/>
        <w:numPr>
          <w:ilvl w:val="0"/>
          <w:numId w:val="0"/>
        </w:numPr>
      </w:pPr>
      <w:r>
        <w:lastRenderedPageBreak/>
        <w:t>Appendix B</w:t>
      </w:r>
      <w:r>
        <w:tab/>
      </w:r>
      <w:r w:rsidR="004444E8">
        <w:t xml:space="preserve">Characteristics of </w:t>
      </w:r>
      <w:r w:rsidR="005505C6">
        <w:t xml:space="preserve">born global </w:t>
      </w:r>
      <w:r w:rsidR="004444E8">
        <w:t>firms</w:t>
      </w:r>
    </w:p>
    <w:p w14:paraId="698AF67B" w14:textId="237073D0" w:rsidR="000B0ED8" w:rsidRDefault="000B0ED8" w:rsidP="000B0ED8">
      <w:pPr>
        <w:pStyle w:val="Caption"/>
      </w:pPr>
      <w:r>
        <w:t>Figure</w:t>
      </w:r>
      <w:r w:rsidRPr="000618FB">
        <w:t xml:space="preserve"> </w:t>
      </w:r>
      <w:r>
        <w:rPr>
          <w:noProof/>
        </w:rPr>
        <w:t>B</w:t>
      </w:r>
      <w:r w:rsidRPr="000618FB">
        <w:t>.</w:t>
      </w:r>
      <w:r>
        <w:t xml:space="preserve">1: Firm counts, by BGF definition </w:t>
      </w:r>
    </w:p>
    <w:p w14:paraId="131EB343" w14:textId="266D64C2" w:rsidR="000B0ED8" w:rsidRDefault="000B0ED8" w:rsidP="000B0ED8">
      <w:pPr>
        <w:pStyle w:val="Placeholder"/>
      </w:pPr>
    </w:p>
    <w:p w14:paraId="7371F944" w14:textId="549DF1A2" w:rsidR="00D80B0D" w:rsidRPr="00CF6058" w:rsidRDefault="00D80B0D" w:rsidP="00D80B0D">
      <w:pPr>
        <w:pStyle w:val="Placeholder"/>
      </w:pPr>
      <w:r>
        <w:rPr>
          <w:noProof/>
          <w:lang w:eastAsia="en-AU"/>
        </w:rPr>
        <w:drawing>
          <wp:inline distT="0" distB="0" distL="0" distR="0" wp14:anchorId="55137E3F" wp14:editId="6E5A31E1">
            <wp:extent cx="4377690" cy="2418739"/>
            <wp:effectExtent l="0" t="0" r="3810" b="635"/>
            <wp:docPr id="8" name="Chart 8" descr="All firm counts are closely correlated over time. " title="Firm counts, by BGF defini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CFDE5E" w14:textId="77777777" w:rsidR="000B0ED8" w:rsidRDefault="000B0ED8" w:rsidP="000B0ED8">
      <w:pPr>
        <w:pStyle w:val="Source"/>
      </w:pPr>
      <w:r>
        <w:t xml:space="preserve">Source: BLADE (2019), </w:t>
      </w:r>
      <w:r w:rsidRPr="007D0A11">
        <w:rPr>
          <w:lang w:eastAsia="en-AU"/>
        </w:rPr>
        <w:t>Author’s calculations</w:t>
      </w:r>
    </w:p>
    <w:p w14:paraId="630B87DD" w14:textId="477D2EB9" w:rsidR="00F8393A" w:rsidRDefault="008C7A77" w:rsidP="00F8393A">
      <w:pPr>
        <w:pStyle w:val="Caption"/>
      </w:pPr>
      <w:r>
        <w:lastRenderedPageBreak/>
        <w:t>Table</w:t>
      </w:r>
      <w:r w:rsidR="00F8393A" w:rsidRPr="000618FB">
        <w:t xml:space="preserve"> </w:t>
      </w:r>
      <w:r w:rsidR="00623DF6">
        <w:rPr>
          <w:noProof/>
        </w:rPr>
        <w:t>B</w:t>
      </w:r>
      <w:r w:rsidR="00F8393A" w:rsidRPr="000618FB">
        <w:t>.</w:t>
      </w:r>
      <w:r>
        <w:rPr>
          <w:noProof/>
        </w:rPr>
        <w:t>1</w:t>
      </w:r>
      <w:r w:rsidR="00F8393A" w:rsidRPr="000618FB">
        <w:t xml:space="preserve">: </w:t>
      </w:r>
      <w:r w:rsidR="0083393D">
        <w:t xml:space="preserve">Characteristics, by BGF definitions </w:t>
      </w:r>
    </w:p>
    <w:tbl>
      <w:tblPr>
        <w:tblStyle w:val="OCETable"/>
        <w:tblW w:w="5000" w:type="pct"/>
        <w:tblLayout w:type="fixed"/>
        <w:tblLook w:val="04A0" w:firstRow="1" w:lastRow="0" w:firstColumn="1" w:lastColumn="0" w:noHBand="0" w:noVBand="1"/>
        <w:tblCaption w:val="Characteristics, by BGF definitions"/>
        <w:tblDescription w:val="This table is similar to Table 2.1 and Table 2.4, but here the results are presented by BGF definition."/>
      </w:tblPr>
      <w:tblGrid>
        <w:gridCol w:w="1596"/>
        <w:gridCol w:w="1264"/>
        <w:gridCol w:w="1382"/>
        <w:gridCol w:w="1326"/>
        <w:gridCol w:w="1326"/>
      </w:tblGrid>
      <w:tr w:rsidR="00037BF5" w14:paraId="53825A9B" w14:textId="60F7E7C2" w:rsidTr="00D357BF">
        <w:trPr>
          <w:cnfStyle w:val="100000000000" w:firstRow="1" w:lastRow="0" w:firstColumn="0" w:lastColumn="0" w:oddVBand="0" w:evenVBand="0" w:oddHBand="0" w:evenHBand="0" w:firstRowFirstColumn="0" w:firstRowLastColumn="0" w:lastRowFirstColumn="0" w:lastRowLastColumn="0"/>
          <w:trHeight w:val="621"/>
          <w:tblHeader/>
        </w:trPr>
        <w:tc>
          <w:tcPr>
            <w:tcW w:w="1596" w:type="dxa"/>
          </w:tcPr>
          <w:p w14:paraId="4C6808F8" w14:textId="77777777" w:rsidR="00037BF5" w:rsidRDefault="00037BF5" w:rsidP="00D23450">
            <w:pPr>
              <w:pStyle w:val="Tableheader"/>
              <w:rPr>
                <w:lang w:eastAsia="en-AU"/>
              </w:rPr>
            </w:pPr>
            <w:r>
              <w:rPr>
                <w:lang w:eastAsia="en-AU"/>
              </w:rPr>
              <w:t xml:space="preserve">Characteristic </w:t>
            </w:r>
          </w:p>
        </w:tc>
        <w:tc>
          <w:tcPr>
            <w:tcW w:w="1264" w:type="dxa"/>
          </w:tcPr>
          <w:p w14:paraId="4E2CEA35" w14:textId="09651E9A" w:rsidR="00037BF5" w:rsidRDefault="00037BF5" w:rsidP="00833B00">
            <w:pPr>
              <w:pStyle w:val="Tableheader"/>
              <w:jc w:val="right"/>
              <w:rPr>
                <w:lang w:eastAsia="en-AU"/>
              </w:rPr>
            </w:pPr>
            <w:r>
              <w:rPr>
                <w:lang w:eastAsia="en-AU"/>
              </w:rPr>
              <w:t xml:space="preserve"> 1 year</w:t>
            </w:r>
            <w:r w:rsidR="002A4666">
              <w:rPr>
                <w:lang w:eastAsia="en-AU"/>
              </w:rPr>
              <w:t>ª</w:t>
            </w:r>
          </w:p>
        </w:tc>
        <w:tc>
          <w:tcPr>
            <w:tcW w:w="1382" w:type="dxa"/>
          </w:tcPr>
          <w:p w14:paraId="2C21E479" w14:textId="010FEFA5" w:rsidR="00037BF5" w:rsidRDefault="00037BF5" w:rsidP="0033618F">
            <w:pPr>
              <w:pStyle w:val="Tableheader"/>
              <w:jc w:val="right"/>
              <w:rPr>
                <w:lang w:eastAsia="en-AU"/>
              </w:rPr>
            </w:pPr>
            <w:r>
              <w:rPr>
                <w:lang w:eastAsia="en-AU"/>
              </w:rPr>
              <w:t xml:space="preserve">1 year, 25%  </w:t>
            </w:r>
          </w:p>
        </w:tc>
        <w:tc>
          <w:tcPr>
            <w:tcW w:w="1326" w:type="dxa"/>
          </w:tcPr>
          <w:p w14:paraId="2B46BB0B" w14:textId="6541B258" w:rsidR="00037BF5" w:rsidRDefault="00037BF5" w:rsidP="00D23450">
            <w:pPr>
              <w:pStyle w:val="Tableheader"/>
              <w:jc w:val="right"/>
              <w:rPr>
                <w:lang w:eastAsia="en-AU"/>
              </w:rPr>
            </w:pPr>
            <w:r>
              <w:rPr>
                <w:lang w:eastAsia="en-AU"/>
              </w:rPr>
              <w:t>3 year, 25%</w:t>
            </w:r>
            <w:r w:rsidR="0033618F">
              <w:rPr>
                <w:lang w:eastAsia="en-AU"/>
              </w:rPr>
              <w:t>ᵇ</w:t>
            </w:r>
            <w:r>
              <w:rPr>
                <w:lang w:eastAsia="en-AU"/>
              </w:rPr>
              <w:t xml:space="preserve">   </w:t>
            </w:r>
          </w:p>
        </w:tc>
        <w:tc>
          <w:tcPr>
            <w:tcW w:w="1326" w:type="dxa"/>
          </w:tcPr>
          <w:p w14:paraId="2182EC99" w14:textId="396200EC" w:rsidR="00037BF5" w:rsidRDefault="00037BF5" w:rsidP="00D23450">
            <w:pPr>
              <w:pStyle w:val="Tableheader"/>
              <w:jc w:val="right"/>
              <w:rPr>
                <w:lang w:eastAsia="en-AU"/>
              </w:rPr>
            </w:pPr>
            <w:r>
              <w:rPr>
                <w:lang w:eastAsia="en-AU"/>
              </w:rPr>
              <w:t>3 year, 100%</w:t>
            </w:r>
          </w:p>
        </w:tc>
      </w:tr>
      <w:tr w:rsidR="00037BF5" w14:paraId="461B2862" w14:textId="225EB1C5" w:rsidTr="00D357BF">
        <w:trPr>
          <w:cnfStyle w:val="000000100000" w:firstRow="0" w:lastRow="0" w:firstColumn="0" w:lastColumn="0" w:oddVBand="0" w:evenVBand="0" w:oddHBand="1" w:evenHBand="0" w:firstRowFirstColumn="0" w:firstRowLastColumn="0" w:lastRowFirstColumn="0" w:lastRowLastColumn="0"/>
          <w:trHeight w:val="322"/>
        </w:trPr>
        <w:tc>
          <w:tcPr>
            <w:tcW w:w="1596" w:type="dxa"/>
            <w:shd w:val="clear" w:color="auto" w:fill="BBE0F2" w:themeFill="accent2" w:themeFillTint="66"/>
          </w:tcPr>
          <w:p w14:paraId="4ADABC55" w14:textId="77777777" w:rsidR="00037BF5" w:rsidRPr="00CC6987" w:rsidRDefault="00037BF5" w:rsidP="00D23450">
            <w:pPr>
              <w:pStyle w:val="Tabletext"/>
              <w:rPr>
                <w:i/>
                <w:lang w:eastAsia="en-AU"/>
              </w:rPr>
            </w:pPr>
            <w:r>
              <w:rPr>
                <w:i/>
                <w:lang w:eastAsia="en-AU"/>
              </w:rPr>
              <w:t>Firm size share</w:t>
            </w:r>
          </w:p>
        </w:tc>
        <w:tc>
          <w:tcPr>
            <w:tcW w:w="1264" w:type="dxa"/>
            <w:shd w:val="clear" w:color="auto" w:fill="BBE0F2" w:themeFill="accent2" w:themeFillTint="66"/>
          </w:tcPr>
          <w:p w14:paraId="4477E26B" w14:textId="77777777" w:rsidR="00037BF5" w:rsidRDefault="00037BF5" w:rsidP="00D23450">
            <w:pPr>
              <w:pStyle w:val="Tabletext"/>
              <w:jc w:val="right"/>
              <w:rPr>
                <w:lang w:eastAsia="en-AU"/>
              </w:rPr>
            </w:pPr>
          </w:p>
        </w:tc>
        <w:tc>
          <w:tcPr>
            <w:tcW w:w="1382" w:type="dxa"/>
            <w:shd w:val="clear" w:color="auto" w:fill="BBE0F2" w:themeFill="accent2" w:themeFillTint="66"/>
          </w:tcPr>
          <w:p w14:paraId="4635FF08" w14:textId="77777777" w:rsidR="00037BF5" w:rsidRDefault="00037BF5" w:rsidP="00D23450">
            <w:pPr>
              <w:pStyle w:val="Tabletext"/>
              <w:jc w:val="right"/>
              <w:rPr>
                <w:lang w:eastAsia="en-AU"/>
              </w:rPr>
            </w:pPr>
          </w:p>
        </w:tc>
        <w:tc>
          <w:tcPr>
            <w:tcW w:w="1326" w:type="dxa"/>
            <w:shd w:val="clear" w:color="auto" w:fill="BBE0F2" w:themeFill="accent2" w:themeFillTint="66"/>
          </w:tcPr>
          <w:p w14:paraId="2085BFC8" w14:textId="77777777" w:rsidR="00037BF5" w:rsidRDefault="00037BF5" w:rsidP="00D23450">
            <w:pPr>
              <w:pStyle w:val="Tabletext"/>
              <w:jc w:val="right"/>
              <w:rPr>
                <w:lang w:eastAsia="en-AU"/>
              </w:rPr>
            </w:pPr>
          </w:p>
        </w:tc>
        <w:tc>
          <w:tcPr>
            <w:tcW w:w="1326" w:type="dxa"/>
            <w:shd w:val="clear" w:color="auto" w:fill="BBE0F2" w:themeFill="accent2" w:themeFillTint="66"/>
          </w:tcPr>
          <w:p w14:paraId="25D69BA0" w14:textId="77777777" w:rsidR="00037BF5" w:rsidRDefault="00037BF5" w:rsidP="00D23450">
            <w:pPr>
              <w:pStyle w:val="Tabletext"/>
              <w:jc w:val="right"/>
              <w:rPr>
                <w:lang w:eastAsia="en-AU"/>
              </w:rPr>
            </w:pPr>
          </w:p>
        </w:tc>
      </w:tr>
      <w:tr w:rsidR="00037BF5" w14:paraId="5D42E2D2" w14:textId="6101AC36" w:rsidTr="00D357BF">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1AE91171" w14:textId="77777777" w:rsidR="00037BF5" w:rsidRDefault="00037BF5" w:rsidP="00D23450">
            <w:pPr>
              <w:pStyle w:val="Tabletext"/>
              <w:rPr>
                <w:lang w:eastAsia="en-AU"/>
              </w:rPr>
            </w:pPr>
            <w:r>
              <w:rPr>
                <w:lang w:eastAsia="en-AU"/>
              </w:rPr>
              <w:t xml:space="preserve">Micro </w:t>
            </w:r>
          </w:p>
        </w:tc>
        <w:tc>
          <w:tcPr>
            <w:tcW w:w="1264" w:type="dxa"/>
          </w:tcPr>
          <w:p w14:paraId="7A4EEDB8" w14:textId="77777777" w:rsidR="00037BF5" w:rsidRDefault="00037BF5" w:rsidP="00D23450">
            <w:pPr>
              <w:pStyle w:val="Tabletext"/>
              <w:jc w:val="right"/>
              <w:rPr>
                <w:lang w:eastAsia="en-AU"/>
              </w:rPr>
            </w:pPr>
            <w:r>
              <w:rPr>
                <w:lang w:eastAsia="en-AU"/>
              </w:rPr>
              <w:t>63.3</w:t>
            </w:r>
          </w:p>
        </w:tc>
        <w:tc>
          <w:tcPr>
            <w:tcW w:w="1382" w:type="dxa"/>
          </w:tcPr>
          <w:p w14:paraId="4102AB99" w14:textId="22637D10" w:rsidR="00037BF5" w:rsidRDefault="001F1823" w:rsidP="00D23450">
            <w:pPr>
              <w:pStyle w:val="Tabletext"/>
              <w:jc w:val="right"/>
              <w:rPr>
                <w:lang w:eastAsia="en-AU"/>
              </w:rPr>
            </w:pPr>
            <w:r>
              <w:rPr>
                <w:lang w:eastAsia="en-AU"/>
              </w:rPr>
              <w:t>75.3</w:t>
            </w:r>
          </w:p>
        </w:tc>
        <w:tc>
          <w:tcPr>
            <w:tcW w:w="1326" w:type="dxa"/>
          </w:tcPr>
          <w:p w14:paraId="1E7DDAE2" w14:textId="0BEB6E31" w:rsidR="00037BF5" w:rsidRDefault="00F84F0F" w:rsidP="00D23450">
            <w:pPr>
              <w:pStyle w:val="Tabletext"/>
              <w:jc w:val="right"/>
              <w:rPr>
                <w:lang w:eastAsia="en-AU"/>
              </w:rPr>
            </w:pPr>
            <w:r>
              <w:rPr>
                <w:lang w:eastAsia="en-AU"/>
              </w:rPr>
              <w:t>75.0</w:t>
            </w:r>
          </w:p>
        </w:tc>
        <w:tc>
          <w:tcPr>
            <w:tcW w:w="1326" w:type="dxa"/>
          </w:tcPr>
          <w:p w14:paraId="183874F4" w14:textId="6140BEFA" w:rsidR="00037BF5" w:rsidRDefault="00F84F0F" w:rsidP="00D23450">
            <w:pPr>
              <w:pStyle w:val="Tabletext"/>
              <w:jc w:val="right"/>
              <w:rPr>
                <w:lang w:eastAsia="en-AU"/>
              </w:rPr>
            </w:pPr>
            <w:r>
              <w:rPr>
                <w:lang w:eastAsia="en-AU"/>
              </w:rPr>
              <w:t>85.1</w:t>
            </w:r>
          </w:p>
        </w:tc>
      </w:tr>
      <w:tr w:rsidR="00037BF5" w14:paraId="2CF6B102" w14:textId="62091B29" w:rsidTr="00D357BF">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6A048082" w14:textId="77777777" w:rsidR="00037BF5" w:rsidRDefault="00037BF5" w:rsidP="00D23450">
            <w:pPr>
              <w:pStyle w:val="Tabletext"/>
              <w:rPr>
                <w:lang w:eastAsia="en-AU"/>
              </w:rPr>
            </w:pPr>
            <w:r>
              <w:rPr>
                <w:lang w:eastAsia="en-AU"/>
              </w:rPr>
              <w:t>Small</w:t>
            </w:r>
          </w:p>
        </w:tc>
        <w:tc>
          <w:tcPr>
            <w:tcW w:w="1264" w:type="dxa"/>
          </w:tcPr>
          <w:p w14:paraId="49C2DC7C" w14:textId="77777777" w:rsidR="00037BF5" w:rsidRDefault="00037BF5" w:rsidP="00D23450">
            <w:pPr>
              <w:pStyle w:val="Tabletext"/>
              <w:jc w:val="right"/>
              <w:rPr>
                <w:lang w:eastAsia="en-AU"/>
              </w:rPr>
            </w:pPr>
            <w:r>
              <w:rPr>
                <w:lang w:eastAsia="en-AU"/>
              </w:rPr>
              <w:t>19.3</w:t>
            </w:r>
          </w:p>
        </w:tc>
        <w:tc>
          <w:tcPr>
            <w:tcW w:w="1382" w:type="dxa"/>
          </w:tcPr>
          <w:p w14:paraId="5391520B" w14:textId="3F56F6B7" w:rsidR="00037BF5" w:rsidRDefault="001F1823" w:rsidP="00D23450">
            <w:pPr>
              <w:pStyle w:val="Tabletext"/>
              <w:jc w:val="right"/>
              <w:rPr>
                <w:lang w:eastAsia="en-AU"/>
              </w:rPr>
            </w:pPr>
            <w:r>
              <w:rPr>
                <w:lang w:eastAsia="en-AU"/>
              </w:rPr>
              <w:t>11.7</w:t>
            </w:r>
          </w:p>
        </w:tc>
        <w:tc>
          <w:tcPr>
            <w:tcW w:w="1326" w:type="dxa"/>
          </w:tcPr>
          <w:p w14:paraId="09055767" w14:textId="2E3C3789" w:rsidR="00037BF5" w:rsidRDefault="00F84F0F" w:rsidP="00D23450">
            <w:pPr>
              <w:pStyle w:val="Tabletext"/>
              <w:jc w:val="right"/>
              <w:rPr>
                <w:lang w:eastAsia="en-AU"/>
              </w:rPr>
            </w:pPr>
            <w:r>
              <w:rPr>
                <w:lang w:eastAsia="en-AU"/>
              </w:rPr>
              <w:t>15.5</w:t>
            </w:r>
          </w:p>
        </w:tc>
        <w:tc>
          <w:tcPr>
            <w:tcW w:w="1326" w:type="dxa"/>
          </w:tcPr>
          <w:p w14:paraId="1263DF1F" w14:textId="01ED94C5" w:rsidR="00037BF5" w:rsidRDefault="00D357BF" w:rsidP="00D23450">
            <w:pPr>
              <w:pStyle w:val="Tabletext"/>
              <w:jc w:val="right"/>
              <w:rPr>
                <w:lang w:eastAsia="en-AU"/>
              </w:rPr>
            </w:pPr>
            <w:r>
              <w:rPr>
                <w:lang w:eastAsia="en-AU"/>
              </w:rPr>
              <w:t>n/a</w:t>
            </w:r>
          </w:p>
        </w:tc>
      </w:tr>
      <w:tr w:rsidR="00037BF5" w14:paraId="432EFA1A" w14:textId="09F7CF51" w:rsidTr="00D357BF">
        <w:trPr>
          <w:cnfStyle w:val="000000010000" w:firstRow="0" w:lastRow="0" w:firstColumn="0" w:lastColumn="0" w:oddVBand="0" w:evenVBand="0" w:oddHBand="0" w:evenHBand="1" w:firstRowFirstColumn="0" w:firstRowLastColumn="0" w:lastRowFirstColumn="0" w:lastRowLastColumn="0"/>
          <w:trHeight w:val="509"/>
        </w:trPr>
        <w:tc>
          <w:tcPr>
            <w:tcW w:w="1596" w:type="dxa"/>
          </w:tcPr>
          <w:p w14:paraId="0EF1621C" w14:textId="34B92867" w:rsidR="00037BF5" w:rsidRDefault="00037BF5" w:rsidP="00D23450">
            <w:pPr>
              <w:pStyle w:val="Tabletext"/>
              <w:rPr>
                <w:lang w:eastAsia="en-AU"/>
              </w:rPr>
            </w:pPr>
            <w:r>
              <w:rPr>
                <w:lang w:eastAsia="en-AU"/>
              </w:rPr>
              <w:t>Medium</w:t>
            </w:r>
            <w:r w:rsidR="001F1823">
              <w:rPr>
                <w:lang w:eastAsia="en-AU"/>
              </w:rPr>
              <w:t>/Large</w:t>
            </w:r>
          </w:p>
        </w:tc>
        <w:tc>
          <w:tcPr>
            <w:tcW w:w="1264" w:type="dxa"/>
          </w:tcPr>
          <w:p w14:paraId="5D4D917B" w14:textId="77777777" w:rsidR="00037BF5" w:rsidRDefault="00037BF5" w:rsidP="00D23450">
            <w:pPr>
              <w:pStyle w:val="Tabletext"/>
              <w:jc w:val="right"/>
              <w:rPr>
                <w:lang w:eastAsia="en-AU"/>
              </w:rPr>
            </w:pPr>
            <w:r>
              <w:rPr>
                <w:lang w:eastAsia="en-AU"/>
              </w:rPr>
              <w:t>n/aᶜ</w:t>
            </w:r>
          </w:p>
        </w:tc>
        <w:tc>
          <w:tcPr>
            <w:tcW w:w="1382" w:type="dxa"/>
          </w:tcPr>
          <w:p w14:paraId="03D2F633" w14:textId="64F81B0B" w:rsidR="00037BF5" w:rsidRDefault="00892CF7" w:rsidP="00D23450">
            <w:pPr>
              <w:pStyle w:val="Tabletext"/>
              <w:jc w:val="right"/>
              <w:rPr>
                <w:lang w:eastAsia="en-AU"/>
              </w:rPr>
            </w:pPr>
            <w:r>
              <w:rPr>
                <w:lang w:eastAsia="en-AU"/>
              </w:rPr>
              <w:t>13.0</w:t>
            </w:r>
          </w:p>
        </w:tc>
        <w:tc>
          <w:tcPr>
            <w:tcW w:w="1326" w:type="dxa"/>
          </w:tcPr>
          <w:p w14:paraId="4F3BC630" w14:textId="0A88492D" w:rsidR="00037BF5" w:rsidRDefault="00177BBE" w:rsidP="00D23450">
            <w:pPr>
              <w:pStyle w:val="Tabletext"/>
              <w:jc w:val="right"/>
              <w:rPr>
                <w:lang w:eastAsia="en-AU"/>
              </w:rPr>
            </w:pPr>
            <w:r>
              <w:rPr>
                <w:lang w:eastAsia="en-AU"/>
              </w:rPr>
              <w:t>9.4</w:t>
            </w:r>
          </w:p>
        </w:tc>
        <w:tc>
          <w:tcPr>
            <w:tcW w:w="1326" w:type="dxa"/>
          </w:tcPr>
          <w:p w14:paraId="02D916CB" w14:textId="127107AF" w:rsidR="00037BF5" w:rsidRDefault="00D357BF" w:rsidP="00D23450">
            <w:pPr>
              <w:pStyle w:val="Tabletext"/>
              <w:jc w:val="right"/>
              <w:rPr>
                <w:lang w:eastAsia="en-AU"/>
              </w:rPr>
            </w:pPr>
            <w:r>
              <w:rPr>
                <w:lang w:eastAsia="en-AU"/>
              </w:rPr>
              <w:t>n/a</w:t>
            </w:r>
          </w:p>
        </w:tc>
      </w:tr>
      <w:tr w:rsidR="00037BF5" w14:paraId="4F57FFAF" w14:textId="1B1FF5C4" w:rsidTr="00D357BF">
        <w:trPr>
          <w:cnfStyle w:val="000000100000" w:firstRow="0" w:lastRow="0" w:firstColumn="0" w:lastColumn="0" w:oddVBand="0" w:evenVBand="0" w:oddHBand="1" w:evenHBand="0" w:firstRowFirstColumn="0" w:firstRowLastColumn="0" w:lastRowFirstColumn="0" w:lastRowLastColumn="0"/>
          <w:trHeight w:val="310"/>
        </w:trPr>
        <w:tc>
          <w:tcPr>
            <w:tcW w:w="1596" w:type="dxa"/>
            <w:shd w:val="clear" w:color="auto" w:fill="BBE0F2" w:themeFill="accent2" w:themeFillTint="66"/>
          </w:tcPr>
          <w:p w14:paraId="4121F5D4" w14:textId="77777777" w:rsidR="00037BF5" w:rsidRPr="00887BFC" w:rsidRDefault="00037BF5" w:rsidP="00D23450">
            <w:pPr>
              <w:pStyle w:val="Tabletext"/>
              <w:rPr>
                <w:i/>
                <w:lang w:eastAsia="en-AU"/>
              </w:rPr>
            </w:pPr>
            <w:r w:rsidRPr="00887BFC">
              <w:rPr>
                <w:i/>
                <w:lang w:eastAsia="en-AU"/>
              </w:rPr>
              <w:t xml:space="preserve">Industry </w:t>
            </w:r>
            <w:r>
              <w:rPr>
                <w:i/>
                <w:lang w:eastAsia="en-AU"/>
              </w:rPr>
              <w:t>share</w:t>
            </w:r>
          </w:p>
        </w:tc>
        <w:tc>
          <w:tcPr>
            <w:tcW w:w="1264" w:type="dxa"/>
            <w:shd w:val="clear" w:color="auto" w:fill="BBE0F2" w:themeFill="accent2" w:themeFillTint="66"/>
          </w:tcPr>
          <w:p w14:paraId="4EE093FA" w14:textId="77777777" w:rsidR="00037BF5" w:rsidRDefault="00037BF5" w:rsidP="00D23450">
            <w:pPr>
              <w:pStyle w:val="Tabletext"/>
              <w:jc w:val="right"/>
              <w:rPr>
                <w:lang w:eastAsia="en-AU"/>
              </w:rPr>
            </w:pPr>
          </w:p>
        </w:tc>
        <w:tc>
          <w:tcPr>
            <w:tcW w:w="1382" w:type="dxa"/>
            <w:shd w:val="clear" w:color="auto" w:fill="BBE0F2" w:themeFill="accent2" w:themeFillTint="66"/>
          </w:tcPr>
          <w:p w14:paraId="1899CAC5" w14:textId="77777777" w:rsidR="00037BF5" w:rsidRDefault="00037BF5" w:rsidP="00D23450">
            <w:pPr>
              <w:pStyle w:val="Tabletext"/>
              <w:jc w:val="right"/>
              <w:rPr>
                <w:lang w:eastAsia="en-AU"/>
              </w:rPr>
            </w:pPr>
          </w:p>
        </w:tc>
        <w:tc>
          <w:tcPr>
            <w:tcW w:w="1326" w:type="dxa"/>
            <w:shd w:val="clear" w:color="auto" w:fill="BBE0F2" w:themeFill="accent2" w:themeFillTint="66"/>
          </w:tcPr>
          <w:p w14:paraId="5F049F16" w14:textId="77777777" w:rsidR="00037BF5" w:rsidRDefault="00037BF5" w:rsidP="00D23450">
            <w:pPr>
              <w:pStyle w:val="Tabletext"/>
              <w:jc w:val="right"/>
              <w:rPr>
                <w:lang w:eastAsia="en-AU"/>
              </w:rPr>
            </w:pPr>
          </w:p>
        </w:tc>
        <w:tc>
          <w:tcPr>
            <w:tcW w:w="1326" w:type="dxa"/>
            <w:shd w:val="clear" w:color="auto" w:fill="BBE0F2" w:themeFill="accent2" w:themeFillTint="66"/>
          </w:tcPr>
          <w:p w14:paraId="34240E49" w14:textId="77777777" w:rsidR="00037BF5" w:rsidRDefault="00037BF5" w:rsidP="00D23450">
            <w:pPr>
              <w:pStyle w:val="Tabletext"/>
              <w:jc w:val="right"/>
              <w:rPr>
                <w:lang w:eastAsia="en-AU"/>
              </w:rPr>
            </w:pPr>
          </w:p>
        </w:tc>
      </w:tr>
      <w:tr w:rsidR="00037BF5" w14:paraId="54E37871" w14:textId="7D34FF65" w:rsidTr="00D357BF">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7DF8BD9A" w14:textId="77777777" w:rsidR="00037BF5" w:rsidRPr="00B76848" w:rsidRDefault="00037BF5" w:rsidP="00D23450">
            <w:pPr>
              <w:pStyle w:val="Tabletext"/>
              <w:rPr>
                <w:i/>
                <w:lang w:eastAsia="en-AU"/>
              </w:rPr>
            </w:pPr>
            <w:r>
              <w:rPr>
                <w:lang w:eastAsia="en-AU"/>
              </w:rPr>
              <w:t>Wholesale Trade</w:t>
            </w:r>
          </w:p>
        </w:tc>
        <w:tc>
          <w:tcPr>
            <w:tcW w:w="1264" w:type="dxa"/>
          </w:tcPr>
          <w:p w14:paraId="4A8EC5C4" w14:textId="77777777" w:rsidR="00037BF5" w:rsidRDefault="00037BF5" w:rsidP="00D23450">
            <w:pPr>
              <w:pStyle w:val="Tabletext"/>
              <w:jc w:val="right"/>
              <w:rPr>
                <w:lang w:eastAsia="en-AU"/>
              </w:rPr>
            </w:pPr>
            <w:r>
              <w:rPr>
                <w:lang w:eastAsia="en-AU"/>
              </w:rPr>
              <w:t>23.5</w:t>
            </w:r>
          </w:p>
        </w:tc>
        <w:tc>
          <w:tcPr>
            <w:tcW w:w="1382" w:type="dxa"/>
          </w:tcPr>
          <w:p w14:paraId="6245BDC1" w14:textId="310BC3B2" w:rsidR="00037BF5" w:rsidRPr="00987DD1" w:rsidRDefault="00177BBE" w:rsidP="00D23450">
            <w:pPr>
              <w:pStyle w:val="Tabletext"/>
              <w:jc w:val="right"/>
              <w:rPr>
                <w:lang w:eastAsia="en-AU"/>
              </w:rPr>
            </w:pPr>
            <w:r>
              <w:rPr>
                <w:lang w:eastAsia="en-AU"/>
              </w:rPr>
              <w:t>29.8</w:t>
            </w:r>
          </w:p>
        </w:tc>
        <w:tc>
          <w:tcPr>
            <w:tcW w:w="1326" w:type="dxa"/>
          </w:tcPr>
          <w:p w14:paraId="288D6EE1" w14:textId="49ECD730" w:rsidR="00037BF5" w:rsidRDefault="00E67650" w:rsidP="00D23450">
            <w:pPr>
              <w:pStyle w:val="Tabletext"/>
              <w:jc w:val="right"/>
              <w:rPr>
                <w:lang w:eastAsia="en-AU"/>
              </w:rPr>
            </w:pPr>
            <w:r>
              <w:rPr>
                <w:lang w:eastAsia="en-AU"/>
              </w:rPr>
              <w:t>24.8</w:t>
            </w:r>
          </w:p>
        </w:tc>
        <w:tc>
          <w:tcPr>
            <w:tcW w:w="1326" w:type="dxa"/>
          </w:tcPr>
          <w:p w14:paraId="7536CF2F" w14:textId="5A291152" w:rsidR="00037BF5" w:rsidRDefault="00E67650" w:rsidP="00D23450">
            <w:pPr>
              <w:pStyle w:val="Tabletext"/>
              <w:jc w:val="right"/>
              <w:rPr>
                <w:lang w:eastAsia="en-AU"/>
              </w:rPr>
            </w:pPr>
            <w:r>
              <w:rPr>
                <w:lang w:eastAsia="en-AU"/>
              </w:rPr>
              <w:t>36.7</w:t>
            </w:r>
          </w:p>
        </w:tc>
      </w:tr>
      <w:tr w:rsidR="00037BF5" w14:paraId="257E1DAA" w14:textId="49D923FA" w:rsidTr="00D357BF">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35906490" w14:textId="77777777" w:rsidR="00037BF5" w:rsidRDefault="00037BF5" w:rsidP="00D23450">
            <w:pPr>
              <w:pStyle w:val="Tabletext"/>
              <w:rPr>
                <w:lang w:eastAsia="en-AU"/>
              </w:rPr>
            </w:pPr>
            <w:r>
              <w:rPr>
                <w:lang w:eastAsia="en-AU"/>
              </w:rPr>
              <w:t>PST</w:t>
            </w:r>
          </w:p>
        </w:tc>
        <w:tc>
          <w:tcPr>
            <w:tcW w:w="1264" w:type="dxa"/>
          </w:tcPr>
          <w:p w14:paraId="7F6EB629" w14:textId="77777777" w:rsidR="00037BF5" w:rsidRDefault="00037BF5" w:rsidP="00D23450">
            <w:pPr>
              <w:pStyle w:val="Tabletext"/>
              <w:jc w:val="right"/>
              <w:rPr>
                <w:lang w:eastAsia="en-AU"/>
              </w:rPr>
            </w:pPr>
            <w:r>
              <w:rPr>
                <w:lang w:eastAsia="en-AU"/>
              </w:rPr>
              <w:t>22.0</w:t>
            </w:r>
          </w:p>
        </w:tc>
        <w:tc>
          <w:tcPr>
            <w:tcW w:w="1382" w:type="dxa"/>
          </w:tcPr>
          <w:p w14:paraId="554F3888" w14:textId="56D9C87C" w:rsidR="00037BF5" w:rsidRPr="00987DD1" w:rsidRDefault="00177BBE" w:rsidP="00D23450">
            <w:pPr>
              <w:pStyle w:val="Tabletext"/>
              <w:jc w:val="right"/>
              <w:rPr>
                <w:lang w:eastAsia="en-AU"/>
              </w:rPr>
            </w:pPr>
            <w:r>
              <w:rPr>
                <w:lang w:eastAsia="en-AU"/>
              </w:rPr>
              <w:t>22.5</w:t>
            </w:r>
          </w:p>
        </w:tc>
        <w:tc>
          <w:tcPr>
            <w:tcW w:w="1326" w:type="dxa"/>
          </w:tcPr>
          <w:p w14:paraId="5B389A23" w14:textId="629E9354" w:rsidR="00037BF5" w:rsidRDefault="00C17132" w:rsidP="00D23450">
            <w:pPr>
              <w:pStyle w:val="Tabletext"/>
              <w:jc w:val="right"/>
              <w:rPr>
                <w:lang w:eastAsia="en-AU"/>
              </w:rPr>
            </w:pPr>
            <w:r>
              <w:rPr>
                <w:lang w:eastAsia="en-AU"/>
              </w:rPr>
              <w:t>24.4</w:t>
            </w:r>
          </w:p>
        </w:tc>
        <w:tc>
          <w:tcPr>
            <w:tcW w:w="1326" w:type="dxa"/>
          </w:tcPr>
          <w:p w14:paraId="2A460D81" w14:textId="69D702F5" w:rsidR="00037BF5" w:rsidRDefault="00C17132" w:rsidP="00D23450">
            <w:pPr>
              <w:pStyle w:val="Tabletext"/>
              <w:jc w:val="right"/>
              <w:rPr>
                <w:lang w:eastAsia="en-AU"/>
              </w:rPr>
            </w:pPr>
            <w:r>
              <w:rPr>
                <w:lang w:eastAsia="en-AU"/>
              </w:rPr>
              <w:t>24.6</w:t>
            </w:r>
          </w:p>
        </w:tc>
      </w:tr>
      <w:tr w:rsidR="00037BF5" w14:paraId="7B2CA79B" w14:textId="1D12D9B8" w:rsidTr="00D357BF">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7244BA47" w14:textId="77777777" w:rsidR="00037BF5" w:rsidRDefault="00037BF5" w:rsidP="00D23450">
            <w:pPr>
              <w:pStyle w:val="Tabletext"/>
              <w:rPr>
                <w:lang w:eastAsia="en-AU"/>
              </w:rPr>
            </w:pPr>
            <w:r>
              <w:rPr>
                <w:lang w:eastAsia="en-AU"/>
              </w:rPr>
              <w:t xml:space="preserve">Retail Trade </w:t>
            </w:r>
          </w:p>
        </w:tc>
        <w:tc>
          <w:tcPr>
            <w:tcW w:w="1264" w:type="dxa"/>
          </w:tcPr>
          <w:p w14:paraId="51AB267C" w14:textId="77777777" w:rsidR="00037BF5" w:rsidRDefault="00037BF5" w:rsidP="00D23450">
            <w:pPr>
              <w:pStyle w:val="Tabletext"/>
              <w:jc w:val="right"/>
              <w:rPr>
                <w:lang w:eastAsia="en-AU"/>
              </w:rPr>
            </w:pPr>
            <w:r>
              <w:rPr>
                <w:lang w:eastAsia="en-AU"/>
              </w:rPr>
              <w:t>15.3</w:t>
            </w:r>
          </w:p>
        </w:tc>
        <w:tc>
          <w:tcPr>
            <w:tcW w:w="1382" w:type="dxa"/>
          </w:tcPr>
          <w:p w14:paraId="2DF04415" w14:textId="5F9537C8" w:rsidR="00037BF5" w:rsidRPr="00987DD1" w:rsidRDefault="00177BBE" w:rsidP="00D23450">
            <w:pPr>
              <w:pStyle w:val="Tabletext"/>
              <w:jc w:val="right"/>
              <w:rPr>
                <w:lang w:eastAsia="en-AU"/>
              </w:rPr>
            </w:pPr>
            <w:r>
              <w:rPr>
                <w:lang w:eastAsia="en-AU"/>
              </w:rPr>
              <w:t>13.3</w:t>
            </w:r>
          </w:p>
        </w:tc>
        <w:tc>
          <w:tcPr>
            <w:tcW w:w="1326" w:type="dxa"/>
          </w:tcPr>
          <w:p w14:paraId="757095B8" w14:textId="393CF3E6" w:rsidR="00037BF5" w:rsidRDefault="00177BBE" w:rsidP="00D23450">
            <w:pPr>
              <w:pStyle w:val="Tabletext"/>
              <w:jc w:val="right"/>
              <w:rPr>
                <w:lang w:eastAsia="en-AU"/>
              </w:rPr>
            </w:pPr>
            <w:r>
              <w:rPr>
                <w:lang w:eastAsia="en-AU"/>
              </w:rPr>
              <w:t>11.7</w:t>
            </w:r>
          </w:p>
        </w:tc>
        <w:tc>
          <w:tcPr>
            <w:tcW w:w="1326" w:type="dxa"/>
          </w:tcPr>
          <w:p w14:paraId="77372D73" w14:textId="599AA63C" w:rsidR="00037BF5" w:rsidRDefault="00177BBE" w:rsidP="00D23450">
            <w:pPr>
              <w:pStyle w:val="Tabletext"/>
              <w:jc w:val="right"/>
              <w:rPr>
                <w:lang w:eastAsia="en-AU"/>
              </w:rPr>
            </w:pPr>
            <w:r>
              <w:rPr>
                <w:lang w:eastAsia="en-AU"/>
              </w:rPr>
              <w:t>11.5</w:t>
            </w:r>
          </w:p>
        </w:tc>
      </w:tr>
      <w:tr w:rsidR="00037BF5" w14:paraId="2C03A31C" w14:textId="3252A546" w:rsidTr="00D357BF">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7B26D792" w14:textId="77777777" w:rsidR="00037BF5" w:rsidRDefault="00037BF5" w:rsidP="00D23450">
            <w:pPr>
              <w:pStyle w:val="Tabletext"/>
              <w:rPr>
                <w:lang w:eastAsia="en-AU"/>
              </w:rPr>
            </w:pPr>
            <w:r>
              <w:rPr>
                <w:lang w:eastAsia="en-AU"/>
              </w:rPr>
              <w:t>Manufacturing</w:t>
            </w:r>
          </w:p>
        </w:tc>
        <w:tc>
          <w:tcPr>
            <w:tcW w:w="1264" w:type="dxa"/>
          </w:tcPr>
          <w:p w14:paraId="1C28FC65" w14:textId="77777777" w:rsidR="00037BF5" w:rsidRDefault="00037BF5" w:rsidP="00D23450">
            <w:pPr>
              <w:pStyle w:val="Tabletext"/>
              <w:jc w:val="right"/>
              <w:rPr>
                <w:lang w:eastAsia="en-AU"/>
              </w:rPr>
            </w:pPr>
            <w:r>
              <w:rPr>
                <w:lang w:eastAsia="en-AU"/>
              </w:rPr>
              <w:t>5.6</w:t>
            </w:r>
          </w:p>
        </w:tc>
        <w:tc>
          <w:tcPr>
            <w:tcW w:w="1382" w:type="dxa"/>
          </w:tcPr>
          <w:p w14:paraId="6B676802" w14:textId="1D9DF3F3" w:rsidR="00037BF5" w:rsidRPr="00987DD1" w:rsidRDefault="00177BBE" w:rsidP="00D23450">
            <w:pPr>
              <w:pStyle w:val="Tabletext"/>
              <w:jc w:val="right"/>
              <w:rPr>
                <w:lang w:eastAsia="en-AU"/>
              </w:rPr>
            </w:pPr>
            <w:r>
              <w:rPr>
                <w:lang w:eastAsia="en-AU"/>
              </w:rPr>
              <w:t>3.4</w:t>
            </w:r>
          </w:p>
        </w:tc>
        <w:tc>
          <w:tcPr>
            <w:tcW w:w="1326" w:type="dxa"/>
          </w:tcPr>
          <w:p w14:paraId="790E1334" w14:textId="6C740050" w:rsidR="00037BF5" w:rsidRDefault="00177BBE" w:rsidP="00D23450">
            <w:pPr>
              <w:pStyle w:val="Tabletext"/>
              <w:jc w:val="right"/>
              <w:rPr>
                <w:lang w:eastAsia="en-AU"/>
              </w:rPr>
            </w:pPr>
            <w:r>
              <w:rPr>
                <w:lang w:eastAsia="en-AU"/>
              </w:rPr>
              <w:t>4.3</w:t>
            </w:r>
          </w:p>
        </w:tc>
        <w:tc>
          <w:tcPr>
            <w:tcW w:w="1326" w:type="dxa"/>
          </w:tcPr>
          <w:p w14:paraId="279B31F1" w14:textId="208A15D3" w:rsidR="00037BF5" w:rsidRDefault="00177BBE" w:rsidP="00D23450">
            <w:pPr>
              <w:pStyle w:val="Tabletext"/>
              <w:jc w:val="right"/>
              <w:rPr>
                <w:lang w:eastAsia="en-AU"/>
              </w:rPr>
            </w:pPr>
            <w:r>
              <w:rPr>
                <w:lang w:eastAsia="en-AU"/>
              </w:rPr>
              <w:t>2.5</w:t>
            </w:r>
          </w:p>
        </w:tc>
      </w:tr>
      <w:tr w:rsidR="00037BF5" w14:paraId="6E9E074D" w14:textId="62B53086" w:rsidTr="00D357BF">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22952E55" w14:textId="77777777" w:rsidR="00037BF5" w:rsidRDefault="00037BF5" w:rsidP="00D23450">
            <w:pPr>
              <w:pStyle w:val="Tabletext"/>
              <w:rPr>
                <w:lang w:eastAsia="en-AU"/>
              </w:rPr>
            </w:pPr>
            <w:r>
              <w:rPr>
                <w:lang w:eastAsia="en-AU"/>
              </w:rPr>
              <w:t>Other</w:t>
            </w:r>
          </w:p>
        </w:tc>
        <w:tc>
          <w:tcPr>
            <w:tcW w:w="1264" w:type="dxa"/>
          </w:tcPr>
          <w:p w14:paraId="501F3F74" w14:textId="77777777" w:rsidR="00037BF5" w:rsidRDefault="00037BF5" w:rsidP="00D23450">
            <w:pPr>
              <w:pStyle w:val="Tabletext"/>
              <w:jc w:val="right"/>
              <w:rPr>
                <w:lang w:eastAsia="en-AU"/>
              </w:rPr>
            </w:pPr>
            <w:r>
              <w:rPr>
                <w:lang w:eastAsia="en-AU"/>
              </w:rPr>
              <w:t>33.6</w:t>
            </w:r>
          </w:p>
        </w:tc>
        <w:tc>
          <w:tcPr>
            <w:tcW w:w="1382" w:type="dxa"/>
          </w:tcPr>
          <w:p w14:paraId="59D23768" w14:textId="714EBAAC" w:rsidR="00037BF5" w:rsidRPr="00987DD1" w:rsidRDefault="00037BF5" w:rsidP="00D23450">
            <w:pPr>
              <w:pStyle w:val="Tabletext"/>
              <w:jc w:val="right"/>
              <w:rPr>
                <w:lang w:eastAsia="en-AU"/>
              </w:rPr>
            </w:pPr>
          </w:p>
        </w:tc>
        <w:tc>
          <w:tcPr>
            <w:tcW w:w="1326" w:type="dxa"/>
          </w:tcPr>
          <w:p w14:paraId="70A46AB1" w14:textId="56CE77DE" w:rsidR="00037BF5" w:rsidRDefault="00037BF5" w:rsidP="00D23450">
            <w:pPr>
              <w:pStyle w:val="Tabletext"/>
              <w:jc w:val="right"/>
              <w:rPr>
                <w:lang w:eastAsia="en-AU"/>
              </w:rPr>
            </w:pPr>
          </w:p>
        </w:tc>
        <w:tc>
          <w:tcPr>
            <w:tcW w:w="1326" w:type="dxa"/>
          </w:tcPr>
          <w:p w14:paraId="5C135E38" w14:textId="77777777" w:rsidR="00037BF5" w:rsidRDefault="00037BF5" w:rsidP="00D23450">
            <w:pPr>
              <w:pStyle w:val="Tabletext"/>
              <w:jc w:val="right"/>
              <w:rPr>
                <w:lang w:eastAsia="en-AU"/>
              </w:rPr>
            </w:pPr>
          </w:p>
        </w:tc>
      </w:tr>
      <w:tr w:rsidR="00A859FE" w14:paraId="2488ACA1" w14:textId="77777777" w:rsidTr="00037BF5">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0ADBE353" w14:textId="3C89248B" w:rsidR="00A859FE" w:rsidRPr="00A938AE" w:rsidRDefault="00A859FE" w:rsidP="00A859FE">
            <w:pPr>
              <w:pStyle w:val="Tabletext"/>
              <w:rPr>
                <w:lang w:eastAsia="en-AU"/>
              </w:rPr>
            </w:pPr>
            <w:r w:rsidRPr="00A938AE">
              <w:t>R&amp;D active</w:t>
            </w:r>
          </w:p>
        </w:tc>
        <w:tc>
          <w:tcPr>
            <w:tcW w:w="1264" w:type="dxa"/>
          </w:tcPr>
          <w:p w14:paraId="30AC9C5A" w14:textId="744BAEDA" w:rsidR="00A859FE" w:rsidRDefault="00A859FE" w:rsidP="00A859FE">
            <w:pPr>
              <w:pStyle w:val="Tabletext"/>
              <w:jc w:val="right"/>
              <w:rPr>
                <w:lang w:eastAsia="en-AU"/>
              </w:rPr>
            </w:pPr>
            <w:r w:rsidRPr="00052F9F">
              <w:t>5.1</w:t>
            </w:r>
          </w:p>
        </w:tc>
        <w:tc>
          <w:tcPr>
            <w:tcW w:w="1382" w:type="dxa"/>
          </w:tcPr>
          <w:p w14:paraId="68F7012F" w14:textId="167FD08B" w:rsidR="00A859FE" w:rsidRPr="00987DD1" w:rsidRDefault="00A859FE" w:rsidP="00A859FE">
            <w:pPr>
              <w:pStyle w:val="Tabletext"/>
              <w:jc w:val="right"/>
              <w:rPr>
                <w:lang w:eastAsia="en-AU"/>
              </w:rPr>
            </w:pPr>
            <w:r w:rsidRPr="00052F9F">
              <w:t>4.05</w:t>
            </w:r>
          </w:p>
        </w:tc>
        <w:tc>
          <w:tcPr>
            <w:tcW w:w="1326" w:type="dxa"/>
          </w:tcPr>
          <w:p w14:paraId="66F555C4" w14:textId="407014FA" w:rsidR="00A859FE" w:rsidRDefault="00A859FE" w:rsidP="00A859FE">
            <w:pPr>
              <w:pStyle w:val="Tabletext"/>
              <w:jc w:val="right"/>
              <w:rPr>
                <w:lang w:eastAsia="en-AU"/>
              </w:rPr>
            </w:pPr>
            <w:r w:rsidRPr="00052F9F">
              <w:t>4.33</w:t>
            </w:r>
          </w:p>
        </w:tc>
        <w:tc>
          <w:tcPr>
            <w:tcW w:w="1326" w:type="dxa"/>
          </w:tcPr>
          <w:p w14:paraId="6CE83D68" w14:textId="26E1824E" w:rsidR="00A859FE" w:rsidRDefault="00A859FE" w:rsidP="00A859FE">
            <w:pPr>
              <w:pStyle w:val="Tabletext"/>
              <w:jc w:val="right"/>
              <w:rPr>
                <w:lang w:eastAsia="en-AU"/>
              </w:rPr>
            </w:pPr>
            <w:r w:rsidRPr="00052F9F">
              <w:t>0.87</w:t>
            </w:r>
          </w:p>
        </w:tc>
      </w:tr>
      <w:tr w:rsidR="00A859FE" w14:paraId="25B502EF" w14:textId="77777777" w:rsidTr="00037BF5">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7802EE49" w14:textId="3450A8C1" w:rsidR="00A859FE" w:rsidRPr="00A938AE" w:rsidRDefault="00A859FE" w:rsidP="00A859FE">
            <w:pPr>
              <w:pStyle w:val="Tabletext"/>
              <w:rPr>
                <w:lang w:eastAsia="en-AU"/>
              </w:rPr>
            </w:pPr>
            <w:r w:rsidRPr="00A938AE">
              <w:rPr>
                <w:i/>
                <w:iCs/>
              </w:rPr>
              <w:t xml:space="preserve">R&amp;D expenditure </w:t>
            </w:r>
          </w:p>
        </w:tc>
        <w:tc>
          <w:tcPr>
            <w:tcW w:w="1264" w:type="dxa"/>
          </w:tcPr>
          <w:p w14:paraId="237C50D8" w14:textId="77777777" w:rsidR="00A859FE" w:rsidRDefault="00A859FE" w:rsidP="00A859FE">
            <w:pPr>
              <w:pStyle w:val="Tabletext"/>
              <w:jc w:val="right"/>
              <w:rPr>
                <w:lang w:eastAsia="en-AU"/>
              </w:rPr>
            </w:pPr>
          </w:p>
        </w:tc>
        <w:tc>
          <w:tcPr>
            <w:tcW w:w="1382" w:type="dxa"/>
          </w:tcPr>
          <w:p w14:paraId="73363EB7" w14:textId="77777777" w:rsidR="00A859FE" w:rsidRPr="00987DD1" w:rsidRDefault="00A859FE" w:rsidP="00A859FE">
            <w:pPr>
              <w:pStyle w:val="Tabletext"/>
              <w:jc w:val="right"/>
              <w:rPr>
                <w:lang w:eastAsia="en-AU"/>
              </w:rPr>
            </w:pPr>
          </w:p>
        </w:tc>
        <w:tc>
          <w:tcPr>
            <w:tcW w:w="1326" w:type="dxa"/>
          </w:tcPr>
          <w:p w14:paraId="0310E0EE" w14:textId="77777777" w:rsidR="00A859FE" w:rsidRDefault="00A859FE" w:rsidP="00A859FE">
            <w:pPr>
              <w:pStyle w:val="Tabletext"/>
              <w:jc w:val="right"/>
              <w:rPr>
                <w:lang w:eastAsia="en-AU"/>
              </w:rPr>
            </w:pPr>
          </w:p>
        </w:tc>
        <w:tc>
          <w:tcPr>
            <w:tcW w:w="1326" w:type="dxa"/>
          </w:tcPr>
          <w:p w14:paraId="3991B40C" w14:textId="77777777" w:rsidR="00A859FE" w:rsidRDefault="00A859FE" w:rsidP="00A859FE">
            <w:pPr>
              <w:pStyle w:val="Tabletext"/>
              <w:jc w:val="right"/>
              <w:rPr>
                <w:lang w:eastAsia="en-AU"/>
              </w:rPr>
            </w:pPr>
          </w:p>
        </w:tc>
      </w:tr>
      <w:tr w:rsidR="00A859FE" w14:paraId="1CCF5F03" w14:textId="77777777" w:rsidTr="00037BF5">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7417323D" w14:textId="1566B35B" w:rsidR="00A859FE" w:rsidRPr="00A938AE" w:rsidRDefault="00A859FE" w:rsidP="00A859FE">
            <w:pPr>
              <w:pStyle w:val="Tabletext"/>
              <w:rPr>
                <w:lang w:eastAsia="en-AU"/>
              </w:rPr>
            </w:pPr>
            <w:r w:rsidRPr="00A938AE">
              <w:t>R&amp;D mean</w:t>
            </w:r>
          </w:p>
        </w:tc>
        <w:tc>
          <w:tcPr>
            <w:tcW w:w="1264" w:type="dxa"/>
          </w:tcPr>
          <w:p w14:paraId="38EF3736" w14:textId="1FFB693A" w:rsidR="00A859FE" w:rsidRDefault="00A859FE" w:rsidP="00A859FE">
            <w:pPr>
              <w:pStyle w:val="Tabletext"/>
              <w:jc w:val="right"/>
              <w:rPr>
                <w:lang w:eastAsia="en-AU"/>
              </w:rPr>
            </w:pPr>
            <w:r w:rsidRPr="00052F9F">
              <w:t>0.10</w:t>
            </w:r>
          </w:p>
        </w:tc>
        <w:tc>
          <w:tcPr>
            <w:tcW w:w="1382" w:type="dxa"/>
          </w:tcPr>
          <w:p w14:paraId="4C25DF91" w14:textId="0B008E45" w:rsidR="00A859FE" w:rsidRPr="00987DD1" w:rsidRDefault="00A859FE" w:rsidP="00A859FE">
            <w:pPr>
              <w:pStyle w:val="Tabletext"/>
              <w:jc w:val="right"/>
              <w:rPr>
                <w:lang w:eastAsia="en-AU"/>
              </w:rPr>
            </w:pPr>
            <w:r w:rsidRPr="00052F9F">
              <w:t>0.13</w:t>
            </w:r>
          </w:p>
        </w:tc>
        <w:tc>
          <w:tcPr>
            <w:tcW w:w="1326" w:type="dxa"/>
          </w:tcPr>
          <w:p w14:paraId="63FEAC6B" w14:textId="2F5EA963" w:rsidR="00A859FE" w:rsidRDefault="00A859FE" w:rsidP="00A859FE">
            <w:pPr>
              <w:pStyle w:val="Tabletext"/>
              <w:jc w:val="right"/>
              <w:rPr>
                <w:lang w:eastAsia="en-AU"/>
              </w:rPr>
            </w:pPr>
            <w:r w:rsidRPr="00052F9F">
              <w:t>0.20</w:t>
            </w:r>
          </w:p>
        </w:tc>
        <w:tc>
          <w:tcPr>
            <w:tcW w:w="1326" w:type="dxa"/>
          </w:tcPr>
          <w:p w14:paraId="3C29708B" w14:textId="5D94F6E8" w:rsidR="00A859FE" w:rsidRDefault="00A859FE" w:rsidP="00A859FE">
            <w:pPr>
              <w:pStyle w:val="Tabletext"/>
              <w:jc w:val="right"/>
              <w:rPr>
                <w:lang w:eastAsia="en-AU"/>
              </w:rPr>
            </w:pPr>
            <w:r w:rsidRPr="00052F9F">
              <w:t>0.41</w:t>
            </w:r>
          </w:p>
        </w:tc>
      </w:tr>
      <w:tr w:rsidR="00A859FE" w14:paraId="1BDC5D25" w14:textId="77777777" w:rsidTr="00037BF5">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1BD89410" w14:textId="36D1081C" w:rsidR="00A859FE" w:rsidRPr="00A938AE" w:rsidRDefault="00A859FE" w:rsidP="00A859FE">
            <w:pPr>
              <w:pStyle w:val="Tabletext"/>
              <w:rPr>
                <w:lang w:eastAsia="en-AU"/>
              </w:rPr>
            </w:pPr>
            <w:r w:rsidRPr="00A938AE">
              <w:t xml:space="preserve">R&amp;D median </w:t>
            </w:r>
          </w:p>
        </w:tc>
        <w:tc>
          <w:tcPr>
            <w:tcW w:w="1264" w:type="dxa"/>
          </w:tcPr>
          <w:p w14:paraId="5EB4E7DA" w14:textId="0C30EE3F" w:rsidR="00A859FE" w:rsidRDefault="00A859FE" w:rsidP="00A859FE">
            <w:pPr>
              <w:pStyle w:val="Tabletext"/>
              <w:jc w:val="right"/>
              <w:rPr>
                <w:lang w:eastAsia="en-AU"/>
              </w:rPr>
            </w:pPr>
            <w:r w:rsidRPr="00052F9F">
              <w:t>0.01</w:t>
            </w:r>
          </w:p>
        </w:tc>
        <w:tc>
          <w:tcPr>
            <w:tcW w:w="1382" w:type="dxa"/>
          </w:tcPr>
          <w:p w14:paraId="5D2F7F51" w14:textId="4C3092B8" w:rsidR="00A859FE" w:rsidRPr="00987DD1" w:rsidRDefault="00A859FE" w:rsidP="00A859FE">
            <w:pPr>
              <w:pStyle w:val="Tabletext"/>
              <w:jc w:val="right"/>
              <w:rPr>
                <w:lang w:eastAsia="en-AU"/>
              </w:rPr>
            </w:pPr>
            <w:r w:rsidRPr="00052F9F">
              <w:t>0.00</w:t>
            </w:r>
          </w:p>
        </w:tc>
        <w:tc>
          <w:tcPr>
            <w:tcW w:w="1326" w:type="dxa"/>
          </w:tcPr>
          <w:p w14:paraId="02344090" w14:textId="7E7980A5" w:rsidR="00A859FE" w:rsidRDefault="00A859FE" w:rsidP="00A859FE">
            <w:pPr>
              <w:pStyle w:val="Tabletext"/>
              <w:jc w:val="right"/>
              <w:rPr>
                <w:lang w:eastAsia="en-AU"/>
              </w:rPr>
            </w:pPr>
            <w:r w:rsidRPr="00052F9F">
              <w:t>0.11</w:t>
            </w:r>
          </w:p>
        </w:tc>
        <w:tc>
          <w:tcPr>
            <w:tcW w:w="1326" w:type="dxa"/>
          </w:tcPr>
          <w:p w14:paraId="299D8AA3" w14:textId="1649380C" w:rsidR="00A859FE" w:rsidRDefault="00A859FE" w:rsidP="00A859FE">
            <w:pPr>
              <w:pStyle w:val="Tabletext"/>
              <w:jc w:val="right"/>
              <w:rPr>
                <w:lang w:eastAsia="en-AU"/>
              </w:rPr>
            </w:pPr>
            <w:r w:rsidRPr="00052F9F">
              <w:t>0.36</w:t>
            </w:r>
          </w:p>
        </w:tc>
      </w:tr>
      <w:tr w:rsidR="00A859FE" w14:paraId="7EB8D8F3" w14:textId="77777777" w:rsidTr="00037BF5">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4EAA8EAC" w14:textId="11F7F2D0" w:rsidR="00A859FE" w:rsidRPr="00A938AE" w:rsidRDefault="00A859FE" w:rsidP="00A859FE">
            <w:pPr>
              <w:pStyle w:val="Tabletext"/>
              <w:rPr>
                <w:lang w:eastAsia="en-AU"/>
              </w:rPr>
            </w:pPr>
            <w:r w:rsidRPr="00A938AE">
              <w:rPr>
                <w:i/>
                <w:iCs/>
              </w:rPr>
              <w:t xml:space="preserve">Foreign owned </w:t>
            </w:r>
          </w:p>
        </w:tc>
        <w:tc>
          <w:tcPr>
            <w:tcW w:w="1264" w:type="dxa"/>
          </w:tcPr>
          <w:p w14:paraId="00304503" w14:textId="77777777" w:rsidR="00A859FE" w:rsidRDefault="00A859FE" w:rsidP="00A859FE">
            <w:pPr>
              <w:pStyle w:val="Tabletext"/>
              <w:jc w:val="right"/>
              <w:rPr>
                <w:lang w:eastAsia="en-AU"/>
              </w:rPr>
            </w:pPr>
          </w:p>
        </w:tc>
        <w:tc>
          <w:tcPr>
            <w:tcW w:w="1382" w:type="dxa"/>
          </w:tcPr>
          <w:p w14:paraId="56D4467A" w14:textId="77777777" w:rsidR="00A859FE" w:rsidRPr="00987DD1" w:rsidRDefault="00A859FE" w:rsidP="00A859FE">
            <w:pPr>
              <w:pStyle w:val="Tabletext"/>
              <w:jc w:val="right"/>
              <w:rPr>
                <w:lang w:eastAsia="en-AU"/>
              </w:rPr>
            </w:pPr>
          </w:p>
        </w:tc>
        <w:tc>
          <w:tcPr>
            <w:tcW w:w="1326" w:type="dxa"/>
          </w:tcPr>
          <w:p w14:paraId="28A08D9D" w14:textId="77777777" w:rsidR="00A859FE" w:rsidRDefault="00A859FE" w:rsidP="00A859FE">
            <w:pPr>
              <w:pStyle w:val="Tabletext"/>
              <w:jc w:val="right"/>
              <w:rPr>
                <w:lang w:eastAsia="en-AU"/>
              </w:rPr>
            </w:pPr>
          </w:p>
        </w:tc>
        <w:tc>
          <w:tcPr>
            <w:tcW w:w="1326" w:type="dxa"/>
          </w:tcPr>
          <w:p w14:paraId="3265995A" w14:textId="77777777" w:rsidR="00A859FE" w:rsidRDefault="00A859FE" w:rsidP="00A859FE">
            <w:pPr>
              <w:pStyle w:val="Tabletext"/>
              <w:jc w:val="right"/>
              <w:rPr>
                <w:lang w:eastAsia="en-AU"/>
              </w:rPr>
            </w:pPr>
          </w:p>
        </w:tc>
      </w:tr>
      <w:tr w:rsidR="00A859FE" w14:paraId="34C67020" w14:textId="77777777" w:rsidTr="00037BF5">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66ACE28D" w14:textId="702ACFDB" w:rsidR="00A859FE" w:rsidRPr="00A938AE" w:rsidRDefault="00A859FE" w:rsidP="00A859FE">
            <w:pPr>
              <w:pStyle w:val="Tabletext"/>
              <w:rPr>
                <w:lang w:eastAsia="en-AU"/>
              </w:rPr>
            </w:pPr>
            <w:r w:rsidRPr="00A938AE">
              <w:t>Any</w:t>
            </w:r>
          </w:p>
        </w:tc>
        <w:tc>
          <w:tcPr>
            <w:tcW w:w="1264" w:type="dxa"/>
          </w:tcPr>
          <w:p w14:paraId="117C2FBD" w14:textId="3574EA89" w:rsidR="00A859FE" w:rsidRDefault="00A859FE" w:rsidP="00A859FE">
            <w:pPr>
              <w:pStyle w:val="Tabletext"/>
              <w:jc w:val="right"/>
              <w:rPr>
                <w:lang w:eastAsia="en-AU"/>
              </w:rPr>
            </w:pPr>
            <w:r w:rsidRPr="00052F9F">
              <w:t>4.76</w:t>
            </w:r>
          </w:p>
        </w:tc>
        <w:tc>
          <w:tcPr>
            <w:tcW w:w="1382" w:type="dxa"/>
          </w:tcPr>
          <w:p w14:paraId="64402A71" w14:textId="61566BD9" w:rsidR="00A859FE" w:rsidRPr="00987DD1" w:rsidRDefault="00A859FE" w:rsidP="00A859FE">
            <w:pPr>
              <w:pStyle w:val="Tabletext"/>
              <w:jc w:val="right"/>
              <w:rPr>
                <w:lang w:eastAsia="en-AU"/>
              </w:rPr>
            </w:pPr>
            <w:r w:rsidRPr="00052F9F">
              <w:t>3.59</w:t>
            </w:r>
          </w:p>
        </w:tc>
        <w:tc>
          <w:tcPr>
            <w:tcW w:w="1326" w:type="dxa"/>
          </w:tcPr>
          <w:p w14:paraId="0CA92784" w14:textId="4B745B1E" w:rsidR="00A859FE" w:rsidRDefault="00A859FE" w:rsidP="00A859FE">
            <w:pPr>
              <w:pStyle w:val="Tabletext"/>
              <w:jc w:val="right"/>
              <w:rPr>
                <w:lang w:eastAsia="en-AU"/>
              </w:rPr>
            </w:pPr>
            <w:r w:rsidRPr="00052F9F">
              <w:t>3.45</w:t>
            </w:r>
          </w:p>
        </w:tc>
        <w:tc>
          <w:tcPr>
            <w:tcW w:w="1326" w:type="dxa"/>
          </w:tcPr>
          <w:p w14:paraId="505DAD19" w14:textId="49D86E55" w:rsidR="00A859FE" w:rsidRDefault="00A859FE" w:rsidP="00A859FE">
            <w:pPr>
              <w:pStyle w:val="Tabletext"/>
              <w:jc w:val="right"/>
              <w:rPr>
                <w:lang w:eastAsia="en-AU"/>
              </w:rPr>
            </w:pPr>
            <w:r w:rsidRPr="00052F9F">
              <w:t>3.36</w:t>
            </w:r>
          </w:p>
        </w:tc>
      </w:tr>
      <w:tr w:rsidR="00A859FE" w14:paraId="6AD15F4B" w14:textId="77777777" w:rsidTr="00037BF5">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754DFEB2" w14:textId="0F0D83F4" w:rsidR="00A859FE" w:rsidRPr="00A938AE" w:rsidRDefault="00A859FE" w:rsidP="00A859FE">
            <w:pPr>
              <w:pStyle w:val="Tabletext"/>
              <w:rPr>
                <w:lang w:eastAsia="en-AU"/>
              </w:rPr>
            </w:pPr>
            <w:r w:rsidRPr="00A938AE">
              <w:t xml:space="preserve">More than 50% </w:t>
            </w:r>
          </w:p>
        </w:tc>
        <w:tc>
          <w:tcPr>
            <w:tcW w:w="1264" w:type="dxa"/>
          </w:tcPr>
          <w:p w14:paraId="4C30E980" w14:textId="148BEFA6" w:rsidR="00A859FE" w:rsidRDefault="00A859FE" w:rsidP="00A859FE">
            <w:pPr>
              <w:pStyle w:val="Tabletext"/>
              <w:jc w:val="right"/>
              <w:rPr>
                <w:lang w:eastAsia="en-AU"/>
              </w:rPr>
            </w:pPr>
            <w:r w:rsidRPr="00052F9F">
              <w:t>1.83</w:t>
            </w:r>
          </w:p>
        </w:tc>
        <w:tc>
          <w:tcPr>
            <w:tcW w:w="1382" w:type="dxa"/>
          </w:tcPr>
          <w:p w14:paraId="0B7AB0A4" w14:textId="57757C22" w:rsidR="00A859FE" w:rsidRPr="00987DD1" w:rsidRDefault="00A859FE" w:rsidP="00A859FE">
            <w:pPr>
              <w:pStyle w:val="Tabletext"/>
              <w:jc w:val="right"/>
              <w:rPr>
                <w:lang w:eastAsia="en-AU"/>
              </w:rPr>
            </w:pPr>
            <w:r w:rsidRPr="00052F9F">
              <w:t>1.98</w:t>
            </w:r>
          </w:p>
        </w:tc>
        <w:tc>
          <w:tcPr>
            <w:tcW w:w="1326" w:type="dxa"/>
          </w:tcPr>
          <w:p w14:paraId="7CD72E95" w14:textId="51281378" w:rsidR="00A859FE" w:rsidRDefault="00A859FE" w:rsidP="00A859FE">
            <w:pPr>
              <w:pStyle w:val="Tabletext"/>
              <w:jc w:val="right"/>
              <w:rPr>
                <w:lang w:eastAsia="en-AU"/>
              </w:rPr>
            </w:pPr>
            <w:r w:rsidRPr="00052F9F">
              <w:t>2.26</w:t>
            </w:r>
          </w:p>
        </w:tc>
        <w:tc>
          <w:tcPr>
            <w:tcW w:w="1326" w:type="dxa"/>
          </w:tcPr>
          <w:p w14:paraId="6623145F" w14:textId="097FCABF" w:rsidR="00A859FE" w:rsidRDefault="00A859FE" w:rsidP="00A859FE">
            <w:pPr>
              <w:pStyle w:val="Tabletext"/>
              <w:jc w:val="right"/>
              <w:rPr>
                <w:lang w:eastAsia="en-AU"/>
              </w:rPr>
            </w:pPr>
            <w:r w:rsidRPr="00052F9F">
              <w:t>2.96</w:t>
            </w:r>
          </w:p>
        </w:tc>
      </w:tr>
      <w:tr w:rsidR="00A859FE" w14:paraId="5C3497F4" w14:textId="77777777" w:rsidTr="00037BF5">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1F940897" w14:textId="0691C74C" w:rsidR="00A859FE" w:rsidRPr="00A938AE" w:rsidRDefault="00A859FE" w:rsidP="00A859FE">
            <w:pPr>
              <w:pStyle w:val="Tabletext"/>
              <w:rPr>
                <w:lang w:eastAsia="en-AU"/>
              </w:rPr>
            </w:pPr>
            <w:r w:rsidRPr="00A938AE">
              <w:rPr>
                <w:i/>
                <w:iCs/>
              </w:rPr>
              <w:t>Wages/turnover</w:t>
            </w:r>
          </w:p>
        </w:tc>
        <w:tc>
          <w:tcPr>
            <w:tcW w:w="1264" w:type="dxa"/>
          </w:tcPr>
          <w:p w14:paraId="0D1A5A28" w14:textId="77777777" w:rsidR="00A859FE" w:rsidRDefault="00A859FE" w:rsidP="00A859FE">
            <w:pPr>
              <w:pStyle w:val="Tabletext"/>
              <w:jc w:val="right"/>
              <w:rPr>
                <w:lang w:eastAsia="en-AU"/>
              </w:rPr>
            </w:pPr>
          </w:p>
        </w:tc>
        <w:tc>
          <w:tcPr>
            <w:tcW w:w="1382" w:type="dxa"/>
          </w:tcPr>
          <w:p w14:paraId="47016714" w14:textId="77777777" w:rsidR="00A859FE" w:rsidRPr="00987DD1" w:rsidRDefault="00A859FE" w:rsidP="00A859FE">
            <w:pPr>
              <w:pStyle w:val="Tabletext"/>
              <w:jc w:val="right"/>
              <w:rPr>
                <w:lang w:eastAsia="en-AU"/>
              </w:rPr>
            </w:pPr>
          </w:p>
        </w:tc>
        <w:tc>
          <w:tcPr>
            <w:tcW w:w="1326" w:type="dxa"/>
          </w:tcPr>
          <w:p w14:paraId="1BDC4D19" w14:textId="77777777" w:rsidR="00A859FE" w:rsidRDefault="00A859FE" w:rsidP="00A859FE">
            <w:pPr>
              <w:pStyle w:val="Tabletext"/>
              <w:jc w:val="right"/>
              <w:rPr>
                <w:lang w:eastAsia="en-AU"/>
              </w:rPr>
            </w:pPr>
          </w:p>
        </w:tc>
        <w:tc>
          <w:tcPr>
            <w:tcW w:w="1326" w:type="dxa"/>
          </w:tcPr>
          <w:p w14:paraId="6D8681F5" w14:textId="77777777" w:rsidR="00A859FE" w:rsidRDefault="00A859FE" w:rsidP="00A859FE">
            <w:pPr>
              <w:pStyle w:val="Tabletext"/>
              <w:jc w:val="right"/>
              <w:rPr>
                <w:lang w:eastAsia="en-AU"/>
              </w:rPr>
            </w:pPr>
          </w:p>
        </w:tc>
      </w:tr>
      <w:tr w:rsidR="00A859FE" w14:paraId="124D898E" w14:textId="77777777" w:rsidTr="00037BF5">
        <w:trPr>
          <w:cnfStyle w:val="000000100000" w:firstRow="0" w:lastRow="0" w:firstColumn="0" w:lastColumn="0" w:oddVBand="0" w:evenVBand="0" w:oddHBand="1" w:evenHBand="0" w:firstRowFirstColumn="0" w:firstRowLastColumn="0" w:lastRowFirstColumn="0" w:lastRowLastColumn="0"/>
          <w:trHeight w:val="310"/>
        </w:trPr>
        <w:tc>
          <w:tcPr>
            <w:tcW w:w="1596" w:type="dxa"/>
          </w:tcPr>
          <w:p w14:paraId="3BA94B04" w14:textId="21977425" w:rsidR="00A859FE" w:rsidRPr="00A938AE" w:rsidRDefault="00A859FE" w:rsidP="00A859FE">
            <w:pPr>
              <w:pStyle w:val="Tabletext"/>
              <w:rPr>
                <w:lang w:eastAsia="en-AU"/>
              </w:rPr>
            </w:pPr>
            <w:r w:rsidRPr="00A938AE">
              <w:t xml:space="preserve">Median </w:t>
            </w:r>
          </w:p>
        </w:tc>
        <w:tc>
          <w:tcPr>
            <w:tcW w:w="1264" w:type="dxa"/>
          </w:tcPr>
          <w:p w14:paraId="68AFBECE" w14:textId="4A4F787F" w:rsidR="00A859FE" w:rsidRDefault="00A859FE" w:rsidP="00A859FE">
            <w:pPr>
              <w:pStyle w:val="Tabletext"/>
              <w:jc w:val="right"/>
              <w:rPr>
                <w:lang w:eastAsia="en-AU"/>
              </w:rPr>
            </w:pPr>
            <w:r w:rsidRPr="00052F9F">
              <w:t>0.12</w:t>
            </w:r>
          </w:p>
        </w:tc>
        <w:tc>
          <w:tcPr>
            <w:tcW w:w="1382" w:type="dxa"/>
          </w:tcPr>
          <w:p w14:paraId="3937C352" w14:textId="65CE7DCC" w:rsidR="00A859FE" w:rsidRPr="00987DD1" w:rsidRDefault="00A859FE" w:rsidP="00A859FE">
            <w:pPr>
              <w:pStyle w:val="Tabletext"/>
              <w:jc w:val="right"/>
              <w:rPr>
                <w:lang w:eastAsia="en-AU"/>
              </w:rPr>
            </w:pPr>
            <w:r w:rsidRPr="00052F9F">
              <w:t>0.08</w:t>
            </w:r>
          </w:p>
        </w:tc>
        <w:tc>
          <w:tcPr>
            <w:tcW w:w="1326" w:type="dxa"/>
          </w:tcPr>
          <w:p w14:paraId="2B4CFC81" w14:textId="3DBCD6E6" w:rsidR="00A859FE" w:rsidRDefault="00A859FE" w:rsidP="00A859FE">
            <w:pPr>
              <w:pStyle w:val="Tabletext"/>
              <w:jc w:val="right"/>
              <w:rPr>
                <w:lang w:eastAsia="en-AU"/>
              </w:rPr>
            </w:pPr>
            <w:r w:rsidRPr="00052F9F">
              <w:t>0.09</w:t>
            </w:r>
          </w:p>
        </w:tc>
        <w:tc>
          <w:tcPr>
            <w:tcW w:w="1326" w:type="dxa"/>
          </w:tcPr>
          <w:p w14:paraId="437FA0ED" w14:textId="108CFC97" w:rsidR="00A859FE" w:rsidRDefault="00A859FE" w:rsidP="00A859FE">
            <w:pPr>
              <w:pStyle w:val="Tabletext"/>
              <w:jc w:val="right"/>
              <w:rPr>
                <w:lang w:eastAsia="en-AU"/>
              </w:rPr>
            </w:pPr>
            <w:r w:rsidRPr="00052F9F">
              <w:t>0.05</w:t>
            </w:r>
          </w:p>
        </w:tc>
      </w:tr>
      <w:tr w:rsidR="00A859FE" w14:paraId="386F0439" w14:textId="77777777" w:rsidTr="00037BF5">
        <w:trPr>
          <w:cnfStyle w:val="000000010000" w:firstRow="0" w:lastRow="0" w:firstColumn="0" w:lastColumn="0" w:oddVBand="0" w:evenVBand="0" w:oddHBand="0" w:evenHBand="1" w:firstRowFirstColumn="0" w:firstRowLastColumn="0" w:lastRowFirstColumn="0" w:lastRowLastColumn="0"/>
          <w:trHeight w:val="310"/>
        </w:trPr>
        <w:tc>
          <w:tcPr>
            <w:tcW w:w="1596" w:type="dxa"/>
          </w:tcPr>
          <w:p w14:paraId="343C326B" w14:textId="1601C2AB" w:rsidR="00A859FE" w:rsidRPr="00A938AE" w:rsidRDefault="00A859FE" w:rsidP="00A859FE">
            <w:pPr>
              <w:pStyle w:val="Tabletext"/>
            </w:pPr>
            <w:r w:rsidRPr="00A938AE">
              <w:t xml:space="preserve">Mean </w:t>
            </w:r>
          </w:p>
        </w:tc>
        <w:tc>
          <w:tcPr>
            <w:tcW w:w="1264" w:type="dxa"/>
          </w:tcPr>
          <w:p w14:paraId="0466EFDE" w14:textId="5C95EA4B" w:rsidR="00A859FE" w:rsidRPr="00052F9F" w:rsidRDefault="00A859FE" w:rsidP="00A859FE">
            <w:pPr>
              <w:pStyle w:val="Tabletext"/>
              <w:jc w:val="right"/>
            </w:pPr>
            <w:r w:rsidRPr="00052F9F">
              <w:t>0.35</w:t>
            </w:r>
          </w:p>
        </w:tc>
        <w:tc>
          <w:tcPr>
            <w:tcW w:w="1382" w:type="dxa"/>
          </w:tcPr>
          <w:p w14:paraId="7C0CC593" w14:textId="7E4A26B8" w:rsidR="00A859FE" w:rsidRPr="00052F9F" w:rsidRDefault="00A859FE" w:rsidP="00A859FE">
            <w:pPr>
              <w:pStyle w:val="Tabletext"/>
              <w:jc w:val="right"/>
            </w:pPr>
            <w:r w:rsidRPr="00052F9F">
              <w:t>0.46</w:t>
            </w:r>
          </w:p>
        </w:tc>
        <w:tc>
          <w:tcPr>
            <w:tcW w:w="1326" w:type="dxa"/>
          </w:tcPr>
          <w:p w14:paraId="1104A5DF" w14:textId="7DBC5B20" w:rsidR="00A859FE" w:rsidRPr="00052F9F" w:rsidRDefault="00A859FE" w:rsidP="00A859FE">
            <w:pPr>
              <w:pStyle w:val="Tabletext"/>
              <w:jc w:val="right"/>
            </w:pPr>
            <w:r w:rsidRPr="00052F9F">
              <w:t>0.36</w:t>
            </w:r>
          </w:p>
        </w:tc>
        <w:tc>
          <w:tcPr>
            <w:tcW w:w="1326" w:type="dxa"/>
          </w:tcPr>
          <w:p w14:paraId="7A5C0D16" w14:textId="3E00C540" w:rsidR="00A859FE" w:rsidRPr="00052F9F" w:rsidRDefault="00A859FE" w:rsidP="00A859FE">
            <w:pPr>
              <w:pStyle w:val="Tabletext"/>
              <w:jc w:val="right"/>
            </w:pPr>
            <w:r w:rsidRPr="00052F9F">
              <w:t>0.46</w:t>
            </w:r>
          </w:p>
        </w:tc>
      </w:tr>
    </w:tbl>
    <w:p w14:paraId="3F8B10AE" w14:textId="1CC37A1A" w:rsidR="00F8393A" w:rsidRDefault="00F8393A" w:rsidP="00F8393A">
      <w:pPr>
        <w:pStyle w:val="Note"/>
        <w:rPr>
          <w:lang w:eastAsia="en-AU"/>
        </w:rPr>
      </w:pPr>
      <w:r>
        <w:rPr>
          <w:lang w:eastAsia="en-AU"/>
        </w:rPr>
        <w:t>Notes: ª</w:t>
      </w:r>
      <w:r>
        <w:t xml:space="preserve">Born global entrants in 2015–16 </w:t>
      </w:r>
      <w:r w:rsidR="0033618F">
        <w:rPr>
          <w:lang w:eastAsia="en-AU"/>
        </w:rPr>
        <w:t>ᵇBorn global entrants between 2013-14 and 2015-16, with at least 25% export intensity</w:t>
      </w:r>
      <w:r>
        <w:t xml:space="preserve"> </w:t>
      </w:r>
    </w:p>
    <w:p w14:paraId="550BB8DA" w14:textId="77777777" w:rsidR="00F8393A" w:rsidRDefault="00F8393A" w:rsidP="00F8393A">
      <w:pPr>
        <w:pStyle w:val="Source"/>
        <w:rPr>
          <w:lang w:eastAsia="en-AU"/>
        </w:rPr>
      </w:pPr>
      <w:r>
        <w:rPr>
          <w:lang w:eastAsia="en-AU"/>
        </w:rPr>
        <w:t>Source: BLADE (2019), Author’s calculations</w:t>
      </w:r>
    </w:p>
    <w:p w14:paraId="2F45E6C8" w14:textId="77777777" w:rsidR="000B0ED8" w:rsidRPr="000B0ED8" w:rsidRDefault="000B0ED8" w:rsidP="00F8393A">
      <w:pPr>
        <w:pStyle w:val="BodyText"/>
      </w:pPr>
    </w:p>
    <w:p w14:paraId="56034D2D" w14:textId="77777777" w:rsidR="00AD3766" w:rsidRPr="00AD3766" w:rsidRDefault="00AD3766" w:rsidP="00AD3766">
      <w:pPr>
        <w:pStyle w:val="BodyText"/>
        <w:rPr>
          <w:lang w:val="en"/>
        </w:rPr>
      </w:pPr>
    </w:p>
    <w:p w14:paraId="447C5D74" w14:textId="14A03827" w:rsidR="008C7F50" w:rsidRPr="00D34BFA" w:rsidRDefault="00A8133B" w:rsidP="00D34BFA">
      <w:pPr>
        <w:pStyle w:val="Heading6"/>
        <w:numPr>
          <w:ilvl w:val="0"/>
          <w:numId w:val="0"/>
        </w:numPr>
      </w:pPr>
      <w:r>
        <w:lastRenderedPageBreak/>
        <w:t xml:space="preserve">Appendix C </w:t>
      </w:r>
      <w:r w:rsidR="00D85110">
        <w:t>Survey</w:t>
      </w:r>
      <w:r>
        <w:t xml:space="preserve"> Results</w:t>
      </w:r>
    </w:p>
    <w:p w14:paraId="5E89D70A" w14:textId="14E348ED" w:rsidR="000D6C5A" w:rsidRDefault="000D6C5A" w:rsidP="000D6C5A">
      <w:pPr>
        <w:pStyle w:val="Caption"/>
      </w:pPr>
      <w:r w:rsidRPr="000618FB">
        <w:t xml:space="preserve">Table </w:t>
      </w:r>
      <w:r>
        <w:t>C.1</w:t>
      </w:r>
      <w:r w:rsidRPr="000618FB">
        <w:t xml:space="preserve">: </w:t>
      </w:r>
      <w:r w:rsidRPr="00A9250B">
        <w:t>Bus</w:t>
      </w:r>
      <w:r w:rsidR="008C797A">
        <w:t>iness C</w:t>
      </w:r>
      <w:r w:rsidR="00E45D1E">
        <w:t>haracteristics Survey,</w:t>
      </w:r>
      <w:r w:rsidR="002721A7">
        <w:t xml:space="preserve"> by BGF definition</w:t>
      </w:r>
    </w:p>
    <w:tbl>
      <w:tblPr>
        <w:tblStyle w:val="OCETable"/>
        <w:tblW w:w="4999" w:type="pct"/>
        <w:tblInd w:w="57" w:type="dxa"/>
        <w:tblLayout w:type="fixed"/>
        <w:tblLook w:val="04A0" w:firstRow="1" w:lastRow="0" w:firstColumn="1" w:lastColumn="0" w:noHBand="0" w:noVBand="1"/>
        <w:tblCaption w:val="Business Characteristics Survey, by BGF definition"/>
        <w:tblDescription w:val="See description of Table 2.5 - this table is the same but by BGF definition. "/>
      </w:tblPr>
      <w:tblGrid>
        <w:gridCol w:w="1724"/>
        <w:gridCol w:w="1723"/>
        <w:gridCol w:w="1723"/>
        <w:gridCol w:w="1723"/>
      </w:tblGrid>
      <w:tr w:rsidR="00B67875" w14:paraId="2A54044E" w14:textId="0181E2EE" w:rsidTr="00D77393">
        <w:trPr>
          <w:cnfStyle w:val="100000000000" w:firstRow="1" w:lastRow="0" w:firstColumn="0" w:lastColumn="0" w:oddVBand="0" w:evenVBand="0" w:oddHBand="0" w:evenHBand="0" w:firstRowFirstColumn="0" w:firstRowLastColumn="0" w:lastRowFirstColumn="0" w:lastRowLastColumn="0"/>
          <w:trHeight w:val="593"/>
          <w:tblHeader/>
        </w:trPr>
        <w:tc>
          <w:tcPr>
            <w:tcW w:w="1724" w:type="dxa"/>
          </w:tcPr>
          <w:p w14:paraId="690B784A" w14:textId="77777777" w:rsidR="00B67875" w:rsidRDefault="00B67875" w:rsidP="00B67875">
            <w:pPr>
              <w:pStyle w:val="Tableheader"/>
              <w:rPr>
                <w:lang w:eastAsia="en-AU"/>
              </w:rPr>
            </w:pPr>
            <w:r>
              <w:rPr>
                <w:lang w:eastAsia="en-AU"/>
              </w:rPr>
              <w:t xml:space="preserve">Characteristic </w:t>
            </w:r>
          </w:p>
        </w:tc>
        <w:tc>
          <w:tcPr>
            <w:tcW w:w="1723" w:type="dxa"/>
            <w:vAlign w:val="center"/>
          </w:tcPr>
          <w:p w14:paraId="7812B108" w14:textId="58F3F8DB" w:rsidR="00B67875" w:rsidRDefault="00065133" w:rsidP="00D77393">
            <w:pPr>
              <w:pStyle w:val="Tableheader"/>
              <w:rPr>
                <w:lang w:eastAsia="en-AU"/>
              </w:rPr>
            </w:pPr>
            <w:r>
              <w:t>1 year</w:t>
            </w:r>
            <w:r>
              <w:rPr>
                <w:lang w:eastAsia="en-AU"/>
              </w:rPr>
              <w:t>ª</w:t>
            </w:r>
            <w:r w:rsidR="00B67875" w:rsidRPr="004342B6">
              <w:t xml:space="preserve">  </w:t>
            </w:r>
          </w:p>
        </w:tc>
        <w:tc>
          <w:tcPr>
            <w:tcW w:w="1723" w:type="dxa"/>
            <w:vAlign w:val="center"/>
          </w:tcPr>
          <w:p w14:paraId="001E6D4E" w14:textId="151FA847" w:rsidR="00B67875" w:rsidRDefault="00B67875" w:rsidP="00D77393">
            <w:pPr>
              <w:pStyle w:val="Tableheader"/>
              <w:rPr>
                <w:lang w:eastAsia="en-AU"/>
              </w:rPr>
            </w:pPr>
            <w:r w:rsidRPr="004342B6">
              <w:t xml:space="preserve">3 year, 25%ᵇ   </w:t>
            </w:r>
          </w:p>
        </w:tc>
        <w:tc>
          <w:tcPr>
            <w:tcW w:w="1723" w:type="dxa"/>
            <w:vAlign w:val="center"/>
          </w:tcPr>
          <w:p w14:paraId="6EEB6580" w14:textId="36840A0F" w:rsidR="00B67875" w:rsidRDefault="00B67875" w:rsidP="00D77393">
            <w:pPr>
              <w:pStyle w:val="Tableheader"/>
              <w:rPr>
                <w:lang w:eastAsia="en-AU"/>
              </w:rPr>
            </w:pPr>
            <w:r w:rsidRPr="004342B6">
              <w:t>3 year, 100%</w:t>
            </w:r>
          </w:p>
        </w:tc>
      </w:tr>
      <w:tr w:rsidR="00633A9D" w14:paraId="4743D04A" w14:textId="67AFAD7D" w:rsidTr="00D77393">
        <w:trPr>
          <w:cnfStyle w:val="000000100000" w:firstRow="0" w:lastRow="0" w:firstColumn="0" w:lastColumn="0" w:oddVBand="0" w:evenVBand="0" w:oddHBand="1" w:evenHBand="0" w:firstRowFirstColumn="0" w:firstRowLastColumn="0" w:lastRowFirstColumn="0" w:lastRowLastColumn="0"/>
          <w:trHeight w:val="295"/>
        </w:trPr>
        <w:tc>
          <w:tcPr>
            <w:tcW w:w="1724" w:type="dxa"/>
            <w:vAlign w:val="center"/>
          </w:tcPr>
          <w:p w14:paraId="7435FC4D" w14:textId="77777777" w:rsidR="00633A9D" w:rsidRDefault="00633A9D" w:rsidP="00D77393">
            <w:pPr>
              <w:pStyle w:val="Tabletext"/>
              <w:rPr>
                <w:lang w:eastAsia="en-AU"/>
              </w:rPr>
            </w:pPr>
            <w:r>
              <w:rPr>
                <w:lang w:eastAsia="en-AU"/>
              </w:rPr>
              <w:t>Collaborative arrangements</w:t>
            </w:r>
          </w:p>
        </w:tc>
        <w:tc>
          <w:tcPr>
            <w:tcW w:w="1723" w:type="dxa"/>
            <w:vAlign w:val="center"/>
          </w:tcPr>
          <w:p w14:paraId="561D07A3" w14:textId="77777777" w:rsidR="00633A9D" w:rsidRDefault="00633A9D" w:rsidP="00D77393">
            <w:pPr>
              <w:pStyle w:val="Tabletext"/>
              <w:rPr>
                <w:lang w:eastAsia="en-AU"/>
              </w:rPr>
            </w:pPr>
            <w:r>
              <w:rPr>
                <w:lang w:eastAsia="en-AU"/>
              </w:rPr>
              <w:t>No statistical difference</w:t>
            </w:r>
          </w:p>
        </w:tc>
        <w:tc>
          <w:tcPr>
            <w:tcW w:w="1723" w:type="dxa"/>
            <w:vAlign w:val="center"/>
          </w:tcPr>
          <w:p w14:paraId="32BAE72F" w14:textId="3D598B33" w:rsidR="00633A9D" w:rsidRDefault="00633A9D" w:rsidP="00D77393">
            <w:pPr>
              <w:pStyle w:val="Tabletext"/>
              <w:rPr>
                <w:lang w:eastAsia="en-AU"/>
              </w:rPr>
            </w:pPr>
            <w:r>
              <w:rPr>
                <w:lang w:eastAsia="en-AU"/>
              </w:rPr>
              <w:t>More likely to have joint research and development collaboration</w:t>
            </w:r>
          </w:p>
        </w:tc>
        <w:tc>
          <w:tcPr>
            <w:tcW w:w="1723" w:type="dxa"/>
            <w:vAlign w:val="center"/>
          </w:tcPr>
          <w:p w14:paraId="599F8806" w14:textId="43AE42CB" w:rsidR="00633A9D" w:rsidRDefault="00633A9D" w:rsidP="00D77393">
            <w:pPr>
              <w:pStyle w:val="Tabletext"/>
              <w:rPr>
                <w:lang w:eastAsia="en-AU"/>
              </w:rPr>
            </w:pPr>
            <w:r>
              <w:rPr>
                <w:lang w:eastAsia="en-AU"/>
              </w:rPr>
              <w:t>No statistical difference</w:t>
            </w:r>
          </w:p>
        </w:tc>
      </w:tr>
      <w:tr w:rsidR="00633A9D" w14:paraId="1ABC6796" w14:textId="71B82899" w:rsidTr="00D77393">
        <w:trPr>
          <w:cnfStyle w:val="000000010000" w:firstRow="0" w:lastRow="0" w:firstColumn="0" w:lastColumn="0" w:oddVBand="0" w:evenVBand="0" w:oddHBand="0" w:evenHBand="1" w:firstRowFirstColumn="0" w:firstRowLastColumn="0" w:lastRowFirstColumn="0" w:lastRowLastColumn="0"/>
          <w:trHeight w:val="295"/>
        </w:trPr>
        <w:tc>
          <w:tcPr>
            <w:tcW w:w="1724" w:type="dxa"/>
            <w:vAlign w:val="center"/>
          </w:tcPr>
          <w:p w14:paraId="0F9A7509" w14:textId="00AF559F" w:rsidR="00633A9D" w:rsidRDefault="00633A9D" w:rsidP="00D77393">
            <w:pPr>
              <w:pStyle w:val="Tabletext"/>
              <w:rPr>
                <w:lang w:eastAsia="en-AU"/>
              </w:rPr>
            </w:pPr>
            <w:r>
              <w:rPr>
                <w:lang w:eastAsia="en-AU"/>
              </w:rPr>
              <w:t>Home based business</w:t>
            </w:r>
          </w:p>
        </w:tc>
        <w:tc>
          <w:tcPr>
            <w:tcW w:w="1723" w:type="dxa"/>
            <w:vAlign w:val="center"/>
          </w:tcPr>
          <w:p w14:paraId="33889F0E" w14:textId="77777777" w:rsidR="00633A9D" w:rsidRDefault="00633A9D" w:rsidP="00D77393">
            <w:pPr>
              <w:pStyle w:val="Tabletext"/>
              <w:rPr>
                <w:lang w:eastAsia="en-AU"/>
              </w:rPr>
            </w:pPr>
            <w:r>
              <w:rPr>
                <w:lang w:eastAsia="en-AU"/>
              </w:rPr>
              <w:t xml:space="preserve">More likely </w:t>
            </w:r>
          </w:p>
        </w:tc>
        <w:tc>
          <w:tcPr>
            <w:tcW w:w="1723" w:type="dxa"/>
            <w:vAlign w:val="center"/>
          </w:tcPr>
          <w:p w14:paraId="1B4AAC30" w14:textId="0F5C18C1" w:rsidR="00633A9D" w:rsidRDefault="00633A9D" w:rsidP="00D77393">
            <w:pPr>
              <w:pStyle w:val="Tabletext"/>
              <w:rPr>
                <w:lang w:eastAsia="en-AU"/>
              </w:rPr>
            </w:pPr>
            <w:r>
              <w:rPr>
                <w:lang w:eastAsia="en-AU"/>
              </w:rPr>
              <w:t>More likely</w:t>
            </w:r>
          </w:p>
        </w:tc>
        <w:tc>
          <w:tcPr>
            <w:tcW w:w="1723" w:type="dxa"/>
            <w:vAlign w:val="center"/>
          </w:tcPr>
          <w:p w14:paraId="40FA77E2" w14:textId="7FABE64F" w:rsidR="00633A9D" w:rsidRDefault="00633A9D" w:rsidP="00D77393">
            <w:pPr>
              <w:pStyle w:val="Tabletext"/>
              <w:rPr>
                <w:lang w:eastAsia="en-AU"/>
              </w:rPr>
            </w:pPr>
            <w:r>
              <w:rPr>
                <w:lang w:eastAsia="en-AU"/>
              </w:rPr>
              <w:t>More likely</w:t>
            </w:r>
          </w:p>
        </w:tc>
      </w:tr>
      <w:tr w:rsidR="00633A9D" w14:paraId="0F487395" w14:textId="1260C019" w:rsidTr="00D77393">
        <w:trPr>
          <w:cnfStyle w:val="000000100000" w:firstRow="0" w:lastRow="0" w:firstColumn="0" w:lastColumn="0" w:oddVBand="0" w:evenVBand="0" w:oddHBand="1" w:evenHBand="0" w:firstRowFirstColumn="0" w:firstRowLastColumn="0" w:lastRowFirstColumn="0" w:lastRowLastColumn="0"/>
          <w:trHeight w:val="295"/>
        </w:trPr>
        <w:tc>
          <w:tcPr>
            <w:tcW w:w="1724" w:type="dxa"/>
            <w:vAlign w:val="center"/>
          </w:tcPr>
          <w:p w14:paraId="48DE972B" w14:textId="3EC3FC1E" w:rsidR="00633A9D" w:rsidRDefault="00633A9D" w:rsidP="00D77393">
            <w:pPr>
              <w:pStyle w:val="Tabletext"/>
              <w:rPr>
                <w:lang w:eastAsia="en-AU"/>
              </w:rPr>
            </w:pPr>
            <w:r>
              <w:rPr>
                <w:lang w:eastAsia="en-AU"/>
              </w:rPr>
              <w:t>Business focus</w:t>
            </w:r>
          </w:p>
        </w:tc>
        <w:tc>
          <w:tcPr>
            <w:tcW w:w="1723" w:type="dxa"/>
            <w:vAlign w:val="center"/>
          </w:tcPr>
          <w:p w14:paraId="1E5A36DF" w14:textId="77777777" w:rsidR="00633A9D" w:rsidRDefault="00633A9D" w:rsidP="00D77393">
            <w:pPr>
              <w:pStyle w:val="Tabletext"/>
              <w:rPr>
                <w:lang w:eastAsia="en-AU"/>
              </w:rPr>
            </w:pPr>
            <w:r>
              <w:rPr>
                <w:lang w:eastAsia="en-AU"/>
              </w:rPr>
              <w:t xml:space="preserve">More likely to target additional export markets  </w:t>
            </w:r>
          </w:p>
        </w:tc>
        <w:tc>
          <w:tcPr>
            <w:tcW w:w="1723" w:type="dxa"/>
            <w:vAlign w:val="center"/>
          </w:tcPr>
          <w:p w14:paraId="05F7D238" w14:textId="5C1CB669" w:rsidR="00633A9D" w:rsidRDefault="00633A9D" w:rsidP="00D77393">
            <w:pPr>
              <w:pStyle w:val="Tabletext"/>
              <w:rPr>
                <w:lang w:eastAsia="en-AU"/>
              </w:rPr>
            </w:pPr>
            <w:r>
              <w:rPr>
                <w:lang w:eastAsia="en-AU"/>
              </w:rPr>
              <w:t xml:space="preserve">More likely to target additional export markets  </w:t>
            </w:r>
          </w:p>
        </w:tc>
        <w:tc>
          <w:tcPr>
            <w:tcW w:w="1723" w:type="dxa"/>
            <w:vAlign w:val="center"/>
          </w:tcPr>
          <w:p w14:paraId="24B63555" w14:textId="478E724E" w:rsidR="00633A9D" w:rsidRDefault="00633A9D" w:rsidP="00D77393">
            <w:pPr>
              <w:pStyle w:val="Tabletext"/>
              <w:rPr>
                <w:lang w:eastAsia="en-AU"/>
              </w:rPr>
            </w:pPr>
            <w:r>
              <w:rPr>
                <w:lang w:val="en-US"/>
              </w:rPr>
              <w:t xml:space="preserve">Less likely to focus on innovation measures; </w:t>
            </w:r>
            <w:r w:rsidRPr="00145713">
              <w:rPr>
                <w:lang w:val="en-US"/>
              </w:rPr>
              <w:t xml:space="preserve">More likely to target additional export markets  </w:t>
            </w:r>
          </w:p>
        </w:tc>
      </w:tr>
      <w:tr w:rsidR="00633A9D" w14:paraId="2FEF0BAC" w14:textId="3F20880C" w:rsidTr="00D77393">
        <w:trPr>
          <w:cnfStyle w:val="000000010000" w:firstRow="0" w:lastRow="0" w:firstColumn="0" w:lastColumn="0" w:oddVBand="0" w:evenVBand="0" w:oddHBand="0" w:evenHBand="1" w:firstRowFirstColumn="0" w:firstRowLastColumn="0" w:lastRowFirstColumn="0" w:lastRowLastColumn="0"/>
          <w:trHeight w:val="594"/>
        </w:trPr>
        <w:tc>
          <w:tcPr>
            <w:tcW w:w="1724" w:type="dxa"/>
            <w:vAlign w:val="center"/>
          </w:tcPr>
          <w:p w14:paraId="6986C84F" w14:textId="1675FD98" w:rsidR="00633A9D" w:rsidRDefault="00633A9D" w:rsidP="00D77393">
            <w:pPr>
              <w:pStyle w:val="Tabletext"/>
              <w:rPr>
                <w:lang w:eastAsia="en-AU"/>
              </w:rPr>
            </w:pPr>
            <w:r>
              <w:rPr>
                <w:lang w:eastAsia="en-AU"/>
              </w:rPr>
              <w:t>Sought finance</w:t>
            </w:r>
          </w:p>
        </w:tc>
        <w:tc>
          <w:tcPr>
            <w:tcW w:w="1723" w:type="dxa"/>
            <w:vAlign w:val="center"/>
          </w:tcPr>
          <w:p w14:paraId="72BF6CD7" w14:textId="77777777" w:rsidR="00633A9D" w:rsidRDefault="00633A9D" w:rsidP="00D77393">
            <w:pPr>
              <w:pStyle w:val="Tabletext"/>
              <w:rPr>
                <w:lang w:eastAsia="en-AU"/>
              </w:rPr>
            </w:pPr>
            <w:r>
              <w:rPr>
                <w:lang w:eastAsia="en-AU"/>
              </w:rPr>
              <w:t>No statistical difference</w:t>
            </w:r>
          </w:p>
        </w:tc>
        <w:tc>
          <w:tcPr>
            <w:tcW w:w="1723" w:type="dxa"/>
            <w:vAlign w:val="center"/>
          </w:tcPr>
          <w:p w14:paraId="34BF74C2" w14:textId="6C691B53" w:rsidR="00633A9D" w:rsidRDefault="00633A9D" w:rsidP="00D77393">
            <w:pPr>
              <w:pStyle w:val="Tabletext"/>
              <w:rPr>
                <w:lang w:eastAsia="en-AU"/>
              </w:rPr>
            </w:pPr>
            <w:r>
              <w:rPr>
                <w:lang w:eastAsia="en-AU"/>
              </w:rPr>
              <w:t>No statistical difference</w:t>
            </w:r>
          </w:p>
        </w:tc>
        <w:tc>
          <w:tcPr>
            <w:tcW w:w="1723" w:type="dxa"/>
            <w:vAlign w:val="center"/>
          </w:tcPr>
          <w:p w14:paraId="5E0FFED6" w14:textId="4D0A1289" w:rsidR="00633A9D" w:rsidRDefault="00633A9D" w:rsidP="00D77393">
            <w:pPr>
              <w:pStyle w:val="Tabletext"/>
              <w:rPr>
                <w:lang w:eastAsia="en-AU"/>
              </w:rPr>
            </w:pPr>
            <w:r>
              <w:rPr>
                <w:lang w:eastAsia="en-AU"/>
              </w:rPr>
              <w:t>No statistical difference</w:t>
            </w:r>
          </w:p>
        </w:tc>
      </w:tr>
      <w:tr w:rsidR="00633A9D" w14:paraId="21BD1A73" w14:textId="2B822108" w:rsidTr="00D77393">
        <w:trPr>
          <w:cnfStyle w:val="000000100000" w:firstRow="0" w:lastRow="0" w:firstColumn="0" w:lastColumn="0" w:oddVBand="0" w:evenVBand="0" w:oddHBand="1" w:evenHBand="0" w:firstRowFirstColumn="0" w:firstRowLastColumn="0" w:lastRowFirstColumn="0" w:lastRowLastColumn="0"/>
          <w:trHeight w:val="485"/>
        </w:trPr>
        <w:tc>
          <w:tcPr>
            <w:tcW w:w="1724" w:type="dxa"/>
            <w:vAlign w:val="center"/>
          </w:tcPr>
          <w:p w14:paraId="009F8D1F" w14:textId="6BE86225" w:rsidR="00633A9D" w:rsidRDefault="00633A9D" w:rsidP="00D77393">
            <w:pPr>
              <w:pStyle w:val="Tabletext"/>
              <w:rPr>
                <w:lang w:eastAsia="en-AU"/>
              </w:rPr>
            </w:pPr>
            <w:r>
              <w:rPr>
                <w:lang w:eastAsia="en-AU"/>
              </w:rPr>
              <w:t>Competition</w:t>
            </w:r>
          </w:p>
        </w:tc>
        <w:tc>
          <w:tcPr>
            <w:tcW w:w="1723" w:type="dxa"/>
            <w:vAlign w:val="center"/>
          </w:tcPr>
          <w:p w14:paraId="03F58441" w14:textId="77777777" w:rsidR="00633A9D" w:rsidRDefault="00633A9D" w:rsidP="00D77393">
            <w:pPr>
              <w:pStyle w:val="Tabletext"/>
              <w:rPr>
                <w:lang w:eastAsia="en-AU"/>
              </w:rPr>
            </w:pPr>
            <w:r>
              <w:rPr>
                <w:lang w:eastAsia="en-AU"/>
              </w:rPr>
              <w:t>No statistical difference</w:t>
            </w:r>
          </w:p>
        </w:tc>
        <w:tc>
          <w:tcPr>
            <w:tcW w:w="1723" w:type="dxa"/>
            <w:vAlign w:val="center"/>
          </w:tcPr>
          <w:p w14:paraId="7CDF689C" w14:textId="67EDF558" w:rsidR="00633A9D" w:rsidRDefault="00633A9D" w:rsidP="00D77393">
            <w:pPr>
              <w:pStyle w:val="Tabletext"/>
              <w:rPr>
                <w:lang w:eastAsia="en-AU"/>
              </w:rPr>
            </w:pPr>
            <w:r>
              <w:rPr>
                <w:lang w:eastAsia="en-AU"/>
              </w:rPr>
              <w:t>No statistical difference</w:t>
            </w:r>
          </w:p>
        </w:tc>
        <w:tc>
          <w:tcPr>
            <w:tcW w:w="1723" w:type="dxa"/>
            <w:vAlign w:val="center"/>
          </w:tcPr>
          <w:p w14:paraId="3A39F4B1" w14:textId="43493E50" w:rsidR="00633A9D" w:rsidRDefault="00633A9D" w:rsidP="00D77393">
            <w:pPr>
              <w:pStyle w:val="Tabletext"/>
              <w:rPr>
                <w:lang w:eastAsia="en-AU"/>
              </w:rPr>
            </w:pPr>
            <w:r>
              <w:rPr>
                <w:lang w:eastAsia="en-AU"/>
              </w:rPr>
              <w:t>No statistical difference</w:t>
            </w:r>
          </w:p>
        </w:tc>
      </w:tr>
      <w:tr w:rsidR="00633A9D" w14:paraId="3332B697" w14:textId="2E959B5B" w:rsidTr="00D77393">
        <w:trPr>
          <w:cnfStyle w:val="000000010000" w:firstRow="0" w:lastRow="0" w:firstColumn="0" w:lastColumn="0" w:oddVBand="0" w:evenVBand="0" w:oddHBand="0" w:evenHBand="1" w:firstRowFirstColumn="0" w:firstRowLastColumn="0" w:lastRowFirstColumn="0" w:lastRowLastColumn="0"/>
          <w:trHeight w:val="485"/>
        </w:trPr>
        <w:tc>
          <w:tcPr>
            <w:tcW w:w="1724" w:type="dxa"/>
            <w:vAlign w:val="center"/>
          </w:tcPr>
          <w:p w14:paraId="6EAC660C" w14:textId="443513E6" w:rsidR="00633A9D" w:rsidRDefault="00633A9D" w:rsidP="00D77393">
            <w:pPr>
              <w:pStyle w:val="Tabletext"/>
              <w:rPr>
                <w:lang w:eastAsia="en-AU"/>
              </w:rPr>
            </w:pPr>
            <w:r>
              <w:rPr>
                <w:lang w:eastAsia="en-AU"/>
              </w:rPr>
              <w:t>Market share</w:t>
            </w:r>
          </w:p>
        </w:tc>
        <w:tc>
          <w:tcPr>
            <w:tcW w:w="1723" w:type="dxa"/>
            <w:vAlign w:val="center"/>
          </w:tcPr>
          <w:p w14:paraId="66D3C402" w14:textId="77777777" w:rsidR="00633A9D" w:rsidDel="0033683C" w:rsidRDefault="00633A9D" w:rsidP="00D77393">
            <w:pPr>
              <w:pStyle w:val="Tabletext"/>
              <w:rPr>
                <w:lang w:eastAsia="en-AU"/>
              </w:rPr>
            </w:pPr>
            <w:r>
              <w:rPr>
                <w:lang w:eastAsia="en-AU"/>
              </w:rPr>
              <w:t>No statistical difference</w:t>
            </w:r>
          </w:p>
        </w:tc>
        <w:tc>
          <w:tcPr>
            <w:tcW w:w="1723" w:type="dxa"/>
            <w:vAlign w:val="center"/>
          </w:tcPr>
          <w:p w14:paraId="65135F0F" w14:textId="2438B178" w:rsidR="00633A9D" w:rsidRDefault="00633A9D" w:rsidP="00D77393">
            <w:pPr>
              <w:pStyle w:val="Tabletext"/>
              <w:rPr>
                <w:lang w:eastAsia="en-AU"/>
              </w:rPr>
            </w:pPr>
            <w:r>
              <w:rPr>
                <w:lang w:eastAsia="en-AU"/>
              </w:rPr>
              <w:t>No statistical difference</w:t>
            </w:r>
          </w:p>
        </w:tc>
        <w:tc>
          <w:tcPr>
            <w:tcW w:w="1723" w:type="dxa"/>
            <w:vAlign w:val="center"/>
          </w:tcPr>
          <w:p w14:paraId="3C75B5F2" w14:textId="549A72DB" w:rsidR="00633A9D" w:rsidRDefault="00633A9D" w:rsidP="00D77393">
            <w:pPr>
              <w:pStyle w:val="Tabletext"/>
              <w:rPr>
                <w:lang w:eastAsia="en-AU"/>
              </w:rPr>
            </w:pPr>
            <w:r>
              <w:rPr>
                <w:lang w:eastAsia="en-AU"/>
              </w:rPr>
              <w:t>No statistical difference</w:t>
            </w:r>
          </w:p>
        </w:tc>
      </w:tr>
      <w:tr w:rsidR="00633A9D" w14:paraId="7E4EF7A0" w14:textId="1C001BAF" w:rsidTr="00D77393">
        <w:trPr>
          <w:cnfStyle w:val="000000100000" w:firstRow="0" w:lastRow="0" w:firstColumn="0" w:lastColumn="0" w:oddVBand="0" w:evenVBand="0" w:oddHBand="1" w:evenHBand="0" w:firstRowFirstColumn="0" w:firstRowLastColumn="0" w:lastRowFirstColumn="0" w:lastRowLastColumn="0"/>
          <w:trHeight w:val="485"/>
        </w:trPr>
        <w:tc>
          <w:tcPr>
            <w:tcW w:w="1724" w:type="dxa"/>
            <w:vAlign w:val="center"/>
          </w:tcPr>
          <w:p w14:paraId="3B938729" w14:textId="53B4A7E9" w:rsidR="00633A9D" w:rsidRDefault="00633A9D" w:rsidP="00D77393">
            <w:pPr>
              <w:pStyle w:val="Tabletext"/>
              <w:rPr>
                <w:lang w:eastAsia="en-AU"/>
              </w:rPr>
            </w:pPr>
            <w:r>
              <w:rPr>
                <w:lang w:eastAsia="en-AU"/>
              </w:rPr>
              <w:t>Business introduced any new or significantly improved goods/services</w:t>
            </w:r>
          </w:p>
        </w:tc>
        <w:tc>
          <w:tcPr>
            <w:tcW w:w="1723" w:type="dxa"/>
            <w:vAlign w:val="center"/>
          </w:tcPr>
          <w:p w14:paraId="25B5149A" w14:textId="77777777" w:rsidR="00633A9D" w:rsidRDefault="00633A9D" w:rsidP="00D77393">
            <w:pPr>
              <w:pStyle w:val="Tabletext"/>
              <w:rPr>
                <w:lang w:eastAsia="en-AU"/>
              </w:rPr>
            </w:pPr>
            <w:r>
              <w:rPr>
                <w:lang w:eastAsia="en-AU"/>
              </w:rPr>
              <w:t>No statistical difference</w:t>
            </w:r>
          </w:p>
        </w:tc>
        <w:tc>
          <w:tcPr>
            <w:tcW w:w="1723" w:type="dxa"/>
            <w:vAlign w:val="center"/>
          </w:tcPr>
          <w:p w14:paraId="2EE41038" w14:textId="4D8A5F61" w:rsidR="00633A9D" w:rsidRDefault="00633A9D" w:rsidP="00D77393">
            <w:pPr>
              <w:pStyle w:val="Tabletext"/>
              <w:rPr>
                <w:lang w:eastAsia="en-AU"/>
              </w:rPr>
            </w:pPr>
            <w:r>
              <w:rPr>
                <w:lang w:eastAsia="en-AU"/>
              </w:rPr>
              <w:t>M</w:t>
            </w:r>
            <w:r w:rsidRPr="0061717C">
              <w:rPr>
                <w:lang w:eastAsia="en-AU"/>
              </w:rPr>
              <w:t>ore likely to introduced any new or significantly improved goods</w:t>
            </w:r>
          </w:p>
        </w:tc>
        <w:tc>
          <w:tcPr>
            <w:tcW w:w="1723" w:type="dxa"/>
            <w:vAlign w:val="center"/>
          </w:tcPr>
          <w:p w14:paraId="4B32D05B" w14:textId="308AB0FD" w:rsidR="00633A9D" w:rsidRDefault="00633A9D" w:rsidP="00D77393">
            <w:pPr>
              <w:pStyle w:val="Tabletext"/>
              <w:rPr>
                <w:lang w:eastAsia="en-AU"/>
              </w:rPr>
            </w:pPr>
            <w:r>
              <w:rPr>
                <w:lang w:eastAsia="en-AU"/>
              </w:rPr>
              <w:t>No statistical difference</w:t>
            </w:r>
          </w:p>
        </w:tc>
      </w:tr>
      <w:tr w:rsidR="00633A9D" w14:paraId="761CFBE4" w14:textId="0994F6CF" w:rsidTr="00D77393">
        <w:trPr>
          <w:cnfStyle w:val="000000010000" w:firstRow="0" w:lastRow="0" w:firstColumn="0" w:lastColumn="0" w:oddVBand="0" w:evenVBand="0" w:oddHBand="0" w:evenHBand="1" w:firstRowFirstColumn="0" w:firstRowLastColumn="0" w:lastRowFirstColumn="0" w:lastRowLastColumn="0"/>
          <w:trHeight w:val="485"/>
        </w:trPr>
        <w:tc>
          <w:tcPr>
            <w:tcW w:w="1724" w:type="dxa"/>
            <w:vAlign w:val="center"/>
          </w:tcPr>
          <w:p w14:paraId="367EB9AD" w14:textId="638997A0" w:rsidR="00633A9D" w:rsidRDefault="00633A9D" w:rsidP="00D77393">
            <w:pPr>
              <w:pStyle w:val="Tabletext"/>
              <w:rPr>
                <w:lang w:eastAsia="en-AU"/>
              </w:rPr>
            </w:pPr>
            <w:r>
              <w:rPr>
                <w:lang w:eastAsia="en-AU"/>
              </w:rPr>
              <w:t>New to world</w:t>
            </w:r>
          </w:p>
        </w:tc>
        <w:tc>
          <w:tcPr>
            <w:tcW w:w="1723" w:type="dxa"/>
            <w:vAlign w:val="center"/>
          </w:tcPr>
          <w:p w14:paraId="36A5E1C3" w14:textId="77777777" w:rsidR="00633A9D" w:rsidRDefault="00633A9D" w:rsidP="00D77393">
            <w:pPr>
              <w:pStyle w:val="Tabletext"/>
              <w:rPr>
                <w:lang w:eastAsia="en-AU"/>
              </w:rPr>
            </w:pPr>
            <w:r>
              <w:rPr>
                <w:lang w:eastAsia="en-AU"/>
              </w:rPr>
              <w:t>No statistical difference</w:t>
            </w:r>
          </w:p>
        </w:tc>
        <w:tc>
          <w:tcPr>
            <w:tcW w:w="1723" w:type="dxa"/>
            <w:vAlign w:val="center"/>
          </w:tcPr>
          <w:p w14:paraId="14D2CD5C" w14:textId="271F6A7C" w:rsidR="00633A9D" w:rsidRDefault="00633A9D" w:rsidP="00D77393">
            <w:pPr>
              <w:pStyle w:val="Tabletext"/>
              <w:rPr>
                <w:lang w:eastAsia="en-AU"/>
              </w:rPr>
            </w:pPr>
            <w:r>
              <w:rPr>
                <w:lang w:eastAsia="en-AU"/>
              </w:rPr>
              <w:t>No statistical difference</w:t>
            </w:r>
          </w:p>
        </w:tc>
        <w:tc>
          <w:tcPr>
            <w:tcW w:w="1723" w:type="dxa"/>
            <w:vAlign w:val="center"/>
          </w:tcPr>
          <w:p w14:paraId="32CD0D4F" w14:textId="36292552" w:rsidR="00633A9D" w:rsidRDefault="00633A9D" w:rsidP="00D77393">
            <w:pPr>
              <w:pStyle w:val="Tabletext"/>
              <w:rPr>
                <w:lang w:eastAsia="en-AU"/>
              </w:rPr>
            </w:pPr>
            <w:r>
              <w:rPr>
                <w:lang w:eastAsia="en-AU"/>
              </w:rPr>
              <w:t>No statistical difference</w:t>
            </w:r>
          </w:p>
        </w:tc>
      </w:tr>
      <w:tr w:rsidR="00633A9D" w14:paraId="6378BAC5" w14:textId="3E39ABA2" w:rsidTr="00D77393">
        <w:trPr>
          <w:cnfStyle w:val="000000100000" w:firstRow="0" w:lastRow="0" w:firstColumn="0" w:lastColumn="0" w:oddVBand="0" w:evenVBand="0" w:oddHBand="1" w:evenHBand="0" w:firstRowFirstColumn="0" w:firstRowLastColumn="0" w:lastRowFirstColumn="0" w:lastRowLastColumn="0"/>
          <w:trHeight w:val="485"/>
        </w:trPr>
        <w:tc>
          <w:tcPr>
            <w:tcW w:w="1724" w:type="dxa"/>
            <w:vAlign w:val="center"/>
          </w:tcPr>
          <w:p w14:paraId="50F83FE1" w14:textId="6B97B5DF" w:rsidR="00633A9D" w:rsidRDefault="00633A9D" w:rsidP="00D77393">
            <w:pPr>
              <w:pStyle w:val="Tabletext"/>
              <w:rPr>
                <w:lang w:eastAsia="en-AU"/>
              </w:rPr>
            </w:pPr>
            <w:r>
              <w:rPr>
                <w:lang w:eastAsia="en-AU"/>
              </w:rPr>
              <w:t xml:space="preserve">New to Australia </w:t>
            </w:r>
          </w:p>
        </w:tc>
        <w:tc>
          <w:tcPr>
            <w:tcW w:w="1723" w:type="dxa"/>
            <w:vAlign w:val="center"/>
          </w:tcPr>
          <w:p w14:paraId="5EB783DC" w14:textId="77777777" w:rsidR="00633A9D" w:rsidRDefault="00633A9D" w:rsidP="00D77393">
            <w:pPr>
              <w:pStyle w:val="Tabletext"/>
              <w:rPr>
                <w:lang w:eastAsia="en-AU"/>
              </w:rPr>
            </w:pPr>
            <w:r>
              <w:rPr>
                <w:lang w:eastAsia="en-AU"/>
              </w:rPr>
              <w:t>No statistical difference</w:t>
            </w:r>
          </w:p>
        </w:tc>
        <w:tc>
          <w:tcPr>
            <w:tcW w:w="1723" w:type="dxa"/>
            <w:vAlign w:val="center"/>
          </w:tcPr>
          <w:p w14:paraId="414A890E" w14:textId="0F24DD2B" w:rsidR="00633A9D" w:rsidRDefault="00633A9D" w:rsidP="00D77393">
            <w:pPr>
              <w:pStyle w:val="Tabletext"/>
              <w:rPr>
                <w:lang w:eastAsia="en-AU"/>
              </w:rPr>
            </w:pPr>
            <w:r>
              <w:rPr>
                <w:lang w:eastAsia="en-AU"/>
              </w:rPr>
              <w:t>No statistical difference</w:t>
            </w:r>
          </w:p>
        </w:tc>
        <w:tc>
          <w:tcPr>
            <w:tcW w:w="1723" w:type="dxa"/>
            <w:vAlign w:val="center"/>
          </w:tcPr>
          <w:p w14:paraId="457A43D0" w14:textId="7660688C" w:rsidR="00633A9D" w:rsidRDefault="00633A9D" w:rsidP="00D77393">
            <w:pPr>
              <w:pStyle w:val="Tabletext"/>
              <w:rPr>
                <w:lang w:eastAsia="en-AU"/>
              </w:rPr>
            </w:pPr>
            <w:r>
              <w:rPr>
                <w:lang w:eastAsia="en-AU"/>
              </w:rPr>
              <w:t>No statistical difference</w:t>
            </w:r>
          </w:p>
        </w:tc>
      </w:tr>
      <w:tr w:rsidR="00633A9D" w14:paraId="0FE2CA36" w14:textId="339AFD36" w:rsidTr="00D77393">
        <w:trPr>
          <w:cnfStyle w:val="000000010000" w:firstRow="0" w:lastRow="0" w:firstColumn="0" w:lastColumn="0" w:oddVBand="0" w:evenVBand="0" w:oddHBand="0" w:evenHBand="1" w:firstRowFirstColumn="0" w:firstRowLastColumn="0" w:lastRowFirstColumn="0" w:lastRowLastColumn="0"/>
          <w:trHeight w:val="485"/>
        </w:trPr>
        <w:tc>
          <w:tcPr>
            <w:tcW w:w="1724" w:type="dxa"/>
            <w:vAlign w:val="center"/>
          </w:tcPr>
          <w:p w14:paraId="29A20BDB" w14:textId="7ED2C1C4" w:rsidR="00633A9D" w:rsidRDefault="00633A9D" w:rsidP="00D77393">
            <w:pPr>
              <w:pStyle w:val="Tabletext"/>
              <w:rPr>
                <w:lang w:eastAsia="en-AU"/>
              </w:rPr>
            </w:pPr>
            <w:r>
              <w:rPr>
                <w:lang w:eastAsia="en-AU"/>
              </w:rPr>
              <w:t>IT use in production/service operations</w:t>
            </w:r>
          </w:p>
        </w:tc>
        <w:tc>
          <w:tcPr>
            <w:tcW w:w="1723" w:type="dxa"/>
            <w:vAlign w:val="center"/>
          </w:tcPr>
          <w:p w14:paraId="48ADA6CD" w14:textId="77777777" w:rsidR="00633A9D" w:rsidRDefault="00633A9D" w:rsidP="00D77393">
            <w:pPr>
              <w:pStyle w:val="Tabletext"/>
              <w:rPr>
                <w:lang w:eastAsia="en-AU"/>
              </w:rPr>
            </w:pPr>
            <w:r>
              <w:rPr>
                <w:lang w:eastAsia="en-AU"/>
              </w:rPr>
              <w:t>No statistical difference</w:t>
            </w:r>
          </w:p>
        </w:tc>
        <w:tc>
          <w:tcPr>
            <w:tcW w:w="1723" w:type="dxa"/>
            <w:vAlign w:val="center"/>
          </w:tcPr>
          <w:p w14:paraId="48E4E2EF" w14:textId="44F973E6" w:rsidR="00633A9D" w:rsidRDefault="00633A9D" w:rsidP="00D77393">
            <w:pPr>
              <w:pStyle w:val="Tabletext"/>
              <w:rPr>
                <w:lang w:eastAsia="en-AU"/>
              </w:rPr>
            </w:pPr>
            <w:r>
              <w:rPr>
                <w:lang w:eastAsia="en-AU"/>
              </w:rPr>
              <w:t>No statistical difference</w:t>
            </w:r>
          </w:p>
        </w:tc>
        <w:tc>
          <w:tcPr>
            <w:tcW w:w="1723" w:type="dxa"/>
            <w:vAlign w:val="center"/>
          </w:tcPr>
          <w:p w14:paraId="5BF0CA7F" w14:textId="6A3E9B25" w:rsidR="00633A9D" w:rsidRDefault="00633A9D" w:rsidP="00D77393">
            <w:pPr>
              <w:pStyle w:val="Tabletext"/>
              <w:rPr>
                <w:lang w:eastAsia="en-AU"/>
              </w:rPr>
            </w:pPr>
            <w:r>
              <w:rPr>
                <w:lang w:eastAsia="en-AU"/>
              </w:rPr>
              <w:t>No statistical difference</w:t>
            </w:r>
          </w:p>
        </w:tc>
      </w:tr>
      <w:tr w:rsidR="00633A9D" w14:paraId="1A5584CC" w14:textId="187D2CB3" w:rsidTr="00D77393">
        <w:trPr>
          <w:cnfStyle w:val="000000100000" w:firstRow="0" w:lastRow="0" w:firstColumn="0" w:lastColumn="0" w:oddVBand="0" w:evenVBand="0" w:oddHBand="1" w:evenHBand="0" w:firstRowFirstColumn="0" w:firstRowLastColumn="0" w:lastRowFirstColumn="0" w:lastRowLastColumn="0"/>
          <w:trHeight w:val="485"/>
        </w:trPr>
        <w:tc>
          <w:tcPr>
            <w:tcW w:w="1724" w:type="dxa"/>
            <w:vAlign w:val="center"/>
          </w:tcPr>
          <w:p w14:paraId="0A7435DD" w14:textId="7D3B627F" w:rsidR="00633A9D" w:rsidRDefault="00633A9D" w:rsidP="00D77393">
            <w:pPr>
              <w:pStyle w:val="Tabletext"/>
              <w:rPr>
                <w:lang w:eastAsia="en-AU"/>
              </w:rPr>
            </w:pPr>
            <w:r>
              <w:rPr>
                <w:lang w:eastAsia="en-AU"/>
              </w:rPr>
              <w:t>IT use in Marketing</w:t>
            </w:r>
          </w:p>
        </w:tc>
        <w:tc>
          <w:tcPr>
            <w:tcW w:w="1723" w:type="dxa"/>
            <w:vAlign w:val="center"/>
          </w:tcPr>
          <w:p w14:paraId="27431443" w14:textId="77777777" w:rsidR="00633A9D" w:rsidRDefault="00633A9D" w:rsidP="00D77393">
            <w:pPr>
              <w:pStyle w:val="Tabletext"/>
              <w:rPr>
                <w:lang w:eastAsia="en-AU"/>
              </w:rPr>
            </w:pPr>
            <w:r>
              <w:rPr>
                <w:lang w:eastAsia="en-AU"/>
              </w:rPr>
              <w:t>No statistical difference</w:t>
            </w:r>
          </w:p>
        </w:tc>
        <w:tc>
          <w:tcPr>
            <w:tcW w:w="1723" w:type="dxa"/>
            <w:vAlign w:val="center"/>
          </w:tcPr>
          <w:p w14:paraId="536D11ED" w14:textId="0397574F" w:rsidR="00633A9D" w:rsidRDefault="00633A9D" w:rsidP="00D77393">
            <w:pPr>
              <w:pStyle w:val="Tabletext"/>
              <w:rPr>
                <w:lang w:eastAsia="en-AU"/>
              </w:rPr>
            </w:pPr>
            <w:r>
              <w:rPr>
                <w:lang w:eastAsia="en-AU"/>
              </w:rPr>
              <w:t>No statistical difference</w:t>
            </w:r>
          </w:p>
        </w:tc>
        <w:tc>
          <w:tcPr>
            <w:tcW w:w="1723" w:type="dxa"/>
            <w:vAlign w:val="center"/>
          </w:tcPr>
          <w:p w14:paraId="152889A0" w14:textId="532CEAE0" w:rsidR="00633A9D" w:rsidRDefault="00633A9D" w:rsidP="00D77393">
            <w:pPr>
              <w:pStyle w:val="Tabletext"/>
              <w:rPr>
                <w:lang w:eastAsia="en-AU"/>
              </w:rPr>
            </w:pPr>
            <w:r>
              <w:rPr>
                <w:lang w:eastAsia="en-AU"/>
              </w:rPr>
              <w:t>No statistical difference</w:t>
            </w:r>
          </w:p>
        </w:tc>
      </w:tr>
      <w:tr w:rsidR="00633A9D" w14:paraId="5AFE7CE3" w14:textId="77777777" w:rsidTr="00D77393">
        <w:trPr>
          <w:cnfStyle w:val="000000010000" w:firstRow="0" w:lastRow="0" w:firstColumn="0" w:lastColumn="0" w:oddVBand="0" w:evenVBand="0" w:oddHBand="0" w:evenHBand="1" w:firstRowFirstColumn="0" w:firstRowLastColumn="0" w:lastRowFirstColumn="0" w:lastRowLastColumn="0"/>
          <w:trHeight w:val="485"/>
        </w:trPr>
        <w:tc>
          <w:tcPr>
            <w:tcW w:w="1724" w:type="dxa"/>
            <w:vAlign w:val="center"/>
          </w:tcPr>
          <w:p w14:paraId="6701DECD" w14:textId="1DBC12E0" w:rsidR="00633A9D" w:rsidRDefault="00633A9D" w:rsidP="00D77393">
            <w:pPr>
              <w:pStyle w:val="Tabletext"/>
              <w:rPr>
                <w:lang w:eastAsia="en-AU"/>
              </w:rPr>
            </w:pPr>
            <w:r>
              <w:rPr>
                <w:lang w:eastAsia="en-AU"/>
              </w:rPr>
              <w:t xml:space="preserve">Web presence </w:t>
            </w:r>
          </w:p>
        </w:tc>
        <w:tc>
          <w:tcPr>
            <w:tcW w:w="1723" w:type="dxa"/>
            <w:vAlign w:val="center"/>
          </w:tcPr>
          <w:p w14:paraId="4DCD4114" w14:textId="66716057" w:rsidR="00633A9D" w:rsidRDefault="00633A9D" w:rsidP="00D77393">
            <w:pPr>
              <w:pStyle w:val="Tabletext"/>
              <w:rPr>
                <w:lang w:eastAsia="en-AU"/>
              </w:rPr>
            </w:pPr>
            <w:r>
              <w:rPr>
                <w:lang w:eastAsia="en-AU"/>
              </w:rPr>
              <w:t>No statistical difference</w:t>
            </w:r>
          </w:p>
        </w:tc>
        <w:tc>
          <w:tcPr>
            <w:tcW w:w="1723" w:type="dxa"/>
            <w:vAlign w:val="center"/>
          </w:tcPr>
          <w:p w14:paraId="5646779A" w14:textId="1CB5F042" w:rsidR="00633A9D" w:rsidRDefault="00633A9D" w:rsidP="00D77393">
            <w:pPr>
              <w:pStyle w:val="Tabletext"/>
              <w:rPr>
                <w:lang w:eastAsia="en-AU"/>
              </w:rPr>
            </w:pPr>
            <w:r>
              <w:rPr>
                <w:lang w:eastAsia="en-AU"/>
              </w:rPr>
              <w:t>No statistical difference</w:t>
            </w:r>
          </w:p>
        </w:tc>
        <w:tc>
          <w:tcPr>
            <w:tcW w:w="1723" w:type="dxa"/>
            <w:vAlign w:val="center"/>
          </w:tcPr>
          <w:p w14:paraId="686738E4" w14:textId="66170F8A" w:rsidR="00633A9D" w:rsidRDefault="00633A9D" w:rsidP="00D77393">
            <w:pPr>
              <w:pStyle w:val="Tabletext"/>
              <w:rPr>
                <w:lang w:eastAsia="en-AU"/>
              </w:rPr>
            </w:pPr>
            <w:r>
              <w:rPr>
                <w:lang w:eastAsia="en-AU"/>
              </w:rPr>
              <w:t>No statistical difference</w:t>
            </w:r>
          </w:p>
        </w:tc>
      </w:tr>
      <w:tr w:rsidR="00633A9D" w14:paraId="46C1354A" w14:textId="77777777" w:rsidTr="00D77393">
        <w:trPr>
          <w:cnfStyle w:val="000000100000" w:firstRow="0" w:lastRow="0" w:firstColumn="0" w:lastColumn="0" w:oddVBand="0" w:evenVBand="0" w:oddHBand="1" w:evenHBand="0" w:firstRowFirstColumn="0" w:firstRowLastColumn="0" w:lastRowFirstColumn="0" w:lastRowLastColumn="0"/>
          <w:trHeight w:val="485"/>
        </w:trPr>
        <w:tc>
          <w:tcPr>
            <w:tcW w:w="1724" w:type="dxa"/>
            <w:vAlign w:val="center"/>
          </w:tcPr>
          <w:p w14:paraId="22DBD8BD" w14:textId="2692BADA" w:rsidR="00633A9D" w:rsidRDefault="00633A9D" w:rsidP="00D77393">
            <w:pPr>
              <w:pStyle w:val="Tabletext"/>
              <w:rPr>
                <w:lang w:eastAsia="en-AU"/>
              </w:rPr>
            </w:pPr>
            <w:r>
              <w:rPr>
                <w:lang w:eastAsia="en-AU"/>
              </w:rPr>
              <w:t xml:space="preserve">Social media presence </w:t>
            </w:r>
          </w:p>
        </w:tc>
        <w:tc>
          <w:tcPr>
            <w:tcW w:w="1723" w:type="dxa"/>
            <w:vAlign w:val="center"/>
          </w:tcPr>
          <w:p w14:paraId="671693F0" w14:textId="31AA7D41" w:rsidR="00633A9D" w:rsidRDefault="00633A9D" w:rsidP="00D77393">
            <w:pPr>
              <w:pStyle w:val="Tabletext"/>
              <w:rPr>
                <w:lang w:eastAsia="en-AU"/>
              </w:rPr>
            </w:pPr>
            <w:r>
              <w:rPr>
                <w:lang w:eastAsia="en-AU"/>
              </w:rPr>
              <w:t>No statistical difference</w:t>
            </w:r>
          </w:p>
        </w:tc>
        <w:tc>
          <w:tcPr>
            <w:tcW w:w="1723" w:type="dxa"/>
            <w:vAlign w:val="center"/>
          </w:tcPr>
          <w:p w14:paraId="683650C0" w14:textId="4E32A5E7" w:rsidR="00633A9D" w:rsidRDefault="00633A9D" w:rsidP="00D77393">
            <w:pPr>
              <w:pStyle w:val="Tabletext"/>
              <w:rPr>
                <w:lang w:eastAsia="en-AU"/>
              </w:rPr>
            </w:pPr>
            <w:r>
              <w:rPr>
                <w:lang w:eastAsia="en-AU"/>
              </w:rPr>
              <w:t>No statistical difference</w:t>
            </w:r>
          </w:p>
        </w:tc>
        <w:tc>
          <w:tcPr>
            <w:tcW w:w="1723" w:type="dxa"/>
            <w:vAlign w:val="center"/>
          </w:tcPr>
          <w:p w14:paraId="06C4CB8B" w14:textId="40AC219F" w:rsidR="00633A9D" w:rsidRDefault="00633A9D" w:rsidP="00D77393">
            <w:pPr>
              <w:pStyle w:val="Tabletext"/>
              <w:rPr>
                <w:lang w:eastAsia="en-AU"/>
              </w:rPr>
            </w:pPr>
            <w:r>
              <w:rPr>
                <w:lang w:eastAsia="en-AU"/>
              </w:rPr>
              <w:t>No statistical difference</w:t>
            </w:r>
          </w:p>
        </w:tc>
      </w:tr>
      <w:tr w:rsidR="00633A9D" w14:paraId="0750583F" w14:textId="77777777" w:rsidTr="00D77393">
        <w:trPr>
          <w:cnfStyle w:val="000000010000" w:firstRow="0" w:lastRow="0" w:firstColumn="0" w:lastColumn="0" w:oddVBand="0" w:evenVBand="0" w:oddHBand="0" w:evenHBand="1" w:firstRowFirstColumn="0" w:firstRowLastColumn="0" w:lastRowFirstColumn="0" w:lastRowLastColumn="0"/>
          <w:trHeight w:val="485"/>
        </w:trPr>
        <w:tc>
          <w:tcPr>
            <w:tcW w:w="1724" w:type="dxa"/>
            <w:vAlign w:val="center"/>
          </w:tcPr>
          <w:p w14:paraId="7E5F447F" w14:textId="0D4C3C25" w:rsidR="00633A9D" w:rsidRDefault="00633A9D" w:rsidP="00D77393">
            <w:pPr>
              <w:pStyle w:val="Tabletext"/>
              <w:rPr>
                <w:lang w:eastAsia="en-AU"/>
              </w:rPr>
            </w:pPr>
            <w:r>
              <w:rPr>
                <w:lang w:eastAsia="en-AU"/>
              </w:rPr>
              <w:t>Counts</w:t>
            </w:r>
          </w:p>
        </w:tc>
        <w:tc>
          <w:tcPr>
            <w:tcW w:w="1723" w:type="dxa"/>
            <w:vAlign w:val="center"/>
          </w:tcPr>
          <w:p w14:paraId="27D3A975" w14:textId="4185FA66" w:rsidR="00633A9D" w:rsidRDefault="00633A9D" w:rsidP="00D77393">
            <w:pPr>
              <w:pStyle w:val="Tabletext"/>
              <w:rPr>
                <w:lang w:eastAsia="en-AU"/>
              </w:rPr>
            </w:pPr>
            <w:r>
              <w:rPr>
                <w:lang w:eastAsia="en-AU"/>
              </w:rPr>
              <w:t>444</w:t>
            </w:r>
          </w:p>
        </w:tc>
        <w:tc>
          <w:tcPr>
            <w:tcW w:w="1723" w:type="dxa"/>
            <w:vAlign w:val="center"/>
          </w:tcPr>
          <w:p w14:paraId="7E18C7F0" w14:textId="4BE3FEA2" w:rsidR="00633A9D" w:rsidRDefault="00633A9D" w:rsidP="00D77393">
            <w:pPr>
              <w:pStyle w:val="Tabletext"/>
              <w:rPr>
                <w:lang w:eastAsia="en-AU"/>
              </w:rPr>
            </w:pPr>
            <w:r>
              <w:rPr>
                <w:lang w:eastAsia="en-AU"/>
              </w:rPr>
              <w:t>281</w:t>
            </w:r>
          </w:p>
        </w:tc>
        <w:tc>
          <w:tcPr>
            <w:tcW w:w="1723" w:type="dxa"/>
            <w:vAlign w:val="center"/>
          </w:tcPr>
          <w:p w14:paraId="17BB4B9C" w14:textId="02B24D4D" w:rsidR="00633A9D" w:rsidRDefault="00633A9D" w:rsidP="00D77393">
            <w:pPr>
              <w:pStyle w:val="Tabletext"/>
              <w:rPr>
                <w:lang w:eastAsia="en-AU"/>
              </w:rPr>
            </w:pPr>
            <w:r>
              <w:rPr>
                <w:lang w:eastAsia="en-AU"/>
              </w:rPr>
              <w:t>59</w:t>
            </w:r>
          </w:p>
        </w:tc>
      </w:tr>
    </w:tbl>
    <w:p w14:paraId="1FF41CD9" w14:textId="55A6DE4F" w:rsidR="000D6C5A" w:rsidRDefault="000D6C5A" w:rsidP="000D6C5A">
      <w:pPr>
        <w:pStyle w:val="Note"/>
        <w:rPr>
          <w:lang w:eastAsia="en-AU"/>
        </w:rPr>
      </w:pPr>
      <w:r>
        <w:rPr>
          <w:lang w:eastAsia="en-AU"/>
        </w:rPr>
        <w:t xml:space="preserve">Notes: ªStock of small </w:t>
      </w:r>
      <w:r>
        <w:t xml:space="preserve">born global firms from 2005-06 to 2015–16 </w:t>
      </w:r>
      <w:r w:rsidR="00F55C25">
        <w:t>ᵇ</w:t>
      </w:r>
      <w:r w:rsidR="00F55C25">
        <w:rPr>
          <w:lang w:eastAsia="en-AU"/>
        </w:rPr>
        <w:t>Stock of small exporters from 2005-06 to 2015–16</w:t>
      </w:r>
      <w:r>
        <w:rPr>
          <w:lang w:eastAsia="en-AU"/>
        </w:rPr>
        <w:t xml:space="preserve">. </w:t>
      </w:r>
      <w:r w:rsidRPr="004757E9">
        <w:t>Restricted to four major industries: Manufacturing, Wholesale Trade, Retail Trade &amp; Professional, Scientific and Technical Services.</w:t>
      </w:r>
      <w:r>
        <w:t xml:space="preserve"> </w:t>
      </w:r>
      <w:r>
        <w:rPr>
          <w:lang w:eastAsia="en-AU"/>
        </w:rPr>
        <w:t>ᶜWeaker finding (statistically significant at 10%)</w:t>
      </w:r>
    </w:p>
    <w:p w14:paraId="73038426" w14:textId="77777777" w:rsidR="000D6C5A" w:rsidRDefault="000D6C5A" w:rsidP="000D6C5A">
      <w:pPr>
        <w:pStyle w:val="Source"/>
        <w:rPr>
          <w:lang w:eastAsia="en-AU"/>
        </w:rPr>
      </w:pPr>
      <w:r>
        <w:rPr>
          <w:lang w:eastAsia="en-AU"/>
        </w:rPr>
        <w:t>Source: BLADE (2019); BCS (2019)</w:t>
      </w:r>
    </w:p>
    <w:p w14:paraId="6889A417" w14:textId="77777777" w:rsidR="00D34BFA" w:rsidRDefault="00D34BFA" w:rsidP="00D34BFA">
      <w:pPr>
        <w:pStyle w:val="Caption"/>
        <w:pBdr>
          <w:top w:val="single" w:sz="2" w:space="0" w:color="595A5B"/>
        </w:pBdr>
      </w:pPr>
      <w:r>
        <w:lastRenderedPageBreak/>
        <w:t xml:space="preserve">Table C.2: Management Capability Module results, by born global definition </w:t>
      </w:r>
    </w:p>
    <w:tbl>
      <w:tblPr>
        <w:tblStyle w:val="OCETable"/>
        <w:tblW w:w="5017" w:type="pct"/>
        <w:tblInd w:w="57" w:type="dxa"/>
        <w:tblLayout w:type="fixed"/>
        <w:tblLook w:val="04A0" w:firstRow="1" w:lastRow="0" w:firstColumn="1" w:lastColumn="0" w:noHBand="0" w:noVBand="1"/>
        <w:tblCaption w:val="Management Capability Module results, by born global definition "/>
        <w:tblDescription w:val="See Table 2.6 - this table is the same but now by born global definition. "/>
      </w:tblPr>
      <w:tblGrid>
        <w:gridCol w:w="1730"/>
        <w:gridCol w:w="1729"/>
        <w:gridCol w:w="1729"/>
        <w:gridCol w:w="1729"/>
      </w:tblGrid>
      <w:tr w:rsidR="00D34148" w14:paraId="4707F806" w14:textId="593FF234" w:rsidTr="00D77393">
        <w:trPr>
          <w:cnfStyle w:val="100000000000" w:firstRow="1" w:lastRow="0" w:firstColumn="0" w:lastColumn="0" w:oddVBand="0" w:evenVBand="0" w:oddHBand="0" w:evenHBand="0" w:firstRowFirstColumn="0" w:firstRowLastColumn="0" w:lastRowFirstColumn="0" w:lastRowLastColumn="0"/>
          <w:trHeight w:val="597"/>
          <w:tblHeader/>
        </w:trPr>
        <w:tc>
          <w:tcPr>
            <w:tcW w:w="1730" w:type="dxa"/>
            <w:vAlign w:val="center"/>
          </w:tcPr>
          <w:p w14:paraId="036901FE" w14:textId="77777777" w:rsidR="00D34148" w:rsidRDefault="00D34148" w:rsidP="00D77393">
            <w:pPr>
              <w:pStyle w:val="Tableheader"/>
              <w:rPr>
                <w:lang w:eastAsia="en-AU"/>
              </w:rPr>
            </w:pPr>
            <w:r>
              <w:rPr>
                <w:lang w:eastAsia="en-AU"/>
              </w:rPr>
              <w:t xml:space="preserve">Characteristic type </w:t>
            </w:r>
          </w:p>
        </w:tc>
        <w:tc>
          <w:tcPr>
            <w:tcW w:w="1729" w:type="dxa"/>
            <w:vAlign w:val="center"/>
          </w:tcPr>
          <w:p w14:paraId="6E7E1582" w14:textId="23FAE90C" w:rsidR="00D34148" w:rsidRDefault="00D34148" w:rsidP="00D77393">
            <w:pPr>
              <w:pStyle w:val="Tableheader"/>
              <w:rPr>
                <w:lang w:eastAsia="en-AU"/>
              </w:rPr>
            </w:pPr>
            <w:r w:rsidRPr="0075148E">
              <w:t xml:space="preserve">1 yearª  </w:t>
            </w:r>
          </w:p>
        </w:tc>
        <w:tc>
          <w:tcPr>
            <w:tcW w:w="1729" w:type="dxa"/>
            <w:vAlign w:val="center"/>
          </w:tcPr>
          <w:p w14:paraId="760C0AD1" w14:textId="6F058CBC" w:rsidR="00D34148" w:rsidRDefault="00D34148" w:rsidP="00D77393">
            <w:pPr>
              <w:pStyle w:val="Tableheader"/>
              <w:rPr>
                <w:lang w:eastAsia="en-AU"/>
              </w:rPr>
            </w:pPr>
            <w:r w:rsidRPr="0075148E">
              <w:t xml:space="preserve">3 year, 25%ᵇ   </w:t>
            </w:r>
          </w:p>
        </w:tc>
        <w:tc>
          <w:tcPr>
            <w:tcW w:w="1729" w:type="dxa"/>
            <w:vAlign w:val="center"/>
          </w:tcPr>
          <w:p w14:paraId="053B9660" w14:textId="42F4F6D1" w:rsidR="00D34148" w:rsidRDefault="00D34148" w:rsidP="00D77393">
            <w:pPr>
              <w:pStyle w:val="Tableheader"/>
              <w:rPr>
                <w:lang w:eastAsia="en-AU"/>
              </w:rPr>
            </w:pPr>
            <w:r w:rsidRPr="0075148E">
              <w:t>3 year, 100%</w:t>
            </w:r>
          </w:p>
        </w:tc>
      </w:tr>
      <w:tr w:rsidR="00BA6B4D" w14:paraId="59A3F407" w14:textId="306211F0" w:rsidTr="00D77393">
        <w:trPr>
          <w:cnfStyle w:val="000000100000" w:firstRow="0" w:lastRow="0" w:firstColumn="0" w:lastColumn="0" w:oddVBand="0" w:evenVBand="0" w:oddHBand="1" w:evenHBand="0" w:firstRowFirstColumn="0" w:firstRowLastColumn="0" w:lastRowFirstColumn="0" w:lastRowLastColumn="0"/>
          <w:trHeight w:val="298"/>
        </w:trPr>
        <w:tc>
          <w:tcPr>
            <w:tcW w:w="1730" w:type="dxa"/>
            <w:vAlign w:val="center"/>
          </w:tcPr>
          <w:p w14:paraId="17C2E103" w14:textId="77777777" w:rsidR="00BA6B4D" w:rsidRDefault="00BA6B4D" w:rsidP="00D77393">
            <w:pPr>
              <w:pStyle w:val="Tabletext"/>
              <w:rPr>
                <w:lang w:eastAsia="en-AU"/>
              </w:rPr>
            </w:pPr>
            <w:r>
              <w:rPr>
                <w:lang w:eastAsia="en-AU"/>
              </w:rPr>
              <w:t>New or improved m</w:t>
            </w:r>
            <w:r w:rsidRPr="00804FDA">
              <w:rPr>
                <w:lang w:eastAsia="en-AU"/>
              </w:rPr>
              <w:t>arketing</w:t>
            </w:r>
            <w:r>
              <w:rPr>
                <w:lang w:eastAsia="en-AU"/>
              </w:rPr>
              <w:t xml:space="preserve"> methods</w:t>
            </w:r>
          </w:p>
        </w:tc>
        <w:tc>
          <w:tcPr>
            <w:tcW w:w="1729" w:type="dxa"/>
            <w:vAlign w:val="center"/>
          </w:tcPr>
          <w:p w14:paraId="2A3EF9F9" w14:textId="77777777" w:rsidR="00BA6B4D" w:rsidRDefault="00BA6B4D" w:rsidP="00D77393">
            <w:pPr>
              <w:pStyle w:val="Tabletext"/>
              <w:rPr>
                <w:lang w:eastAsia="en-AU"/>
              </w:rPr>
            </w:pPr>
            <w:r>
              <w:rPr>
                <w:lang w:eastAsia="en-AU"/>
              </w:rPr>
              <w:t>Less likely</w:t>
            </w:r>
          </w:p>
        </w:tc>
        <w:tc>
          <w:tcPr>
            <w:tcW w:w="1729" w:type="dxa"/>
            <w:vAlign w:val="center"/>
          </w:tcPr>
          <w:p w14:paraId="4D087CAE" w14:textId="16B54544" w:rsidR="00BA6B4D" w:rsidRDefault="00BA6B4D" w:rsidP="00D77393">
            <w:pPr>
              <w:pStyle w:val="Tabletext"/>
              <w:rPr>
                <w:lang w:eastAsia="en-AU"/>
              </w:rPr>
            </w:pPr>
            <w:r>
              <w:rPr>
                <w:lang w:eastAsia="en-AU"/>
              </w:rPr>
              <w:t>Less likely</w:t>
            </w:r>
          </w:p>
        </w:tc>
        <w:tc>
          <w:tcPr>
            <w:tcW w:w="1729" w:type="dxa"/>
            <w:vAlign w:val="center"/>
          </w:tcPr>
          <w:p w14:paraId="3D56E227" w14:textId="0D48E61F" w:rsidR="00BA6B4D" w:rsidRDefault="009A6716" w:rsidP="00D77393">
            <w:pPr>
              <w:pStyle w:val="Tabletext"/>
              <w:rPr>
                <w:lang w:eastAsia="en-AU"/>
              </w:rPr>
            </w:pPr>
            <w:r>
              <w:rPr>
                <w:lang w:eastAsia="en-AU"/>
              </w:rPr>
              <w:t>Less likely</w:t>
            </w:r>
          </w:p>
        </w:tc>
      </w:tr>
      <w:tr w:rsidR="00BA6B4D" w14:paraId="6C6E9697" w14:textId="68361E4E" w:rsidTr="00D77393">
        <w:trPr>
          <w:cnfStyle w:val="000000010000" w:firstRow="0" w:lastRow="0" w:firstColumn="0" w:lastColumn="0" w:oddVBand="0" w:evenVBand="0" w:oddHBand="0" w:evenHBand="1" w:firstRowFirstColumn="0" w:firstRowLastColumn="0" w:lastRowFirstColumn="0" w:lastRowLastColumn="0"/>
          <w:trHeight w:val="298"/>
        </w:trPr>
        <w:tc>
          <w:tcPr>
            <w:tcW w:w="1730" w:type="dxa"/>
            <w:vAlign w:val="center"/>
          </w:tcPr>
          <w:p w14:paraId="01D5A210" w14:textId="77777777" w:rsidR="00BA6B4D" w:rsidRDefault="00BA6B4D" w:rsidP="00D77393">
            <w:pPr>
              <w:pStyle w:val="Tabletext"/>
              <w:rPr>
                <w:lang w:eastAsia="en-AU"/>
              </w:rPr>
            </w:pPr>
            <w:r>
              <w:rPr>
                <w:lang w:eastAsia="en-AU"/>
              </w:rPr>
              <w:t xml:space="preserve">Strategy </w:t>
            </w:r>
          </w:p>
        </w:tc>
        <w:tc>
          <w:tcPr>
            <w:tcW w:w="1729" w:type="dxa"/>
            <w:vAlign w:val="center"/>
          </w:tcPr>
          <w:p w14:paraId="7BB6FA67" w14:textId="77777777" w:rsidR="00BA6B4D" w:rsidRDefault="00BA6B4D" w:rsidP="00D77393">
            <w:pPr>
              <w:pStyle w:val="Tabletext"/>
              <w:rPr>
                <w:lang w:eastAsia="en-AU"/>
              </w:rPr>
            </w:pPr>
            <w:r w:rsidRPr="00E8040F">
              <w:rPr>
                <w:lang w:eastAsia="en-AU"/>
              </w:rPr>
              <w:t>Marketing, advertising and promotion</w:t>
            </w:r>
            <w:r>
              <w:rPr>
                <w:lang w:eastAsia="en-AU"/>
              </w:rPr>
              <w:t>,</w:t>
            </w:r>
            <w:r w:rsidRPr="00E8040F">
              <w:rPr>
                <w:lang w:eastAsia="en-AU"/>
              </w:rPr>
              <w:t xml:space="preserve"> innovation </w:t>
            </w:r>
            <w:r>
              <w:rPr>
                <w:lang w:eastAsia="en-AU"/>
              </w:rPr>
              <w:t>and ICT less</w:t>
            </w:r>
            <w:r w:rsidRPr="00E8040F">
              <w:rPr>
                <w:lang w:eastAsia="en-AU"/>
              </w:rPr>
              <w:t xml:space="preserve"> likely to be covered</w:t>
            </w:r>
          </w:p>
        </w:tc>
        <w:tc>
          <w:tcPr>
            <w:tcW w:w="1729" w:type="dxa"/>
            <w:vAlign w:val="center"/>
          </w:tcPr>
          <w:p w14:paraId="35B14346" w14:textId="1F58CB08" w:rsidR="00BA6B4D" w:rsidRDefault="00BA6B4D" w:rsidP="00D77393">
            <w:pPr>
              <w:pStyle w:val="Tabletext"/>
              <w:rPr>
                <w:lang w:eastAsia="en-AU"/>
              </w:rPr>
            </w:pPr>
            <w:r w:rsidRPr="00E8040F">
              <w:rPr>
                <w:lang w:eastAsia="en-AU"/>
              </w:rPr>
              <w:t>Marketing, advertising and promotion</w:t>
            </w:r>
            <w:r>
              <w:rPr>
                <w:lang w:eastAsia="en-AU"/>
              </w:rPr>
              <w:t>,</w:t>
            </w:r>
            <w:r w:rsidRPr="00E8040F">
              <w:rPr>
                <w:lang w:eastAsia="en-AU"/>
              </w:rPr>
              <w:t xml:space="preserve"> innovation </w:t>
            </w:r>
            <w:r>
              <w:rPr>
                <w:lang w:eastAsia="en-AU"/>
              </w:rPr>
              <w:t>and ICT less</w:t>
            </w:r>
            <w:r w:rsidRPr="00E8040F">
              <w:rPr>
                <w:lang w:eastAsia="en-AU"/>
              </w:rPr>
              <w:t xml:space="preserve"> likely to be covered</w:t>
            </w:r>
          </w:p>
        </w:tc>
        <w:tc>
          <w:tcPr>
            <w:tcW w:w="1729" w:type="dxa"/>
            <w:vAlign w:val="center"/>
          </w:tcPr>
          <w:p w14:paraId="7F358E25" w14:textId="2E7A4CA9" w:rsidR="00BA6B4D" w:rsidRDefault="00DD6DD4" w:rsidP="00D77393">
            <w:pPr>
              <w:pStyle w:val="Tabletext"/>
              <w:rPr>
                <w:lang w:eastAsia="en-AU"/>
              </w:rPr>
            </w:pPr>
            <w:r>
              <w:rPr>
                <w:lang w:eastAsia="en-AU"/>
              </w:rPr>
              <w:t>I</w:t>
            </w:r>
            <w:r w:rsidRPr="00E8040F">
              <w:rPr>
                <w:lang w:eastAsia="en-AU"/>
              </w:rPr>
              <w:t xml:space="preserve">nnovation </w:t>
            </w:r>
            <w:r>
              <w:rPr>
                <w:lang w:eastAsia="en-AU"/>
              </w:rPr>
              <w:t>less</w:t>
            </w:r>
            <w:r w:rsidRPr="00E8040F">
              <w:rPr>
                <w:lang w:eastAsia="en-AU"/>
              </w:rPr>
              <w:t xml:space="preserve"> likely to be covered</w:t>
            </w:r>
          </w:p>
        </w:tc>
      </w:tr>
      <w:tr w:rsidR="00010C7B" w14:paraId="3FF1535C" w14:textId="4A35A554" w:rsidTr="00D77393">
        <w:trPr>
          <w:cnfStyle w:val="000000100000" w:firstRow="0" w:lastRow="0" w:firstColumn="0" w:lastColumn="0" w:oddVBand="0" w:evenVBand="0" w:oddHBand="1" w:evenHBand="0" w:firstRowFirstColumn="0" w:firstRowLastColumn="0" w:lastRowFirstColumn="0" w:lastRowLastColumn="0"/>
          <w:trHeight w:val="489"/>
        </w:trPr>
        <w:tc>
          <w:tcPr>
            <w:tcW w:w="1730" w:type="dxa"/>
            <w:vAlign w:val="center"/>
          </w:tcPr>
          <w:p w14:paraId="6994079A" w14:textId="7116DC4A" w:rsidR="00010C7B" w:rsidRDefault="00010C7B" w:rsidP="00D77393">
            <w:pPr>
              <w:pStyle w:val="Tabletext"/>
              <w:rPr>
                <w:lang w:eastAsia="en-AU"/>
              </w:rPr>
            </w:pPr>
            <w:r>
              <w:rPr>
                <w:lang w:eastAsia="en-AU"/>
              </w:rPr>
              <w:t>Skill shortages or deficiencies in undertaking core business activities</w:t>
            </w:r>
            <w:r>
              <w:rPr>
                <w:i/>
                <w:lang w:eastAsia="en-AU"/>
              </w:rPr>
              <w:t>ᶜ</w:t>
            </w:r>
          </w:p>
        </w:tc>
        <w:tc>
          <w:tcPr>
            <w:tcW w:w="1729" w:type="dxa"/>
            <w:vAlign w:val="center"/>
          </w:tcPr>
          <w:p w14:paraId="6EF49CBF" w14:textId="4F70FB3F" w:rsidR="00010C7B" w:rsidRDefault="00010C7B" w:rsidP="00D77393">
            <w:pPr>
              <w:pStyle w:val="Tabletext"/>
              <w:rPr>
                <w:lang w:eastAsia="en-AU"/>
              </w:rPr>
            </w:pPr>
            <w:r>
              <w:rPr>
                <w:lang w:eastAsia="en-AU"/>
              </w:rPr>
              <w:t xml:space="preserve">More likely in Marketing; less likely in finance professionals and IT support  </w:t>
            </w:r>
          </w:p>
          <w:p w14:paraId="65263A1A" w14:textId="068FD48C" w:rsidR="00010C7B" w:rsidRPr="004939C2" w:rsidRDefault="00010C7B" w:rsidP="00D77393">
            <w:pPr>
              <w:pStyle w:val="BodyText"/>
              <w:tabs>
                <w:tab w:val="left" w:pos="1349"/>
              </w:tabs>
              <w:jc w:val="left"/>
              <w:rPr>
                <w:lang w:eastAsia="en-AU"/>
              </w:rPr>
            </w:pPr>
            <w:r>
              <w:rPr>
                <w:lang w:eastAsia="en-AU"/>
              </w:rPr>
              <w:tab/>
            </w:r>
          </w:p>
        </w:tc>
        <w:tc>
          <w:tcPr>
            <w:tcW w:w="1729" w:type="dxa"/>
            <w:vAlign w:val="center"/>
          </w:tcPr>
          <w:p w14:paraId="392E4A9E" w14:textId="22ED3600" w:rsidR="00010C7B" w:rsidRDefault="00010C7B" w:rsidP="00D77393">
            <w:pPr>
              <w:pStyle w:val="Tabletext"/>
              <w:rPr>
                <w:lang w:eastAsia="en-AU"/>
              </w:rPr>
            </w:pPr>
            <w:r>
              <w:rPr>
                <w:lang w:eastAsia="en-AU"/>
              </w:rPr>
              <w:t>Less likely in finance professionals</w:t>
            </w:r>
          </w:p>
        </w:tc>
        <w:tc>
          <w:tcPr>
            <w:tcW w:w="1729" w:type="dxa"/>
            <w:vAlign w:val="center"/>
          </w:tcPr>
          <w:p w14:paraId="071455D2" w14:textId="0563E9AA" w:rsidR="00010C7B" w:rsidRDefault="00010C7B" w:rsidP="00D77393">
            <w:pPr>
              <w:pStyle w:val="Tabletext"/>
              <w:rPr>
                <w:lang w:eastAsia="en-AU"/>
              </w:rPr>
            </w:pPr>
            <w:r>
              <w:rPr>
                <w:lang w:eastAsia="en-AU"/>
              </w:rPr>
              <w:t>No statistical difference</w:t>
            </w:r>
          </w:p>
        </w:tc>
      </w:tr>
      <w:tr w:rsidR="00010C7B" w14:paraId="646D1CC0" w14:textId="6BBAFB26" w:rsidTr="00D77393">
        <w:trPr>
          <w:cnfStyle w:val="000000010000" w:firstRow="0" w:lastRow="0" w:firstColumn="0" w:lastColumn="0" w:oddVBand="0" w:evenVBand="0" w:oddHBand="0" w:evenHBand="1" w:firstRowFirstColumn="0" w:firstRowLastColumn="0" w:lastRowFirstColumn="0" w:lastRowLastColumn="0"/>
          <w:trHeight w:val="489"/>
        </w:trPr>
        <w:tc>
          <w:tcPr>
            <w:tcW w:w="1730" w:type="dxa"/>
            <w:vAlign w:val="center"/>
          </w:tcPr>
          <w:p w14:paraId="2817C099" w14:textId="443BBB4E" w:rsidR="00010C7B" w:rsidRDefault="00010C7B" w:rsidP="00D77393">
            <w:pPr>
              <w:pStyle w:val="Tabletext"/>
              <w:rPr>
                <w:lang w:eastAsia="en-AU"/>
              </w:rPr>
            </w:pPr>
            <w:r>
              <w:rPr>
                <w:lang w:eastAsia="en-AU"/>
              </w:rPr>
              <w:t>Digital business</w:t>
            </w:r>
            <w:r>
              <w:rPr>
                <w:i/>
                <w:lang w:eastAsia="en-AU"/>
              </w:rPr>
              <w:t>ͩ</w:t>
            </w:r>
          </w:p>
        </w:tc>
        <w:tc>
          <w:tcPr>
            <w:tcW w:w="1729" w:type="dxa"/>
            <w:vAlign w:val="center"/>
          </w:tcPr>
          <w:p w14:paraId="32446EB2" w14:textId="77777777" w:rsidR="00010C7B" w:rsidRDefault="00010C7B" w:rsidP="00D77393">
            <w:pPr>
              <w:pStyle w:val="Tabletext"/>
              <w:rPr>
                <w:lang w:eastAsia="en-AU"/>
              </w:rPr>
            </w:pPr>
            <w:r>
              <w:rPr>
                <w:lang w:eastAsia="en-AU"/>
              </w:rPr>
              <w:t>Greater access to high speed broadband and mobile internet</w:t>
            </w:r>
          </w:p>
        </w:tc>
        <w:tc>
          <w:tcPr>
            <w:tcW w:w="1729" w:type="dxa"/>
            <w:vAlign w:val="center"/>
          </w:tcPr>
          <w:p w14:paraId="06577696" w14:textId="103D6CA4" w:rsidR="00010C7B" w:rsidRDefault="00010C7B" w:rsidP="00D77393">
            <w:pPr>
              <w:pStyle w:val="Tabletext"/>
              <w:rPr>
                <w:lang w:eastAsia="en-AU"/>
              </w:rPr>
            </w:pPr>
            <w:r>
              <w:rPr>
                <w:lang w:eastAsia="en-AU"/>
              </w:rPr>
              <w:t>Greater access to high speed broadband, mobile internet, cloud technology, internet of things and social media*</w:t>
            </w:r>
          </w:p>
        </w:tc>
        <w:tc>
          <w:tcPr>
            <w:tcW w:w="1729" w:type="dxa"/>
            <w:vAlign w:val="center"/>
          </w:tcPr>
          <w:p w14:paraId="7F41D829" w14:textId="1D1E0506" w:rsidR="00010C7B" w:rsidRDefault="00010C7B" w:rsidP="00D77393">
            <w:pPr>
              <w:pStyle w:val="Tabletext"/>
              <w:rPr>
                <w:lang w:eastAsia="en-AU"/>
              </w:rPr>
            </w:pPr>
            <w:r>
              <w:rPr>
                <w:lang w:val="en-US"/>
              </w:rPr>
              <w:t xml:space="preserve">Greater </w:t>
            </w:r>
            <w:r w:rsidRPr="00DE2706">
              <w:rPr>
                <w:lang w:val="en-US"/>
              </w:rPr>
              <w:t>access to high speed broadband, , m</w:t>
            </w:r>
            <w:r>
              <w:rPr>
                <w:lang w:val="en-US"/>
              </w:rPr>
              <w:t>o</w:t>
            </w:r>
            <w:r w:rsidRPr="00DE2706">
              <w:rPr>
                <w:lang w:val="en-US"/>
              </w:rPr>
              <w:t>bile interne</w:t>
            </w:r>
            <w:r>
              <w:rPr>
                <w:lang w:val="en-US"/>
              </w:rPr>
              <w:t>t,</w:t>
            </w:r>
            <w:r w:rsidRPr="00DE2706">
              <w:rPr>
                <w:lang w:val="en-US"/>
              </w:rPr>
              <w:t xml:space="preserve"> data analytics, internet of things</w:t>
            </w:r>
          </w:p>
        </w:tc>
      </w:tr>
      <w:tr w:rsidR="00010C7B" w14:paraId="04E84ED3" w14:textId="40028279" w:rsidTr="00D77393">
        <w:trPr>
          <w:cnfStyle w:val="000000100000" w:firstRow="0" w:lastRow="0" w:firstColumn="0" w:lastColumn="0" w:oddVBand="0" w:evenVBand="0" w:oddHBand="1" w:evenHBand="0" w:firstRowFirstColumn="0" w:firstRowLastColumn="0" w:lastRowFirstColumn="0" w:lastRowLastColumn="0"/>
          <w:trHeight w:val="489"/>
        </w:trPr>
        <w:tc>
          <w:tcPr>
            <w:tcW w:w="1730" w:type="dxa"/>
            <w:shd w:val="clear" w:color="auto" w:fill="BBE0F2" w:themeFill="accent2" w:themeFillTint="66"/>
            <w:vAlign w:val="center"/>
          </w:tcPr>
          <w:p w14:paraId="48F4DDCC" w14:textId="77777777" w:rsidR="00010C7B" w:rsidRPr="005B3678" w:rsidRDefault="00010C7B" w:rsidP="00D77393">
            <w:pPr>
              <w:pStyle w:val="Tabletext"/>
              <w:rPr>
                <w:i/>
                <w:lang w:eastAsia="en-AU"/>
              </w:rPr>
            </w:pPr>
            <w:r w:rsidRPr="005B3678">
              <w:rPr>
                <w:i/>
                <w:lang w:eastAsia="en-AU"/>
              </w:rPr>
              <w:t xml:space="preserve">Principal manager </w:t>
            </w:r>
          </w:p>
        </w:tc>
        <w:tc>
          <w:tcPr>
            <w:tcW w:w="1729" w:type="dxa"/>
            <w:shd w:val="clear" w:color="auto" w:fill="BBE0F2" w:themeFill="accent2" w:themeFillTint="66"/>
            <w:vAlign w:val="center"/>
          </w:tcPr>
          <w:p w14:paraId="74EDB219" w14:textId="77777777" w:rsidR="00010C7B" w:rsidRDefault="00010C7B" w:rsidP="00D77393">
            <w:pPr>
              <w:pStyle w:val="Tabletext"/>
              <w:rPr>
                <w:lang w:eastAsia="en-AU"/>
              </w:rPr>
            </w:pPr>
          </w:p>
        </w:tc>
        <w:tc>
          <w:tcPr>
            <w:tcW w:w="1729" w:type="dxa"/>
            <w:shd w:val="clear" w:color="auto" w:fill="BBE0F2" w:themeFill="accent2" w:themeFillTint="66"/>
            <w:vAlign w:val="center"/>
          </w:tcPr>
          <w:p w14:paraId="5DD664DD" w14:textId="77777777" w:rsidR="00010C7B" w:rsidRDefault="00010C7B" w:rsidP="00D77393">
            <w:pPr>
              <w:pStyle w:val="Tabletext"/>
              <w:rPr>
                <w:lang w:eastAsia="en-AU"/>
              </w:rPr>
            </w:pPr>
          </w:p>
        </w:tc>
        <w:tc>
          <w:tcPr>
            <w:tcW w:w="1729" w:type="dxa"/>
            <w:shd w:val="clear" w:color="auto" w:fill="BBE0F2" w:themeFill="accent2" w:themeFillTint="66"/>
            <w:vAlign w:val="center"/>
          </w:tcPr>
          <w:p w14:paraId="3B5443E2" w14:textId="77777777" w:rsidR="00010C7B" w:rsidRDefault="00010C7B" w:rsidP="00D77393">
            <w:pPr>
              <w:pStyle w:val="Tabletext"/>
              <w:rPr>
                <w:lang w:eastAsia="en-AU"/>
              </w:rPr>
            </w:pPr>
          </w:p>
        </w:tc>
      </w:tr>
      <w:tr w:rsidR="00010C7B" w14:paraId="1B399E1C" w14:textId="1C088EB5" w:rsidTr="00D77393">
        <w:trPr>
          <w:cnfStyle w:val="000000010000" w:firstRow="0" w:lastRow="0" w:firstColumn="0" w:lastColumn="0" w:oddVBand="0" w:evenVBand="0" w:oddHBand="0" w:evenHBand="1" w:firstRowFirstColumn="0" w:firstRowLastColumn="0" w:lastRowFirstColumn="0" w:lastRowLastColumn="0"/>
          <w:trHeight w:val="489"/>
        </w:trPr>
        <w:tc>
          <w:tcPr>
            <w:tcW w:w="1730" w:type="dxa"/>
            <w:vAlign w:val="center"/>
          </w:tcPr>
          <w:p w14:paraId="5F24B4A4" w14:textId="77777777" w:rsidR="00010C7B" w:rsidRDefault="00010C7B" w:rsidP="00D77393">
            <w:pPr>
              <w:pStyle w:val="Tabletext"/>
              <w:ind w:left="402"/>
              <w:rPr>
                <w:lang w:eastAsia="en-AU"/>
              </w:rPr>
            </w:pPr>
            <w:r>
              <w:rPr>
                <w:lang w:eastAsia="en-AU"/>
              </w:rPr>
              <w:t xml:space="preserve">Age </w:t>
            </w:r>
          </w:p>
        </w:tc>
        <w:tc>
          <w:tcPr>
            <w:tcW w:w="1729" w:type="dxa"/>
            <w:vAlign w:val="center"/>
          </w:tcPr>
          <w:p w14:paraId="1E32D611" w14:textId="77777777" w:rsidR="00010C7B" w:rsidRDefault="00010C7B" w:rsidP="00D77393">
            <w:pPr>
              <w:pStyle w:val="Tabletext"/>
              <w:rPr>
                <w:lang w:eastAsia="en-AU"/>
              </w:rPr>
            </w:pPr>
            <w:r>
              <w:rPr>
                <w:lang w:eastAsia="en-AU"/>
              </w:rPr>
              <w:t xml:space="preserve">Older </w:t>
            </w:r>
          </w:p>
        </w:tc>
        <w:tc>
          <w:tcPr>
            <w:tcW w:w="1729" w:type="dxa"/>
            <w:vAlign w:val="center"/>
          </w:tcPr>
          <w:p w14:paraId="1F4AFF87" w14:textId="6626F9CA" w:rsidR="00010C7B" w:rsidRDefault="00010C7B" w:rsidP="00D77393">
            <w:pPr>
              <w:pStyle w:val="Tabletext"/>
              <w:rPr>
                <w:lang w:eastAsia="en-AU"/>
              </w:rPr>
            </w:pPr>
            <w:r>
              <w:rPr>
                <w:lang w:eastAsia="en-AU"/>
              </w:rPr>
              <w:t xml:space="preserve">Older </w:t>
            </w:r>
          </w:p>
        </w:tc>
        <w:tc>
          <w:tcPr>
            <w:tcW w:w="1729" w:type="dxa"/>
            <w:vAlign w:val="center"/>
          </w:tcPr>
          <w:p w14:paraId="0F57779F" w14:textId="37A78B40" w:rsidR="00010C7B" w:rsidRDefault="00010C7B" w:rsidP="00D77393">
            <w:pPr>
              <w:pStyle w:val="Tabletext"/>
              <w:rPr>
                <w:lang w:eastAsia="en-AU"/>
              </w:rPr>
            </w:pPr>
            <w:r>
              <w:rPr>
                <w:lang w:eastAsia="en-AU"/>
              </w:rPr>
              <w:t>No statistical difference</w:t>
            </w:r>
          </w:p>
        </w:tc>
      </w:tr>
      <w:tr w:rsidR="00010C7B" w14:paraId="488DF545" w14:textId="65F588AF" w:rsidTr="00D77393">
        <w:trPr>
          <w:cnfStyle w:val="000000100000" w:firstRow="0" w:lastRow="0" w:firstColumn="0" w:lastColumn="0" w:oddVBand="0" w:evenVBand="0" w:oddHBand="1" w:evenHBand="0" w:firstRowFirstColumn="0" w:firstRowLastColumn="0" w:lastRowFirstColumn="0" w:lastRowLastColumn="0"/>
          <w:trHeight w:val="489"/>
        </w:trPr>
        <w:tc>
          <w:tcPr>
            <w:tcW w:w="1730" w:type="dxa"/>
            <w:vAlign w:val="center"/>
          </w:tcPr>
          <w:p w14:paraId="0C735744" w14:textId="77777777" w:rsidR="00010C7B" w:rsidRDefault="00010C7B" w:rsidP="00D77393">
            <w:pPr>
              <w:pStyle w:val="Tabletext"/>
              <w:ind w:left="402"/>
              <w:rPr>
                <w:lang w:eastAsia="en-AU"/>
              </w:rPr>
            </w:pPr>
            <w:r>
              <w:rPr>
                <w:lang w:eastAsia="en-AU"/>
              </w:rPr>
              <w:t xml:space="preserve">Education </w:t>
            </w:r>
          </w:p>
        </w:tc>
        <w:tc>
          <w:tcPr>
            <w:tcW w:w="1729" w:type="dxa"/>
            <w:vAlign w:val="center"/>
          </w:tcPr>
          <w:p w14:paraId="3FE77CEE" w14:textId="77777777" w:rsidR="00010C7B" w:rsidRDefault="00010C7B" w:rsidP="00D77393">
            <w:pPr>
              <w:pStyle w:val="Tabletext"/>
              <w:rPr>
                <w:lang w:eastAsia="en-AU"/>
              </w:rPr>
            </w:pPr>
            <w:r>
              <w:rPr>
                <w:lang w:eastAsia="en-AU"/>
              </w:rPr>
              <w:t>Higher</w:t>
            </w:r>
          </w:p>
        </w:tc>
        <w:tc>
          <w:tcPr>
            <w:tcW w:w="1729" w:type="dxa"/>
            <w:vAlign w:val="center"/>
          </w:tcPr>
          <w:p w14:paraId="2EB09D44" w14:textId="246BA1FD" w:rsidR="00010C7B" w:rsidRDefault="00010C7B" w:rsidP="00D77393">
            <w:pPr>
              <w:pStyle w:val="Tabletext"/>
              <w:rPr>
                <w:lang w:eastAsia="en-AU"/>
              </w:rPr>
            </w:pPr>
            <w:r>
              <w:rPr>
                <w:lang w:eastAsia="en-AU"/>
              </w:rPr>
              <w:t>Higher</w:t>
            </w:r>
          </w:p>
        </w:tc>
        <w:tc>
          <w:tcPr>
            <w:tcW w:w="1729" w:type="dxa"/>
            <w:vAlign w:val="center"/>
          </w:tcPr>
          <w:p w14:paraId="17897BB7" w14:textId="06DD25B8" w:rsidR="00010C7B" w:rsidRDefault="00010C7B" w:rsidP="00D77393">
            <w:pPr>
              <w:pStyle w:val="Tabletext"/>
              <w:rPr>
                <w:lang w:eastAsia="en-AU"/>
              </w:rPr>
            </w:pPr>
            <w:r>
              <w:rPr>
                <w:lang w:eastAsia="en-AU"/>
              </w:rPr>
              <w:t>Higher</w:t>
            </w:r>
          </w:p>
        </w:tc>
      </w:tr>
      <w:tr w:rsidR="00010C7B" w14:paraId="4F3B4F1A" w14:textId="71D6B57B" w:rsidTr="00D77393">
        <w:trPr>
          <w:cnfStyle w:val="000000010000" w:firstRow="0" w:lastRow="0" w:firstColumn="0" w:lastColumn="0" w:oddVBand="0" w:evenVBand="0" w:oddHBand="0" w:evenHBand="1" w:firstRowFirstColumn="0" w:firstRowLastColumn="0" w:lastRowFirstColumn="0" w:lastRowLastColumn="0"/>
          <w:trHeight w:val="489"/>
        </w:trPr>
        <w:tc>
          <w:tcPr>
            <w:tcW w:w="1730" w:type="dxa"/>
            <w:vAlign w:val="center"/>
          </w:tcPr>
          <w:p w14:paraId="0907416B" w14:textId="77777777" w:rsidR="00010C7B" w:rsidRDefault="00010C7B" w:rsidP="00D77393">
            <w:pPr>
              <w:pStyle w:val="Tabletext"/>
              <w:ind w:left="402"/>
              <w:rPr>
                <w:lang w:eastAsia="en-AU"/>
              </w:rPr>
            </w:pPr>
            <w:r>
              <w:rPr>
                <w:lang w:eastAsia="en-AU"/>
              </w:rPr>
              <w:t xml:space="preserve">Gender </w:t>
            </w:r>
          </w:p>
        </w:tc>
        <w:tc>
          <w:tcPr>
            <w:tcW w:w="1729" w:type="dxa"/>
            <w:vAlign w:val="center"/>
          </w:tcPr>
          <w:p w14:paraId="7665682E" w14:textId="77777777" w:rsidR="00010C7B" w:rsidRDefault="00010C7B" w:rsidP="00D77393">
            <w:pPr>
              <w:pStyle w:val="Tabletext"/>
              <w:rPr>
                <w:lang w:eastAsia="en-AU"/>
              </w:rPr>
            </w:pPr>
            <w:r>
              <w:rPr>
                <w:lang w:eastAsia="en-AU"/>
              </w:rPr>
              <w:t>No statistical difference</w:t>
            </w:r>
          </w:p>
        </w:tc>
        <w:tc>
          <w:tcPr>
            <w:tcW w:w="1729" w:type="dxa"/>
            <w:vAlign w:val="center"/>
          </w:tcPr>
          <w:p w14:paraId="2B5AA366" w14:textId="317256C0" w:rsidR="00010C7B" w:rsidRDefault="00010C7B" w:rsidP="00D77393">
            <w:pPr>
              <w:pStyle w:val="Tabletext"/>
              <w:rPr>
                <w:lang w:eastAsia="en-AU"/>
              </w:rPr>
            </w:pPr>
            <w:r>
              <w:rPr>
                <w:lang w:eastAsia="en-AU"/>
              </w:rPr>
              <w:t>No statistical difference</w:t>
            </w:r>
          </w:p>
        </w:tc>
        <w:tc>
          <w:tcPr>
            <w:tcW w:w="1729" w:type="dxa"/>
            <w:vAlign w:val="center"/>
          </w:tcPr>
          <w:p w14:paraId="54FD13B6" w14:textId="05BE18F9" w:rsidR="00010C7B" w:rsidRDefault="00010C7B" w:rsidP="00D77393">
            <w:pPr>
              <w:pStyle w:val="Tabletext"/>
              <w:rPr>
                <w:lang w:eastAsia="en-AU"/>
              </w:rPr>
            </w:pPr>
            <w:r>
              <w:rPr>
                <w:lang w:eastAsia="en-AU"/>
              </w:rPr>
              <w:t>More male*</w:t>
            </w:r>
          </w:p>
        </w:tc>
      </w:tr>
      <w:tr w:rsidR="00010C7B" w14:paraId="1D9AB086" w14:textId="7ED220AE" w:rsidTr="00D77393">
        <w:trPr>
          <w:cnfStyle w:val="000000100000" w:firstRow="0" w:lastRow="0" w:firstColumn="0" w:lastColumn="0" w:oddVBand="0" w:evenVBand="0" w:oddHBand="1" w:evenHBand="0" w:firstRowFirstColumn="0" w:firstRowLastColumn="0" w:lastRowFirstColumn="0" w:lastRowLastColumn="0"/>
          <w:trHeight w:val="489"/>
        </w:trPr>
        <w:tc>
          <w:tcPr>
            <w:tcW w:w="1730" w:type="dxa"/>
            <w:vAlign w:val="center"/>
          </w:tcPr>
          <w:p w14:paraId="31568A7D" w14:textId="77777777" w:rsidR="00010C7B" w:rsidRDefault="00010C7B" w:rsidP="00D77393">
            <w:pPr>
              <w:pStyle w:val="Tabletext"/>
              <w:rPr>
                <w:lang w:eastAsia="en-AU"/>
              </w:rPr>
            </w:pPr>
            <w:r>
              <w:rPr>
                <w:lang w:eastAsia="en-AU"/>
              </w:rPr>
              <w:t>Counts</w:t>
            </w:r>
          </w:p>
        </w:tc>
        <w:tc>
          <w:tcPr>
            <w:tcW w:w="1729" w:type="dxa"/>
            <w:vAlign w:val="center"/>
          </w:tcPr>
          <w:p w14:paraId="600BA26B" w14:textId="77777777" w:rsidR="00010C7B" w:rsidRDefault="00010C7B" w:rsidP="00D77393">
            <w:pPr>
              <w:pStyle w:val="Tabletext"/>
              <w:rPr>
                <w:lang w:eastAsia="en-AU"/>
              </w:rPr>
            </w:pPr>
            <w:r>
              <w:rPr>
                <w:lang w:eastAsia="en-AU"/>
              </w:rPr>
              <w:t>110</w:t>
            </w:r>
          </w:p>
        </w:tc>
        <w:tc>
          <w:tcPr>
            <w:tcW w:w="1729" w:type="dxa"/>
            <w:vAlign w:val="center"/>
          </w:tcPr>
          <w:p w14:paraId="3962C7E0" w14:textId="6A411168" w:rsidR="00010C7B" w:rsidRDefault="00010C7B" w:rsidP="00D77393">
            <w:pPr>
              <w:pStyle w:val="Tabletext"/>
              <w:rPr>
                <w:lang w:eastAsia="en-AU"/>
              </w:rPr>
            </w:pPr>
            <w:r>
              <w:rPr>
                <w:lang w:eastAsia="en-AU"/>
              </w:rPr>
              <w:t>81</w:t>
            </w:r>
          </w:p>
        </w:tc>
        <w:tc>
          <w:tcPr>
            <w:tcW w:w="1729" w:type="dxa"/>
            <w:vAlign w:val="center"/>
          </w:tcPr>
          <w:p w14:paraId="5E3CB97B" w14:textId="2AFCD3BD" w:rsidR="00010C7B" w:rsidRDefault="00010C7B" w:rsidP="00D77393">
            <w:pPr>
              <w:pStyle w:val="Tabletext"/>
              <w:rPr>
                <w:lang w:eastAsia="en-AU"/>
              </w:rPr>
            </w:pPr>
            <w:r>
              <w:rPr>
                <w:lang w:eastAsia="en-AU"/>
              </w:rPr>
              <w:t>27</w:t>
            </w:r>
          </w:p>
        </w:tc>
      </w:tr>
    </w:tbl>
    <w:p w14:paraId="5272B77B" w14:textId="77777777" w:rsidR="00D34BFA" w:rsidRDefault="00D34BFA" w:rsidP="00D34BFA">
      <w:pPr>
        <w:pStyle w:val="Placeholder"/>
        <w:jc w:val="both"/>
      </w:pPr>
    </w:p>
    <w:p w14:paraId="15F5C95F" w14:textId="1D3DD7AF" w:rsidR="00D34BFA" w:rsidRPr="006309A1" w:rsidRDefault="00D34148" w:rsidP="00D34BFA">
      <w:pPr>
        <w:pStyle w:val="Note"/>
        <w:rPr>
          <w:i/>
          <w:lang w:eastAsia="en-AU"/>
        </w:rPr>
      </w:pPr>
      <w:r>
        <w:rPr>
          <w:lang w:eastAsia="en-AU"/>
        </w:rPr>
        <w:t xml:space="preserve">Notes: ªStock of small </w:t>
      </w:r>
      <w:r>
        <w:t>born global firms from 2005-06 to 2015–16 ᵇ</w:t>
      </w:r>
      <w:r>
        <w:rPr>
          <w:lang w:eastAsia="en-AU"/>
        </w:rPr>
        <w:t xml:space="preserve">Stock of small exporters from 2005-06 to 2015–16. </w:t>
      </w:r>
      <w:r w:rsidRPr="004757E9">
        <w:t>Restricted to four major industries: Manufacturing, Wholesale Trade, Retail Trade &amp; Professional, Scientific and Technical Services.</w:t>
      </w:r>
      <w:r w:rsidR="00D34BFA">
        <w:rPr>
          <w:lang w:eastAsia="en-AU"/>
        </w:rPr>
        <w:t xml:space="preserve"> </w:t>
      </w:r>
      <w:r>
        <w:rPr>
          <w:i/>
          <w:lang w:eastAsia="en-AU"/>
        </w:rPr>
        <w:t>ᶜ</w:t>
      </w:r>
      <w:r w:rsidR="001F65ED" w:rsidRPr="00CB2719">
        <w:rPr>
          <w:i/>
          <w:lang w:eastAsia="en-AU"/>
        </w:rPr>
        <w:t>Shortage or deficiency in undertaking core business activities</w:t>
      </w:r>
      <w:r w:rsidR="001F65ED">
        <w:rPr>
          <w:i/>
          <w:lang w:eastAsia="en-AU"/>
        </w:rPr>
        <w:t xml:space="preserve">. </w:t>
      </w:r>
      <w:r>
        <w:rPr>
          <w:i/>
          <w:lang w:eastAsia="en-AU"/>
        </w:rPr>
        <w:t>ͩ</w:t>
      </w:r>
      <w:r w:rsidR="001F65ED" w:rsidRPr="00D524DA">
        <w:rPr>
          <w:i/>
          <w:lang w:eastAsia="en-AU"/>
        </w:rPr>
        <w:t>To what extent were the following digital technologies important to the business?</w:t>
      </w:r>
      <w:r w:rsidR="00313644">
        <w:rPr>
          <w:i/>
          <w:lang w:eastAsia="en-AU"/>
        </w:rPr>
        <w:t xml:space="preserve"> </w:t>
      </w:r>
      <w:r w:rsidR="00313644" w:rsidRPr="00313644">
        <w:rPr>
          <w:lang w:eastAsia="en-AU"/>
        </w:rPr>
        <w:t>*</w:t>
      </w:r>
      <w:r w:rsidR="007139E3" w:rsidRPr="007139E3">
        <w:t xml:space="preserve"> </w:t>
      </w:r>
      <w:r w:rsidR="007139E3" w:rsidRPr="007139E3">
        <w:rPr>
          <w:lang w:eastAsia="en-AU"/>
        </w:rPr>
        <w:t>Weaker finding (statistically significant at 10%)</w:t>
      </w:r>
      <w:r w:rsidR="00313644">
        <w:rPr>
          <w:lang w:eastAsia="en-AU"/>
        </w:rPr>
        <w:t xml:space="preserve"> </w:t>
      </w:r>
    </w:p>
    <w:p w14:paraId="113AF344" w14:textId="77777777" w:rsidR="00D34BFA" w:rsidRDefault="00D34BFA" w:rsidP="00D34BFA">
      <w:pPr>
        <w:pStyle w:val="Source"/>
      </w:pPr>
      <w:r>
        <w:t>Source: BLADE (2019); MCM (2019)</w:t>
      </w:r>
    </w:p>
    <w:p w14:paraId="3E5D363A" w14:textId="0696C882" w:rsidR="00AD44C4" w:rsidRPr="003F1458" w:rsidRDefault="003F1458" w:rsidP="003F1458">
      <w:pPr>
        <w:pStyle w:val="Heading6"/>
        <w:numPr>
          <w:ilvl w:val="0"/>
          <w:numId w:val="0"/>
        </w:numPr>
      </w:pPr>
      <w:r>
        <w:lastRenderedPageBreak/>
        <w:t>Appendix D</w:t>
      </w:r>
      <w:r>
        <w:tab/>
        <w:t xml:space="preserve">Performance of BGFs  </w:t>
      </w:r>
    </w:p>
    <w:p w14:paraId="155DB735" w14:textId="359B1491" w:rsidR="00363706" w:rsidRDefault="00363706" w:rsidP="00363706">
      <w:pPr>
        <w:pStyle w:val="Caption"/>
      </w:pPr>
      <w:r w:rsidRPr="000618FB">
        <w:t xml:space="preserve">Table </w:t>
      </w:r>
      <w:r>
        <w:rPr>
          <w:noProof/>
        </w:rPr>
        <w:t>D.1</w:t>
      </w:r>
      <w:r w:rsidRPr="000618FB">
        <w:t xml:space="preserve">: </w:t>
      </w:r>
      <w:r>
        <w:t>Average annual growth differentials between BGFs and other exporters, using 3 year</w:t>
      </w:r>
      <w:r w:rsidR="00A62D27">
        <w:t xml:space="preserve">, 25% export intensity BGF definition </w:t>
      </w:r>
      <w:r>
        <w:t xml:space="preserve">  </w:t>
      </w:r>
    </w:p>
    <w:tbl>
      <w:tblPr>
        <w:tblStyle w:val="OCETable"/>
        <w:tblW w:w="5030" w:type="pct"/>
        <w:tblInd w:w="57" w:type="dxa"/>
        <w:tblLayout w:type="fixed"/>
        <w:tblLook w:val="04A0" w:firstRow="1" w:lastRow="0" w:firstColumn="1" w:lastColumn="0" w:noHBand="0" w:noVBand="1"/>
        <w:tblCaption w:val="Average annual growth differentials between BGFs and other exporters, using 3 year, 25% export intensity BGF definition   "/>
        <w:tblDescription w:val="Similar to Table 3.1 but now using alternative definition. "/>
      </w:tblPr>
      <w:tblGrid>
        <w:gridCol w:w="1387"/>
        <w:gridCol w:w="1387"/>
        <w:gridCol w:w="1387"/>
        <w:gridCol w:w="1387"/>
        <w:gridCol w:w="1387"/>
      </w:tblGrid>
      <w:tr w:rsidR="00363706" w14:paraId="3EA5912D"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474A32E9" w14:textId="77777777" w:rsidR="00363706" w:rsidRDefault="00363706" w:rsidP="00F17D8E">
            <w:pPr>
              <w:pStyle w:val="Tableheader"/>
              <w:rPr>
                <w:lang w:eastAsia="en-AU"/>
              </w:rPr>
            </w:pPr>
            <w:r>
              <w:rPr>
                <w:lang w:eastAsia="en-AU"/>
              </w:rPr>
              <w:t>Performance indicator</w:t>
            </w:r>
          </w:p>
        </w:tc>
        <w:tc>
          <w:tcPr>
            <w:tcW w:w="1387" w:type="dxa"/>
          </w:tcPr>
          <w:p w14:paraId="048FF981" w14:textId="77777777" w:rsidR="00363706" w:rsidRDefault="00363706" w:rsidP="00F17D8E">
            <w:pPr>
              <w:pStyle w:val="Tableheader"/>
              <w:rPr>
                <w:lang w:eastAsia="en-AU"/>
              </w:rPr>
            </w:pPr>
            <w:r>
              <w:rPr>
                <w:lang w:eastAsia="en-AU"/>
              </w:rPr>
              <w:t>All firms</w:t>
            </w:r>
          </w:p>
        </w:tc>
        <w:tc>
          <w:tcPr>
            <w:tcW w:w="1387" w:type="dxa"/>
          </w:tcPr>
          <w:p w14:paraId="226369B6" w14:textId="77777777" w:rsidR="00363706" w:rsidRDefault="00363706" w:rsidP="00F17D8E">
            <w:pPr>
              <w:pStyle w:val="Tableheader"/>
              <w:rPr>
                <w:lang w:eastAsia="en-AU"/>
              </w:rPr>
            </w:pPr>
            <w:r>
              <w:rPr>
                <w:lang w:eastAsia="en-AU"/>
              </w:rPr>
              <w:t>Less than 3 years old</w:t>
            </w:r>
          </w:p>
        </w:tc>
        <w:tc>
          <w:tcPr>
            <w:tcW w:w="1387" w:type="dxa"/>
          </w:tcPr>
          <w:p w14:paraId="5ADB2629" w14:textId="77777777" w:rsidR="00363706" w:rsidRDefault="00363706" w:rsidP="00F17D8E">
            <w:pPr>
              <w:pStyle w:val="Tableheader"/>
              <w:rPr>
                <w:lang w:eastAsia="en-AU"/>
              </w:rPr>
            </w:pPr>
            <w:r>
              <w:rPr>
                <w:lang w:eastAsia="en-AU"/>
              </w:rPr>
              <w:t>4 to 6 years old</w:t>
            </w:r>
          </w:p>
        </w:tc>
        <w:tc>
          <w:tcPr>
            <w:tcW w:w="1387" w:type="dxa"/>
          </w:tcPr>
          <w:p w14:paraId="2453D1D5" w14:textId="77777777" w:rsidR="00363706" w:rsidRDefault="00363706" w:rsidP="00F17D8E">
            <w:pPr>
              <w:pStyle w:val="Tableheader"/>
              <w:rPr>
                <w:lang w:eastAsia="en-AU"/>
              </w:rPr>
            </w:pPr>
            <w:r>
              <w:rPr>
                <w:lang w:eastAsia="en-AU"/>
              </w:rPr>
              <w:t>More than 6 years old</w:t>
            </w:r>
          </w:p>
        </w:tc>
      </w:tr>
      <w:tr w:rsidR="00DD23CD" w14:paraId="096E557E"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70BF390C" w14:textId="77777777" w:rsidR="00DD23CD" w:rsidRDefault="00DD23CD" w:rsidP="00DD23CD">
            <w:pPr>
              <w:pStyle w:val="Tabletext"/>
              <w:rPr>
                <w:lang w:eastAsia="en-AU"/>
              </w:rPr>
            </w:pPr>
            <w:r>
              <w:rPr>
                <w:lang w:eastAsia="en-AU"/>
              </w:rPr>
              <w:t xml:space="preserve">Turnover </w:t>
            </w:r>
          </w:p>
        </w:tc>
        <w:tc>
          <w:tcPr>
            <w:tcW w:w="1387" w:type="dxa"/>
          </w:tcPr>
          <w:p w14:paraId="72FC690F" w14:textId="616FBE2C" w:rsidR="00DD23CD" w:rsidRDefault="00DD23CD" w:rsidP="00DD23CD">
            <w:pPr>
              <w:pStyle w:val="Tabletext"/>
              <w:tabs>
                <w:tab w:val="right" w:pos="2082"/>
              </w:tabs>
              <w:rPr>
                <w:lang w:eastAsia="en-AU"/>
              </w:rPr>
            </w:pPr>
            <w:r w:rsidRPr="002F41DF">
              <w:t>-0.115***</w:t>
            </w:r>
          </w:p>
        </w:tc>
        <w:tc>
          <w:tcPr>
            <w:tcW w:w="1387" w:type="dxa"/>
          </w:tcPr>
          <w:p w14:paraId="58574D46" w14:textId="15F92BD8" w:rsidR="00DD23CD" w:rsidRDefault="00DD23CD" w:rsidP="00DD23CD">
            <w:pPr>
              <w:pStyle w:val="Tabletext"/>
              <w:tabs>
                <w:tab w:val="right" w:pos="2082"/>
              </w:tabs>
              <w:rPr>
                <w:lang w:eastAsia="en-AU"/>
              </w:rPr>
            </w:pPr>
            <w:r w:rsidRPr="002F41DF">
              <w:t>-0.168***</w:t>
            </w:r>
          </w:p>
        </w:tc>
        <w:tc>
          <w:tcPr>
            <w:tcW w:w="1387" w:type="dxa"/>
          </w:tcPr>
          <w:p w14:paraId="283C54C4" w14:textId="77DF29E8" w:rsidR="00DD23CD" w:rsidRDefault="00DD23CD" w:rsidP="00DD23CD">
            <w:pPr>
              <w:pStyle w:val="Tabletext"/>
              <w:tabs>
                <w:tab w:val="right" w:pos="2082"/>
              </w:tabs>
              <w:rPr>
                <w:lang w:eastAsia="en-AU"/>
              </w:rPr>
            </w:pPr>
            <w:r w:rsidRPr="002F41DF">
              <w:t>-0.117***</w:t>
            </w:r>
          </w:p>
        </w:tc>
        <w:tc>
          <w:tcPr>
            <w:tcW w:w="1387" w:type="dxa"/>
          </w:tcPr>
          <w:p w14:paraId="2D8CB0FB" w14:textId="090DCBCC" w:rsidR="00DD23CD" w:rsidRDefault="00DD23CD" w:rsidP="00DD23CD">
            <w:pPr>
              <w:pStyle w:val="Tabletext"/>
              <w:tabs>
                <w:tab w:val="right" w:pos="2082"/>
              </w:tabs>
              <w:rPr>
                <w:lang w:eastAsia="en-AU"/>
              </w:rPr>
            </w:pPr>
            <w:r w:rsidRPr="002F41DF">
              <w:t>-0.035**</w:t>
            </w:r>
          </w:p>
        </w:tc>
      </w:tr>
      <w:tr w:rsidR="00DD23CD" w14:paraId="75060756"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68D2811D" w14:textId="77777777" w:rsidR="00DD23CD" w:rsidRDefault="00DD23CD" w:rsidP="00DD23CD">
            <w:pPr>
              <w:pStyle w:val="Tabletext"/>
              <w:rPr>
                <w:lang w:eastAsia="en-AU"/>
              </w:rPr>
            </w:pPr>
            <w:r>
              <w:rPr>
                <w:lang w:eastAsia="en-AU"/>
              </w:rPr>
              <w:t>Employment</w:t>
            </w:r>
          </w:p>
        </w:tc>
        <w:tc>
          <w:tcPr>
            <w:tcW w:w="1387" w:type="dxa"/>
          </w:tcPr>
          <w:p w14:paraId="6EB0142B" w14:textId="5C8204ED" w:rsidR="00DD23CD" w:rsidRPr="00D10260" w:rsidRDefault="00DD23CD" w:rsidP="00DD23CD">
            <w:pPr>
              <w:pStyle w:val="Tabletext"/>
              <w:tabs>
                <w:tab w:val="right" w:pos="2082"/>
              </w:tabs>
            </w:pPr>
            <w:r w:rsidRPr="002A454B">
              <w:t>-0.108***</w:t>
            </w:r>
          </w:p>
        </w:tc>
        <w:tc>
          <w:tcPr>
            <w:tcW w:w="1387" w:type="dxa"/>
          </w:tcPr>
          <w:p w14:paraId="74029F44" w14:textId="4665A12B" w:rsidR="00DD23CD" w:rsidRPr="00D10260" w:rsidRDefault="00DD23CD" w:rsidP="00DD23CD">
            <w:pPr>
              <w:pStyle w:val="Tabletext"/>
              <w:tabs>
                <w:tab w:val="right" w:pos="2082"/>
              </w:tabs>
            </w:pPr>
            <w:r w:rsidRPr="002A454B">
              <w:t>-0.171***</w:t>
            </w:r>
          </w:p>
        </w:tc>
        <w:tc>
          <w:tcPr>
            <w:tcW w:w="1387" w:type="dxa"/>
          </w:tcPr>
          <w:p w14:paraId="23A4F867" w14:textId="39C60CBC" w:rsidR="00DD23CD" w:rsidRPr="00D10260" w:rsidRDefault="00DD23CD" w:rsidP="00DD23CD">
            <w:pPr>
              <w:pStyle w:val="Tabletext"/>
              <w:tabs>
                <w:tab w:val="right" w:pos="2082"/>
              </w:tabs>
            </w:pPr>
            <w:r w:rsidRPr="002A454B">
              <w:t>-0.095***</w:t>
            </w:r>
          </w:p>
        </w:tc>
        <w:tc>
          <w:tcPr>
            <w:tcW w:w="1387" w:type="dxa"/>
          </w:tcPr>
          <w:p w14:paraId="0ADA5546" w14:textId="158C5DA9" w:rsidR="00DD23CD" w:rsidRPr="00D10260" w:rsidRDefault="00DD23CD" w:rsidP="00DD23CD">
            <w:pPr>
              <w:pStyle w:val="Tabletext"/>
              <w:tabs>
                <w:tab w:val="right" w:pos="2082"/>
              </w:tabs>
            </w:pPr>
            <w:r w:rsidRPr="002A454B">
              <w:t>-0.050***</w:t>
            </w:r>
          </w:p>
        </w:tc>
      </w:tr>
      <w:tr w:rsidR="00DD23CD" w14:paraId="302345ED"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03547531" w14:textId="77777777" w:rsidR="00DD23CD" w:rsidRDefault="00DD23CD" w:rsidP="00DD23CD">
            <w:pPr>
              <w:pStyle w:val="Tabletext"/>
              <w:rPr>
                <w:lang w:eastAsia="en-AU"/>
              </w:rPr>
            </w:pPr>
            <w:r>
              <w:rPr>
                <w:lang w:eastAsia="en-AU"/>
              </w:rPr>
              <w:t>Productivity</w:t>
            </w:r>
          </w:p>
        </w:tc>
        <w:tc>
          <w:tcPr>
            <w:tcW w:w="1387" w:type="dxa"/>
          </w:tcPr>
          <w:p w14:paraId="5A209185" w14:textId="5D89836B" w:rsidR="00DD23CD" w:rsidRPr="00D10260" w:rsidRDefault="00DD23CD" w:rsidP="00DD23CD">
            <w:pPr>
              <w:pStyle w:val="Tabletext"/>
              <w:tabs>
                <w:tab w:val="right" w:pos="2082"/>
              </w:tabs>
            </w:pPr>
            <w:r w:rsidRPr="00B20D9D">
              <w:t>0.010*</w:t>
            </w:r>
          </w:p>
        </w:tc>
        <w:tc>
          <w:tcPr>
            <w:tcW w:w="1387" w:type="dxa"/>
          </w:tcPr>
          <w:p w14:paraId="2E7B886A" w14:textId="75D4DF43" w:rsidR="00DD23CD" w:rsidRPr="00D10260" w:rsidRDefault="00DD23CD" w:rsidP="00DD23CD">
            <w:pPr>
              <w:pStyle w:val="Tabletext"/>
              <w:tabs>
                <w:tab w:val="right" w:pos="2082"/>
              </w:tabs>
            </w:pPr>
            <w:r w:rsidRPr="00B20D9D">
              <w:t>0.036***</w:t>
            </w:r>
          </w:p>
        </w:tc>
        <w:tc>
          <w:tcPr>
            <w:tcW w:w="1387" w:type="dxa"/>
          </w:tcPr>
          <w:p w14:paraId="542D26F8" w14:textId="6CCAD358" w:rsidR="00DD23CD" w:rsidRPr="00D10260" w:rsidRDefault="00DD23CD" w:rsidP="00DD23CD">
            <w:pPr>
              <w:pStyle w:val="Tabletext"/>
              <w:tabs>
                <w:tab w:val="right" w:pos="2082"/>
              </w:tabs>
            </w:pPr>
            <w:r w:rsidRPr="00B20D9D">
              <w:t>-0.005</w:t>
            </w:r>
          </w:p>
        </w:tc>
        <w:tc>
          <w:tcPr>
            <w:tcW w:w="1387" w:type="dxa"/>
          </w:tcPr>
          <w:p w14:paraId="633CD77A" w14:textId="68A46AF0" w:rsidR="00DD23CD" w:rsidRDefault="00DD23CD" w:rsidP="00DD23CD">
            <w:pPr>
              <w:pStyle w:val="Tabletext"/>
              <w:tabs>
                <w:tab w:val="right" w:pos="2082"/>
              </w:tabs>
            </w:pPr>
            <w:r w:rsidRPr="00B20D9D">
              <w:t>0.024**</w:t>
            </w:r>
          </w:p>
        </w:tc>
      </w:tr>
      <w:tr w:rsidR="00DD23CD" w14:paraId="22048D37"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543E706F" w14:textId="77777777" w:rsidR="00DD23CD" w:rsidRDefault="00DD23CD" w:rsidP="00DD23CD">
            <w:pPr>
              <w:pStyle w:val="Tabletext"/>
              <w:rPr>
                <w:lang w:eastAsia="en-AU"/>
              </w:rPr>
            </w:pPr>
            <w:r>
              <w:rPr>
                <w:lang w:eastAsia="en-AU"/>
              </w:rPr>
              <w:t xml:space="preserve">Capital </w:t>
            </w:r>
          </w:p>
        </w:tc>
        <w:tc>
          <w:tcPr>
            <w:tcW w:w="1387" w:type="dxa"/>
          </w:tcPr>
          <w:p w14:paraId="7A6C3C45" w14:textId="44BBD2AD" w:rsidR="00DD23CD" w:rsidRPr="00D10260" w:rsidRDefault="00DD23CD" w:rsidP="00DD23CD">
            <w:pPr>
              <w:pStyle w:val="Tabletext"/>
              <w:tabs>
                <w:tab w:val="right" w:pos="2082"/>
              </w:tabs>
            </w:pPr>
            <w:r w:rsidRPr="0063396B">
              <w:t>-0.028*</w:t>
            </w:r>
          </w:p>
        </w:tc>
        <w:tc>
          <w:tcPr>
            <w:tcW w:w="1387" w:type="dxa"/>
          </w:tcPr>
          <w:p w14:paraId="25511D20" w14:textId="58260AA7" w:rsidR="00DD23CD" w:rsidRPr="00D10260" w:rsidRDefault="00DD23CD" w:rsidP="00DD23CD">
            <w:pPr>
              <w:pStyle w:val="Tabletext"/>
              <w:tabs>
                <w:tab w:val="right" w:pos="2082"/>
              </w:tabs>
            </w:pPr>
            <w:r>
              <w:t>-</w:t>
            </w:r>
          </w:p>
        </w:tc>
        <w:tc>
          <w:tcPr>
            <w:tcW w:w="1387" w:type="dxa"/>
          </w:tcPr>
          <w:p w14:paraId="33D72A6B" w14:textId="580C324F" w:rsidR="00DD23CD" w:rsidRPr="00D10260" w:rsidRDefault="00DD23CD" w:rsidP="00DD23CD">
            <w:pPr>
              <w:pStyle w:val="Tabletext"/>
              <w:tabs>
                <w:tab w:val="right" w:pos="2082"/>
              </w:tabs>
            </w:pPr>
            <w:r>
              <w:t>-</w:t>
            </w:r>
          </w:p>
        </w:tc>
        <w:tc>
          <w:tcPr>
            <w:tcW w:w="1387" w:type="dxa"/>
          </w:tcPr>
          <w:p w14:paraId="608323E2" w14:textId="0F2C60FF" w:rsidR="00DD23CD" w:rsidRDefault="00DD23CD" w:rsidP="00DD23CD">
            <w:pPr>
              <w:pStyle w:val="Tabletext"/>
              <w:tabs>
                <w:tab w:val="right" w:pos="2082"/>
              </w:tabs>
            </w:pPr>
            <w:r>
              <w:t>-</w:t>
            </w:r>
          </w:p>
        </w:tc>
      </w:tr>
      <w:tr w:rsidR="00DD23CD" w14:paraId="0459EC2F"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23AA30FA" w14:textId="77777777" w:rsidR="00DD23CD" w:rsidRDefault="00DD23CD" w:rsidP="00DD23CD">
            <w:pPr>
              <w:pStyle w:val="Tabletext"/>
              <w:tabs>
                <w:tab w:val="right" w:pos="2082"/>
              </w:tabs>
              <w:rPr>
                <w:lang w:eastAsia="en-AU"/>
              </w:rPr>
            </w:pPr>
            <w:r>
              <w:rPr>
                <w:lang w:eastAsia="en-AU"/>
              </w:rPr>
              <w:t xml:space="preserve">R&amp;D </w:t>
            </w:r>
          </w:p>
        </w:tc>
        <w:tc>
          <w:tcPr>
            <w:tcW w:w="1387" w:type="dxa"/>
          </w:tcPr>
          <w:p w14:paraId="5325B0EC" w14:textId="4B9B7596" w:rsidR="00DD23CD" w:rsidRDefault="00DD23CD" w:rsidP="00DD23CD">
            <w:pPr>
              <w:pStyle w:val="Tabletext"/>
              <w:tabs>
                <w:tab w:val="right" w:pos="2082"/>
              </w:tabs>
              <w:rPr>
                <w:lang w:eastAsia="en-AU"/>
              </w:rPr>
            </w:pPr>
            <w:r>
              <w:t>-</w:t>
            </w:r>
          </w:p>
        </w:tc>
        <w:tc>
          <w:tcPr>
            <w:tcW w:w="1387" w:type="dxa"/>
          </w:tcPr>
          <w:p w14:paraId="68014039" w14:textId="4B2102EC" w:rsidR="00DD23CD" w:rsidRDefault="00DD23CD" w:rsidP="00DD23CD">
            <w:pPr>
              <w:pStyle w:val="Tabletext"/>
              <w:tabs>
                <w:tab w:val="right" w:pos="2082"/>
              </w:tabs>
              <w:rPr>
                <w:lang w:eastAsia="en-AU"/>
              </w:rPr>
            </w:pPr>
            <w:r w:rsidRPr="00F22DFA">
              <w:t>-0.100*</w:t>
            </w:r>
          </w:p>
        </w:tc>
        <w:tc>
          <w:tcPr>
            <w:tcW w:w="1387" w:type="dxa"/>
          </w:tcPr>
          <w:p w14:paraId="1309B987" w14:textId="222A7750" w:rsidR="00DD23CD" w:rsidRDefault="00DD23CD" w:rsidP="00DD23CD">
            <w:pPr>
              <w:pStyle w:val="Tabletext"/>
              <w:tabs>
                <w:tab w:val="right" w:pos="2082"/>
              </w:tabs>
              <w:rPr>
                <w:lang w:eastAsia="en-AU"/>
              </w:rPr>
            </w:pPr>
            <w:r>
              <w:t>-</w:t>
            </w:r>
          </w:p>
        </w:tc>
        <w:tc>
          <w:tcPr>
            <w:tcW w:w="1387" w:type="dxa"/>
          </w:tcPr>
          <w:p w14:paraId="771F3C51" w14:textId="15EA0219" w:rsidR="00DD23CD" w:rsidRDefault="00DD23CD" w:rsidP="00DD23CD">
            <w:pPr>
              <w:pStyle w:val="Tabletext"/>
              <w:tabs>
                <w:tab w:val="right" w:pos="2082"/>
              </w:tabs>
              <w:rPr>
                <w:lang w:eastAsia="en-AU"/>
              </w:rPr>
            </w:pPr>
            <w:r>
              <w:t>-</w:t>
            </w:r>
          </w:p>
        </w:tc>
      </w:tr>
    </w:tbl>
    <w:p w14:paraId="08C68B30" w14:textId="77777777" w:rsidR="00363706" w:rsidRDefault="00363706" w:rsidP="00363706">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43D6682F" w14:textId="77777777" w:rsidR="00363706" w:rsidRDefault="00363706" w:rsidP="00363706">
      <w:pPr>
        <w:pStyle w:val="Source"/>
      </w:pPr>
      <w:r>
        <w:t xml:space="preserve">Source: BLADE (2019) </w:t>
      </w:r>
    </w:p>
    <w:p w14:paraId="7A0C7B2E" w14:textId="209D3D8B" w:rsidR="00515F80" w:rsidRDefault="00515F80" w:rsidP="00515F80">
      <w:pPr>
        <w:pStyle w:val="Caption"/>
      </w:pPr>
      <w:r w:rsidRPr="000618FB">
        <w:t xml:space="preserve">Table </w:t>
      </w:r>
      <w:r>
        <w:rPr>
          <w:noProof/>
        </w:rPr>
        <w:t>D.</w:t>
      </w:r>
      <w:r w:rsidR="008C4B11">
        <w:rPr>
          <w:noProof/>
        </w:rPr>
        <w:t>2</w:t>
      </w:r>
      <w:r w:rsidRPr="000618FB">
        <w:t xml:space="preserve">: </w:t>
      </w:r>
      <w:r>
        <w:t xml:space="preserve">Average annual growth differentials between BGFs and other exporters, using 3 year, 100% export </w:t>
      </w:r>
      <w:r w:rsidR="00A42EB8">
        <w:t xml:space="preserve">intensity BGF definition   </w:t>
      </w:r>
    </w:p>
    <w:tbl>
      <w:tblPr>
        <w:tblStyle w:val="OCETable"/>
        <w:tblW w:w="5030" w:type="pct"/>
        <w:tblInd w:w="57" w:type="dxa"/>
        <w:tblLayout w:type="fixed"/>
        <w:tblLook w:val="04A0" w:firstRow="1" w:lastRow="0" w:firstColumn="1" w:lastColumn="0" w:noHBand="0" w:noVBand="1"/>
        <w:tblCaption w:val="Average annual growth differentials between BGFs and other exporters, using 3 year, 100% export intensity BGF definition   "/>
        <w:tblDescription w:val="Similar to Table 3.1 but now using alternative definition. "/>
      </w:tblPr>
      <w:tblGrid>
        <w:gridCol w:w="1387"/>
        <w:gridCol w:w="1387"/>
        <w:gridCol w:w="1387"/>
        <w:gridCol w:w="1387"/>
        <w:gridCol w:w="1387"/>
      </w:tblGrid>
      <w:tr w:rsidR="00515F80" w14:paraId="4EFA7A15"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4BDE8F58" w14:textId="77777777" w:rsidR="00515F80" w:rsidRDefault="00515F80" w:rsidP="00F17D8E">
            <w:pPr>
              <w:pStyle w:val="Tableheader"/>
              <w:rPr>
                <w:lang w:eastAsia="en-AU"/>
              </w:rPr>
            </w:pPr>
            <w:r>
              <w:rPr>
                <w:lang w:eastAsia="en-AU"/>
              </w:rPr>
              <w:t>Performance indicator</w:t>
            </w:r>
          </w:p>
        </w:tc>
        <w:tc>
          <w:tcPr>
            <w:tcW w:w="1387" w:type="dxa"/>
          </w:tcPr>
          <w:p w14:paraId="342DF1B8" w14:textId="77777777" w:rsidR="00515F80" w:rsidRDefault="00515F80" w:rsidP="00F17D8E">
            <w:pPr>
              <w:pStyle w:val="Tableheader"/>
              <w:rPr>
                <w:lang w:eastAsia="en-AU"/>
              </w:rPr>
            </w:pPr>
            <w:r>
              <w:rPr>
                <w:lang w:eastAsia="en-AU"/>
              </w:rPr>
              <w:t>All firms</w:t>
            </w:r>
          </w:p>
        </w:tc>
        <w:tc>
          <w:tcPr>
            <w:tcW w:w="1387" w:type="dxa"/>
          </w:tcPr>
          <w:p w14:paraId="619EF602" w14:textId="77777777" w:rsidR="00515F80" w:rsidRDefault="00515F80" w:rsidP="00F17D8E">
            <w:pPr>
              <w:pStyle w:val="Tableheader"/>
              <w:rPr>
                <w:lang w:eastAsia="en-AU"/>
              </w:rPr>
            </w:pPr>
            <w:r>
              <w:rPr>
                <w:lang w:eastAsia="en-AU"/>
              </w:rPr>
              <w:t>Less than 3 years old</w:t>
            </w:r>
          </w:p>
        </w:tc>
        <w:tc>
          <w:tcPr>
            <w:tcW w:w="1387" w:type="dxa"/>
          </w:tcPr>
          <w:p w14:paraId="2A50A696" w14:textId="77777777" w:rsidR="00515F80" w:rsidRDefault="00515F80" w:rsidP="00F17D8E">
            <w:pPr>
              <w:pStyle w:val="Tableheader"/>
              <w:rPr>
                <w:lang w:eastAsia="en-AU"/>
              </w:rPr>
            </w:pPr>
            <w:r>
              <w:rPr>
                <w:lang w:eastAsia="en-AU"/>
              </w:rPr>
              <w:t>4 to 6 years old</w:t>
            </w:r>
          </w:p>
        </w:tc>
        <w:tc>
          <w:tcPr>
            <w:tcW w:w="1387" w:type="dxa"/>
          </w:tcPr>
          <w:p w14:paraId="731385A2" w14:textId="77777777" w:rsidR="00515F80" w:rsidRDefault="00515F80" w:rsidP="00F17D8E">
            <w:pPr>
              <w:pStyle w:val="Tableheader"/>
              <w:rPr>
                <w:lang w:eastAsia="en-AU"/>
              </w:rPr>
            </w:pPr>
            <w:r>
              <w:rPr>
                <w:lang w:eastAsia="en-AU"/>
              </w:rPr>
              <w:t>More than 6 years old</w:t>
            </w:r>
          </w:p>
        </w:tc>
      </w:tr>
      <w:tr w:rsidR="00652E67" w14:paraId="23AFE738"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7A2A568F" w14:textId="77777777" w:rsidR="00652E67" w:rsidRDefault="00652E67" w:rsidP="00652E67">
            <w:pPr>
              <w:pStyle w:val="Tabletext"/>
              <w:rPr>
                <w:lang w:eastAsia="en-AU"/>
              </w:rPr>
            </w:pPr>
            <w:r>
              <w:rPr>
                <w:lang w:eastAsia="en-AU"/>
              </w:rPr>
              <w:t xml:space="preserve">Turnover </w:t>
            </w:r>
          </w:p>
        </w:tc>
        <w:tc>
          <w:tcPr>
            <w:tcW w:w="1387" w:type="dxa"/>
          </w:tcPr>
          <w:p w14:paraId="4547B179" w14:textId="26873910" w:rsidR="00652E67" w:rsidRDefault="00652E67" w:rsidP="00652E67">
            <w:pPr>
              <w:pStyle w:val="Tabletext"/>
              <w:tabs>
                <w:tab w:val="right" w:pos="2082"/>
              </w:tabs>
              <w:rPr>
                <w:lang w:eastAsia="en-AU"/>
              </w:rPr>
            </w:pPr>
            <w:r w:rsidRPr="00E71087">
              <w:t>-0.142***</w:t>
            </w:r>
          </w:p>
        </w:tc>
        <w:tc>
          <w:tcPr>
            <w:tcW w:w="1387" w:type="dxa"/>
          </w:tcPr>
          <w:p w14:paraId="6A703CCE" w14:textId="4CB27A37" w:rsidR="00652E67" w:rsidRDefault="00652E67" w:rsidP="00652E67">
            <w:pPr>
              <w:pStyle w:val="Tabletext"/>
              <w:tabs>
                <w:tab w:val="right" w:pos="2082"/>
              </w:tabs>
              <w:rPr>
                <w:lang w:eastAsia="en-AU"/>
              </w:rPr>
            </w:pPr>
            <w:r w:rsidRPr="00E71087">
              <w:t>-0.273***</w:t>
            </w:r>
          </w:p>
        </w:tc>
        <w:tc>
          <w:tcPr>
            <w:tcW w:w="1387" w:type="dxa"/>
          </w:tcPr>
          <w:p w14:paraId="6ED9A079" w14:textId="14511C07" w:rsidR="00652E67" w:rsidRDefault="00652E67" w:rsidP="00652E67">
            <w:pPr>
              <w:pStyle w:val="Tabletext"/>
              <w:tabs>
                <w:tab w:val="right" w:pos="2082"/>
              </w:tabs>
              <w:rPr>
                <w:lang w:eastAsia="en-AU"/>
              </w:rPr>
            </w:pPr>
            <w:r w:rsidRPr="00E71087">
              <w:t>-0.109***</w:t>
            </w:r>
          </w:p>
        </w:tc>
        <w:tc>
          <w:tcPr>
            <w:tcW w:w="1387" w:type="dxa"/>
          </w:tcPr>
          <w:p w14:paraId="2DEE228B" w14:textId="31FB9818" w:rsidR="00652E67" w:rsidRDefault="00652E67" w:rsidP="00652E67">
            <w:pPr>
              <w:pStyle w:val="Tabletext"/>
              <w:tabs>
                <w:tab w:val="right" w:pos="2082"/>
              </w:tabs>
              <w:rPr>
                <w:lang w:eastAsia="en-AU"/>
              </w:rPr>
            </w:pPr>
            <w:r w:rsidRPr="00E71087">
              <w:t>-0.022</w:t>
            </w:r>
          </w:p>
        </w:tc>
      </w:tr>
      <w:tr w:rsidR="00652E67" w14:paraId="09A3F461"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2E461614" w14:textId="77777777" w:rsidR="00652E67" w:rsidRDefault="00652E67" w:rsidP="00652E67">
            <w:pPr>
              <w:pStyle w:val="Tabletext"/>
              <w:rPr>
                <w:lang w:eastAsia="en-AU"/>
              </w:rPr>
            </w:pPr>
            <w:r>
              <w:rPr>
                <w:lang w:eastAsia="en-AU"/>
              </w:rPr>
              <w:t>Employment</w:t>
            </w:r>
          </w:p>
        </w:tc>
        <w:tc>
          <w:tcPr>
            <w:tcW w:w="1387" w:type="dxa"/>
          </w:tcPr>
          <w:p w14:paraId="51C9C2B9" w14:textId="5CA9DF89" w:rsidR="00652E67" w:rsidRPr="00D10260" w:rsidRDefault="00652E67" w:rsidP="00652E67">
            <w:pPr>
              <w:pStyle w:val="Tabletext"/>
              <w:tabs>
                <w:tab w:val="right" w:pos="2082"/>
              </w:tabs>
            </w:pPr>
            <w:r w:rsidRPr="00BE5DC7">
              <w:t>-0.134***</w:t>
            </w:r>
          </w:p>
        </w:tc>
        <w:tc>
          <w:tcPr>
            <w:tcW w:w="1387" w:type="dxa"/>
          </w:tcPr>
          <w:p w14:paraId="44401BA8" w14:textId="77EF77DB" w:rsidR="00652E67" w:rsidRPr="00D10260" w:rsidRDefault="00652E67" w:rsidP="00652E67">
            <w:pPr>
              <w:pStyle w:val="Tabletext"/>
              <w:tabs>
                <w:tab w:val="right" w:pos="2082"/>
              </w:tabs>
            </w:pPr>
            <w:r w:rsidRPr="00BE5DC7">
              <w:t>-0.219***</w:t>
            </w:r>
          </w:p>
        </w:tc>
        <w:tc>
          <w:tcPr>
            <w:tcW w:w="1387" w:type="dxa"/>
          </w:tcPr>
          <w:p w14:paraId="6A71DDCF" w14:textId="067AE92D" w:rsidR="00652E67" w:rsidRPr="00D10260" w:rsidRDefault="00652E67" w:rsidP="00652E67">
            <w:pPr>
              <w:pStyle w:val="Tabletext"/>
              <w:tabs>
                <w:tab w:val="right" w:pos="2082"/>
              </w:tabs>
            </w:pPr>
            <w:r w:rsidRPr="00BE5DC7">
              <w:t>-0.108***</w:t>
            </w:r>
          </w:p>
        </w:tc>
        <w:tc>
          <w:tcPr>
            <w:tcW w:w="1387" w:type="dxa"/>
          </w:tcPr>
          <w:p w14:paraId="2D574FFA" w14:textId="015CF940" w:rsidR="00652E67" w:rsidRPr="00D10260" w:rsidRDefault="00652E67" w:rsidP="00652E67">
            <w:pPr>
              <w:pStyle w:val="Tabletext"/>
              <w:tabs>
                <w:tab w:val="right" w:pos="2082"/>
              </w:tabs>
            </w:pPr>
            <w:r w:rsidRPr="00BE5DC7">
              <w:t>-0.078***</w:t>
            </w:r>
          </w:p>
        </w:tc>
      </w:tr>
      <w:tr w:rsidR="00652E67" w14:paraId="6160E471"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71E2D672" w14:textId="77777777" w:rsidR="00652E67" w:rsidRDefault="00652E67" w:rsidP="00652E67">
            <w:pPr>
              <w:pStyle w:val="Tabletext"/>
              <w:rPr>
                <w:lang w:eastAsia="en-AU"/>
              </w:rPr>
            </w:pPr>
            <w:r>
              <w:rPr>
                <w:lang w:eastAsia="en-AU"/>
              </w:rPr>
              <w:t>Productivity</w:t>
            </w:r>
          </w:p>
        </w:tc>
        <w:tc>
          <w:tcPr>
            <w:tcW w:w="1387" w:type="dxa"/>
          </w:tcPr>
          <w:p w14:paraId="2649CFDF" w14:textId="750F577B" w:rsidR="00652E67" w:rsidRPr="00D10260" w:rsidRDefault="00652E67" w:rsidP="00652E67">
            <w:pPr>
              <w:pStyle w:val="Tabletext"/>
              <w:tabs>
                <w:tab w:val="right" w:pos="2082"/>
              </w:tabs>
            </w:pPr>
            <w:r>
              <w:t>-</w:t>
            </w:r>
          </w:p>
        </w:tc>
        <w:tc>
          <w:tcPr>
            <w:tcW w:w="1387" w:type="dxa"/>
          </w:tcPr>
          <w:p w14:paraId="78B86C9C" w14:textId="2A13C7C9" w:rsidR="00652E67" w:rsidRPr="00D10260" w:rsidRDefault="00652E67" w:rsidP="00652E67">
            <w:pPr>
              <w:pStyle w:val="Tabletext"/>
              <w:tabs>
                <w:tab w:val="right" w:pos="2082"/>
              </w:tabs>
            </w:pPr>
            <w:r>
              <w:t>-</w:t>
            </w:r>
          </w:p>
        </w:tc>
        <w:tc>
          <w:tcPr>
            <w:tcW w:w="1387" w:type="dxa"/>
          </w:tcPr>
          <w:p w14:paraId="562B8B44" w14:textId="4536FB02" w:rsidR="00652E67" w:rsidRPr="00D10260" w:rsidRDefault="00652E67" w:rsidP="00652E67">
            <w:pPr>
              <w:pStyle w:val="Tabletext"/>
              <w:tabs>
                <w:tab w:val="right" w:pos="2082"/>
              </w:tabs>
            </w:pPr>
            <w:r>
              <w:t>-</w:t>
            </w:r>
          </w:p>
        </w:tc>
        <w:tc>
          <w:tcPr>
            <w:tcW w:w="1387" w:type="dxa"/>
          </w:tcPr>
          <w:p w14:paraId="5F8A8D70" w14:textId="34A784E7" w:rsidR="00652E67" w:rsidRDefault="00652E67" w:rsidP="00652E67">
            <w:pPr>
              <w:pStyle w:val="Tabletext"/>
              <w:tabs>
                <w:tab w:val="right" w:pos="2082"/>
              </w:tabs>
            </w:pPr>
            <w:r w:rsidRPr="008777F4">
              <w:t>0.051*</w:t>
            </w:r>
          </w:p>
        </w:tc>
      </w:tr>
      <w:tr w:rsidR="00652E67" w14:paraId="26B4E4B4" w14:textId="77777777" w:rsidTr="00F17D8E">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5D28AC53" w14:textId="77777777" w:rsidR="00652E67" w:rsidRDefault="00652E67" w:rsidP="00652E67">
            <w:pPr>
              <w:pStyle w:val="Tabletext"/>
              <w:rPr>
                <w:lang w:eastAsia="en-AU"/>
              </w:rPr>
            </w:pPr>
            <w:r>
              <w:rPr>
                <w:lang w:eastAsia="en-AU"/>
              </w:rPr>
              <w:t xml:space="preserve">Capital </w:t>
            </w:r>
          </w:p>
        </w:tc>
        <w:tc>
          <w:tcPr>
            <w:tcW w:w="1387" w:type="dxa"/>
          </w:tcPr>
          <w:p w14:paraId="7C67CDDB" w14:textId="10A51BEF" w:rsidR="00652E67" w:rsidRPr="00D10260" w:rsidRDefault="00652E67" w:rsidP="00652E67">
            <w:pPr>
              <w:pStyle w:val="Tabletext"/>
              <w:tabs>
                <w:tab w:val="right" w:pos="2082"/>
              </w:tabs>
            </w:pPr>
            <w:r>
              <w:t>-</w:t>
            </w:r>
          </w:p>
        </w:tc>
        <w:tc>
          <w:tcPr>
            <w:tcW w:w="1387" w:type="dxa"/>
          </w:tcPr>
          <w:p w14:paraId="3551455E" w14:textId="4A298AEC" w:rsidR="00652E67" w:rsidRPr="00D10260" w:rsidRDefault="00652E67" w:rsidP="00652E67">
            <w:pPr>
              <w:pStyle w:val="Tabletext"/>
              <w:tabs>
                <w:tab w:val="right" w:pos="2082"/>
              </w:tabs>
            </w:pPr>
            <w:r>
              <w:t>-</w:t>
            </w:r>
          </w:p>
        </w:tc>
        <w:tc>
          <w:tcPr>
            <w:tcW w:w="1387" w:type="dxa"/>
          </w:tcPr>
          <w:p w14:paraId="09DEF5E7" w14:textId="7E86F720" w:rsidR="00652E67" w:rsidRPr="00D10260" w:rsidRDefault="00652E67" w:rsidP="00652E67">
            <w:pPr>
              <w:pStyle w:val="Tabletext"/>
              <w:tabs>
                <w:tab w:val="right" w:pos="2082"/>
              </w:tabs>
            </w:pPr>
            <w:r>
              <w:t>-</w:t>
            </w:r>
          </w:p>
        </w:tc>
        <w:tc>
          <w:tcPr>
            <w:tcW w:w="1387" w:type="dxa"/>
          </w:tcPr>
          <w:p w14:paraId="498C4EB9" w14:textId="5743E55A" w:rsidR="00652E67" w:rsidRDefault="00652E67" w:rsidP="00652E67">
            <w:pPr>
              <w:pStyle w:val="Tabletext"/>
              <w:tabs>
                <w:tab w:val="right" w:pos="2082"/>
              </w:tabs>
            </w:pPr>
            <w:r>
              <w:t>-</w:t>
            </w:r>
          </w:p>
        </w:tc>
      </w:tr>
      <w:tr w:rsidR="00652E67" w14:paraId="31600176" w14:textId="77777777" w:rsidTr="00F17D8E">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04B68A89" w14:textId="77777777" w:rsidR="00652E67" w:rsidRDefault="00652E67" w:rsidP="00652E67">
            <w:pPr>
              <w:pStyle w:val="Tabletext"/>
              <w:tabs>
                <w:tab w:val="right" w:pos="2082"/>
              </w:tabs>
              <w:rPr>
                <w:lang w:eastAsia="en-AU"/>
              </w:rPr>
            </w:pPr>
            <w:r>
              <w:rPr>
                <w:lang w:eastAsia="en-AU"/>
              </w:rPr>
              <w:t xml:space="preserve">R&amp;D </w:t>
            </w:r>
          </w:p>
        </w:tc>
        <w:tc>
          <w:tcPr>
            <w:tcW w:w="1387" w:type="dxa"/>
          </w:tcPr>
          <w:p w14:paraId="69ED65A3" w14:textId="5D37F488" w:rsidR="00652E67" w:rsidRDefault="00652E67" w:rsidP="00652E67">
            <w:pPr>
              <w:pStyle w:val="Tabletext"/>
              <w:tabs>
                <w:tab w:val="left" w:pos="845"/>
              </w:tabs>
              <w:rPr>
                <w:lang w:eastAsia="en-AU"/>
              </w:rPr>
            </w:pPr>
            <w:r>
              <w:t>-</w:t>
            </w:r>
          </w:p>
        </w:tc>
        <w:tc>
          <w:tcPr>
            <w:tcW w:w="1387" w:type="dxa"/>
          </w:tcPr>
          <w:p w14:paraId="5360FD13" w14:textId="75727237" w:rsidR="00652E67" w:rsidRDefault="00652E67" w:rsidP="00652E67">
            <w:pPr>
              <w:pStyle w:val="Tabletext"/>
              <w:tabs>
                <w:tab w:val="right" w:pos="2082"/>
              </w:tabs>
              <w:rPr>
                <w:lang w:eastAsia="en-AU"/>
              </w:rPr>
            </w:pPr>
            <w:r>
              <w:t>-</w:t>
            </w:r>
          </w:p>
        </w:tc>
        <w:tc>
          <w:tcPr>
            <w:tcW w:w="1387" w:type="dxa"/>
          </w:tcPr>
          <w:p w14:paraId="4AD99A18" w14:textId="583C307A" w:rsidR="00652E67" w:rsidRDefault="00652E67" w:rsidP="00652E67">
            <w:pPr>
              <w:pStyle w:val="Tabletext"/>
              <w:tabs>
                <w:tab w:val="right" w:pos="2082"/>
              </w:tabs>
              <w:rPr>
                <w:lang w:eastAsia="en-AU"/>
              </w:rPr>
            </w:pPr>
            <w:r>
              <w:t>-</w:t>
            </w:r>
          </w:p>
        </w:tc>
        <w:tc>
          <w:tcPr>
            <w:tcW w:w="1387" w:type="dxa"/>
          </w:tcPr>
          <w:p w14:paraId="18F95C8B" w14:textId="1E4D7BF8" w:rsidR="00652E67" w:rsidRDefault="00652E67" w:rsidP="00652E67">
            <w:pPr>
              <w:pStyle w:val="Tabletext"/>
              <w:tabs>
                <w:tab w:val="right" w:pos="2082"/>
              </w:tabs>
              <w:rPr>
                <w:lang w:eastAsia="en-AU"/>
              </w:rPr>
            </w:pPr>
            <w:r>
              <w:t>-</w:t>
            </w:r>
          </w:p>
        </w:tc>
      </w:tr>
    </w:tbl>
    <w:p w14:paraId="4B24D1DA" w14:textId="77777777" w:rsidR="00515F80" w:rsidRDefault="00515F80" w:rsidP="00515F80">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5E9364B2" w14:textId="77777777" w:rsidR="00515F80" w:rsidRDefault="00515F80" w:rsidP="00515F80">
      <w:pPr>
        <w:pStyle w:val="Source"/>
      </w:pPr>
      <w:r>
        <w:t xml:space="preserve">Source: BLADE (2019) </w:t>
      </w:r>
    </w:p>
    <w:p w14:paraId="48A60C0C" w14:textId="77777777" w:rsidR="00FF5700" w:rsidRPr="00FF5700" w:rsidRDefault="00FF5700" w:rsidP="00FF5700">
      <w:pPr>
        <w:pStyle w:val="BodyText"/>
      </w:pPr>
    </w:p>
    <w:p w14:paraId="50E79264" w14:textId="30B90E33" w:rsidR="008754F6" w:rsidRDefault="008754F6" w:rsidP="008754F6">
      <w:pPr>
        <w:pStyle w:val="Caption"/>
      </w:pPr>
      <w:r w:rsidRPr="000618FB">
        <w:lastRenderedPageBreak/>
        <w:t xml:space="preserve">Table </w:t>
      </w:r>
      <w:r>
        <w:rPr>
          <w:noProof/>
        </w:rPr>
        <w:t>D.3</w:t>
      </w:r>
      <w:r w:rsidRPr="000618FB">
        <w:t xml:space="preserve">: </w:t>
      </w:r>
      <w:r>
        <w:t xml:space="preserve">Average annual growth differentials between BGFs and non-exporting firms, 3 year, 25% export intensity BGF definition   </w:t>
      </w:r>
    </w:p>
    <w:tbl>
      <w:tblPr>
        <w:tblStyle w:val="OCETable"/>
        <w:tblW w:w="5030" w:type="pct"/>
        <w:tblInd w:w="57" w:type="dxa"/>
        <w:tblLayout w:type="fixed"/>
        <w:tblLook w:val="04A0" w:firstRow="1" w:lastRow="0" w:firstColumn="1" w:lastColumn="0" w:noHBand="0" w:noVBand="1"/>
        <w:tblCaption w:val="Average annual growth differentials between BGFs and non-exporting firms, 3 year, 25% export intensity BGF definition   "/>
        <w:tblDescription w:val="Similar to Table 3.3 but now using alternative definition. "/>
      </w:tblPr>
      <w:tblGrid>
        <w:gridCol w:w="1387"/>
        <w:gridCol w:w="1387"/>
        <w:gridCol w:w="1387"/>
        <w:gridCol w:w="1387"/>
        <w:gridCol w:w="1387"/>
      </w:tblGrid>
      <w:tr w:rsidR="008754F6" w14:paraId="329472B0"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5EE7E2CA" w14:textId="77777777" w:rsidR="008754F6" w:rsidRDefault="008754F6" w:rsidP="00DA0D6D">
            <w:pPr>
              <w:pStyle w:val="Tableheader"/>
              <w:rPr>
                <w:lang w:eastAsia="en-AU"/>
              </w:rPr>
            </w:pPr>
            <w:r>
              <w:rPr>
                <w:lang w:eastAsia="en-AU"/>
              </w:rPr>
              <w:t>Performance indicator</w:t>
            </w:r>
          </w:p>
        </w:tc>
        <w:tc>
          <w:tcPr>
            <w:tcW w:w="1387" w:type="dxa"/>
          </w:tcPr>
          <w:p w14:paraId="00F43EC5" w14:textId="77777777" w:rsidR="008754F6" w:rsidRDefault="008754F6" w:rsidP="00DA0D6D">
            <w:pPr>
              <w:pStyle w:val="Tableheader"/>
              <w:rPr>
                <w:lang w:eastAsia="en-AU"/>
              </w:rPr>
            </w:pPr>
            <w:r>
              <w:rPr>
                <w:lang w:eastAsia="en-AU"/>
              </w:rPr>
              <w:t>All firms</w:t>
            </w:r>
          </w:p>
        </w:tc>
        <w:tc>
          <w:tcPr>
            <w:tcW w:w="1387" w:type="dxa"/>
          </w:tcPr>
          <w:p w14:paraId="3518C7CF" w14:textId="77777777" w:rsidR="008754F6" w:rsidRDefault="008754F6" w:rsidP="00DA0D6D">
            <w:pPr>
              <w:pStyle w:val="Tableheader"/>
              <w:rPr>
                <w:lang w:eastAsia="en-AU"/>
              </w:rPr>
            </w:pPr>
            <w:r>
              <w:rPr>
                <w:lang w:eastAsia="en-AU"/>
              </w:rPr>
              <w:t>Less than 3 years old</w:t>
            </w:r>
          </w:p>
        </w:tc>
        <w:tc>
          <w:tcPr>
            <w:tcW w:w="1387" w:type="dxa"/>
          </w:tcPr>
          <w:p w14:paraId="12B62B8B" w14:textId="77777777" w:rsidR="008754F6" w:rsidRDefault="008754F6" w:rsidP="00DA0D6D">
            <w:pPr>
              <w:pStyle w:val="Tableheader"/>
              <w:rPr>
                <w:lang w:eastAsia="en-AU"/>
              </w:rPr>
            </w:pPr>
            <w:r>
              <w:rPr>
                <w:lang w:eastAsia="en-AU"/>
              </w:rPr>
              <w:t>4 to 6 years old</w:t>
            </w:r>
          </w:p>
        </w:tc>
        <w:tc>
          <w:tcPr>
            <w:tcW w:w="1387" w:type="dxa"/>
          </w:tcPr>
          <w:p w14:paraId="71B11C38" w14:textId="77777777" w:rsidR="008754F6" w:rsidRDefault="008754F6" w:rsidP="00DA0D6D">
            <w:pPr>
              <w:pStyle w:val="Tableheader"/>
              <w:rPr>
                <w:lang w:eastAsia="en-AU"/>
              </w:rPr>
            </w:pPr>
            <w:r>
              <w:rPr>
                <w:lang w:eastAsia="en-AU"/>
              </w:rPr>
              <w:t>More than 6 years old</w:t>
            </w:r>
          </w:p>
        </w:tc>
      </w:tr>
      <w:tr w:rsidR="008475E7" w14:paraId="4F4F2CBA"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0400A02F" w14:textId="77777777" w:rsidR="008475E7" w:rsidRDefault="008475E7" w:rsidP="008475E7">
            <w:pPr>
              <w:pStyle w:val="Tabletext"/>
              <w:rPr>
                <w:lang w:eastAsia="en-AU"/>
              </w:rPr>
            </w:pPr>
            <w:r>
              <w:rPr>
                <w:lang w:eastAsia="en-AU"/>
              </w:rPr>
              <w:t xml:space="preserve">Turnover </w:t>
            </w:r>
          </w:p>
        </w:tc>
        <w:tc>
          <w:tcPr>
            <w:tcW w:w="1387" w:type="dxa"/>
          </w:tcPr>
          <w:p w14:paraId="270DE12D" w14:textId="0B7ED53A" w:rsidR="008475E7" w:rsidRDefault="00FA44AC" w:rsidP="008475E7">
            <w:pPr>
              <w:pStyle w:val="Tabletext"/>
              <w:tabs>
                <w:tab w:val="right" w:pos="2082"/>
              </w:tabs>
              <w:rPr>
                <w:lang w:eastAsia="en-AU"/>
              </w:rPr>
            </w:pPr>
            <w:r>
              <w:t>-</w:t>
            </w:r>
          </w:p>
        </w:tc>
        <w:tc>
          <w:tcPr>
            <w:tcW w:w="1387" w:type="dxa"/>
          </w:tcPr>
          <w:p w14:paraId="5A84345E" w14:textId="5B4A26FF" w:rsidR="008475E7" w:rsidRDefault="008475E7" w:rsidP="008475E7">
            <w:pPr>
              <w:pStyle w:val="Tabletext"/>
              <w:tabs>
                <w:tab w:val="right" w:pos="2082"/>
              </w:tabs>
              <w:rPr>
                <w:lang w:eastAsia="en-AU"/>
              </w:rPr>
            </w:pPr>
            <w:r w:rsidRPr="003C4573">
              <w:t>0.048***</w:t>
            </w:r>
          </w:p>
        </w:tc>
        <w:tc>
          <w:tcPr>
            <w:tcW w:w="1387" w:type="dxa"/>
          </w:tcPr>
          <w:p w14:paraId="1CD9DCC2" w14:textId="56ECF902" w:rsidR="008475E7" w:rsidRDefault="008475E7" w:rsidP="008475E7">
            <w:pPr>
              <w:pStyle w:val="Tabletext"/>
              <w:tabs>
                <w:tab w:val="right" w:pos="2082"/>
              </w:tabs>
              <w:rPr>
                <w:lang w:eastAsia="en-AU"/>
              </w:rPr>
            </w:pPr>
            <w:r w:rsidRPr="003C4573">
              <w:t>-0.026***</w:t>
            </w:r>
          </w:p>
        </w:tc>
        <w:tc>
          <w:tcPr>
            <w:tcW w:w="1387" w:type="dxa"/>
          </w:tcPr>
          <w:p w14:paraId="6CF6B373" w14:textId="19C29A0A" w:rsidR="008475E7" w:rsidRDefault="00FA44AC" w:rsidP="008475E7">
            <w:pPr>
              <w:pStyle w:val="Tabletext"/>
              <w:tabs>
                <w:tab w:val="right" w:pos="2082"/>
              </w:tabs>
              <w:rPr>
                <w:lang w:eastAsia="en-AU"/>
              </w:rPr>
            </w:pPr>
            <w:r>
              <w:t>-</w:t>
            </w:r>
          </w:p>
        </w:tc>
      </w:tr>
      <w:tr w:rsidR="008475E7" w14:paraId="671D1AC5" w14:textId="77777777" w:rsidTr="00DA0D6D">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2B73AF6B" w14:textId="77777777" w:rsidR="008475E7" w:rsidRDefault="008475E7" w:rsidP="008475E7">
            <w:pPr>
              <w:pStyle w:val="Tabletext"/>
              <w:rPr>
                <w:lang w:eastAsia="en-AU"/>
              </w:rPr>
            </w:pPr>
            <w:r>
              <w:rPr>
                <w:lang w:eastAsia="en-AU"/>
              </w:rPr>
              <w:t>Employment</w:t>
            </w:r>
          </w:p>
        </w:tc>
        <w:tc>
          <w:tcPr>
            <w:tcW w:w="1387" w:type="dxa"/>
          </w:tcPr>
          <w:p w14:paraId="101D592A" w14:textId="474FABF6" w:rsidR="008475E7" w:rsidRPr="00D10260" w:rsidRDefault="008475E7" w:rsidP="008475E7">
            <w:pPr>
              <w:pStyle w:val="Tabletext"/>
              <w:tabs>
                <w:tab w:val="right" w:pos="2082"/>
              </w:tabs>
            </w:pPr>
            <w:r w:rsidRPr="00DB77A5">
              <w:t>0.014***</w:t>
            </w:r>
          </w:p>
        </w:tc>
        <w:tc>
          <w:tcPr>
            <w:tcW w:w="1387" w:type="dxa"/>
          </w:tcPr>
          <w:p w14:paraId="50F26A10" w14:textId="3E93BE06" w:rsidR="008475E7" w:rsidRPr="00D10260" w:rsidRDefault="008475E7" w:rsidP="008475E7">
            <w:pPr>
              <w:pStyle w:val="Tabletext"/>
              <w:tabs>
                <w:tab w:val="right" w:pos="2082"/>
              </w:tabs>
            </w:pPr>
            <w:r w:rsidRPr="00DB77A5">
              <w:t>0.030***</w:t>
            </w:r>
          </w:p>
        </w:tc>
        <w:tc>
          <w:tcPr>
            <w:tcW w:w="1387" w:type="dxa"/>
          </w:tcPr>
          <w:p w14:paraId="7EDBBE6D" w14:textId="5B952282" w:rsidR="008475E7" w:rsidRPr="00D10260" w:rsidRDefault="00FA44AC" w:rsidP="008475E7">
            <w:pPr>
              <w:pStyle w:val="Tabletext"/>
              <w:tabs>
                <w:tab w:val="right" w:pos="2082"/>
              </w:tabs>
            </w:pPr>
            <w:r>
              <w:t>-</w:t>
            </w:r>
          </w:p>
        </w:tc>
        <w:tc>
          <w:tcPr>
            <w:tcW w:w="1387" w:type="dxa"/>
          </w:tcPr>
          <w:p w14:paraId="4F255AE6" w14:textId="33726069" w:rsidR="008475E7" w:rsidRPr="00D10260" w:rsidRDefault="00FA44AC" w:rsidP="008475E7">
            <w:pPr>
              <w:pStyle w:val="Tabletext"/>
              <w:tabs>
                <w:tab w:val="right" w:pos="2082"/>
              </w:tabs>
            </w:pPr>
            <w:r>
              <w:t>-</w:t>
            </w:r>
          </w:p>
        </w:tc>
      </w:tr>
      <w:tr w:rsidR="008475E7" w14:paraId="112D9D4D"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6298E303" w14:textId="77777777" w:rsidR="008475E7" w:rsidRDefault="008475E7" w:rsidP="008475E7">
            <w:pPr>
              <w:pStyle w:val="Tabletext"/>
              <w:rPr>
                <w:lang w:eastAsia="en-AU"/>
              </w:rPr>
            </w:pPr>
            <w:r>
              <w:rPr>
                <w:lang w:eastAsia="en-AU"/>
              </w:rPr>
              <w:t>Productivity</w:t>
            </w:r>
          </w:p>
        </w:tc>
        <w:tc>
          <w:tcPr>
            <w:tcW w:w="1387" w:type="dxa"/>
          </w:tcPr>
          <w:p w14:paraId="1E49D610" w14:textId="1306CCE0" w:rsidR="008475E7" w:rsidRPr="00D10260" w:rsidRDefault="00FA44AC" w:rsidP="008475E7">
            <w:pPr>
              <w:pStyle w:val="Tabletext"/>
              <w:tabs>
                <w:tab w:val="right" w:pos="2082"/>
              </w:tabs>
            </w:pPr>
            <w:r>
              <w:t>-</w:t>
            </w:r>
          </w:p>
        </w:tc>
        <w:tc>
          <w:tcPr>
            <w:tcW w:w="1387" w:type="dxa"/>
          </w:tcPr>
          <w:p w14:paraId="11A5F3D7" w14:textId="03838782" w:rsidR="008475E7" w:rsidRPr="00D10260" w:rsidRDefault="008475E7" w:rsidP="008475E7">
            <w:pPr>
              <w:pStyle w:val="Tabletext"/>
              <w:tabs>
                <w:tab w:val="right" w:pos="2082"/>
              </w:tabs>
            </w:pPr>
            <w:r w:rsidRPr="000B563F">
              <w:t>0.020*</w:t>
            </w:r>
          </w:p>
        </w:tc>
        <w:tc>
          <w:tcPr>
            <w:tcW w:w="1387" w:type="dxa"/>
          </w:tcPr>
          <w:p w14:paraId="26883249" w14:textId="50943778" w:rsidR="008475E7" w:rsidRPr="00D10260" w:rsidRDefault="008475E7" w:rsidP="008475E7">
            <w:pPr>
              <w:pStyle w:val="Tabletext"/>
              <w:tabs>
                <w:tab w:val="right" w:pos="2082"/>
              </w:tabs>
            </w:pPr>
            <w:r w:rsidRPr="000B563F">
              <w:t>-0.027***</w:t>
            </w:r>
          </w:p>
        </w:tc>
        <w:tc>
          <w:tcPr>
            <w:tcW w:w="1387" w:type="dxa"/>
          </w:tcPr>
          <w:p w14:paraId="51FDD051" w14:textId="1F324DD6" w:rsidR="008475E7" w:rsidRDefault="00FA44AC" w:rsidP="008475E7">
            <w:pPr>
              <w:pStyle w:val="Tabletext"/>
              <w:tabs>
                <w:tab w:val="right" w:pos="2082"/>
              </w:tabs>
            </w:pPr>
            <w:r>
              <w:t>-</w:t>
            </w:r>
          </w:p>
        </w:tc>
      </w:tr>
      <w:tr w:rsidR="008475E7" w14:paraId="53B9B4F0" w14:textId="77777777" w:rsidTr="00DA0D6D">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1DF85FB4" w14:textId="77777777" w:rsidR="008475E7" w:rsidRDefault="008475E7" w:rsidP="008475E7">
            <w:pPr>
              <w:pStyle w:val="Tabletext"/>
              <w:rPr>
                <w:lang w:eastAsia="en-AU"/>
              </w:rPr>
            </w:pPr>
            <w:r>
              <w:rPr>
                <w:lang w:eastAsia="en-AU"/>
              </w:rPr>
              <w:t xml:space="preserve">Capital </w:t>
            </w:r>
          </w:p>
        </w:tc>
        <w:tc>
          <w:tcPr>
            <w:tcW w:w="1387" w:type="dxa"/>
          </w:tcPr>
          <w:p w14:paraId="5C7C2FDD" w14:textId="73B9B840" w:rsidR="008475E7" w:rsidRPr="00D10260" w:rsidRDefault="008475E7" w:rsidP="008475E7">
            <w:pPr>
              <w:pStyle w:val="Tabletext"/>
              <w:tabs>
                <w:tab w:val="right" w:pos="2082"/>
              </w:tabs>
            </w:pPr>
            <w:r w:rsidRPr="0067038E">
              <w:t>0.035**</w:t>
            </w:r>
          </w:p>
        </w:tc>
        <w:tc>
          <w:tcPr>
            <w:tcW w:w="1387" w:type="dxa"/>
          </w:tcPr>
          <w:p w14:paraId="23452953" w14:textId="0F831A2A" w:rsidR="008475E7" w:rsidRPr="00D10260" w:rsidRDefault="008475E7" w:rsidP="008475E7">
            <w:pPr>
              <w:pStyle w:val="Tabletext"/>
              <w:tabs>
                <w:tab w:val="right" w:pos="2082"/>
              </w:tabs>
            </w:pPr>
            <w:r w:rsidRPr="0067038E">
              <w:t>0.102***</w:t>
            </w:r>
          </w:p>
        </w:tc>
        <w:tc>
          <w:tcPr>
            <w:tcW w:w="1387" w:type="dxa"/>
          </w:tcPr>
          <w:p w14:paraId="2F4F082E" w14:textId="4072B4AC" w:rsidR="008475E7" w:rsidRPr="00D10260" w:rsidRDefault="00FA44AC" w:rsidP="008475E7">
            <w:pPr>
              <w:pStyle w:val="Tabletext"/>
              <w:tabs>
                <w:tab w:val="right" w:pos="2082"/>
              </w:tabs>
            </w:pPr>
            <w:r>
              <w:t>-</w:t>
            </w:r>
          </w:p>
        </w:tc>
        <w:tc>
          <w:tcPr>
            <w:tcW w:w="1387" w:type="dxa"/>
          </w:tcPr>
          <w:p w14:paraId="05F99AF1" w14:textId="611AAE1A" w:rsidR="008475E7" w:rsidRDefault="00FA44AC" w:rsidP="008475E7">
            <w:pPr>
              <w:pStyle w:val="Tabletext"/>
              <w:tabs>
                <w:tab w:val="right" w:pos="2082"/>
              </w:tabs>
            </w:pPr>
            <w:r>
              <w:t>-</w:t>
            </w:r>
          </w:p>
        </w:tc>
      </w:tr>
      <w:tr w:rsidR="008475E7" w14:paraId="4AD2A6E4"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165F4D88" w14:textId="77777777" w:rsidR="008475E7" w:rsidRDefault="008475E7" w:rsidP="008475E7">
            <w:pPr>
              <w:pStyle w:val="Tabletext"/>
              <w:tabs>
                <w:tab w:val="right" w:pos="2082"/>
              </w:tabs>
              <w:rPr>
                <w:lang w:eastAsia="en-AU"/>
              </w:rPr>
            </w:pPr>
            <w:r>
              <w:rPr>
                <w:lang w:eastAsia="en-AU"/>
              </w:rPr>
              <w:t xml:space="preserve">R&amp;D </w:t>
            </w:r>
          </w:p>
        </w:tc>
        <w:tc>
          <w:tcPr>
            <w:tcW w:w="1387" w:type="dxa"/>
          </w:tcPr>
          <w:p w14:paraId="612E14EC" w14:textId="63AF1473" w:rsidR="008475E7" w:rsidRDefault="008475E7" w:rsidP="008475E7">
            <w:pPr>
              <w:pStyle w:val="Tabletext"/>
              <w:tabs>
                <w:tab w:val="right" w:pos="2082"/>
              </w:tabs>
              <w:rPr>
                <w:lang w:eastAsia="en-AU"/>
              </w:rPr>
            </w:pPr>
            <w:r w:rsidRPr="00B02C74">
              <w:t>0.053***</w:t>
            </w:r>
          </w:p>
        </w:tc>
        <w:tc>
          <w:tcPr>
            <w:tcW w:w="1387" w:type="dxa"/>
          </w:tcPr>
          <w:p w14:paraId="3FE59C9E" w14:textId="66BFEF0F" w:rsidR="008475E7" w:rsidRDefault="00FA44AC" w:rsidP="008475E7">
            <w:pPr>
              <w:pStyle w:val="Tabletext"/>
              <w:tabs>
                <w:tab w:val="right" w:pos="2082"/>
              </w:tabs>
              <w:rPr>
                <w:lang w:eastAsia="en-AU"/>
              </w:rPr>
            </w:pPr>
            <w:r>
              <w:t>-</w:t>
            </w:r>
          </w:p>
        </w:tc>
        <w:tc>
          <w:tcPr>
            <w:tcW w:w="1387" w:type="dxa"/>
          </w:tcPr>
          <w:p w14:paraId="66B62F0A" w14:textId="29865F8A" w:rsidR="008475E7" w:rsidRDefault="008475E7" w:rsidP="008475E7">
            <w:pPr>
              <w:pStyle w:val="Tabletext"/>
              <w:tabs>
                <w:tab w:val="right" w:pos="2082"/>
              </w:tabs>
              <w:rPr>
                <w:lang w:eastAsia="en-AU"/>
              </w:rPr>
            </w:pPr>
            <w:r w:rsidRPr="00B02C74">
              <w:t>0.080***</w:t>
            </w:r>
          </w:p>
        </w:tc>
        <w:tc>
          <w:tcPr>
            <w:tcW w:w="1387" w:type="dxa"/>
          </w:tcPr>
          <w:p w14:paraId="76378412" w14:textId="37F3EB97" w:rsidR="008475E7" w:rsidRDefault="00FA44AC" w:rsidP="008475E7">
            <w:pPr>
              <w:pStyle w:val="Tabletext"/>
              <w:tabs>
                <w:tab w:val="right" w:pos="2082"/>
              </w:tabs>
              <w:rPr>
                <w:lang w:eastAsia="en-AU"/>
              </w:rPr>
            </w:pPr>
            <w:r>
              <w:t>-</w:t>
            </w:r>
          </w:p>
        </w:tc>
      </w:tr>
    </w:tbl>
    <w:p w14:paraId="0E595884" w14:textId="77777777" w:rsidR="008754F6" w:rsidRDefault="008754F6" w:rsidP="008754F6">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14A571B5" w14:textId="097FF639" w:rsidR="008754F6" w:rsidRDefault="008754F6" w:rsidP="008754F6">
      <w:pPr>
        <w:pStyle w:val="Source"/>
      </w:pPr>
      <w:r>
        <w:t xml:space="preserve">Source: BLADE (2019) </w:t>
      </w:r>
    </w:p>
    <w:p w14:paraId="0D159C7C" w14:textId="35FD34AB" w:rsidR="008754F6" w:rsidRDefault="008754F6" w:rsidP="008754F6">
      <w:pPr>
        <w:pStyle w:val="Caption"/>
      </w:pPr>
      <w:r w:rsidRPr="000618FB">
        <w:t xml:space="preserve">Table </w:t>
      </w:r>
      <w:r>
        <w:rPr>
          <w:noProof/>
        </w:rPr>
        <w:t>D.4</w:t>
      </w:r>
      <w:r w:rsidRPr="000618FB">
        <w:t xml:space="preserve">: </w:t>
      </w:r>
      <w:r>
        <w:t xml:space="preserve">Average annual growth differentials between BGFs and non-exporting firms, 3 year, 100% export intensity BGF definition   </w:t>
      </w:r>
    </w:p>
    <w:tbl>
      <w:tblPr>
        <w:tblStyle w:val="OCETable"/>
        <w:tblW w:w="5030" w:type="pct"/>
        <w:tblInd w:w="57" w:type="dxa"/>
        <w:tblLayout w:type="fixed"/>
        <w:tblLook w:val="04A0" w:firstRow="1" w:lastRow="0" w:firstColumn="1" w:lastColumn="0" w:noHBand="0" w:noVBand="1"/>
        <w:tblCaption w:val="Average annual growth differentials between BGFs and non-exporting firms, 3 year, 100% export intensity BGF definition   "/>
        <w:tblDescription w:val="Similar to Table 3.3 but now using alternative definition. "/>
      </w:tblPr>
      <w:tblGrid>
        <w:gridCol w:w="1387"/>
        <w:gridCol w:w="1387"/>
        <w:gridCol w:w="1387"/>
        <w:gridCol w:w="1387"/>
        <w:gridCol w:w="1387"/>
      </w:tblGrid>
      <w:tr w:rsidR="008754F6" w14:paraId="06965954" w14:textId="77777777" w:rsidTr="0092519E">
        <w:trPr>
          <w:cnfStyle w:val="100000000000" w:firstRow="1" w:lastRow="0" w:firstColumn="0" w:lastColumn="0" w:oddVBand="0" w:evenVBand="0" w:oddHBand="0" w:evenHBand="0" w:firstRowFirstColumn="0" w:firstRowLastColumn="0" w:lastRowFirstColumn="0" w:lastRowLastColumn="0"/>
          <w:trHeight w:val="953"/>
          <w:tblHeader/>
        </w:trPr>
        <w:tc>
          <w:tcPr>
            <w:tcW w:w="1387" w:type="dxa"/>
          </w:tcPr>
          <w:p w14:paraId="1121083B" w14:textId="77777777" w:rsidR="008754F6" w:rsidRDefault="008754F6" w:rsidP="00DA0D6D">
            <w:pPr>
              <w:pStyle w:val="Tableheader"/>
              <w:rPr>
                <w:lang w:eastAsia="en-AU"/>
              </w:rPr>
            </w:pPr>
            <w:r>
              <w:rPr>
                <w:lang w:eastAsia="en-AU"/>
              </w:rPr>
              <w:t>Performance indicator</w:t>
            </w:r>
          </w:p>
        </w:tc>
        <w:tc>
          <w:tcPr>
            <w:tcW w:w="1387" w:type="dxa"/>
          </w:tcPr>
          <w:p w14:paraId="3B458857" w14:textId="77777777" w:rsidR="008754F6" w:rsidRDefault="008754F6" w:rsidP="00DA0D6D">
            <w:pPr>
              <w:pStyle w:val="Tableheader"/>
              <w:rPr>
                <w:lang w:eastAsia="en-AU"/>
              </w:rPr>
            </w:pPr>
            <w:r>
              <w:rPr>
                <w:lang w:eastAsia="en-AU"/>
              </w:rPr>
              <w:t>All firms</w:t>
            </w:r>
          </w:p>
        </w:tc>
        <w:tc>
          <w:tcPr>
            <w:tcW w:w="1387" w:type="dxa"/>
          </w:tcPr>
          <w:p w14:paraId="758C4154" w14:textId="77777777" w:rsidR="008754F6" w:rsidRDefault="008754F6" w:rsidP="00DA0D6D">
            <w:pPr>
              <w:pStyle w:val="Tableheader"/>
              <w:rPr>
                <w:lang w:eastAsia="en-AU"/>
              </w:rPr>
            </w:pPr>
            <w:r>
              <w:rPr>
                <w:lang w:eastAsia="en-AU"/>
              </w:rPr>
              <w:t>Less than 3 years old</w:t>
            </w:r>
          </w:p>
        </w:tc>
        <w:tc>
          <w:tcPr>
            <w:tcW w:w="1387" w:type="dxa"/>
          </w:tcPr>
          <w:p w14:paraId="20B3178C" w14:textId="77777777" w:rsidR="008754F6" w:rsidRDefault="008754F6" w:rsidP="00DA0D6D">
            <w:pPr>
              <w:pStyle w:val="Tableheader"/>
              <w:rPr>
                <w:lang w:eastAsia="en-AU"/>
              </w:rPr>
            </w:pPr>
            <w:r>
              <w:rPr>
                <w:lang w:eastAsia="en-AU"/>
              </w:rPr>
              <w:t>4 to 6 years old</w:t>
            </w:r>
          </w:p>
        </w:tc>
        <w:tc>
          <w:tcPr>
            <w:tcW w:w="1387" w:type="dxa"/>
          </w:tcPr>
          <w:p w14:paraId="119B1C38" w14:textId="77777777" w:rsidR="008754F6" w:rsidRDefault="008754F6" w:rsidP="00DA0D6D">
            <w:pPr>
              <w:pStyle w:val="Tableheader"/>
              <w:rPr>
                <w:lang w:eastAsia="en-AU"/>
              </w:rPr>
            </w:pPr>
            <w:r>
              <w:rPr>
                <w:lang w:eastAsia="en-AU"/>
              </w:rPr>
              <w:t>More than 6 years old</w:t>
            </w:r>
          </w:p>
        </w:tc>
      </w:tr>
      <w:tr w:rsidR="008475E7" w14:paraId="77F7B428"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50ED9BD8" w14:textId="77777777" w:rsidR="008475E7" w:rsidRDefault="008475E7" w:rsidP="008475E7">
            <w:pPr>
              <w:pStyle w:val="Tabletext"/>
              <w:rPr>
                <w:lang w:eastAsia="en-AU"/>
              </w:rPr>
            </w:pPr>
            <w:r>
              <w:rPr>
                <w:lang w:eastAsia="en-AU"/>
              </w:rPr>
              <w:t xml:space="preserve">Turnover </w:t>
            </w:r>
          </w:p>
        </w:tc>
        <w:tc>
          <w:tcPr>
            <w:tcW w:w="1387" w:type="dxa"/>
          </w:tcPr>
          <w:p w14:paraId="46808D60" w14:textId="35AD4D81" w:rsidR="008475E7" w:rsidRDefault="008475E7" w:rsidP="008475E7">
            <w:pPr>
              <w:pStyle w:val="Tabletext"/>
              <w:tabs>
                <w:tab w:val="right" w:pos="2082"/>
              </w:tabs>
              <w:rPr>
                <w:lang w:eastAsia="en-AU"/>
              </w:rPr>
            </w:pPr>
            <w:r w:rsidRPr="003523AD">
              <w:t>-0.042***</w:t>
            </w:r>
          </w:p>
        </w:tc>
        <w:tc>
          <w:tcPr>
            <w:tcW w:w="1387" w:type="dxa"/>
          </w:tcPr>
          <w:p w14:paraId="4CBC88E5" w14:textId="46661843" w:rsidR="008475E7" w:rsidRDefault="008475E7" w:rsidP="008475E7">
            <w:pPr>
              <w:pStyle w:val="Tabletext"/>
              <w:tabs>
                <w:tab w:val="right" w:pos="2082"/>
              </w:tabs>
              <w:rPr>
                <w:lang w:eastAsia="en-AU"/>
              </w:rPr>
            </w:pPr>
            <w:r w:rsidRPr="003523AD">
              <w:t>-0.078***</w:t>
            </w:r>
          </w:p>
        </w:tc>
        <w:tc>
          <w:tcPr>
            <w:tcW w:w="1387" w:type="dxa"/>
          </w:tcPr>
          <w:p w14:paraId="77DC9E0B" w14:textId="650C4EAB" w:rsidR="008475E7" w:rsidRDefault="008475E7" w:rsidP="008475E7">
            <w:pPr>
              <w:pStyle w:val="Tabletext"/>
              <w:tabs>
                <w:tab w:val="right" w:pos="2082"/>
              </w:tabs>
              <w:rPr>
                <w:lang w:eastAsia="en-AU"/>
              </w:rPr>
            </w:pPr>
            <w:r w:rsidRPr="003523AD">
              <w:t>-0.045**</w:t>
            </w:r>
          </w:p>
        </w:tc>
        <w:tc>
          <w:tcPr>
            <w:tcW w:w="1387" w:type="dxa"/>
          </w:tcPr>
          <w:p w14:paraId="65A7F891" w14:textId="148C5068" w:rsidR="008475E7" w:rsidRDefault="00FA44AC" w:rsidP="008475E7">
            <w:pPr>
              <w:pStyle w:val="Tabletext"/>
              <w:tabs>
                <w:tab w:val="right" w:pos="2082"/>
              </w:tabs>
              <w:rPr>
                <w:lang w:eastAsia="en-AU"/>
              </w:rPr>
            </w:pPr>
            <w:r>
              <w:t>-</w:t>
            </w:r>
          </w:p>
        </w:tc>
      </w:tr>
      <w:tr w:rsidR="008475E7" w14:paraId="7D530117" w14:textId="77777777" w:rsidTr="00DA0D6D">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74C7486E" w14:textId="77777777" w:rsidR="008475E7" w:rsidRDefault="008475E7" w:rsidP="008475E7">
            <w:pPr>
              <w:pStyle w:val="Tabletext"/>
              <w:rPr>
                <w:lang w:eastAsia="en-AU"/>
              </w:rPr>
            </w:pPr>
            <w:r>
              <w:rPr>
                <w:lang w:eastAsia="en-AU"/>
              </w:rPr>
              <w:t>Employment</w:t>
            </w:r>
          </w:p>
        </w:tc>
        <w:tc>
          <w:tcPr>
            <w:tcW w:w="1387" w:type="dxa"/>
          </w:tcPr>
          <w:p w14:paraId="1C32A55D" w14:textId="74C79CE9" w:rsidR="008475E7" w:rsidRPr="00D10260" w:rsidRDefault="008475E7" w:rsidP="008475E7">
            <w:pPr>
              <w:pStyle w:val="Tabletext"/>
              <w:tabs>
                <w:tab w:val="right" w:pos="2082"/>
              </w:tabs>
            </w:pPr>
            <w:r w:rsidRPr="008F16F3">
              <w:t>-0.023**</w:t>
            </w:r>
          </w:p>
        </w:tc>
        <w:tc>
          <w:tcPr>
            <w:tcW w:w="1387" w:type="dxa"/>
          </w:tcPr>
          <w:p w14:paraId="5DFEAEEF" w14:textId="083FF6B9" w:rsidR="008475E7" w:rsidRPr="00D10260" w:rsidRDefault="008475E7" w:rsidP="008475E7">
            <w:pPr>
              <w:pStyle w:val="Tabletext"/>
              <w:tabs>
                <w:tab w:val="right" w:pos="2082"/>
              </w:tabs>
            </w:pPr>
            <w:r w:rsidRPr="008F16F3">
              <w:t>-0.042***</w:t>
            </w:r>
          </w:p>
        </w:tc>
        <w:tc>
          <w:tcPr>
            <w:tcW w:w="1387" w:type="dxa"/>
          </w:tcPr>
          <w:p w14:paraId="0E89F1FA" w14:textId="38BF6A33" w:rsidR="008475E7" w:rsidRPr="00D10260" w:rsidRDefault="008475E7" w:rsidP="008475E7">
            <w:pPr>
              <w:pStyle w:val="Tabletext"/>
              <w:tabs>
                <w:tab w:val="right" w:pos="2082"/>
              </w:tabs>
            </w:pPr>
            <w:r w:rsidRPr="008F16F3">
              <w:t>-0.020*</w:t>
            </w:r>
          </w:p>
        </w:tc>
        <w:tc>
          <w:tcPr>
            <w:tcW w:w="1387" w:type="dxa"/>
          </w:tcPr>
          <w:p w14:paraId="5D14AD8E" w14:textId="5E72E4A7" w:rsidR="008475E7" w:rsidRPr="00D10260" w:rsidRDefault="00FA44AC" w:rsidP="008475E7">
            <w:pPr>
              <w:pStyle w:val="Tabletext"/>
              <w:tabs>
                <w:tab w:val="right" w:pos="2082"/>
              </w:tabs>
            </w:pPr>
            <w:r>
              <w:t>-</w:t>
            </w:r>
          </w:p>
        </w:tc>
      </w:tr>
      <w:tr w:rsidR="008475E7" w14:paraId="1F2B0236"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745DCDC2" w14:textId="77777777" w:rsidR="008475E7" w:rsidRDefault="008475E7" w:rsidP="008475E7">
            <w:pPr>
              <w:pStyle w:val="Tabletext"/>
              <w:rPr>
                <w:lang w:eastAsia="en-AU"/>
              </w:rPr>
            </w:pPr>
            <w:r>
              <w:rPr>
                <w:lang w:eastAsia="en-AU"/>
              </w:rPr>
              <w:t>Productivity</w:t>
            </w:r>
          </w:p>
        </w:tc>
        <w:tc>
          <w:tcPr>
            <w:tcW w:w="1387" w:type="dxa"/>
          </w:tcPr>
          <w:p w14:paraId="4DAB75CD" w14:textId="006E0A8C" w:rsidR="008475E7" w:rsidRPr="00D10260" w:rsidRDefault="008475E7" w:rsidP="008475E7">
            <w:pPr>
              <w:pStyle w:val="Tabletext"/>
              <w:tabs>
                <w:tab w:val="right" w:pos="2082"/>
              </w:tabs>
            </w:pPr>
            <w:r w:rsidRPr="00114048">
              <w:t>-0.021*</w:t>
            </w:r>
          </w:p>
        </w:tc>
        <w:tc>
          <w:tcPr>
            <w:tcW w:w="1387" w:type="dxa"/>
          </w:tcPr>
          <w:p w14:paraId="45D309B9" w14:textId="7CCE2E42" w:rsidR="008475E7" w:rsidRPr="00D10260" w:rsidRDefault="00FA44AC" w:rsidP="008475E7">
            <w:pPr>
              <w:pStyle w:val="Tabletext"/>
              <w:tabs>
                <w:tab w:val="right" w:pos="2082"/>
              </w:tabs>
            </w:pPr>
            <w:r>
              <w:t>-</w:t>
            </w:r>
          </w:p>
        </w:tc>
        <w:tc>
          <w:tcPr>
            <w:tcW w:w="1387" w:type="dxa"/>
          </w:tcPr>
          <w:p w14:paraId="4C28C64A" w14:textId="1DCB5F7F" w:rsidR="008475E7" w:rsidRPr="00D10260" w:rsidRDefault="008475E7" w:rsidP="008475E7">
            <w:pPr>
              <w:pStyle w:val="Tabletext"/>
              <w:tabs>
                <w:tab w:val="right" w:pos="2082"/>
              </w:tabs>
            </w:pPr>
            <w:r w:rsidRPr="00114048">
              <w:t>-0.029*</w:t>
            </w:r>
          </w:p>
        </w:tc>
        <w:tc>
          <w:tcPr>
            <w:tcW w:w="1387" w:type="dxa"/>
          </w:tcPr>
          <w:p w14:paraId="534BD4AE" w14:textId="54B6C769" w:rsidR="008475E7" w:rsidRDefault="00FA44AC" w:rsidP="008475E7">
            <w:pPr>
              <w:pStyle w:val="Tabletext"/>
              <w:tabs>
                <w:tab w:val="right" w:pos="2082"/>
              </w:tabs>
            </w:pPr>
            <w:r>
              <w:t>-</w:t>
            </w:r>
          </w:p>
        </w:tc>
      </w:tr>
      <w:tr w:rsidR="008475E7" w14:paraId="4C3005E3" w14:textId="77777777" w:rsidTr="00DA0D6D">
        <w:trPr>
          <w:cnfStyle w:val="000000010000" w:firstRow="0" w:lastRow="0" w:firstColumn="0" w:lastColumn="0" w:oddVBand="0" w:evenVBand="0" w:oddHBand="0" w:evenHBand="1" w:firstRowFirstColumn="0" w:firstRowLastColumn="0" w:lastRowFirstColumn="0" w:lastRowLastColumn="0"/>
          <w:trHeight w:val="286"/>
        </w:trPr>
        <w:tc>
          <w:tcPr>
            <w:tcW w:w="1387" w:type="dxa"/>
          </w:tcPr>
          <w:p w14:paraId="500093C7" w14:textId="77777777" w:rsidR="008475E7" w:rsidRDefault="008475E7" w:rsidP="008475E7">
            <w:pPr>
              <w:pStyle w:val="Tabletext"/>
              <w:rPr>
                <w:lang w:eastAsia="en-AU"/>
              </w:rPr>
            </w:pPr>
            <w:r>
              <w:rPr>
                <w:lang w:eastAsia="en-AU"/>
              </w:rPr>
              <w:t xml:space="preserve">Capital </w:t>
            </w:r>
          </w:p>
        </w:tc>
        <w:tc>
          <w:tcPr>
            <w:tcW w:w="1387" w:type="dxa"/>
          </w:tcPr>
          <w:p w14:paraId="4132220B" w14:textId="532146AD" w:rsidR="008475E7" w:rsidRPr="00D10260" w:rsidRDefault="00FA44AC" w:rsidP="008475E7">
            <w:pPr>
              <w:pStyle w:val="Tabletext"/>
              <w:tabs>
                <w:tab w:val="right" w:pos="2082"/>
              </w:tabs>
            </w:pPr>
            <w:r>
              <w:t>-</w:t>
            </w:r>
          </w:p>
        </w:tc>
        <w:tc>
          <w:tcPr>
            <w:tcW w:w="1387" w:type="dxa"/>
          </w:tcPr>
          <w:p w14:paraId="3B50D74A" w14:textId="1B135036" w:rsidR="008475E7" w:rsidRPr="00D10260" w:rsidRDefault="008475E7" w:rsidP="008475E7">
            <w:pPr>
              <w:pStyle w:val="Tabletext"/>
              <w:tabs>
                <w:tab w:val="right" w:pos="2082"/>
              </w:tabs>
            </w:pPr>
            <w:r w:rsidRPr="004E1618">
              <w:t>0.123*</w:t>
            </w:r>
          </w:p>
        </w:tc>
        <w:tc>
          <w:tcPr>
            <w:tcW w:w="1387" w:type="dxa"/>
          </w:tcPr>
          <w:p w14:paraId="275FFCD0" w14:textId="1638C1B0" w:rsidR="008475E7" w:rsidRPr="00D10260" w:rsidRDefault="00FA44AC" w:rsidP="008475E7">
            <w:pPr>
              <w:pStyle w:val="Tabletext"/>
              <w:tabs>
                <w:tab w:val="right" w:pos="2082"/>
              </w:tabs>
            </w:pPr>
            <w:r>
              <w:t>-</w:t>
            </w:r>
          </w:p>
        </w:tc>
        <w:tc>
          <w:tcPr>
            <w:tcW w:w="1387" w:type="dxa"/>
          </w:tcPr>
          <w:p w14:paraId="2872839E" w14:textId="6AEC0A95" w:rsidR="008475E7" w:rsidRDefault="00FA44AC" w:rsidP="008475E7">
            <w:pPr>
              <w:pStyle w:val="Tabletext"/>
              <w:tabs>
                <w:tab w:val="right" w:pos="2082"/>
              </w:tabs>
            </w:pPr>
            <w:r>
              <w:t>-</w:t>
            </w:r>
          </w:p>
        </w:tc>
      </w:tr>
      <w:tr w:rsidR="00FA44AC" w14:paraId="33B71AE6" w14:textId="77777777" w:rsidTr="00DA0D6D">
        <w:trPr>
          <w:cnfStyle w:val="000000100000" w:firstRow="0" w:lastRow="0" w:firstColumn="0" w:lastColumn="0" w:oddVBand="0" w:evenVBand="0" w:oddHBand="1" w:evenHBand="0" w:firstRowFirstColumn="0" w:firstRowLastColumn="0" w:lastRowFirstColumn="0" w:lastRowLastColumn="0"/>
          <w:trHeight w:val="286"/>
        </w:trPr>
        <w:tc>
          <w:tcPr>
            <w:tcW w:w="1387" w:type="dxa"/>
          </w:tcPr>
          <w:p w14:paraId="695EA5DC" w14:textId="77777777" w:rsidR="00FA44AC" w:rsidRDefault="00FA44AC" w:rsidP="00FA44AC">
            <w:pPr>
              <w:pStyle w:val="Tabletext"/>
              <w:tabs>
                <w:tab w:val="right" w:pos="2082"/>
              </w:tabs>
              <w:rPr>
                <w:lang w:eastAsia="en-AU"/>
              </w:rPr>
            </w:pPr>
            <w:r>
              <w:rPr>
                <w:lang w:eastAsia="en-AU"/>
              </w:rPr>
              <w:t xml:space="preserve">R&amp;D </w:t>
            </w:r>
          </w:p>
        </w:tc>
        <w:tc>
          <w:tcPr>
            <w:tcW w:w="1387" w:type="dxa"/>
          </w:tcPr>
          <w:p w14:paraId="6F0DE54D" w14:textId="18A4EB9F" w:rsidR="00FA44AC" w:rsidRDefault="00FA44AC" w:rsidP="00FA44AC">
            <w:pPr>
              <w:pStyle w:val="Tabletext"/>
              <w:tabs>
                <w:tab w:val="right" w:pos="2082"/>
              </w:tabs>
              <w:rPr>
                <w:lang w:eastAsia="en-AU"/>
              </w:rPr>
            </w:pPr>
            <w:r>
              <w:t>-</w:t>
            </w:r>
          </w:p>
        </w:tc>
        <w:tc>
          <w:tcPr>
            <w:tcW w:w="1387" w:type="dxa"/>
          </w:tcPr>
          <w:p w14:paraId="0322A8E6" w14:textId="6D4AEFD5" w:rsidR="00FA44AC" w:rsidRDefault="00FA44AC" w:rsidP="00FA44AC">
            <w:pPr>
              <w:pStyle w:val="Tabletext"/>
              <w:tabs>
                <w:tab w:val="right" w:pos="2082"/>
              </w:tabs>
              <w:rPr>
                <w:lang w:eastAsia="en-AU"/>
              </w:rPr>
            </w:pPr>
            <w:r>
              <w:t>-</w:t>
            </w:r>
          </w:p>
        </w:tc>
        <w:tc>
          <w:tcPr>
            <w:tcW w:w="1387" w:type="dxa"/>
          </w:tcPr>
          <w:p w14:paraId="63B61EA6" w14:textId="2E4BA51C" w:rsidR="00FA44AC" w:rsidRDefault="00FA44AC" w:rsidP="00FA44AC">
            <w:pPr>
              <w:pStyle w:val="Tabletext"/>
              <w:tabs>
                <w:tab w:val="right" w:pos="2082"/>
              </w:tabs>
              <w:rPr>
                <w:lang w:eastAsia="en-AU"/>
              </w:rPr>
            </w:pPr>
            <w:r w:rsidRPr="008164CC">
              <w:t>0.102*</w:t>
            </w:r>
          </w:p>
        </w:tc>
        <w:tc>
          <w:tcPr>
            <w:tcW w:w="1387" w:type="dxa"/>
          </w:tcPr>
          <w:p w14:paraId="5CC2AEC1" w14:textId="1CCA7154" w:rsidR="00FA44AC" w:rsidRDefault="00FA44AC" w:rsidP="00FA44AC">
            <w:pPr>
              <w:pStyle w:val="Tabletext"/>
              <w:tabs>
                <w:tab w:val="right" w:pos="2082"/>
              </w:tabs>
              <w:rPr>
                <w:lang w:eastAsia="en-AU"/>
              </w:rPr>
            </w:pPr>
            <w:r>
              <w:t>-</w:t>
            </w:r>
          </w:p>
        </w:tc>
      </w:tr>
    </w:tbl>
    <w:p w14:paraId="128FBBE7" w14:textId="77777777" w:rsidR="008754F6" w:rsidRDefault="008754F6" w:rsidP="008754F6">
      <w:pPr>
        <w:pStyle w:val="Note"/>
        <w:rPr>
          <w:lang w:eastAsia="en-AU"/>
        </w:rPr>
      </w:pPr>
      <w:r>
        <w:rPr>
          <w:lang w:eastAsia="en-AU"/>
        </w:rPr>
        <w:t xml:space="preserve">Notes: All coefficients are elasticities. Results are robust to controlling for firm entry and exit and robust to restricting the sample of employing firms only. </w:t>
      </w:r>
    </w:p>
    <w:p w14:paraId="2F28584C" w14:textId="77777777" w:rsidR="008754F6" w:rsidRDefault="008754F6" w:rsidP="008754F6">
      <w:pPr>
        <w:pStyle w:val="Source"/>
      </w:pPr>
      <w:r>
        <w:t xml:space="preserve">Source: BLADE (2019) </w:t>
      </w:r>
    </w:p>
    <w:p w14:paraId="7D6E3F51" w14:textId="2ADF4C03" w:rsidR="008754F6" w:rsidRPr="006979B6" w:rsidRDefault="006979B6" w:rsidP="006979B6">
      <w:pPr>
        <w:pStyle w:val="Heading6"/>
        <w:numPr>
          <w:ilvl w:val="0"/>
          <w:numId w:val="0"/>
        </w:numPr>
      </w:pPr>
      <w:r>
        <w:lastRenderedPageBreak/>
        <w:t>Appendix E Financial ratios and performance</w:t>
      </w:r>
    </w:p>
    <w:p w14:paraId="1DF03042" w14:textId="77777777" w:rsidR="00A0211B" w:rsidRDefault="00A0211B" w:rsidP="00A0211B">
      <w:pPr>
        <w:pStyle w:val="Caption"/>
      </w:pPr>
      <w:r>
        <w:t>Figure</w:t>
      </w:r>
      <w:r w:rsidRPr="000618FB">
        <w:t xml:space="preserve"> </w:t>
      </w:r>
      <w:r>
        <w:t>E</w:t>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326788">
        <w:rPr>
          <w:noProof/>
        </w:rPr>
        <w:t>1</w:t>
      </w:r>
      <w:r w:rsidRPr="000618FB">
        <w:fldChar w:fldCharType="end"/>
      </w:r>
      <w:r>
        <w:t>: DSR ratios for BGFs and other exporters at the 25</w:t>
      </w:r>
      <w:r w:rsidRPr="00B444AD">
        <w:rPr>
          <w:vertAlign w:val="superscript"/>
        </w:rPr>
        <w:t>th</w:t>
      </w:r>
      <w:r>
        <w:t>, 50</w:t>
      </w:r>
      <w:r w:rsidRPr="00B444AD">
        <w:rPr>
          <w:vertAlign w:val="superscript"/>
        </w:rPr>
        <w:t>th</w:t>
      </w:r>
      <w:r>
        <w:t xml:space="preserve"> and 75</w:t>
      </w:r>
      <w:r w:rsidRPr="00B444AD">
        <w:rPr>
          <w:vertAlign w:val="superscript"/>
        </w:rPr>
        <w:t>th</w:t>
      </w:r>
      <w:r>
        <w:t xml:space="preserve"> percentile</w:t>
      </w:r>
    </w:p>
    <w:p w14:paraId="227823A1" w14:textId="77777777" w:rsidR="00A0211B" w:rsidRDefault="00A0211B" w:rsidP="00A0211B">
      <w:pPr>
        <w:pStyle w:val="Placeholder"/>
      </w:pPr>
      <w:r>
        <w:rPr>
          <w:noProof/>
          <w:lang w:eastAsia="en-AU"/>
        </w:rPr>
        <w:drawing>
          <wp:inline distT="0" distB="0" distL="0" distR="0" wp14:anchorId="3D4FC538" wp14:editId="43DC50E6">
            <wp:extent cx="4408098" cy="2932981"/>
            <wp:effectExtent l="0" t="0" r="0" b="1270"/>
            <wp:docPr id="20" name="Chart 20" descr="DSR ratios for BGFs " title="DSR ratios for BGF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FB8E2F" w14:textId="77777777" w:rsidR="00A0211B" w:rsidRDefault="00A0211B" w:rsidP="00A0211B">
      <w:pPr>
        <w:pStyle w:val="Placeholder"/>
      </w:pPr>
      <w:r>
        <w:rPr>
          <w:noProof/>
          <w:lang w:eastAsia="en-AU"/>
        </w:rPr>
        <w:drawing>
          <wp:inline distT="0" distB="0" distL="0" distR="0" wp14:anchorId="1D84DF11" wp14:editId="1C84B26B">
            <wp:extent cx="4416725" cy="3088257"/>
            <wp:effectExtent l="0" t="0" r="3175" b="0"/>
            <wp:docPr id="22" name="Chart 22" descr="DSR ratios for other exporters " title="DSR ratios for other exporter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09CD2F" w14:textId="77777777" w:rsidR="00A0211B" w:rsidRPr="00C62F3A" w:rsidRDefault="00A0211B" w:rsidP="00A0211B">
      <w:pPr>
        <w:pStyle w:val="Note"/>
      </w:pPr>
      <w:r>
        <w:t>Notes: DSR is debt servicing ratio, which is the ratio of a firm’s total interest expenses to their earnings and cash reserves. All dollar values are deflated using the Consumer Price Index.</w:t>
      </w:r>
    </w:p>
    <w:p w14:paraId="54114303" w14:textId="77777777" w:rsidR="00A0211B" w:rsidRDefault="00A0211B" w:rsidP="00A0211B">
      <w:pPr>
        <w:pStyle w:val="Source"/>
      </w:pPr>
      <w:r>
        <w:t>Source: BLADE (2019)</w:t>
      </w:r>
    </w:p>
    <w:p w14:paraId="3544BA1C" w14:textId="77777777" w:rsidR="00A0211B" w:rsidRDefault="00A0211B" w:rsidP="00A0211B">
      <w:pPr>
        <w:pStyle w:val="Caption"/>
      </w:pPr>
      <w:r>
        <w:lastRenderedPageBreak/>
        <w:t>Figure</w:t>
      </w:r>
      <w:r w:rsidRPr="000618FB">
        <w:t xml:space="preserve"> </w:t>
      </w:r>
      <w:r>
        <w:t>E</w:t>
      </w:r>
      <w:r w:rsidRPr="000618FB">
        <w:t>.</w:t>
      </w:r>
      <w:r>
        <w:t>2: EBIT for BGFs and other exporters at the 25</w:t>
      </w:r>
      <w:r w:rsidRPr="000619EA">
        <w:rPr>
          <w:vertAlign w:val="superscript"/>
        </w:rPr>
        <w:t>th</w:t>
      </w:r>
      <w:r>
        <w:t>, 50</w:t>
      </w:r>
      <w:r w:rsidRPr="000619EA">
        <w:rPr>
          <w:vertAlign w:val="superscript"/>
        </w:rPr>
        <w:t>th</w:t>
      </w:r>
      <w:r>
        <w:t xml:space="preserve"> and 75</w:t>
      </w:r>
      <w:r w:rsidRPr="000619EA">
        <w:rPr>
          <w:vertAlign w:val="superscript"/>
        </w:rPr>
        <w:t>th</w:t>
      </w:r>
      <w:r>
        <w:t xml:space="preserve"> percentile</w:t>
      </w:r>
    </w:p>
    <w:p w14:paraId="28A48CDB" w14:textId="77777777" w:rsidR="00A0211B" w:rsidRDefault="00A0211B" w:rsidP="00A0211B">
      <w:pPr>
        <w:pStyle w:val="Placeholder"/>
      </w:pPr>
      <w:r>
        <w:rPr>
          <w:noProof/>
          <w:lang w:eastAsia="en-AU"/>
        </w:rPr>
        <w:drawing>
          <wp:inline distT="0" distB="0" distL="0" distR="0" wp14:anchorId="5AC069AC" wp14:editId="4933F70B">
            <wp:extent cx="4442604" cy="3001993"/>
            <wp:effectExtent l="0" t="0" r="0" b="8255"/>
            <wp:docPr id="31" name="Chart 31" descr="EBIT for BGFs " title="EBIT for BGF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BC6860" w14:textId="77777777" w:rsidR="00A0211B" w:rsidRDefault="00A0211B" w:rsidP="00A0211B">
      <w:pPr>
        <w:pStyle w:val="Placeholder"/>
      </w:pPr>
      <w:r>
        <w:rPr>
          <w:noProof/>
          <w:lang w:eastAsia="en-AU"/>
        </w:rPr>
        <w:drawing>
          <wp:inline distT="0" distB="0" distL="0" distR="0" wp14:anchorId="5E04FE72" wp14:editId="1D9B0803">
            <wp:extent cx="4339087" cy="2812212"/>
            <wp:effectExtent l="0" t="0" r="4445" b="7620"/>
            <wp:docPr id="32" name="Chart 32" descr="EBIT for other exporters" title="EBIT for other exporter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0BEB3A" w14:textId="77777777" w:rsidR="00A0211B" w:rsidRPr="00C62F3A" w:rsidRDefault="00A0211B" w:rsidP="00A0211B">
      <w:pPr>
        <w:pStyle w:val="Note"/>
      </w:pPr>
      <w:r>
        <w:t>Notes: EBIT is earnings before interest and tax.</w:t>
      </w:r>
      <w:r w:rsidRPr="00104F11">
        <w:t xml:space="preserve"> </w:t>
      </w:r>
      <w:r>
        <w:t>All dollar values are deflated using the Consumer Price Index.</w:t>
      </w:r>
    </w:p>
    <w:p w14:paraId="264BDCA6" w14:textId="77777777" w:rsidR="00A0211B" w:rsidRDefault="00A0211B" w:rsidP="00A0211B">
      <w:pPr>
        <w:pStyle w:val="Source"/>
      </w:pPr>
      <w:r>
        <w:t>Source: BLADE (2019)</w:t>
      </w:r>
    </w:p>
    <w:p w14:paraId="475C9835" w14:textId="23A06FDA" w:rsidR="00A0211B" w:rsidRDefault="00A0211B" w:rsidP="00A0211B">
      <w:pPr>
        <w:pStyle w:val="Caption"/>
      </w:pPr>
      <w:r>
        <w:lastRenderedPageBreak/>
        <w:t>Figure</w:t>
      </w:r>
      <w:r w:rsidRPr="000618FB">
        <w:t xml:space="preserve"> </w:t>
      </w:r>
      <w:r>
        <w:t>E</w:t>
      </w:r>
      <w:r w:rsidRPr="000618FB">
        <w:t>.</w:t>
      </w:r>
      <w:r>
        <w:t>3: Gearing ratio for BGFs and other exporters at the 25</w:t>
      </w:r>
      <w:r w:rsidRPr="000619EA">
        <w:rPr>
          <w:vertAlign w:val="superscript"/>
        </w:rPr>
        <w:t>th</w:t>
      </w:r>
      <w:r>
        <w:t>, 50</w:t>
      </w:r>
      <w:r w:rsidRPr="000619EA">
        <w:rPr>
          <w:vertAlign w:val="superscript"/>
        </w:rPr>
        <w:t>th</w:t>
      </w:r>
      <w:r>
        <w:t xml:space="preserve"> and </w:t>
      </w:r>
      <w:r w:rsidR="00E4673F">
        <w:br/>
      </w:r>
      <w:r>
        <w:t>75</w:t>
      </w:r>
      <w:r w:rsidRPr="000619EA">
        <w:rPr>
          <w:vertAlign w:val="superscript"/>
        </w:rPr>
        <w:t>th</w:t>
      </w:r>
      <w:r>
        <w:t xml:space="preserve"> percentile</w:t>
      </w:r>
    </w:p>
    <w:p w14:paraId="4648032B" w14:textId="77777777" w:rsidR="00A0211B" w:rsidRDefault="00A0211B" w:rsidP="00A0211B">
      <w:pPr>
        <w:pStyle w:val="Placeholder"/>
      </w:pPr>
      <w:r>
        <w:rPr>
          <w:noProof/>
          <w:lang w:eastAsia="en-AU"/>
        </w:rPr>
        <w:drawing>
          <wp:inline distT="0" distB="0" distL="0" distR="0" wp14:anchorId="6CA7D057" wp14:editId="62709EC5">
            <wp:extent cx="4377690" cy="3062377"/>
            <wp:effectExtent l="0" t="0" r="3810" b="5080"/>
            <wp:docPr id="25" name="Chart 25" descr="Gearing ratio for BGFs " title="Gearing ratio for BGF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3AE6143" w14:textId="77777777" w:rsidR="00A0211B" w:rsidRDefault="00A0211B" w:rsidP="00A0211B">
      <w:pPr>
        <w:pStyle w:val="Placeholder"/>
      </w:pPr>
      <w:r>
        <w:rPr>
          <w:noProof/>
          <w:lang w:eastAsia="en-AU"/>
        </w:rPr>
        <w:drawing>
          <wp:inline distT="0" distB="0" distL="0" distR="0" wp14:anchorId="32277B7E" wp14:editId="25EBCEFE">
            <wp:extent cx="4377690" cy="2863970"/>
            <wp:effectExtent l="0" t="0" r="3810" b="0"/>
            <wp:docPr id="26" name="Chart 26" descr="Gearing ratio for other exporters at the 25th, 50th and 75th percentile" title="Gearing ratio for other exporter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145B46" w14:textId="77777777" w:rsidR="00A0211B" w:rsidRPr="00C62F3A" w:rsidRDefault="00A0211B" w:rsidP="00A0211B">
      <w:pPr>
        <w:pStyle w:val="Note"/>
      </w:pPr>
      <w:r>
        <w:t xml:space="preserve">Notes: Gearing ratio is a firm’s total debt to total assets. </w:t>
      </w:r>
    </w:p>
    <w:p w14:paraId="2FFE54A9" w14:textId="77777777" w:rsidR="00A0211B" w:rsidRDefault="00A0211B" w:rsidP="00A0211B">
      <w:pPr>
        <w:pStyle w:val="Source"/>
      </w:pPr>
      <w:r>
        <w:t>Source: BLADE (2019)</w:t>
      </w:r>
    </w:p>
    <w:p w14:paraId="4B02B521" w14:textId="77777777" w:rsidR="00A0211B" w:rsidRDefault="00A0211B" w:rsidP="00A0211B">
      <w:pPr>
        <w:pStyle w:val="Caption"/>
      </w:pPr>
      <w:r>
        <w:lastRenderedPageBreak/>
        <w:t>Figure</w:t>
      </w:r>
      <w:r w:rsidRPr="000618FB">
        <w:t xml:space="preserve"> </w:t>
      </w:r>
      <w:r>
        <w:t>E</w:t>
      </w:r>
      <w:r w:rsidRPr="000618FB">
        <w:t>.</w:t>
      </w:r>
      <w:r>
        <w:t>4: ROA ratio for BGFs and other exporters at the 25</w:t>
      </w:r>
      <w:r w:rsidRPr="000619EA">
        <w:rPr>
          <w:vertAlign w:val="superscript"/>
        </w:rPr>
        <w:t>th</w:t>
      </w:r>
      <w:r>
        <w:t>, 50</w:t>
      </w:r>
      <w:r w:rsidRPr="000619EA">
        <w:rPr>
          <w:vertAlign w:val="superscript"/>
        </w:rPr>
        <w:t>th</w:t>
      </w:r>
      <w:r>
        <w:t xml:space="preserve"> and 75</w:t>
      </w:r>
      <w:r w:rsidRPr="000619EA">
        <w:rPr>
          <w:vertAlign w:val="superscript"/>
        </w:rPr>
        <w:t>th</w:t>
      </w:r>
      <w:r>
        <w:t xml:space="preserve"> percentile</w:t>
      </w:r>
    </w:p>
    <w:p w14:paraId="41EB95BE" w14:textId="77777777" w:rsidR="00A0211B" w:rsidRDefault="00A0211B" w:rsidP="00A0211B">
      <w:pPr>
        <w:pStyle w:val="Placeholder"/>
      </w:pPr>
      <w:r>
        <w:rPr>
          <w:noProof/>
          <w:lang w:eastAsia="en-AU"/>
        </w:rPr>
        <w:drawing>
          <wp:inline distT="0" distB="0" distL="0" distR="0" wp14:anchorId="76DA1F1A" wp14:editId="50B739EF">
            <wp:extent cx="4356340" cy="3114136"/>
            <wp:effectExtent l="0" t="0" r="6350" b="0"/>
            <wp:docPr id="29" name="Chart 29" descr="ROA ratio for BGFs" title="ROA ratio for BGF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DC834D" w14:textId="78C3A434" w:rsidR="00A0211B" w:rsidRDefault="00A0211B" w:rsidP="00A0211B">
      <w:pPr>
        <w:pStyle w:val="Placeholder"/>
      </w:pPr>
      <w:r>
        <w:rPr>
          <w:noProof/>
          <w:lang w:eastAsia="en-AU"/>
        </w:rPr>
        <w:drawing>
          <wp:inline distT="0" distB="0" distL="0" distR="0" wp14:anchorId="6B5B51D8" wp14:editId="6B39A5D0">
            <wp:extent cx="4408098" cy="3071004"/>
            <wp:effectExtent l="0" t="0" r="0" b="0"/>
            <wp:docPr id="30" name="Chart 30" descr="ROA ratio for other exporters at the 25th, 50th and 75th percentile" title="ROA ratio for other exporters at the 25th, 50th and 7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01E3DF" w14:textId="7343DC87" w:rsidR="00A0211B" w:rsidRPr="00C62F3A" w:rsidRDefault="00A0211B" w:rsidP="00A0211B">
      <w:pPr>
        <w:pStyle w:val="Note"/>
      </w:pPr>
      <w:r>
        <w:t xml:space="preserve">Notes: ROA ratio is a ratio of a firm’s earnings (EBIT) to current and fixed assets (total assets) for a given year. </w:t>
      </w:r>
    </w:p>
    <w:p w14:paraId="308FB0C3" w14:textId="77777777" w:rsidR="00A0211B" w:rsidRDefault="00A0211B" w:rsidP="00A0211B">
      <w:pPr>
        <w:pStyle w:val="Source"/>
      </w:pPr>
      <w:r>
        <w:t>Source: BLADE (2019)</w:t>
      </w:r>
    </w:p>
    <w:p w14:paraId="6B811347" w14:textId="3B490DD1" w:rsidR="006A62F5" w:rsidRDefault="00A0211B" w:rsidP="00C97280">
      <w:pPr>
        <w:pStyle w:val="BodyText"/>
      </w:pPr>
      <w:r>
        <w:br w:type="page"/>
      </w:r>
    </w:p>
    <w:p w14:paraId="59E1F126" w14:textId="4EFF078C" w:rsidR="006A62F5" w:rsidRDefault="006A62F5" w:rsidP="006A62F5">
      <w:pPr>
        <w:pStyle w:val="Heading6"/>
        <w:numPr>
          <w:ilvl w:val="0"/>
          <w:numId w:val="0"/>
        </w:numPr>
      </w:pPr>
      <w:r>
        <w:lastRenderedPageBreak/>
        <w:t>Appendix F</w:t>
      </w:r>
      <w:r>
        <w:tab/>
        <w:t xml:space="preserve">Exporter dynamics </w:t>
      </w:r>
    </w:p>
    <w:p w14:paraId="4BED265B" w14:textId="06A4016C" w:rsidR="006A62F5" w:rsidRDefault="006A62F5" w:rsidP="006A62F5">
      <w:pPr>
        <w:pStyle w:val="Caption"/>
      </w:pPr>
      <w:r w:rsidRPr="000618FB">
        <w:t xml:space="preserve">Table </w:t>
      </w:r>
      <w:r>
        <w:rPr>
          <w:noProof/>
        </w:rPr>
        <w:t>F</w:t>
      </w:r>
      <w:r w:rsidRPr="000618FB">
        <w:t>.</w:t>
      </w:r>
      <w:r>
        <w:rPr>
          <w:noProof/>
        </w:rPr>
        <w:fldChar w:fldCharType="begin"/>
      </w:r>
      <w:r>
        <w:rPr>
          <w:noProof/>
        </w:rPr>
        <w:instrText xml:space="preserve"> SEQ Table \* ARABIC \s 1 </w:instrText>
      </w:r>
      <w:r>
        <w:rPr>
          <w:noProof/>
        </w:rPr>
        <w:fldChar w:fldCharType="separate"/>
      </w:r>
      <w:r w:rsidR="00326788">
        <w:rPr>
          <w:noProof/>
        </w:rPr>
        <w:t>1</w:t>
      </w:r>
      <w:r>
        <w:rPr>
          <w:noProof/>
        </w:rPr>
        <w:fldChar w:fldCharType="end"/>
      </w:r>
      <w:r w:rsidRPr="000618FB">
        <w:t xml:space="preserve">: </w:t>
      </w:r>
      <w:r>
        <w:t xml:space="preserve">Employment growth, size, age &amp; export status </w:t>
      </w:r>
    </w:p>
    <w:tbl>
      <w:tblPr>
        <w:tblStyle w:val="OCETable"/>
        <w:tblW w:w="4979" w:type="pct"/>
        <w:tblInd w:w="57" w:type="dxa"/>
        <w:tblLayout w:type="fixed"/>
        <w:tblLook w:val="04A0" w:firstRow="1" w:lastRow="0" w:firstColumn="1" w:lastColumn="0" w:noHBand="0" w:noVBand="1"/>
        <w:tblCaption w:val="Employment growth, size, age &amp; export status "/>
        <w:tblDescription w:val="Similar to tabl 4.1, except now employment growth is the dependent variable. "/>
      </w:tblPr>
      <w:tblGrid>
        <w:gridCol w:w="1373"/>
        <w:gridCol w:w="1373"/>
        <w:gridCol w:w="1373"/>
        <w:gridCol w:w="1373"/>
        <w:gridCol w:w="1373"/>
      </w:tblGrid>
      <w:tr w:rsidR="00EB2CBD" w14:paraId="6DD82662" w14:textId="77777777" w:rsidTr="0092519E">
        <w:trPr>
          <w:cnfStyle w:val="100000000000" w:firstRow="1" w:lastRow="0" w:firstColumn="0" w:lastColumn="0" w:oddVBand="0" w:evenVBand="0" w:oddHBand="0" w:evenHBand="0" w:firstRowFirstColumn="0" w:firstRowLastColumn="0" w:lastRowFirstColumn="0" w:lastRowLastColumn="0"/>
          <w:trHeight w:val="376"/>
          <w:tblHeader/>
        </w:trPr>
        <w:tc>
          <w:tcPr>
            <w:tcW w:w="1373" w:type="dxa"/>
          </w:tcPr>
          <w:p w14:paraId="63E54BF2" w14:textId="77777777" w:rsidR="00EB2CBD" w:rsidRDefault="00EB2CBD" w:rsidP="00EB2CBD">
            <w:pPr>
              <w:pStyle w:val="Tableheader"/>
              <w:rPr>
                <w:lang w:eastAsia="en-AU"/>
              </w:rPr>
            </w:pPr>
          </w:p>
        </w:tc>
        <w:tc>
          <w:tcPr>
            <w:tcW w:w="1373" w:type="dxa"/>
          </w:tcPr>
          <w:p w14:paraId="6E9F696A" w14:textId="47017C24" w:rsidR="00EB2CBD" w:rsidRDefault="00EB2CBD" w:rsidP="00C262AE">
            <w:pPr>
              <w:pStyle w:val="Tableheader"/>
              <w:rPr>
                <w:lang w:eastAsia="en-AU"/>
              </w:rPr>
            </w:pPr>
            <w:r w:rsidRPr="00566651">
              <w:t>All firms</w:t>
            </w:r>
          </w:p>
        </w:tc>
        <w:tc>
          <w:tcPr>
            <w:tcW w:w="1373" w:type="dxa"/>
          </w:tcPr>
          <w:p w14:paraId="749BF3ED" w14:textId="04309A3C" w:rsidR="00EB2CBD" w:rsidRDefault="00EB2CBD" w:rsidP="00C262AE">
            <w:pPr>
              <w:pStyle w:val="Tableheader"/>
              <w:rPr>
                <w:lang w:eastAsia="en-AU"/>
              </w:rPr>
            </w:pPr>
            <w:r w:rsidRPr="00566651">
              <w:t>Less than 3 years old</w:t>
            </w:r>
          </w:p>
        </w:tc>
        <w:tc>
          <w:tcPr>
            <w:tcW w:w="1373" w:type="dxa"/>
          </w:tcPr>
          <w:p w14:paraId="1DE9C502" w14:textId="3C3C048D" w:rsidR="00EB2CBD" w:rsidRDefault="00EB2CBD" w:rsidP="00C262AE">
            <w:pPr>
              <w:pStyle w:val="Tableheader"/>
              <w:rPr>
                <w:lang w:eastAsia="en-AU"/>
              </w:rPr>
            </w:pPr>
            <w:r w:rsidRPr="00566651">
              <w:t>4 to 6 years old</w:t>
            </w:r>
          </w:p>
        </w:tc>
        <w:tc>
          <w:tcPr>
            <w:tcW w:w="1373" w:type="dxa"/>
          </w:tcPr>
          <w:p w14:paraId="2C37A596" w14:textId="1601DE67" w:rsidR="00EB2CBD" w:rsidRDefault="00EB2CBD" w:rsidP="00C262AE">
            <w:pPr>
              <w:pStyle w:val="Tableheader"/>
              <w:rPr>
                <w:lang w:eastAsia="en-AU"/>
              </w:rPr>
            </w:pPr>
            <w:r w:rsidRPr="00566651">
              <w:t>More than 6 years old</w:t>
            </w:r>
          </w:p>
        </w:tc>
      </w:tr>
      <w:tr w:rsidR="006A62F5" w14:paraId="5596B520"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vAlign w:val="center"/>
          </w:tcPr>
          <w:p w14:paraId="184574F7" w14:textId="77777777" w:rsidR="006A62F5" w:rsidRDefault="006A62F5" w:rsidP="00F17D8E">
            <w:pPr>
              <w:pStyle w:val="Tabletext"/>
              <w:rPr>
                <w:rFonts w:eastAsia="Arial" w:cs="Times New Roman"/>
              </w:rPr>
            </w:pPr>
            <w:r>
              <w:t>Exporter</w:t>
            </w:r>
          </w:p>
        </w:tc>
        <w:tc>
          <w:tcPr>
            <w:tcW w:w="1373" w:type="dxa"/>
          </w:tcPr>
          <w:p w14:paraId="3BA4E8D8" w14:textId="77777777" w:rsidR="006A62F5" w:rsidRDefault="006A62F5" w:rsidP="00C262AE">
            <w:pPr>
              <w:pStyle w:val="Tabletext"/>
            </w:pPr>
            <w:r w:rsidRPr="00081444">
              <w:t>0.105***</w:t>
            </w:r>
          </w:p>
        </w:tc>
        <w:tc>
          <w:tcPr>
            <w:tcW w:w="1373" w:type="dxa"/>
          </w:tcPr>
          <w:p w14:paraId="40857A64" w14:textId="77777777" w:rsidR="006A62F5" w:rsidRDefault="006A62F5" w:rsidP="00C262AE">
            <w:pPr>
              <w:pStyle w:val="Tabletext"/>
            </w:pPr>
            <w:r w:rsidRPr="00081444">
              <w:t>0.141***</w:t>
            </w:r>
          </w:p>
        </w:tc>
        <w:tc>
          <w:tcPr>
            <w:tcW w:w="1373" w:type="dxa"/>
          </w:tcPr>
          <w:p w14:paraId="5BB51296" w14:textId="77777777" w:rsidR="006A62F5" w:rsidRDefault="006A62F5" w:rsidP="00C262AE">
            <w:pPr>
              <w:pStyle w:val="Tabletext"/>
            </w:pPr>
            <w:r w:rsidRPr="00081444">
              <w:t>0.094***</w:t>
            </w:r>
          </w:p>
        </w:tc>
        <w:tc>
          <w:tcPr>
            <w:tcW w:w="1373" w:type="dxa"/>
          </w:tcPr>
          <w:p w14:paraId="4C96F08A" w14:textId="77777777" w:rsidR="006A62F5" w:rsidRDefault="006A62F5" w:rsidP="00C262AE">
            <w:pPr>
              <w:pStyle w:val="Tabletext"/>
            </w:pPr>
            <w:r w:rsidRPr="00081444">
              <w:t>0.076***</w:t>
            </w:r>
          </w:p>
        </w:tc>
      </w:tr>
      <w:tr w:rsidR="006A62F5" w14:paraId="384DC9B2"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vAlign w:val="center"/>
          </w:tcPr>
          <w:p w14:paraId="11AF620C" w14:textId="77777777" w:rsidR="006A62F5" w:rsidRDefault="006A62F5" w:rsidP="00F17D8E">
            <w:pPr>
              <w:pStyle w:val="Tabletext"/>
              <w:rPr>
                <w:rFonts w:eastAsia="Arial" w:cs="Times New Roman"/>
              </w:rPr>
            </w:pPr>
            <w:r>
              <w:t>ln(</w:t>
            </w:r>
            <w:r w:rsidRPr="006B2662">
              <w:t>fte</w:t>
            </w:r>
            <w:r>
              <w:t>)</w:t>
            </w:r>
          </w:p>
        </w:tc>
        <w:tc>
          <w:tcPr>
            <w:tcW w:w="1373" w:type="dxa"/>
          </w:tcPr>
          <w:p w14:paraId="10511C89" w14:textId="77777777" w:rsidR="006A62F5" w:rsidRDefault="006A62F5" w:rsidP="00C262AE">
            <w:pPr>
              <w:pStyle w:val="Tabletext"/>
            </w:pPr>
            <w:r w:rsidRPr="00FD48FB">
              <w:t>-0.203***</w:t>
            </w:r>
          </w:p>
        </w:tc>
        <w:tc>
          <w:tcPr>
            <w:tcW w:w="1373" w:type="dxa"/>
          </w:tcPr>
          <w:p w14:paraId="12C073C3" w14:textId="77777777" w:rsidR="006A62F5" w:rsidRDefault="006A62F5" w:rsidP="00C262AE">
            <w:pPr>
              <w:pStyle w:val="Tabletext"/>
            </w:pPr>
            <w:r w:rsidRPr="00FD48FB">
              <w:t>-0.285***</w:t>
            </w:r>
          </w:p>
        </w:tc>
        <w:tc>
          <w:tcPr>
            <w:tcW w:w="1373" w:type="dxa"/>
          </w:tcPr>
          <w:p w14:paraId="7C25B7F5" w14:textId="77777777" w:rsidR="006A62F5" w:rsidRDefault="006A62F5" w:rsidP="00C262AE">
            <w:pPr>
              <w:pStyle w:val="Tabletext"/>
            </w:pPr>
            <w:r w:rsidRPr="00FD48FB">
              <w:t>-0.172***</w:t>
            </w:r>
          </w:p>
        </w:tc>
        <w:tc>
          <w:tcPr>
            <w:tcW w:w="1373" w:type="dxa"/>
          </w:tcPr>
          <w:p w14:paraId="4E0F3414" w14:textId="77777777" w:rsidR="006A62F5" w:rsidRDefault="006A62F5" w:rsidP="00C262AE">
            <w:pPr>
              <w:pStyle w:val="Tabletext"/>
            </w:pPr>
            <w:r w:rsidRPr="00FD48FB">
              <w:t>-0.135***</w:t>
            </w:r>
          </w:p>
        </w:tc>
      </w:tr>
      <w:tr w:rsidR="006A62F5" w14:paraId="5DB869C6"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vAlign w:val="center"/>
          </w:tcPr>
          <w:p w14:paraId="1B3F70C2" w14:textId="77777777" w:rsidR="006A62F5" w:rsidRPr="006B2662" w:rsidRDefault="006A62F5" w:rsidP="00F17D8E">
            <w:pPr>
              <w:pStyle w:val="Tabletext"/>
            </w:pPr>
            <w:r>
              <w:t>ln(fte)²</w:t>
            </w:r>
          </w:p>
        </w:tc>
        <w:tc>
          <w:tcPr>
            <w:tcW w:w="1373" w:type="dxa"/>
          </w:tcPr>
          <w:p w14:paraId="6BD573B4" w14:textId="77777777" w:rsidR="006A62F5" w:rsidRPr="006B2662" w:rsidRDefault="006A62F5" w:rsidP="00C262AE">
            <w:pPr>
              <w:pStyle w:val="Tabletext"/>
            </w:pPr>
            <w:r w:rsidRPr="00C126DB">
              <w:t>0.051***</w:t>
            </w:r>
          </w:p>
        </w:tc>
        <w:tc>
          <w:tcPr>
            <w:tcW w:w="1373" w:type="dxa"/>
          </w:tcPr>
          <w:p w14:paraId="76C4A730" w14:textId="77777777" w:rsidR="006A62F5" w:rsidRPr="006B2662" w:rsidRDefault="006A62F5" w:rsidP="00C262AE">
            <w:pPr>
              <w:pStyle w:val="Tabletext"/>
            </w:pPr>
            <w:r w:rsidRPr="00C126DB">
              <w:t>0.056***</w:t>
            </w:r>
          </w:p>
        </w:tc>
        <w:tc>
          <w:tcPr>
            <w:tcW w:w="1373" w:type="dxa"/>
          </w:tcPr>
          <w:p w14:paraId="714EE4BB" w14:textId="77777777" w:rsidR="006A62F5" w:rsidRPr="006B2662" w:rsidRDefault="006A62F5" w:rsidP="00C262AE">
            <w:pPr>
              <w:pStyle w:val="Tabletext"/>
            </w:pPr>
            <w:r w:rsidRPr="00C126DB">
              <w:t>0.045***</w:t>
            </w:r>
          </w:p>
        </w:tc>
        <w:tc>
          <w:tcPr>
            <w:tcW w:w="1373" w:type="dxa"/>
          </w:tcPr>
          <w:p w14:paraId="7AA9C35B" w14:textId="77777777" w:rsidR="006A62F5" w:rsidRPr="006B2662" w:rsidRDefault="006A62F5" w:rsidP="00C262AE">
            <w:pPr>
              <w:pStyle w:val="Tabletext"/>
            </w:pPr>
            <w:r w:rsidRPr="00C126DB">
              <w:t>0.036***</w:t>
            </w:r>
          </w:p>
        </w:tc>
      </w:tr>
      <w:tr w:rsidR="006A62F5" w14:paraId="218D89B7"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vAlign w:val="center"/>
          </w:tcPr>
          <w:p w14:paraId="06BECA8B" w14:textId="77777777" w:rsidR="006A62F5" w:rsidRDefault="006A62F5" w:rsidP="00F17D8E">
            <w:pPr>
              <w:pStyle w:val="Tabletext"/>
              <w:rPr>
                <w:rFonts w:eastAsia="Arial" w:cs="Times New Roman"/>
              </w:rPr>
            </w:pPr>
            <w:r>
              <w:rPr>
                <w:rFonts w:eastAsia="Arial" w:cs="Times New Roman"/>
              </w:rPr>
              <w:t>ln(age)</w:t>
            </w:r>
            <w:r w:rsidRPr="00003E30">
              <w:rPr>
                <w:rFonts w:eastAsia="Arial" w:cs="Times New Roman"/>
              </w:rPr>
              <w:tab/>
            </w:r>
          </w:p>
        </w:tc>
        <w:tc>
          <w:tcPr>
            <w:tcW w:w="1373" w:type="dxa"/>
            <w:vAlign w:val="center"/>
          </w:tcPr>
          <w:p w14:paraId="606CE267" w14:textId="77777777" w:rsidR="006A62F5" w:rsidRDefault="006A62F5" w:rsidP="00C262AE">
            <w:pPr>
              <w:pStyle w:val="Tabletext"/>
            </w:pPr>
            <w:r w:rsidRPr="00E92224">
              <w:t>-0.175***</w:t>
            </w:r>
          </w:p>
        </w:tc>
        <w:tc>
          <w:tcPr>
            <w:tcW w:w="1373" w:type="dxa"/>
            <w:vAlign w:val="center"/>
          </w:tcPr>
          <w:p w14:paraId="4C367431" w14:textId="77777777" w:rsidR="006A62F5" w:rsidRDefault="006A62F5" w:rsidP="00C262AE">
            <w:pPr>
              <w:pStyle w:val="Tabletext"/>
            </w:pPr>
          </w:p>
        </w:tc>
        <w:tc>
          <w:tcPr>
            <w:tcW w:w="1373" w:type="dxa"/>
            <w:vAlign w:val="center"/>
          </w:tcPr>
          <w:p w14:paraId="60144F6B" w14:textId="77777777" w:rsidR="006A62F5" w:rsidRDefault="006A62F5" w:rsidP="00C262AE">
            <w:pPr>
              <w:pStyle w:val="Tabletext"/>
            </w:pPr>
          </w:p>
        </w:tc>
        <w:tc>
          <w:tcPr>
            <w:tcW w:w="1373" w:type="dxa"/>
            <w:vAlign w:val="center"/>
          </w:tcPr>
          <w:p w14:paraId="0637B0FD" w14:textId="77777777" w:rsidR="006A62F5" w:rsidRDefault="006A62F5" w:rsidP="00C262AE">
            <w:pPr>
              <w:pStyle w:val="Tabletext"/>
            </w:pPr>
          </w:p>
        </w:tc>
      </w:tr>
      <w:tr w:rsidR="006A62F5" w14:paraId="2D42E93D" w14:textId="77777777" w:rsidTr="00F17D8E">
        <w:trPr>
          <w:cnfStyle w:val="000000100000" w:firstRow="0" w:lastRow="0" w:firstColumn="0" w:lastColumn="0" w:oddVBand="0" w:evenVBand="0" w:oddHBand="1" w:evenHBand="0" w:firstRowFirstColumn="0" w:firstRowLastColumn="0" w:lastRowFirstColumn="0" w:lastRowLastColumn="0"/>
          <w:trHeight w:val="270"/>
        </w:trPr>
        <w:tc>
          <w:tcPr>
            <w:tcW w:w="1373" w:type="dxa"/>
            <w:vAlign w:val="center"/>
          </w:tcPr>
          <w:p w14:paraId="4DE906F9" w14:textId="77777777" w:rsidR="006A62F5" w:rsidRDefault="006A62F5" w:rsidP="00F17D8E">
            <w:pPr>
              <w:pStyle w:val="Tabletext"/>
              <w:rPr>
                <w:rFonts w:eastAsia="Arial" w:cs="Times New Roman"/>
              </w:rPr>
            </w:pPr>
            <w:r>
              <w:rPr>
                <w:rFonts w:eastAsia="Arial" w:cs="Times New Roman"/>
              </w:rPr>
              <w:t>n</w:t>
            </w:r>
          </w:p>
        </w:tc>
        <w:tc>
          <w:tcPr>
            <w:tcW w:w="1373" w:type="dxa"/>
          </w:tcPr>
          <w:p w14:paraId="7FBD61F5" w14:textId="77777777" w:rsidR="006A62F5" w:rsidRPr="007F2301" w:rsidRDefault="006A62F5" w:rsidP="00C262AE">
            <w:pPr>
              <w:pStyle w:val="Tabletext"/>
            </w:pPr>
            <w:r w:rsidRPr="008B1CFC">
              <w:t>1</w:t>
            </w:r>
            <w:r>
              <w:t>,</w:t>
            </w:r>
            <w:r w:rsidRPr="008B1CFC">
              <w:t>267</w:t>
            </w:r>
            <w:r>
              <w:t>,</w:t>
            </w:r>
            <w:r w:rsidRPr="008B1CFC">
              <w:t>454</w:t>
            </w:r>
          </w:p>
        </w:tc>
        <w:tc>
          <w:tcPr>
            <w:tcW w:w="1373" w:type="dxa"/>
          </w:tcPr>
          <w:p w14:paraId="1F63FC9A" w14:textId="77777777" w:rsidR="006A62F5" w:rsidRDefault="006A62F5" w:rsidP="00C262AE">
            <w:pPr>
              <w:pStyle w:val="Tabletext"/>
            </w:pPr>
            <w:r w:rsidRPr="008B1CFC">
              <w:t>399</w:t>
            </w:r>
            <w:r>
              <w:t>,</w:t>
            </w:r>
            <w:r w:rsidRPr="008B1CFC">
              <w:t>698</w:t>
            </w:r>
          </w:p>
        </w:tc>
        <w:tc>
          <w:tcPr>
            <w:tcW w:w="1373" w:type="dxa"/>
          </w:tcPr>
          <w:p w14:paraId="59DE5884" w14:textId="77777777" w:rsidR="006A62F5" w:rsidRDefault="006A62F5" w:rsidP="00C262AE">
            <w:pPr>
              <w:pStyle w:val="Tabletext"/>
            </w:pPr>
            <w:r w:rsidRPr="008B1CFC">
              <w:t>563</w:t>
            </w:r>
            <w:r>
              <w:t>,</w:t>
            </w:r>
            <w:r w:rsidRPr="008B1CFC">
              <w:t>077</w:t>
            </w:r>
          </w:p>
        </w:tc>
        <w:tc>
          <w:tcPr>
            <w:tcW w:w="1373" w:type="dxa"/>
          </w:tcPr>
          <w:p w14:paraId="41F69F1D" w14:textId="77777777" w:rsidR="006A62F5" w:rsidRDefault="006A62F5" w:rsidP="00C262AE">
            <w:pPr>
              <w:pStyle w:val="Tabletext"/>
            </w:pPr>
            <w:r w:rsidRPr="008B1CFC">
              <w:t>209</w:t>
            </w:r>
            <w:r>
              <w:t>,</w:t>
            </w:r>
            <w:r w:rsidRPr="008B1CFC">
              <w:t>373</w:t>
            </w:r>
          </w:p>
        </w:tc>
      </w:tr>
      <w:tr w:rsidR="006A62F5" w14:paraId="080C1FB2" w14:textId="77777777" w:rsidTr="00F17D8E">
        <w:trPr>
          <w:cnfStyle w:val="000000010000" w:firstRow="0" w:lastRow="0" w:firstColumn="0" w:lastColumn="0" w:oddVBand="0" w:evenVBand="0" w:oddHBand="0" w:evenHBand="1" w:firstRowFirstColumn="0" w:firstRowLastColumn="0" w:lastRowFirstColumn="0" w:lastRowLastColumn="0"/>
          <w:trHeight w:val="270"/>
        </w:trPr>
        <w:tc>
          <w:tcPr>
            <w:tcW w:w="1373" w:type="dxa"/>
            <w:vAlign w:val="center"/>
          </w:tcPr>
          <w:p w14:paraId="7AFA8A7F" w14:textId="77777777" w:rsidR="006A62F5" w:rsidRDefault="006A62F5" w:rsidP="00F17D8E">
            <w:pPr>
              <w:pStyle w:val="Tabletext"/>
              <w:rPr>
                <w:rFonts w:eastAsia="Arial" w:cs="Times New Roman"/>
              </w:rPr>
            </w:pPr>
            <w:r>
              <w:rPr>
                <w:rFonts w:eastAsia="Arial" w:cs="Times New Roman"/>
              </w:rPr>
              <w:t>R</w:t>
            </w:r>
            <w:r>
              <w:rPr>
                <w:rFonts w:eastAsia="Arial"/>
              </w:rPr>
              <w:t>²</w:t>
            </w:r>
          </w:p>
        </w:tc>
        <w:tc>
          <w:tcPr>
            <w:tcW w:w="1373" w:type="dxa"/>
          </w:tcPr>
          <w:p w14:paraId="78A012F5" w14:textId="77777777" w:rsidR="006A62F5" w:rsidRPr="008B1CFC" w:rsidRDefault="006A62F5" w:rsidP="00C262AE">
            <w:pPr>
              <w:pStyle w:val="Tabletext"/>
            </w:pPr>
            <w:r w:rsidRPr="00B10821">
              <w:t>0.146</w:t>
            </w:r>
          </w:p>
        </w:tc>
        <w:tc>
          <w:tcPr>
            <w:tcW w:w="1373" w:type="dxa"/>
          </w:tcPr>
          <w:p w14:paraId="300445B4" w14:textId="77777777" w:rsidR="006A62F5" w:rsidRPr="008B1CFC" w:rsidRDefault="006A62F5" w:rsidP="00C262AE">
            <w:pPr>
              <w:pStyle w:val="Tabletext"/>
            </w:pPr>
            <w:r w:rsidRPr="00B10821">
              <w:t>0.183</w:t>
            </w:r>
          </w:p>
        </w:tc>
        <w:tc>
          <w:tcPr>
            <w:tcW w:w="1373" w:type="dxa"/>
          </w:tcPr>
          <w:p w14:paraId="2EF2D83E" w14:textId="77777777" w:rsidR="006A62F5" w:rsidRPr="008B1CFC" w:rsidRDefault="006A62F5" w:rsidP="00C262AE">
            <w:pPr>
              <w:pStyle w:val="Tabletext"/>
            </w:pPr>
            <w:r w:rsidRPr="00B10821">
              <w:t>0.076</w:t>
            </w:r>
          </w:p>
        </w:tc>
        <w:tc>
          <w:tcPr>
            <w:tcW w:w="1373" w:type="dxa"/>
          </w:tcPr>
          <w:p w14:paraId="355E91CC" w14:textId="77777777" w:rsidR="006A62F5" w:rsidRPr="008B1CFC" w:rsidRDefault="006A62F5" w:rsidP="00C262AE">
            <w:pPr>
              <w:pStyle w:val="Tabletext"/>
            </w:pPr>
            <w:r w:rsidRPr="00B10821">
              <w:t>0.055</w:t>
            </w:r>
          </w:p>
        </w:tc>
      </w:tr>
    </w:tbl>
    <w:p w14:paraId="5428A84F" w14:textId="77777777" w:rsidR="006A62F5" w:rsidRDefault="006A62F5" w:rsidP="006A62F5">
      <w:pPr>
        <w:pStyle w:val="Note"/>
        <w:rPr>
          <w:lang w:eastAsia="en-AU"/>
        </w:rPr>
      </w:pPr>
      <w:r>
        <w:rPr>
          <w:lang w:eastAsia="en-AU"/>
        </w:rPr>
        <w:t xml:space="preserve">Notes: </w:t>
      </w:r>
      <w:r w:rsidRPr="00070A37">
        <w:rPr>
          <w:lang w:eastAsia="en-AU"/>
        </w:rPr>
        <w:t>*** significant at 1 per cent, ** significant at 5 per cent, * significant at 10 per cent.</w:t>
      </w:r>
      <w:r>
        <w:rPr>
          <w:lang w:eastAsia="en-AU"/>
        </w:rPr>
        <w:t xml:space="preserve"> </w:t>
      </w:r>
      <w:r>
        <w:rPr>
          <w:szCs w:val="16"/>
        </w:rPr>
        <w:t xml:space="preserve">n refers to the number of observations. </w:t>
      </w:r>
      <w:r>
        <w:rPr>
          <w:lang w:eastAsia="en-AU"/>
        </w:rPr>
        <w:t xml:space="preserve">Log-log model, all coefficients are elasticities </w:t>
      </w:r>
    </w:p>
    <w:p w14:paraId="36CDC4D4" w14:textId="77777777" w:rsidR="006A62F5" w:rsidRPr="00E01D06" w:rsidRDefault="006A62F5" w:rsidP="006A62F5">
      <w:pPr>
        <w:pStyle w:val="Source"/>
        <w:rPr>
          <w:lang w:eastAsia="en-AU"/>
        </w:rPr>
      </w:pPr>
      <w:r>
        <w:rPr>
          <w:lang w:eastAsia="en-AU"/>
        </w:rPr>
        <w:t>Source: BLADE (2019)</w:t>
      </w:r>
    </w:p>
    <w:p w14:paraId="0BE973E3" w14:textId="542CF0A1" w:rsidR="002625FB" w:rsidRDefault="002625FB">
      <w:pPr>
        <w:spacing w:after="200" w:line="276" w:lineRule="auto"/>
        <w:ind w:left="0"/>
        <w:jc w:val="left"/>
        <w:rPr>
          <w:rFonts w:asciiTheme="minorHAnsi" w:hAnsiTheme="minorHAnsi"/>
        </w:rPr>
      </w:pPr>
      <w:r>
        <w:rPr>
          <w:rFonts w:asciiTheme="minorHAnsi" w:hAnsiTheme="minorHAnsi"/>
        </w:rPr>
        <w:br w:type="page"/>
      </w:r>
    </w:p>
    <w:p w14:paraId="3E4CD975" w14:textId="2D31358A" w:rsidR="002625FB" w:rsidRDefault="002625FB" w:rsidP="002625FB">
      <w:pPr>
        <w:pStyle w:val="Heading6"/>
        <w:numPr>
          <w:ilvl w:val="0"/>
          <w:numId w:val="0"/>
        </w:numPr>
      </w:pPr>
      <w:r>
        <w:lastRenderedPageBreak/>
        <w:t>Appendix G</w:t>
      </w:r>
      <w:r>
        <w:tab/>
      </w:r>
      <w:r w:rsidR="00403DB1">
        <w:br/>
      </w:r>
      <w:r>
        <w:t>Exchange rates and export sales</w:t>
      </w:r>
    </w:p>
    <w:p w14:paraId="253F44D5" w14:textId="6D39BF93" w:rsidR="002625FB" w:rsidRDefault="002625FB" w:rsidP="002625FB">
      <w:pPr>
        <w:pStyle w:val="Caption"/>
      </w:pPr>
      <w:r w:rsidRPr="000618FB">
        <w:t xml:space="preserve">Table </w:t>
      </w:r>
      <w:r w:rsidR="00580A88">
        <w:rPr>
          <w:noProof/>
        </w:rPr>
        <w:t>G</w:t>
      </w:r>
      <w:r w:rsidRPr="000618FB">
        <w:t>.</w:t>
      </w:r>
      <w:r>
        <w:rPr>
          <w:noProof/>
        </w:rPr>
        <w:fldChar w:fldCharType="begin"/>
      </w:r>
      <w:r>
        <w:rPr>
          <w:noProof/>
        </w:rPr>
        <w:instrText xml:space="preserve"> SEQ Table \* ARABIC \s 1 </w:instrText>
      </w:r>
      <w:r>
        <w:rPr>
          <w:noProof/>
        </w:rPr>
        <w:fldChar w:fldCharType="separate"/>
      </w:r>
      <w:r w:rsidR="00326788">
        <w:rPr>
          <w:noProof/>
        </w:rPr>
        <w:t>2</w:t>
      </w:r>
      <w:r>
        <w:rPr>
          <w:noProof/>
        </w:rPr>
        <w:fldChar w:fldCharType="end"/>
      </w:r>
      <w:r w:rsidRPr="000618FB">
        <w:t xml:space="preserve">: </w:t>
      </w:r>
      <w:r w:rsidR="00580A88" w:rsidRPr="00580A88">
        <w:t>Response to exchange rate fluctuations</w:t>
      </w:r>
      <w:r w:rsidR="00580A88">
        <w:t>, with young firm dummy variable</w:t>
      </w:r>
    </w:p>
    <w:tbl>
      <w:tblPr>
        <w:tblStyle w:val="OCETable"/>
        <w:tblW w:w="4947" w:type="pct"/>
        <w:tblInd w:w="57" w:type="dxa"/>
        <w:tblLayout w:type="fixed"/>
        <w:tblLook w:val="04A0" w:firstRow="1" w:lastRow="0" w:firstColumn="1" w:lastColumn="0" w:noHBand="0" w:noVBand="1"/>
        <w:tblCaption w:val="Response to exchange rate fluctuations, with young firm dummy variable"/>
        <w:tblDescription w:val="Results from running a regression similar to equation 6, but now with a young firm dummy variable. "/>
      </w:tblPr>
      <w:tblGrid>
        <w:gridCol w:w="3410"/>
        <w:gridCol w:w="3411"/>
      </w:tblGrid>
      <w:tr w:rsidR="000A766E" w14:paraId="174622B9" w14:textId="77777777" w:rsidTr="0092519E">
        <w:trPr>
          <w:cnfStyle w:val="100000000000" w:firstRow="1" w:lastRow="0" w:firstColumn="0" w:lastColumn="0" w:oddVBand="0" w:evenVBand="0" w:oddHBand="0" w:evenHBand="0" w:firstRowFirstColumn="0" w:firstRowLastColumn="0" w:lastRowFirstColumn="0" w:lastRowLastColumn="0"/>
          <w:trHeight w:val="384"/>
          <w:tblHeader/>
        </w:trPr>
        <w:tc>
          <w:tcPr>
            <w:tcW w:w="3410" w:type="dxa"/>
          </w:tcPr>
          <w:p w14:paraId="0740655E" w14:textId="1DC8DB19" w:rsidR="000A766E" w:rsidRDefault="000A766E" w:rsidP="002941A3">
            <w:pPr>
              <w:pStyle w:val="Tableheader"/>
              <w:rPr>
                <w:lang w:eastAsia="en-AU"/>
              </w:rPr>
            </w:pPr>
            <w:r>
              <w:rPr>
                <w:lang w:eastAsia="en-AU"/>
              </w:rPr>
              <w:t>Covariate</w:t>
            </w:r>
          </w:p>
        </w:tc>
        <w:tc>
          <w:tcPr>
            <w:tcW w:w="3411" w:type="dxa"/>
          </w:tcPr>
          <w:p w14:paraId="4C7D6D49" w14:textId="72989A8D" w:rsidR="000A766E" w:rsidRDefault="000A766E" w:rsidP="002941A3">
            <w:pPr>
              <w:pStyle w:val="Tableheader"/>
              <w:rPr>
                <w:lang w:eastAsia="en-AU"/>
              </w:rPr>
            </w:pPr>
            <w:r>
              <w:rPr>
                <w:lang w:eastAsia="en-AU"/>
              </w:rPr>
              <w:t>Coefficient</w:t>
            </w:r>
          </w:p>
        </w:tc>
      </w:tr>
      <w:tr w:rsidR="000A766E" w14:paraId="5D101338" w14:textId="77777777" w:rsidTr="000A766E">
        <w:trPr>
          <w:cnfStyle w:val="000000100000" w:firstRow="0" w:lastRow="0" w:firstColumn="0" w:lastColumn="0" w:oddVBand="0" w:evenVBand="0" w:oddHBand="1" w:evenHBand="0" w:firstRowFirstColumn="0" w:firstRowLastColumn="0" w:lastRowFirstColumn="0" w:lastRowLastColumn="0"/>
          <w:trHeight w:val="275"/>
        </w:trPr>
        <w:tc>
          <w:tcPr>
            <w:tcW w:w="3410" w:type="dxa"/>
            <w:vAlign w:val="center"/>
          </w:tcPr>
          <w:p w14:paraId="78AECDF3" w14:textId="6E7FAEF1" w:rsidR="000A766E" w:rsidRDefault="000A766E" w:rsidP="002941A3">
            <w:pPr>
              <w:pStyle w:val="Tabletext"/>
              <w:rPr>
                <w:rFonts w:eastAsia="Arial" w:cs="Times New Roman"/>
              </w:rPr>
            </w:pPr>
            <w:r>
              <w:t>Young</w:t>
            </w:r>
          </w:p>
        </w:tc>
        <w:tc>
          <w:tcPr>
            <w:tcW w:w="3411" w:type="dxa"/>
          </w:tcPr>
          <w:p w14:paraId="651FCCB3" w14:textId="33449B10" w:rsidR="000A766E" w:rsidRDefault="000A766E" w:rsidP="008C15B5">
            <w:pPr>
              <w:pStyle w:val="Tabletext"/>
            </w:pPr>
            <w:r>
              <w:t>0.089***</w:t>
            </w:r>
          </w:p>
        </w:tc>
      </w:tr>
      <w:tr w:rsidR="000A766E" w14:paraId="740A76F4" w14:textId="77777777" w:rsidTr="000A766E">
        <w:trPr>
          <w:cnfStyle w:val="000000010000" w:firstRow="0" w:lastRow="0" w:firstColumn="0" w:lastColumn="0" w:oddVBand="0" w:evenVBand="0" w:oddHBand="0" w:evenHBand="1" w:firstRowFirstColumn="0" w:firstRowLastColumn="0" w:lastRowFirstColumn="0" w:lastRowLastColumn="0"/>
          <w:trHeight w:val="275"/>
        </w:trPr>
        <w:tc>
          <w:tcPr>
            <w:tcW w:w="3410" w:type="dxa"/>
          </w:tcPr>
          <w:p w14:paraId="4CBE25A2" w14:textId="2143B811" w:rsidR="000A766E" w:rsidRDefault="000A766E" w:rsidP="000A766E">
            <w:pPr>
              <w:pStyle w:val="Tabletext"/>
              <w:tabs>
                <w:tab w:val="left" w:pos="0"/>
              </w:tabs>
              <w:ind w:right="2366"/>
              <w:rPr>
                <w:rFonts w:eastAsia="Arial" w:cs="Times New Roman"/>
              </w:rPr>
            </w:pPr>
            <m:oMathPara>
              <m:oMath>
                <m:r>
                  <m:rPr>
                    <m:sty m:val="p"/>
                  </m:rPr>
                  <w:rPr>
                    <w:rFonts w:ascii="Cambria Math" w:hAnsi="Cambria Math"/>
                    <w:lang w:val="en" w:eastAsia="en-AU"/>
                  </w:rPr>
                  <m:t>∆TWI</m:t>
                </m:r>
                <m:sSub>
                  <m:sSubPr>
                    <m:ctrlPr>
                      <w:rPr>
                        <w:rFonts w:ascii="Cambria Math" w:hAnsi="Cambria Math"/>
                        <w:lang w:val="en" w:eastAsia="en-AU"/>
                      </w:rPr>
                    </m:ctrlPr>
                  </m:sSubPr>
                  <m:e>
                    <m:r>
                      <m:rPr>
                        <m:sty m:val="p"/>
                      </m:rPr>
                      <w:rPr>
                        <w:rFonts w:ascii="Cambria Math" w:hAnsi="Cambria Math"/>
                        <w:lang w:val="en" w:eastAsia="en-AU"/>
                      </w:rPr>
                      <w:softHyphen/>
                    </m:r>
                  </m:e>
                  <m:sub>
                    <m:r>
                      <m:rPr>
                        <m:sty m:val="p"/>
                      </m:rPr>
                      <w:rPr>
                        <w:rFonts w:ascii="Cambria Math" w:hAnsi="Cambria Math"/>
                        <w:lang w:val="en" w:eastAsia="en-AU"/>
                      </w:rPr>
                      <m:t>t-1</m:t>
                    </m:r>
                  </m:sub>
                </m:sSub>
              </m:oMath>
            </m:oMathPara>
          </w:p>
        </w:tc>
        <w:tc>
          <w:tcPr>
            <w:tcW w:w="3411" w:type="dxa"/>
          </w:tcPr>
          <w:p w14:paraId="35B68CF9" w14:textId="69FD7732" w:rsidR="000A766E" w:rsidRDefault="000A766E" w:rsidP="008C15B5">
            <w:pPr>
              <w:pStyle w:val="Tabletext"/>
            </w:pPr>
            <w:r>
              <w:t>-0.228***</w:t>
            </w:r>
          </w:p>
        </w:tc>
      </w:tr>
      <w:tr w:rsidR="000A766E" w14:paraId="19E5FF6B" w14:textId="77777777" w:rsidTr="000A766E">
        <w:trPr>
          <w:cnfStyle w:val="000000100000" w:firstRow="0" w:lastRow="0" w:firstColumn="0" w:lastColumn="0" w:oddVBand="0" w:evenVBand="0" w:oddHBand="1" w:evenHBand="0" w:firstRowFirstColumn="0" w:firstRowLastColumn="0" w:lastRowFirstColumn="0" w:lastRowLastColumn="0"/>
          <w:trHeight w:val="275"/>
        </w:trPr>
        <w:tc>
          <w:tcPr>
            <w:tcW w:w="3410" w:type="dxa"/>
          </w:tcPr>
          <w:p w14:paraId="50825AC3" w14:textId="1A6BB80E" w:rsidR="000A766E" w:rsidRPr="006B2662" w:rsidRDefault="000A766E" w:rsidP="007D20B3">
            <w:pPr>
              <w:pStyle w:val="Tabletext"/>
            </w:pPr>
            <w:r>
              <w:rPr>
                <w:lang w:val="en" w:eastAsia="en-AU"/>
              </w:rPr>
              <w:t>Export intensity</w:t>
            </w:r>
          </w:p>
        </w:tc>
        <w:tc>
          <w:tcPr>
            <w:tcW w:w="3411" w:type="dxa"/>
          </w:tcPr>
          <w:p w14:paraId="33E0C8E0" w14:textId="485C533E" w:rsidR="000A766E" w:rsidRPr="006B2662" w:rsidRDefault="000A766E" w:rsidP="008C15B5">
            <w:pPr>
              <w:pStyle w:val="Tabletext"/>
            </w:pPr>
            <w:r>
              <w:t>4.634***</w:t>
            </w:r>
          </w:p>
        </w:tc>
      </w:tr>
      <w:tr w:rsidR="000A766E" w14:paraId="0376DB88" w14:textId="77777777" w:rsidTr="000A766E">
        <w:trPr>
          <w:cnfStyle w:val="000000010000" w:firstRow="0" w:lastRow="0" w:firstColumn="0" w:lastColumn="0" w:oddVBand="0" w:evenVBand="0" w:oddHBand="0" w:evenHBand="1" w:firstRowFirstColumn="0" w:firstRowLastColumn="0" w:lastRowFirstColumn="0" w:lastRowLastColumn="0"/>
          <w:trHeight w:val="275"/>
        </w:trPr>
        <w:tc>
          <w:tcPr>
            <w:tcW w:w="3410" w:type="dxa"/>
          </w:tcPr>
          <w:p w14:paraId="278474EE" w14:textId="311044A6" w:rsidR="000A766E" w:rsidRDefault="000A766E" w:rsidP="00E92EA8">
            <w:pPr>
              <w:pStyle w:val="Tabletext"/>
              <w:rPr>
                <w:rFonts w:eastAsia="Arial" w:cs="Times New Roman"/>
              </w:rPr>
            </w:pPr>
            <w:r w:rsidRPr="00371870">
              <w:t>ln(fte)</w:t>
            </w:r>
          </w:p>
        </w:tc>
        <w:tc>
          <w:tcPr>
            <w:tcW w:w="3411" w:type="dxa"/>
          </w:tcPr>
          <w:p w14:paraId="1F8685C3" w14:textId="1F0A6B27" w:rsidR="000A766E" w:rsidRDefault="000A766E" w:rsidP="008C15B5">
            <w:pPr>
              <w:pStyle w:val="Tabletext"/>
            </w:pPr>
            <w:r>
              <w:t>0.668***</w:t>
            </w:r>
          </w:p>
        </w:tc>
      </w:tr>
      <w:tr w:rsidR="000A766E" w14:paraId="3765DE2D" w14:textId="77777777" w:rsidTr="000A766E">
        <w:trPr>
          <w:cnfStyle w:val="000000100000" w:firstRow="0" w:lastRow="0" w:firstColumn="0" w:lastColumn="0" w:oddVBand="0" w:evenVBand="0" w:oddHBand="1" w:evenHBand="0" w:firstRowFirstColumn="0" w:firstRowLastColumn="0" w:lastRowFirstColumn="0" w:lastRowLastColumn="0"/>
          <w:trHeight w:val="275"/>
        </w:trPr>
        <w:tc>
          <w:tcPr>
            <w:tcW w:w="3410" w:type="dxa"/>
          </w:tcPr>
          <w:p w14:paraId="01D0B44C" w14:textId="5120A3DE" w:rsidR="000A766E" w:rsidRDefault="000A766E" w:rsidP="00E92EA8">
            <w:pPr>
              <w:pStyle w:val="Tabletext"/>
              <w:rPr>
                <w:rFonts w:eastAsia="Arial" w:cs="Times New Roman"/>
              </w:rPr>
            </w:pPr>
            <w:r w:rsidRPr="00371870">
              <w:t>n</w:t>
            </w:r>
          </w:p>
        </w:tc>
        <w:tc>
          <w:tcPr>
            <w:tcW w:w="3411" w:type="dxa"/>
          </w:tcPr>
          <w:p w14:paraId="3EA16A74" w14:textId="18F25747" w:rsidR="000A766E" w:rsidRPr="007F2301" w:rsidRDefault="000A766E" w:rsidP="008C15B5">
            <w:pPr>
              <w:pStyle w:val="Tabletext"/>
            </w:pPr>
            <w:r>
              <w:t>160,871</w:t>
            </w:r>
          </w:p>
        </w:tc>
      </w:tr>
      <w:tr w:rsidR="000A766E" w14:paraId="5CA50D81" w14:textId="77777777" w:rsidTr="000A766E">
        <w:trPr>
          <w:cnfStyle w:val="000000010000" w:firstRow="0" w:lastRow="0" w:firstColumn="0" w:lastColumn="0" w:oddVBand="0" w:evenVBand="0" w:oddHBand="0" w:evenHBand="1" w:firstRowFirstColumn="0" w:firstRowLastColumn="0" w:lastRowFirstColumn="0" w:lastRowLastColumn="0"/>
          <w:trHeight w:val="275"/>
        </w:trPr>
        <w:tc>
          <w:tcPr>
            <w:tcW w:w="3410" w:type="dxa"/>
            <w:vAlign w:val="center"/>
          </w:tcPr>
          <w:p w14:paraId="5A093964" w14:textId="77777777" w:rsidR="000A766E" w:rsidRDefault="000A766E" w:rsidP="00E92EA8">
            <w:pPr>
              <w:pStyle w:val="Tabletext"/>
              <w:rPr>
                <w:rFonts w:eastAsia="Arial" w:cs="Times New Roman"/>
              </w:rPr>
            </w:pPr>
            <w:r>
              <w:rPr>
                <w:rFonts w:eastAsia="Arial" w:cs="Times New Roman"/>
              </w:rPr>
              <w:t>R</w:t>
            </w:r>
            <w:r>
              <w:rPr>
                <w:rFonts w:eastAsia="Arial"/>
              </w:rPr>
              <w:t>²</w:t>
            </w:r>
          </w:p>
        </w:tc>
        <w:tc>
          <w:tcPr>
            <w:tcW w:w="3411" w:type="dxa"/>
          </w:tcPr>
          <w:p w14:paraId="2EEB9163" w14:textId="2BE1F237" w:rsidR="000A766E" w:rsidRPr="008B1CFC" w:rsidRDefault="000A766E" w:rsidP="008C15B5">
            <w:pPr>
              <w:pStyle w:val="Tabletext"/>
            </w:pPr>
            <w:r>
              <w:t>0.396</w:t>
            </w:r>
          </w:p>
        </w:tc>
      </w:tr>
    </w:tbl>
    <w:p w14:paraId="4303F0EB" w14:textId="77777777" w:rsidR="002625FB" w:rsidRDefault="002625FB" w:rsidP="002625FB">
      <w:pPr>
        <w:pStyle w:val="Note"/>
        <w:rPr>
          <w:lang w:eastAsia="en-AU"/>
        </w:rPr>
      </w:pPr>
      <w:r>
        <w:rPr>
          <w:lang w:eastAsia="en-AU"/>
        </w:rPr>
        <w:t xml:space="preserve">Notes: </w:t>
      </w:r>
      <w:r w:rsidRPr="00070A37">
        <w:rPr>
          <w:lang w:eastAsia="en-AU"/>
        </w:rPr>
        <w:t>*** significant at 1 per cent, ** significant at 5 per cent, * significant at 10 per cent.</w:t>
      </w:r>
      <w:r>
        <w:rPr>
          <w:lang w:eastAsia="en-AU"/>
        </w:rPr>
        <w:t xml:space="preserve"> </w:t>
      </w:r>
      <w:r>
        <w:rPr>
          <w:szCs w:val="16"/>
        </w:rPr>
        <w:t xml:space="preserve">n refers to the number of observations. </w:t>
      </w:r>
      <w:r>
        <w:rPr>
          <w:lang w:eastAsia="en-AU"/>
        </w:rPr>
        <w:t xml:space="preserve">Log-log model, all coefficients are elasticities </w:t>
      </w:r>
    </w:p>
    <w:p w14:paraId="093E4629" w14:textId="77777777" w:rsidR="002625FB" w:rsidRPr="00E01D06" w:rsidRDefault="002625FB" w:rsidP="002625FB">
      <w:pPr>
        <w:pStyle w:val="Source"/>
        <w:rPr>
          <w:lang w:eastAsia="en-AU"/>
        </w:rPr>
      </w:pPr>
      <w:r>
        <w:rPr>
          <w:lang w:eastAsia="en-AU"/>
        </w:rPr>
        <w:t>Source: BLADE (2019)</w:t>
      </w:r>
    </w:p>
    <w:p w14:paraId="5B182215" w14:textId="77777777" w:rsidR="002E11B8" w:rsidRPr="00A0211B" w:rsidRDefault="002E11B8" w:rsidP="00A0211B">
      <w:pPr>
        <w:spacing w:after="200" w:line="276" w:lineRule="auto"/>
        <w:ind w:left="0"/>
        <w:jc w:val="left"/>
        <w:rPr>
          <w:rFonts w:asciiTheme="minorHAnsi" w:hAnsiTheme="minorHAnsi"/>
        </w:rPr>
      </w:pPr>
    </w:p>
    <w:sectPr w:rsidR="002E11B8" w:rsidRPr="00A0211B" w:rsidSect="00672015">
      <w:footerReference w:type="default" r:id="rId34"/>
      <w:footerReference w:type="first" r:id="rId35"/>
      <w:type w:val="continuous"/>
      <w:pgSz w:w="11906" w:h="16838" w:code="9"/>
      <w:pgMar w:top="1440" w:right="1440" w:bottom="1440" w:left="357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02E16" w14:textId="77777777" w:rsidR="00E4673F" w:rsidRDefault="00E4673F" w:rsidP="00F244EA">
      <w:pPr>
        <w:spacing w:after="0" w:line="240" w:lineRule="auto"/>
      </w:pPr>
      <w:r>
        <w:separator/>
      </w:r>
    </w:p>
  </w:endnote>
  <w:endnote w:type="continuationSeparator" w:id="0">
    <w:p w14:paraId="00B77476" w14:textId="77777777" w:rsidR="00E4673F" w:rsidRDefault="00E4673F" w:rsidP="00F244EA">
      <w:pPr>
        <w:spacing w:after="0" w:line="240" w:lineRule="auto"/>
      </w:pPr>
      <w:r>
        <w:continuationSeparator/>
      </w:r>
    </w:p>
  </w:endnote>
  <w:endnote w:type="continuationNotice" w:id="1">
    <w:p w14:paraId="04329196" w14:textId="77777777" w:rsidR="00E4673F" w:rsidRDefault="00E46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1671"/>
      <w:docPartObj>
        <w:docPartGallery w:val="Page Numbers (Bottom of Page)"/>
        <w:docPartUnique/>
      </w:docPartObj>
    </w:sdtPr>
    <w:sdtEndPr>
      <w:rPr>
        <w:noProof/>
      </w:rPr>
    </w:sdtEndPr>
    <w:sdtContent>
      <w:p w14:paraId="35E4A15F" w14:textId="322A85AA" w:rsidR="00E4673F" w:rsidRDefault="00E4673F">
        <w:pPr>
          <w:pStyle w:val="Footer"/>
          <w:jc w:val="right"/>
        </w:pPr>
        <w:r>
          <w:fldChar w:fldCharType="begin"/>
        </w:r>
        <w:r>
          <w:instrText xml:space="preserve"> PAGE   \* MERGEFORMAT </w:instrText>
        </w:r>
        <w:r>
          <w:fldChar w:fldCharType="separate"/>
        </w:r>
        <w:r w:rsidR="00326788">
          <w:rPr>
            <w:noProof/>
          </w:rPr>
          <w:t>1</w:t>
        </w:r>
        <w:r>
          <w:rPr>
            <w:noProof/>
          </w:rPr>
          <w:fldChar w:fldCharType="end"/>
        </w:r>
      </w:p>
    </w:sdtContent>
  </w:sdt>
  <w:p w14:paraId="487F314A" w14:textId="77777777" w:rsidR="00E4673F" w:rsidRDefault="00E46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320091"/>
      <w:docPartObj>
        <w:docPartGallery w:val="Page Numbers (Bottom of Page)"/>
        <w:docPartUnique/>
      </w:docPartObj>
    </w:sdtPr>
    <w:sdtEndPr>
      <w:rPr>
        <w:noProof/>
      </w:rPr>
    </w:sdtEndPr>
    <w:sdtContent>
      <w:p w14:paraId="508EC5F9" w14:textId="106D8BEA" w:rsidR="00E4673F" w:rsidRDefault="00E4673F">
        <w:pPr>
          <w:pStyle w:val="Footer"/>
          <w:jc w:val="right"/>
        </w:pPr>
        <w:r>
          <w:fldChar w:fldCharType="begin"/>
        </w:r>
        <w:r>
          <w:instrText xml:space="preserve"> PAGE   \* MERGEFORMAT </w:instrText>
        </w:r>
        <w:r>
          <w:fldChar w:fldCharType="separate"/>
        </w:r>
        <w:r w:rsidR="00326788">
          <w:rPr>
            <w:noProof/>
          </w:rPr>
          <w:t>20</w:t>
        </w:r>
        <w:r>
          <w:rPr>
            <w:noProof/>
          </w:rPr>
          <w:fldChar w:fldCharType="end"/>
        </w:r>
      </w:p>
    </w:sdtContent>
  </w:sdt>
  <w:p w14:paraId="67B5ABCB" w14:textId="4C436537" w:rsidR="00E4673F" w:rsidRPr="001C2E57" w:rsidRDefault="00E4673F" w:rsidP="00672015">
    <w:pPr>
      <w:pStyle w:val="Footer"/>
      <w:tabs>
        <w:tab w:val="clear" w:pos="9680"/>
        <w:tab w:val="right" w:pos="689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5ABCC" w14:textId="77777777" w:rsidR="00E4673F" w:rsidRPr="001C2E57" w:rsidRDefault="00E4673F"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326788">
      <w:rPr>
        <w:noProof/>
      </w:rPr>
      <w:instrText>International entrepreneurship: evidence on Australian born global firms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326788">
      <w:rPr>
        <w:noProof/>
      </w:rPr>
      <w:instrText>International entrepreneurship: evidence on Australian born global firms</w:instrText>
    </w:r>
    <w:r>
      <w:rPr>
        <w:noProof/>
      </w:rPr>
      <w:fldChar w:fldCharType="end"/>
    </w:r>
    <w:r w:rsidRPr="001C2E57">
      <w:instrText xml:space="preserve"> </w:instrText>
    </w:r>
    <w:r w:rsidRPr="001C2E57">
      <w:fldChar w:fldCharType="separate"/>
    </w:r>
    <w:r w:rsidR="00326788">
      <w:rPr>
        <w:noProof/>
      </w:rPr>
      <w:t>International entrepreneurship: evidence on Australian born global firms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A693" w14:textId="77777777" w:rsidR="00E4673F" w:rsidRDefault="00E4673F" w:rsidP="005C2623">
      <w:pPr>
        <w:spacing w:after="0" w:line="240" w:lineRule="auto"/>
        <w:ind w:left="0"/>
      </w:pPr>
      <w:r>
        <w:separator/>
      </w:r>
    </w:p>
  </w:footnote>
  <w:footnote w:type="continuationSeparator" w:id="0">
    <w:p w14:paraId="415BBB18" w14:textId="77777777" w:rsidR="00E4673F" w:rsidRDefault="00E4673F" w:rsidP="00F244EA">
      <w:pPr>
        <w:spacing w:after="0" w:line="240" w:lineRule="auto"/>
      </w:pPr>
      <w:r>
        <w:continuationSeparator/>
      </w:r>
    </w:p>
  </w:footnote>
  <w:footnote w:type="continuationNotice" w:id="1">
    <w:p w14:paraId="6F5EC527" w14:textId="77777777" w:rsidR="00E4673F" w:rsidRDefault="00E4673F">
      <w:pPr>
        <w:spacing w:after="0" w:line="240" w:lineRule="auto"/>
      </w:pPr>
    </w:p>
  </w:footnote>
  <w:footnote w:id="2">
    <w:p w14:paraId="5D8D8417" w14:textId="3BEDF6F4" w:rsidR="00E4673F" w:rsidRPr="000D0DCC" w:rsidRDefault="00E4673F" w:rsidP="000D0DCC">
      <w:pPr>
        <w:pStyle w:val="FootnoteText"/>
        <w:ind w:left="0"/>
        <w:rPr>
          <w:lang w:val="en-US"/>
        </w:rPr>
      </w:pPr>
      <w:r>
        <w:rPr>
          <w:rStyle w:val="FootnoteReference"/>
        </w:rPr>
        <w:footnoteRef/>
      </w:r>
      <w:r>
        <w:t xml:space="preserve"> </w:t>
      </w:r>
      <w:r w:rsidRPr="000D0DCC">
        <w:t>Businesses that report at least $2,000 (in current prices) of export sales in Business Activity Statements are counted as exporters. This is consistent with the ABS definition of an exporter. The number of exporters as reported in the ABS cat. no. 5368.0.55.006 – Characteristics of Australian Exporters is less than this due to a number of additional exclusions.</w:t>
      </w:r>
    </w:p>
  </w:footnote>
  <w:footnote w:id="3">
    <w:p w14:paraId="57B7FBBA" w14:textId="77777777" w:rsidR="00E4673F" w:rsidRDefault="00E4673F" w:rsidP="002D4673">
      <w:pPr>
        <w:pStyle w:val="FootnoteText"/>
        <w:ind w:left="142"/>
      </w:pPr>
      <w:r>
        <w:rPr>
          <w:rStyle w:val="FootnoteReference"/>
        </w:rPr>
        <w:footnoteRef/>
      </w:r>
      <w:r>
        <w:t xml:space="preserve"> Grazzi and Moschella define firm growth as the change in unemployment, as they are unable to use the turnover variable. For the Australian case, we are able to verify results using both measures of firm growth.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FDAB" w14:textId="7A053DA2" w:rsidR="00E4673F" w:rsidRDefault="00E4673F">
    <w:pPr>
      <w:pStyle w:val="Header"/>
      <w:jc w:val="right"/>
    </w:pPr>
  </w:p>
  <w:p w14:paraId="05C01E5A" w14:textId="77777777" w:rsidR="00E4673F" w:rsidRDefault="00E46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9240A74"/>
    <w:lvl w:ilvl="0">
      <w:start w:val="1"/>
      <w:numFmt w:val="bullet"/>
      <w:lvlText w:val="-"/>
      <w:lvlJc w:val="left"/>
      <w:pPr>
        <w:ind w:left="643" w:hanging="360"/>
      </w:pPr>
      <w:rPr>
        <w:rFonts w:ascii="Courier New" w:hAnsi="Courier New" w:cs="Times New Roman" w:hint="default"/>
        <w:color w:val="5B9BD5"/>
      </w:rPr>
    </w:lvl>
  </w:abstractNum>
  <w:abstractNum w:abstractNumId="1" w15:restartNumberingAfterBreak="0">
    <w:nsid w:val="03323B38"/>
    <w:multiLevelType w:val="multilevel"/>
    <w:tmpl w:val="D5BAF582"/>
    <w:styleLink w:val="OCEHeadings"/>
    <w:lvl w:ilvl="0">
      <w:start w:val="1"/>
      <w:numFmt w:val="decimal"/>
      <w:pStyle w:val="Heading1"/>
      <w:lvlText w:val="%1."/>
      <w:lvlJc w:val="left"/>
      <w:pPr>
        <w:ind w:left="3403" w:hanging="709"/>
      </w:pPr>
      <w:rPr>
        <w:rFonts w:hint="default"/>
      </w:rPr>
    </w:lvl>
    <w:lvl w:ilvl="1">
      <w:start w:val="1"/>
      <w:numFmt w:val="decimal"/>
      <w:pStyle w:val="Heading2"/>
      <w:lvlText w:val="%1.%2"/>
      <w:lvlJc w:val="left"/>
      <w:pPr>
        <w:ind w:left="2836"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394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3323B3"/>
    <w:multiLevelType w:val="hybridMultilevel"/>
    <w:tmpl w:val="9F9E020A"/>
    <w:lvl w:ilvl="0" w:tplc="0C090001">
      <w:start w:val="1"/>
      <w:numFmt w:val="bullet"/>
      <w:lvlText w:val=""/>
      <w:lvlJc w:val="left"/>
      <w:pPr>
        <w:ind w:left="2877" w:hanging="360"/>
      </w:pPr>
      <w:rPr>
        <w:rFonts w:ascii="Symbol" w:hAnsi="Symbol" w:hint="default"/>
      </w:rPr>
    </w:lvl>
    <w:lvl w:ilvl="1" w:tplc="0C090003" w:tentative="1">
      <w:start w:val="1"/>
      <w:numFmt w:val="bullet"/>
      <w:lvlText w:val="o"/>
      <w:lvlJc w:val="left"/>
      <w:pPr>
        <w:ind w:left="3597" w:hanging="360"/>
      </w:pPr>
      <w:rPr>
        <w:rFonts w:ascii="Courier New" w:hAnsi="Courier New" w:cs="Courier New" w:hint="default"/>
      </w:rPr>
    </w:lvl>
    <w:lvl w:ilvl="2" w:tplc="0C090005" w:tentative="1">
      <w:start w:val="1"/>
      <w:numFmt w:val="bullet"/>
      <w:lvlText w:val=""/>
      <w:lvlJc w:val="left"/>
      <w:pPr>
        <w:ind w:left="4317" w:hanging="360"/>
      </w:pPr>
      <w:rPr>
        <w:rFonts w:ascii="Wingdings" w:hAnsi="Wingdings" w:hint="default"/>
      </w:rPr>
    </w:lvl>
    <w:lvl w:ilvl="3" w:tplc="0C090001" w:tentative="1">
      <w:start w:val="1"/>
      <w:numFmt w:val="bullet"/>
      <w:lvlText w:val=""/>
      <w:lvlJc w:val="left"/>
      <w:pPr>
        <w:ind w:left="5037" w:hanging="360"/>
      </w:pPr>
      <w:rPr>
        <w:rFonts w:ascii="Symbol" w:hAnsi="Symbol" w:hint="default"/>
      </w:rPr>
    </w:lvl>
    <w:lvl w:ilvl="4" w:tplc="0C090003" w:tentative="1">
      <w:start w:val="1"/>
      <w:numFmt w:val="bullet"/>
      <w:lvlText w:val="o"/>
      <w:lvlJc w:val="left"/>
      <w:pPr>
        <w:ind w:left="5757" w:hanging="360"/>
      </w:pPr>
      <w:rPr>
        <w:rFonts w:ascii="Courier New" w:hAnsi="Courier New" w:cs="Courier New" w:hint="default"/>
      </w:rPr>
    </w:lvl>
    <w:lvl w:ilvl="5" w:tplc="0C090005" w:tentative="1">
      <w:start w:val="1"/>
      <w:numFmt w:val="bullet"/>
      <w:lvlText w:val=""/>
      <w:lvlJc w:val="left"/>
      <w:pPr>
        <w:ind w:left="6477" w:hanging="360"/>
      </w:pPr>
      <w:rPr>
        <w:rFonts w:ascii="Wingdings" w:hAnsi="Wingdings" w:hint="default"/>
      </w:rPr>
    </w:lvl>
    <w:lvl w:ilvl="6" w:tplc="0C090001" w:tentative="1">
      <w:start w:val="1"/>
      <w:numFmt w:val="bullet"/>
      <w:lvlText w:val=""/>
      <w:lvlJc w:val="left"/>
      <w:pPr>
        <w:ind w:left="7197" w:hanging="360"/>
      </w:pPr>
      <w:rPr>
        <w:rFonts w:ascii="Symbol" w:hAnsi="Symbol" w:hint="default"/>
      </w:rPr>
    </w:lvl>
    <w:lvl w:ilvl="7" w:tplc="0C090003" w:tentative="1">
      <w:start w:val="1"/>
      <w:numFmt w:val="bullet"/>
      <w:lvlText w:val="o"/>
      <w:lvlJc w:val="left"/>
      <w:pPr>
        <w:ind w:left="7917" w:hanging="360"/>
      </w:pPr>
      <w:rPr>
        <w:rFonts w:ascii="Courier New" w:hAnsi="Courier New" w:cs="Courier New" w:hint="default"/>
      </w:rPr>
    </w:lvl>
    <w:lvl w:ilvl="8" w:tplc="0C090005" w:tentative="1">
      <w:start w:val="1"/>
      <w:numFmt w:val="bullet"/>
      <w:lvlText w:val=""/>
      <w:lvlJc w:val="left"/>
      <w:pPr>
        <w:ind w:left="8637" w:hanging="360"/>
      </w:pPr>
      <w:rPr>
        <w:rFonts w:ascii="Wingdings" w:hAnsi="Wingdings" w:hint="default"/>
      </w:rPr>
    </w:lvl>
  </w:abstractNum>
  <w:abstractNum w:abstractNumId="3" w15:restartNumberingAfterBreak="0">
    <w:nsid w:val="14D74279"/>
    <w:multiLevelType w:val="hybridMultilevel"/>
    <w:tmpl w:val="A95468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9A6EC1"/>
    <w:multiLevelType w:val="multilevel"/>
    <w:tmpl w:val="3BFA39A6"/>
    <w:numStyleLink w:val="OCENumberedList"/>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81656D"/>
    <w:multiLevelType w:val="hybridMultilevel"/>
    <w:tmpl w:val="ABA2EE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4BA2DAB"/>
    <w:multiLevelType w:val="hybridMultilevel"/>
    <w:tmpl w:val="630C32AA"/>
    <w:lvl w:ilvl="0" w:tplc="68E6D72C">
      <w:start w:val="1"/>
      <w:numFmt w:val="bullet"/>
      <w:lvlText w:val=""/>
      <w:lvlJc w:val="left"/>
      <w:pPr>
        <w:ind w:left="720" w:hanging="360"/>
      </w:pPr>
      <w:rPr>
        <w:rFonts w:ascii="Symbol" w:hAnsi="Symbol" w:hint="default"/>
        <w:color w:val="5B9BD5"/>
      </w:rPr>
    </w:lvl>
    <w:lvl w:ilvl="1" w:tplc="21E8437E">
      <w:start w:val="1"/>
      <w:numFmt w:val="bullet"/>
      <w:lvlText w:val="-"/>
      <w:lvlJc w:val="left"/>
      <w:pPr>
        <w:ind w:left="1440" w:hanging="360"/>
      </w:pPr>
      <w:rPr>
        <w:rFonts w:ascii="Courier New" w:hAnsi="Courier New" w:cs="Times New Roman" w:hint="default"/>
        <w:color w:val="5B9BD5"/>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8330CE"/>
    <w:multiLevelType w:val="hybridMultilevel"/>
    <w:tmpl w:val="F5C2BEB6"/>
    <w:lvl w:ilvl="0" w:tplc="DD60489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3"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4AC947AA"/>
    <w:multiLevelType w:val="hybridMultilevel"/>
    <w:tmpl w:val="FAFAF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0202942"/>
    <w:multiLevelType w:val="hybridMultilevel"/>
    <w:tmpl w:val="17741C8C"/>
    <w:lvl w:ilvl="0" w:tplc="DD60489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3813CDC"/>
    <w:multiLevelType w:val="multilevel"/>
    <w:tmpl w:val="D5BAF582"/>
    <w:numStyleLink w:val="OCEHeadings"/>
  </w:abstractNum>
  <w:abstractNum w:abstractNumId="18"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1"/>
  </w:num>
  <w:num w:numId="4">
    <w:abstractNumId w:val="15"/>
  </w:num>
  <w:num w:numId="5">
    <w:abstractNumId w:val="7"/>
  </w:num>
  <w:num w:numId="6">
    <w:abstractNumId w:val="6"/>
  </w:num>
  <w:num w:numId="7">
    <w:abstractNumId w:val="13"/>
  </w:num>
  <w:num w:numId="8">
    <w:abstractNumId w:val="5"/>
  </w:num>
  <w:num w:numId="9">
    <w:abstractNumId w:val="17"/>
  </w:num>
  <w:num w:numId="10">
    <w:abstractNumId w:val="4"/>
  </w:num>
  <w:num w:numId="11">
    <w:abstractNumId w:val="5"/>
  </w:num>
  <w:num w:numId="12">
    <w:abstractNumId w:val="17"/>
    <w:lvlOverride w:ilvl="1">
      <w:lvl w:ilvl="1">
        <w:start w:val="1"/>
        <w:numFmt w:val="decimal"/>
        <w:pStyle w:val="Heading2"/>
        <w:lvlText w:val="%1.%2"/>
        <w:lvlJc w:val="left"/>
        <w:pPr>
          <w:ind w:left="1419" w:hanging="709"/>
        </w:pPr>
        <w:rPr>
          <w:rFonts w:hint="default"/>
        </w:rPr>
      </w:lvl>
    </w:lvlOverride>
  </w:num>
  <w:num w:numId="13">
    <w:abstractNumId w:val="15"/>
  </w:num>
  <w:num w:numId="14">
    <w:abstractNumId w:val="9"/>
  </w:num>
  <w:num w:numId="15">
    <w:abstractNumId w:val="3"/>
  </w:num>
  <w:num w:numId="16">
    <w:abstractNumId w:val="14"/>
  </w:num>
  <w:num w:numId="17">
    <w:abstractNumId w:val="10"/>
  </w:num>
  <w:num w:numId="18">
    <w:abstractNumId w:val="0"/>
  </w:num>
  <w:num w:numId="19">
    <w:abstractNumId w:val="8"/>
  </w:num>
  <w:num w:numId="20">
    <w:abstractNumId w:val="16"/>
  </w:num>
  <w:num w:numId="21">
    <w:abstractNumId w:val="11"/>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DA"/>
    <w:rsid w:val="00000A47"/>
    <w:rsid w:val="00000E17"/>
    <w:rsid w:val="000014AA"/>
    <w:rsid w:val="000017FE"/>
    <w:rsid w:val="00001A5B"/>
    <w:rsid w:val="00002126"/>
    <w:rsid w:val="00002A7F"/>
    <w:rsid w:val="00002F55"/>
    <w:rsid w:val="000030BC"/>
    <w:rsid w:val="0000357D"/>
    <w:rsid w:val="000036F1"/>
    <w:rsid w:val="0000395D"/>
    <w:rsid w:val="00003B81"/>
    <w:rsid w:val="00003E30"/>
    <w:rsid w:val="00003F55"/>
    <w:rsid w:val="000042E7"/>
    <w:rsid w:val="00004365"/>
    <w:rsid w:val="00004714"/>
    <w:rsid w:val="000047C5"/>
    <w:rsid w:val="00004BF6"/>
    <w:rsid w:val="0000554E"/>
    <w:rsid w:val="00006349"/>
    <w:rsid w:val="000067E5"/>
    <w:rsid w:val="00006A51"/>
    <w:rsid w:val="00006AAA"/>
    <w:rsid w:val="00007EBB"/>
    <w:rsid w:val="00010903"/>
    <w:rsid w:val="00010C7B"/>
    <w:rsid w:val="00010FFE"/>
    <w:rsid w:val="0001161C"/>
    <w:rsid w:val="00011BE7"/>
    <w:rsid w:val="00011D0E"/>
    <w:rsid w:val="000122D8"/>
    <w:rsid w:val="000134B1"/>
    <w:rsid w:val="00013F4A"/>
    <w:rsid w:val="00013F80"/>
    <w:rsid w:val="00015853"/>
    <w:rsid w:val="000158E8"/>
    <w:rsid w:val="00015F41"/>
    <w:rsid w:val="000168FD"/>
    <w:rsid w:val="00016982"/>
    <w:rsid w:val="00017BB5"/>
    <w:rsid w:val="00017D7E"/>
    <w:rsid w:val="000201ED"/>
    <w:rsid w:val="00020967"/>
    <w:rsid w:val="00021FE1"/>
    <w:rsid w:val="000221C7"/>
    <w:rsid w:val="0002223C"/>
    <w:rsid w:val="000238B9"/>
    <w:rsid w:val="00023C30"/>
    <w:rsid w:val="0002416B"/>
    <w:rsid w:val="00025579"/>
    <w:rsid w:val="00025598"/>
    <w:rsid w:val="00025CF4"/>
    <w:rsid w:val="0002642D"/>
    <w:rsid w:val="0002648C"/>
    <w:rsid w:val="000264F1"/>
    <w:rsid w:val="0002674A"/>
    <w:rsid w:val="000267FB"/>
    <w:rsid w:val="00026C9E"/>
    <w:rsid w:val="00027E3C"/>
    <w:rsid w:val="00030A13"/>
    <w:rsid w:val="00031963"/>
    <w:rsid w:val="00032F2F"/>
    <w:rsid w:val="0003349A"/>
    <w:rsid w:val="00033FEB"/>
    <w:rsid w:val="000345A8"/>
    <w:rsid w:val="00035325"/>
    <w:rsid w:val="00035BC5"/>
    <w:rsid w:val="000369D3"/>
    <w:rsid w:val="00036F83"/>
    <w:rsid w:val="0003711C"/>
    <w:rsid w:val="00037B42"/>
    <w:rsid w:val="00037BF5"/>
    <w:rsid w:val="00040945"/>
    <w:rsid w:val="00040D0D"/>
    <w:rsid w:val="000418A9"/>
    <w:rsid w:val="00041CAA"/>
    <w:rsid w:val="00041FE3"/>
    <w:rsid w:val="0004282B"/>
    <w:rsid w:val="00042936"/>
    <w:rsid w:val="00043051"/>
    <w:rsid w:val="00043057"/>
    <w:rsid w:val="00043213"/>
    <w:rsid w:val="00043C6B"/>
    <w:rsid w:val="000443CD"/>
    <w:rsid w:val="000448F2"/>
    <w:rsid w:val="00045625"/>
    <w:rsid w:val="000460F7"/>
    <w:rsid w:val="000463E7"/>
    <w:rsid w:val="00046456"/>
    <w:rsid w:val="00046797"/>
    <w:rsid w:val="00047373"/>
    <w:rsid w:val="00050364"/>
    <w:rsid w:val="00051385"/>
    <w:rsid w:val="000515F5"/>
    <w:rsid w:val="00051B1D"/>
    <w:rsid w:val="00052214"/>
    <w:rsid w:val="00052899"/>
    <w:rsid w:val="00053DE9"/>
    <w:rsid w:val="00054FFA"/>
    <w:rsid w:val="000555DF"/>
    <w:rsid w:val="00055B5E"/>
    <w:rsid w:val="0005753A"/>
    <w:rsid w:val="00057584"/>
    <w:rsid w:val="0005784E"/>
    <w:rsid w:val="0005799C"/>
    <w:rsid w:val="00057F74"/>
    <w:rsid w:val="00060184"/>
    <w:rsid w:val="00060761"/>
    <w:rsid w:val="00060A29"/>
    <w:rsid w:val="00060CE1"/>
    <w:rsid w:val="00060F8A"/>
    <w:rsid w:val="000614AF"/>
    <w:rsid w:val="00061679"/>
    <w:rsid w:val="000618FB"/>
    <w:rsid w:val="0006277A"/>
    <w:rsid w:val="0006288B"/>
    <w:rsid w:val="00062968"/>
    <w:rsid w:val="00062B21"/>
    <w:rsid w:val="00062BED"/>
    <w:rsid w:val="000631C8"/>
    <w:rsid w:val="00063AD0"/>
    <w:rsid w:val="00063DB8"/>
    <w:rsid w:val="00063ED6"/>
    <w:rsid w:val="00063EFE"/>
    <w:rsid w:val="000641E0"/>
    <w:rsid w:val="00064388"/>
    <w:rsid w:val="000643AD"/>
    <w:rsid w:val="0006492D"/>
    <w:rsid w:val="00064960"/>
    <w:rsid w:val="00065133"/>
    <w:rsid w:val="000654D1"/>
    <w:rsid w:val="00065545"/>
    <w:rsid w:val="00066BBE"/>
    <w:rsid w:val="00067596"/>
    <w:rsid w:val="000676BB"/>
    <w:rsid w:val="00067812"/>
    <w:rsid w:val="00067F6C"/>
    <w:rsid w:val="00070749"/>
    <w:rsid w:val="00070A37"/>
    <w:rsid w:val="0007137D"/>
    <w:rsid w:val="00071512"/>
    <w:rsid w:val="000717F6"/>
    <w:rsid w:val="0007200D"/>
    <w:rsid w:val="00072062"/>
    <w:rsid w:val="0007279A"/>
    <w:rsid w:val="000728D2"/>
    <w:rsid w:val="000747AF"/>
    <w:rsid w:val="0007487C"/>
    <w:rsid w:val="000748AC"/>
    <w:rsid w:val="00075553"/>
    <w:rsid w:val="00075E53"/>
    <w:rsid w:val="00076E42"/>
    <w:rsid w:val="0007705C"/>
    <w:rsid w:val="0007710B"/>
    <w:rsid w:val="00077285"/>
    <w:rsid w:val="00077C00"/>
    <w:rsid w:val="00077DCE"/>
    <w:rsid w:val="00082BF4"/>
    <w:rsid w:val="00082E18"/>
    <w:rsid w:val="00083A91"/>
    <w:rsid w:val="000845D3"/>
    <w:rsid w:val="00084D3E"/>
    <w:rsid w:val="00085A7A"/>
    <w:rsid w:val="00085CFB"/>
    <w:rsid w:val="00086F74"/>
    <w:rsid w:val="00087044"/>
    <w:rsid w:val="0008789A"/>
    <w:rsid w:val="00087BEF"/>
    <w:rsid w:val="00090174"/>
    <w:rsid w:val="000904D3"/>
    <w:rsid w:val="00090B8C"/>
    <w:rsid w:val="00090EF1"/>
    <w:rsid w:val="00091799"/>
    <w:rsid w:val="000920D2"/>
    <w:rsid w:val="00092E86"/>
    <w:rsid w:val="00093006"/>
    <w:rsid w:val="00093C8C"/>
    <w:rsid w:val="00093D92"/>
    <w:rsid w:val="000940D1"/>
    <w:rsid w:val="000948F6"/>
    <w:rsid w:val="000966C9"/>
    <w:rsid w:val="00096F68"/>
    <w:rsid w:val="0009714A"/>
    <w:rsid w:val="00097670"/>
    <w:rsid w:val="000A011E"/>
    <w:rsid w:val="000A0EBA"/>
    <w:rsid w:val="000A1575"/>
    <w:rsid w:val="000A1C30"/>
    <w:rsid w:val="000A29BA"/>
    <w:rsid w:val="000A371D"/>
    <w:rsid w:val="000A3B65"/>
    <w:rsid w:val="000A3BE0"/>
    <w:rsid w:val="000A3D7F"/>
    <w:rsid w:val="000A4E45"/>
    <w:rsid w:val="000A5452"/>
    <w:rsid w:val="000A5C90"/>
    <w:rsid w:val="000A5CFF"/>
    <w:rsid w:val="000A620A"/>
    <w:rsid w:val="000A6353"/>
    <w:rsid w:val="000A6370"/>
    <w:rsid w:val="000A63C0"/>
    <w:rsid w:val="000A6F5B"/>
    <w:rsid w:val="000A7142"/>
    <w:rsid w:val="000A75C3"/>
    <w:rsid w:val="000A766E"/>
    <w:rsid w:val="000B0693"/>
    <w:rsid w:val="000B0ED8"/>
    <w:rsid w:val="000B106D"/>
    <w:rsid w:val="000B1196"/>
    <w:rsid w:val="000B1CFE"/>
    <w:rsid w:val="000B203F"/>
    <w:rsid w:val="000B279E"/>
    <w:rsid w:val="000B2C1B"/>
    <w:rsid w:val="000B2DCB"/>
    <w:rsid w:val="000B2DFC"/>
    <w:rsid w:val="000B3D14"/>
    <w:rsid w:val="000B3F42"/>
    <w:rsid w:val="000B41B9"/>
    <w:rsid w:val="000B4567"/>
    <w:rsid w:val="000B4D55"/>
    <w:rsid w:val="000B4EB2"/>
    <w:rsid w:val="000B5168"/>
    <w:rsid w:val="000B58C3"/>
    <w:rsid w:val="000B5BC7"/>
    <w:rsid w:val="000B6D06"/>
    <w:rsid w:val="000B7642"/>
    <w:rsid w:val="000B7F45"/>
    <w:rsid w:val="000B7F7A"/>
    <w:rsid w:val="000C03CF"/>
    <w:rsid w:val="000C0CE6"/>
    <w:rsid w:val="000C0DD7"/>
    <w:rsid w:val="000C160A"/>
    <w:rsid w:val="000C19CB"/>
    <w:rsid w:val="000C21AA"/>
    <w:rsid w:val="000C2D40"/>
    <w:rsid w:val="000C3E2B"/>
    <w:rsid w:val="000C3F79"/>
    <w:rsid w:val="000C426A"/>
    <w:rsid w:val="000C4942"/>
    <w:rsid w:val="000C4A32"/>
    <w:rsid w:val="000C4A5A"/>
    <w:rsid w:val="000C5C3C"/>
    <w:rsid w:val="000C5C97"/>
    <w:rsid w:val="000C65B1"/>
    <w:rsid w:val="000C6AD6"/>
    <w:rsid w:val="000C7A23"/>
    <w:rsid w:val="000D00AD"/>
    <w:rsid w:val="000D0DCC"/>
    <w:rsid w:val="000D151A"/>
    <w:rsid w:val="000D17AC"/>
    <w:rsid w:val="000D1C8C"/>
    <w:rsid w:val="000D29C5"/>
    <w:rsid w:val="000D33DA"/>
    <w:rsid w:val="000D37D4"/>
    <w:rsid w:val="000D3E50"/>
    <w:rsid w:val="000D424D"/>
    <w:rsid w:val="000D42E9"/>
    <w:rsid w:val="000D4BB0"/>
    <w:rsid w:val="000D5123"/>
    <w:rsid w:val="000D5440"/>
    <w:rsid w:val="000D59BF"/>
    <w:rsid w:val="000D5B5D"/>
    <w:rsid w:val="000D5B92"/>
    <w:rsid w:val="000D65D7"/>
    <w:rsid w:val="000D6C5A"/>
    <w:rsid w:val="000D786E"/>
    <w:rsid w:val="000D7A25"/>
    <w:rsid w:val="000E163F"/>
    <w:rsid w:val="000E1AAA"/>
    <w:rsid w:val="000E1CCC"/>
    <w:rsid w:val="000E24C7"/>
    <w:rsid w:val="000E2605"/>
    <w:rsid w:val="000E2A37"/>
    <w:rsid w:val="000E2D47"/>
    <w:rsid w:val="000E399E"/>
    <w:rsid w:val="000E415F"/>
    <w:rsid w:val="000E4876"/>
    <w:rsid w:val="000E4CCF"/>
    <w:rsid w:val="000E4FEC"/>
    <w:rsid w:val="000E538D"/>
    <w:rsid w:val="000E6D34"/>
    <w:rsid w:val="000E763B"/>
    <w:rsid w:val="000E7B20"/>
    <w:rsid w:val="000F011A"/>
    <w:rsid w:val="000F03F0"/>
    <w:rsid w:val="000F0438"/>
    <w:rsid w:val="000F0460"/>
    <w:rsid w:val="000F099E"/>
    <w:rsid w:val="000F0E5C"/>
    <w:rsid w:val="000F1744"/>
    <w:rsid w:val="000F2456"/>
    <w:rsid w:val="000F3BB7"/>
    <w:rsid w:val="000F3C49"/>
    <w:rsid w:val="000F3E12"/>
    <w:rsid w:val="000F4790"/>
    <w:rsid w:val="000F48A7"/>
    <w:rsid w:val="000F558C"/>
    <w:rsid w:val="000F70CD"/>
    <w:rsid w:val="000F7927"/>
    <w:rsid w:val="000F79B0"/>
    <w:rsid w:val="00100828"/>
    <w:rsid w:val="00100855"/>
    <w:rsid w:val="00100B74"/>
    <w:rsid w:val="00100C1E"/>
    <w:rsid w:val="00100FD4"/>
    <w:rsid w:val="001015BA"/>
    <w:rsid w:val="00101A29"/>
    <w:rsid w:val="00101A52"/>
    <w:rsid w:val="00102EEE"/>
    <w:rsid w:val="00102FBA"/>
    <w:rsid w:val="00103C67"/>
    <w:rsid w:val="00104F11"/>
    <w:rsid w:val="00107A3F"/>
    <w:rsid w:val="00107D70"/>
    <w:rsid w:val="0011192A"/>
    <w:rsid w:val="00111D7F"/>
    <w:rsid w:val="00112208"/>
    <w:rsid w:val="0011232B"/>
    <w:rsid w:val="001131B3"/>
    <w:rsid w:val="0011359A"/>
    <w:rsid w:val="00113670"/>
    <w:rsid w:val="00114B85"/>
    <w:rsid w:val="00114BB1"/>
    <w:rsid w:val="00115692"/>
    <w:rsid w:val="00115793"/>
    <w:rsid w:val="0011640A"/>
    <w:rsid w:val="00116E58"/>
    <w:rsid w:val="001175A3"/>
    <w:rsid w:val="0012045F"/>
    <w:rsid w:val="00120E94"/>
    <w:rsid w:val="0012155D"/>
    <w:rsid w:val="001216CA"/>
    <w:rsid w:val="0012237B"/>
    <w:rsid w:val="0012438C"/>
    <w:rsid w:val="001243D4"/>
    <w:rsid w:val="001246EC"/>
    <w:rsid w:val="00124986"/>
    <w:rsid w:val="001252EE"/>
    <w:rsid w:val="00125971"/>
    <w:rsid w:val="00125BCE"/>
    <w:rsid w:val="00125F99"/>
    <w:rsid w:val="00127593"/>
    <w:rsid w:val="0013066A"/>
    <w:rsid w:val="001320FA"/>
    <w:rsid w:val="001338A5"/>
    <w:rsid w:val="00134393"/>
    <w:rsid w:val="00134462"/>
    <w:rsid w:val="00134B28"/>
    <w:rsid w:val="00134E88"/>
    <w:rsid w:val="0013578C"/>
    <w:rsid w:val="00135890"/>
    <w:rsid w:val="00135E19"/>
    <w:rsid w:val="00135F9B"/>
    <w:rsid w:val="00136793"/>
    <w:rsid w:val="0013769A"/>
    <w:rsid w:val="001377B3"/>
    <w:rsid w:val="001415EC"/>
    <w:rsid w:val="00141675"/>
    <w:rsid w:val="001416CD"/>
    <w:rsid w:val="0014267F"/>
    <w:rsid w:val="00142C12"/>
    <w:rsid w:val="0014315F"/>
    <w:rsid w:val="001436B8"/>
    <w:rsid w:val="0014450B"/>
    <w:rsid w:val="00144645"/>
    <w:rsid w:val="00145015"/>
    <w:rsid w:val="00145713"/>
    <w:rsid w:val="00145848"/>
    <w:rsid w:val="00145D64"/>
    <w:rsid w:val="00147662"/>
    <w:rsid w:val="00147F24"/>
    <w:rsid w:val="00147FA0"/>
    <w:rsid w:val="0015000D"/>
    <w:rsid w:val="0015092C"/>
    <w:rsid w:val="001517A1"/>
    <w:rsid w:val="00152733"/>
    <w:rsid w:val="001531D8"/>
    <w:rsid w:val="00153BF9"/>
    <w:rsid w:val="00154326"/>
    <w:rsid w:val="00154DBE"/>
    <w:rsid w:val="00155614"/>
    <w:rsid w:val="00155B5B"/>
    <w:rsid w:val="00155DF6"/>
    <w:rsid w:val="00156279"/>
    <w:rsid w:val="00156B5B"/>
    <w:rsid w:val="00157C91"/>
    <w:rsid w:val="00160928"/>
    <w:rsid w:val="00161520"/>
    <w:rsid w:val="00162977"/>
    <w:rsid w:val="0016302E"/>
    <w:rsid w:val="00163AF2"/>
    <w:rsid w:val="00163CC0"/>
    <w:rsid w:val="00163D66"/>
    <w:rsid w:val="00163D6E"/>
    <w:rsid w:val="001658D2"/>
    <w:rsid w:val="00165C9B"/>
    <w:rsid w:val="00166514"/>
    <w:rsid w:val="00166576"/>
    <w:rsid w:val="00166996"/>
    <w:rsid w:val="0017059B"/>
    <w:rsid w:val="0017076C"/>
    <w:rsid w:val="00171B0B"/>
    <w:rsid w:val="00171F00"/>
    <w:rsid w:val="00172423"/>
    <w:rsid w:val="0017289D"/>
    <w:rsid w:val="0017293E"/>
    <w:rsid w:val="001732B4"/>
    <w:rsid w:val="00174624"/>
    <w:rsid w:val="0017468E"/>
    <w:rsid w:val="00174C56"/>
    <w:rsid w:val="00175759"/>
    <w:rsid w:val="00175943"/>
    <w:rsid w:val="001760FC"/>
    <w:rsid w:val="00176824"/>
    <w:rsid w:val="00176BB9"/>
    <w:rsid w:val="00177AED"/>
    <w:rsid w:val="00177BBE"/>
    <w:rsid w:val="00180AA4"/>
    <w:rsid w:val="00180E4F"/>
    <w:rsid w:val="00180F1D"/>
    <w:rsid w:val="00181663"/>
    <w:rsid w:val="00182B15"/>
    <w:rsid w:val="0018419C"/>
    <w:rsid w:val="0018451F"/>
    <w:rsid w:val="0018466A"/>
    <w:rsid w:val="00184BBC"/>
    <w:rsid w:val="00185BA4"/>
    <w:rsid w:val="0018604C"/>
    <w:rsid w:val="001862AC"/>
    <w:rsid w:val="00186A51"/>
    <w:rsid w:val="00186D3D"/>
    <w:rsid w:val="001879AD"/>
    <w:rsid w:val="0019002C"/>
    <w:rsid w:val="001900EE"/>
    <w:rsid w:val="0019010A"/>
    <w:rsid w:val="0019021B"/>
    <w:rsid w:val="00190946"/>
    <w:rsid w:val="00190C2F"/>
    <w:rsid w:val="00190CB5"/>
    <w:rsid w:val="00190E64"/>
    <w:rsid w:val="00190FD4"/>
    <w:rsid w:val="00191613"/>
    <w:rsid w:val="0019168F"/>
    <w:rsid w:val="00191F98"/>
    <w:rsid w:val="00192C91"/>
    <w:rsid w:val="001936D6"/>
    <w:rsid w:val="00193CAD"/>
    <w:rsid w:val="00194FE8"/>
    <w:rsid w:val="00195C83"/>
    <w:rsid w:val="00196CD8"/>
    <w:rsid w:val="00197395"/>
    <w:rsid w:val="001973A2"/>
    <w:rsid w:val="00197D21"/>
    <w:rsid w:val="001A00FF"/>
    <w:rsid w:val="001A054A"/>
    <w:rsid w:val="001A0B91"/>
    <w:rsid w:val="001A1982"/>
    <w:rsid w:val="001A2A5F"/>
    <w:rsid w:val="001A2C65"/>
    <w:rsid w:val="001A322A"/>
    <w:rsid w:val="001A3451"/>
    <w:rsid w:val="001A48B2"/>
    <w:rsid w:val="001A4E10"/>
    <w:rsid w:val="001A5119"/>
    <w:rsid w:val="001A518A"/>
    <w:rsid w:val="001A59EC"/>
    <w:rsid w:val="001A6352"/>
    <w:rsid w:val="001A63E8"/>
    <w:rsid w:val="001B032F"/>
    <w:rsid w:val="001B1906"/>
    <w:rsid w:val="001B2636"/>
    <w:rsid w:val="001B2654"/>
    <w:rsid w:val="001B2CE3"/>
    <w:rsid w:val="001B2D59"/>
    <w:rsid w:val="001B3359"/>
    <w:rsid w:val="001B345E"/>
    <w:rsid w:val="001B3CF8"/>
    <w:rsid w:val="001B3DA9"/>
    <w:rsid w:val="001B3F96"/>
    <w:rsid w:val="001B4956"/>
    <w:rsid w:val="001B49A4"/>
    <w:rsid w:val="001B54B9"/>
    <w:rsid w:val="001B6316"/>
    <w:rsid w:val="001B6474"/>
    <w:rsid w:val="001B6554"/>
    <w:rsid w:val="001B73E1"/>
    <w:rsid w:val="001B791C"/>
    <w:rsid w:val="001B7DD1"/>
    <w:rsid w:val="001B7E03"/>
    <w:rsid w:val="001C0C13"/>
    <w:rsid w:val="001C134E"/>
    <w:rsid w:val="001C155B"/>
    <w:rsid w:val="001C187F"/>
    <w:rsid w:val="001C1D77"/>
    <w:rsid w:val="001C2346"/>
    <w:rsid w:val="001C25F5"/>
    <w:rsid w:val="001C4635"/>
    <w:rsid w:val="001C4733"/>
    <w:rsid w:val="001C4FFC"/>
    <w:rsid w:val="001C5291"/>
    <w:rsid w:val="001C6758"/>
    <w:rsid w:val="001C76EB"/>
    <w:rsid w:val="001D0367"/>
    <w:rsid w:val="001D07A5"/>
    <w:rsid w:val="001D0D1A"/>
    <w:rsid w:val="001D0FF4"/>
    <w:rsid w:val="001D10E7"/>
    <w:rsid w:val="001D16F0"/>
    <w:rsid w:val="001D1B60"/>
    <w:rsid w:val="001D1E96"/>
    <w:rsid w:val="001D204F"/>
    <w:rsid w:val="001D2250"/>
    <w:rsid w:val="001D247E"/>
    <w:rsid w:val="001D252F"/>
    <w:rsid w:val="001D2E2D"/>
    <w:rsid w:val="001D4113"/>
    <w:rsid w:val="001D4374"/>
    <w:rsid w:val="001D5438"/>
    <w:rsid w:val="001D5828"/>
    <w:rsid w:val="001D650A"/>
    <w:rsid w:val="001D6631"/>
    <w:rsid w:val="001D67BF"/>
    <w:rsid w:val="001D6C5C"/>
    <w:rsid w:val="001D7278"/>
    <w:rsid w:val="001E06D2"/>
    <w:rsid w:val="001E1422"/>
    <w:rsid w:val="001E1891"/>
    <w:rsid w:val="001E2136"/>
    <w:rsid w:val="001E2B10"/>
    <w:rsid w:val="001E2B84"/>
    <w:rsid w:val="001E3044"/>
    <w:rsid w:val="001E3BFB"/>
    <w:rsid w:val="001E4942"/>
    <w:rsid w:val="001E516A"/>
    <w:rsid w:val="001E573F"/>
    <w:rsid w:val="001E6609"/>
    <w:rsid w:val="001E6717"/>
    <w:rsid w:val="001E6E02"/>
    <w:rsid w:val="001E71E9"/>
    <w:rsid w:val="001E7A57"/>
    <w:rsid w:val="001F0364"/>
    <w:rsid w:val="001F0B05"/>
    <w:rsid w:val="001F1813"/>
    <w:rsid w:val="001F1823"/>
    <w:rsid w:val="001F1E5D"/>
    <w:rsid w:val="001F20EB"/>
    <w:rsid w:val="001F2134"/>
    <w:rsid w:val="001F288E"/>
    <w:rsid w:val="001F2A37"/>
    <w:rsid w:val="001F2CF8"/>
    <w:rsid w:val="001F3F5E"/>
    <w:rsid w:val="001F42AA"/>
    <w:rsid w:val="001F449C"/>
    <w:rsid w:val="001F44EC"/>
    <w:rsid w:val="001F4D2F"/>
    <w:rsid w:val="001F551B"/>
    <w:rsid w:val="001F5BC1"/>
    <w:rsid w:val="001F5F17"/>
    <w:rsid w:val="001F5F85"/>
    <w:rsid w:val="001F61C6"/>
    <w:rsid w:val="001F65ED"/>
    <w:rsid w:val="001F6FAB"/>
    <w:rsid w:val="001F709D"/>
    <w:rsid w:val="001F7477"/>
    <w:rsid w:val="001F74CA"/>
    <w:rsid w:val="001F78A0"/>
    <w:rsid w:val="001F7B0B"/>
    <w:rsid w:val="002004E3"/>
    <w:rsid w:val="002004EA"/>
    <w:rsid w:val="00201BF3"/>
    <w:rsid w:val="002029E0"/>
    <w:rsid w:val="00203389"/>
    <w:rsid w:val="00203886"/>
    <w:rsid w:val="00204568"/>
    <w:rsid w:val="00206092"/>
    <w:rsid w:val="002062C0"/>
    <w:rsid w:val="00206DAB"/>
    <w:rsid w:val="00207359"/>
    <w:rsid w:val="0020746E"/>
    <w:rsid w:val="002076C8"/>
    <w:rsid w:val="00207D37"/>
    <w:rsid w:val="002110C0"/>
    <w:rsid w:val="00211ABE"/>
    <w:rsid w:val="002133E8"/>
    <w:rsid w:val="00214241"/>
    <w:rsid w:val="002156E6"/>
    <w:rsid w:val="00215E1A"/>
    <w:rsid w:val="00216330"/>
    <w:rsid w:val="00217147"/>
    <w:rsid w:val="002201B2"/>
    <w:rsid w:val="002202B5"/>
    <w:rsid w:val="00220F2B"/>
    <w:rsid w:val="0022149D"/>
    <w:rsid w:val="002214DB"/>
    <w:rsid w:val="0022320E"/>
    <w:rsid w:val="002233E0"/>
    <w:rsid w:val="0022378D"/>
    <w:rsid w:val="00224301"/>
    <w:rsid w:val="00225498"/>
    <w:rsid w:val="00225842"/>
    <w:rsid w:val="002259DA"/>
    <w:rsid w:val="00225D2F"/>
    <w:rsid w:val="002262CF"/>
    <w:rsid w:val="0022683D"/>
    <w:rsid w:val="0022684D"/>
    <w:rsid w:val="00227752"/>
    <w:rsid w:val="0023013F"/>
    <w:rsid w:val="002301B6"/>
    <w:rsid w:val="00230565"/>
    <w:rsid w:val="00230588"/>
    <w:rsid w:val="00230BA8"/>
    <w:rsid w:val="0023327A"/>
    <w:rsid w:val="00233C1F"/>
    <w:rsid w:val="00233EA6"/>
    <w:rsid w:val="00234646"/>
    <w:rsid w:val="00234CEA"/>
    <w:rsid w:val="00234F40"/>
    <w:rsid w:val="002370E3"/>
    <w:rsid w:val="0023774C"/>
    <w:rsid w:val="00237C36"/>
    <w:rsid w:val="002400CF"/>
    <w:rsid w:val="0024021D"/>
    <w:rsid w:val="00240E02"/>
    <w:rsid w:val="00241042"/>
    <w:rsid w:val="00241603"/>
    <w:rsid w:val="00242542"/>
    <w:rsid w:val="0024426D"/>
    <w:rsid w:val="0024437B"/>
    <w:rsid w:val="002456FF"/>
    <w:rsid w:val="002457E7"/>
    <w:rsid w:val="002458D4"/>
    <w:rsid w:val="00245A55"/>
    <w:rsid w:val="002468E7"/>
    <w:rsid w:val="00246F21"/>
    <w:rsid w:val="00247639"/>
    <w:rsid w:val="00247B26"/>
    <w:rsid w:val="00251254"/>
    <w:rsid w:val="002512BC"/>
    <w:rsid w:val="00251FB6"/>
    <w:rsid w:val="002525D9"/>
    <w:rsid w:val="00252787"/>
    <w:rsid w:val="00252830"/>
    <w:rsid w:val="00252C28"/>
    <w:rsid w:val="00253FB0"/>
    <w:rsid w:val="002542BE"/>
    <w:rsid w:val="00254A21"/>
    <w:rsid w:val="002556EB"/>
    <w:rsid w:val="00255773"/>
    <w:rsid w:val="00255CB3"/>
    <w:rsid w:val="00256128"/>
    <w:rsid w:val="002569CA"/>
    <w:rsid w:val="00256BD3"/>
    <w:rsid w:val="0025704E"/>
    <w:rsid w:val="002571EA"/>
    <w:rsid w:val="002575EB"/>
    <w:rsid w:val="002579AC"/>
    <w:rsid w:val="002579DF"/>
    <w:rsid w:val="002602E0"/>
    <w:rsid w:val="002602F1"/>
    <w:rsid w:val="00260A64"/>
    <w:rsid w:val="00260FDC"/>
    <w:rsid w:val="002625FB"/>
    <w:rsid w:val="00262893"/>
    <w:rsid w:val="002628EC"/>
    <w:rsid w:val="002628FB"/>
    <w:rsid w:val="00262B48"/>
    <w:rsid w:val="002630DD"/>
    <w:rsid w:val="00263181"/>
    <w:rsid w:val="00263895"/>
    <w:rsid w:val="00263D20"/>
    <w:rsid w:val="00264D67"/>
    <w:rsid w:val="00265233"/>
    <w:rsid w:val="002654B3"/>
    <w:rsid w:val="0026576F"/>
    <w:rsid w:val="00265A0F"/>
    <w:rsid w:val="00265E82"/>
    <w:rsid w:val="0026658D"/>
    <w:rsid w:val="00267507"/>
    <w:rsid w:val="00267CFB"/>
    <w:rsid w:val="002704A8"/>
    <w:rsid w:val="00271AE5"/>
    <w:rsid w:val="002721A7"/>
    <w:rsid w:val="00272952"/>
    <w:rsid w:val="00274B6C"/>
    <w:rsid w:val="00275111"/>
    <w:rsid w:val="002757A5"/>
    <w:rsid w:val="0027580E"/>
    <w:rsid w:val="00275CAB"/>
    <w:rsid w:val="00276093"/>
    <w:rsid w:val="00276939"/>
    <w:rsid w:val="00277F46"/>
    <w:rsid w:val="00280EB9"/>
    <w:rsid w:val="00281316"/>
    <w:rsid w:val="002830F6"/>
    <w:rsid w:val="00285A2F"/>
    <w:rsid w:val="00285BF7"/>
    <w:rsid w:val="002866DE"/>
    <w:rsid w:val="0028745B"/>
    <w:rsid w:val="00287F75"/>
    <w:rsid w:val="0029086A"/>
    <w:rsid w:val="00290D17"/>
    <w:rsid w:val="00291865"/>
    <w:rsid w:val="002919DE"/>
    <w:rsid w:val="00291C0A"/>
    <w:rsid w:val="00291E20"/>
    <w:rsid w:val="0029234D"/>
    <w:rsid w:val="0029254C"/>
    <w:rsid w:val="00292AE8"/>
    <w:rsid w:val="00292F44"/>
    <w:rsid w:val="002932FA"/>
    <w:rsid w:val="00293C62"/>
    <w:rsid w:val="002941A3"/>
    <w:rsid w:val="0029437F"/>
    <w:rsid w:val="00294E1E"/>
    <w:rsid w:val="002951F3"/>
    <w:rsid w:val="00295462"/>
    <w:rsid w:val="00296C71"/>
    <w:rsid w:val="002A0B4A"/>
    <w:rsid w:val="002A1604"/>
    <w:rsid w:val="002A2B62"/>
    <w:rsid w:val="002A2EA8"/>
    <w:rsid w:val="002A3377"/>
    <w:rsid w:val="002A33E7"/>
    <w:rsid w:val="002A36CB"/>
    <w:rsid w:val="002A4666"/>
    <w:rsid w:val="002A5461"/>
    <w:rsid w:val="002A6979"/>
    <w:rsid w:val="002A75A3"/>
    <w:rsid w:val="002A75FD"/>
    <w:rsid w:val="002A7EAE"/>
    <w:rsid w:val="002A7F2D"/>
    <w:rsid w:val="002B0013"/>
    <w:rsid w:val="002B014E"/>
    <w:rsid w:val="002B1649"/>
    <w:rsid w:val="002B1DD2"/>
    <w:rsid w:val="002B1FAA"/>
    <w:rsid w:val="002B2314"/>
    <w:rsid w:val="002B23EC"/>
    <w:rsid w:val="002B2E1E"/>
    <w:rsid w:val="002B3220"/>
    <w:rsid w:val="002B458D"/>
    <w:rsid w:val="002B4787"/>
    <w:rsid w:val="002B49FB"/>
    <w:rsid w:val="002B630C"/>
    <w:rsid w:val="002B6419"/>
    <w:rsid w:val="002B779D"/>
    <w:rsid w:val="002B7D34"/>
    <w:rsid w:val="002C1206"/>
    <w:rsid w:val="002C13BE"/>
    <w:rsid w:val="002C2706"/>
    <w:rsid w:val="002C2814"/>
    <w:rsid w:val="002C2E63"/>
    <w:rsid w:val="002C3421"/>
    <w:rsid w:val="002C46C9"/>
    <w:rsid w:val="002C4A59"/>
    <w:rsid w:val="002C50C1"/>
    <w:rsid w:val="002C672E"/>
    <w:rsid w:val="002C69C6"/>
    <w:rsid w:val="002C7889"/>
    <w:rsid w:val="002C7B38"/>
    <w:rsid w:val="002D0127"/>
    <w:rsid w:val="002D118B"/>
    <w:rsid w:val="002D2940"/>
    <w:rsid w:val="002D30F2"/>
    <w:rsid w:val="002D322E"/>
    <w:rsid w:val="002D3663"/>
    <w:rsid w:val="002D4188"/>
    <w:rsid w:val="002D41B8"/>
    <w:rsid w:val="002D42C1"/>
    <w:rsid w:val="002D45E0"/>
    <w:rsid w:val="002D4673"/>
    <w:rsid w:val="002D499C"/>
    <w:rsid w:val="002D4DC6"/>
    <w:rsid w:val="002D52C3"/>
    <w:rsid w:val="002D56BA"/>
    <w:rsid w:val="002D5C65"/>
    <w:rsid w:val="002D6794"/>
    <w:rsid w:val="002D684E"/>
    <w:rsid w:val="002D68FD"/>
    <w:rsid w:val="002D7079"/>
    <w:rsid w:val="002D7A8B"/>
    <w:rsid w:val="002E01F1"/>
    <w:rsid w:val="002E10D8"/>
    <w:rsid w:val="002E11B8"/>
    <w:rsid w:val="002E1B01"/>
    <w:rsid w:val="002E1CFB"/>
    <w:rsid w:val="002E30DB"/>
    <w:rsid w:val="002E3270"/>
    <w:rsid w:val="002E3FCD"/>
    <w:rsid w:val="002E43BD"/>
    <w:rsid w:val="002E4552"/>
    <w:rsid w:val="002E4647"/>
    <w:rsid w:val="002E4EAA"/>
    <w:rsid w:val="002E53A6"/>
    <w:rsid w:val="002E53A7"/>
    <w:rsid w:val="002E594F"/>
    <w:rsid w:val="002E6BA3"/>
    <w:rsid w:val="002E7F4A"/>
    <w:rsid w:val="002F0EEF"/>
    <w:rsid w:val="002F13BC"/>
    <w:rsid w:val="002F18E4"/>
    <w:rsid w:val="002F2208"/>
    <w:rsid w:val="002F236E"/>
    <w:rsid w:val="002F3004"/>
    <w:rsid w:val="002F487F"/>
    <w:rsid w:val="002F56EE"/>
    <w:rsid w:val="002F6216"/>
    <w:rsid w:val="002F6F38"/>
    <w:rsid w:val="00300092"/>
    <w:rsid w:val="00300114"/>
    <w:rsid w:val="00300738"/>
    <w:rsid w:val="003007F0"/>
    <w:rsid w:val="0030127D"/>
    <w:rsid w:val="003015E5"/>
    <w:rsid w:val="003019F4"/>
    <w:rsid w:val="00301D88"/>
    <w:rsid w:val="003027C1"/>
    <w:rsid w:val="00303337"/>
    <w:rsid w:val="003043B2"/>
    <w:rsid w:val="0030442F"/>
    <w:rsid w:val="00304551"/>
    <w:rsid w:val="00306E7D"/>
    <w:rsid w:val="003076BF"/>
    <w:rsid w:val="003079B6"/>
    <w:rsid w:val="003079C0"/>
    <w:rsid w:val="00307AD6"/>
    <w:rsid w:val="0031171B"/>
    <w:rsid w:val="00311890"/>
    <w:rsid w:val="00311A07"/>
    <w:rsid w:val="00311B71"/>
    <w:rsid w:val="003126FD"/>
    <w:rsid w:val="00312AE0"/>
    <w:rsid w:val="00312FEC"/>
    <w:rsid w:val="003130D7"/>
    <w:rsid w:val="0031333E"/>
    <w:rsid w:val="00313644"/>
    <w:rsid w:val="003136F4"/>
    <w:rsid w:val="00313F48"/>
    <w:rsid w:val="00314302"/>
    <w:rsid w:val="0031431F"/>
    <w:rsid w:val="00314F5D"/>
    <w:rsid w:val="00315267"/>
    <w:rsid w:val="00315AE5"/>
    <w:rsid w:val="00315B65"/>
    <w:rsid w:val="00315C5C"/>
    <w:rsid w:val="0031659A"/>
    <w:rsid w:val="00316611"/>
    <w:rsid w:val="00316F1D"/>
    <w:rsid w:val="0031704E"/>
    <w:rsid w:val="003220D5"/>
    <w:rsid w:val="0032236C"/>
    <w:rsid w:val="00322656"/>
    <w:rsid w:val="00322FF7"/>
    <w:rsid w:val="00323B8A"/>
    <w:rsid w:val="00323FD4"/>
    <w:rsid w:val="00324127"/>
    <w:rsid w:val="00324940"/>
    <w:rsid w:val="00324F83"/>
    <w:rsid w:val="00326788"/>
    <w:rsid w:val="003303C7"/>
    <w:rsid w:val="00330E9B"/>
    <w:rsid w:val="00331904"/>
    <w:rsid w:val="00331A10"/>
    <w:rsid w:val="00331D92"/>
    <w:rsid w:val="003322B1"/>
    <w:rsid w:val="003323FA"/>
    <w:rsid w:val="00333295"/>
    <w:rsid w:val="003340D3"/>
    <w:rsid w:val="0033546D"/>
    <w:rsid w:val="00335BA9"/>
    <w:rsid w:val="00335D1E"/>
    <w:rsid w:val="0033618F"/>
    <w:rsid w:val="003361BF"/>
    <w:rsid w:val="0033683C"/>
    <w:rsid w:val="0033694C"/>
    <w:rsid w:val="00337D3D"/>
    <w:rsid w:val="0034008A"/>
    <w:rsid w:val="00340B07"/>
    <w:rsid w:val="00340E62"/>
    <w:rsid w:val="00340E8E"/>
    <w:rsid w:val="00341BF8"/>
    <w:rsid w:val="00341E58"/>
    <w:rsid w:val="00342633"/>
    <w:rsid w:val="0034323E"/>
    <w:rsid w:val="00344829"/>
    <w:rsid w:val="0034524D"/>
    <w:rsid w:val="00345516"/>
    <w:rsid w:val="00345DE8"/>
    <w:rsid w:val="00346237"/>
    <w:rsid w:val="003467D1"/>
    <w:rsid w:val="00347A7F"/>
    <w:rsid w:val="00347B5C"/>
    <w:rsid w:val="00347BBD"/>
    <w:rsid w:val="00347E9D"/>
    <w:rsid w:val="00347F32"/>
    <w:rsid w:val="00350715"/>
    <w:rsid w:val="00350C19"/>
    <w:rsid w:val="00350CB3"/>
    <w:rsid w:val="00351975"/>
    <w:rsid w:val="00351D08"/>
    <w:rsid w:val="00352356"/>
    <w:rsid w:val="00352C8A"/>
    <w:rsid w:val="003534C5"/>
    <w:rsid w:val="0035377F"/>
    <w:rsid w:val="00354024"/>
    <w:rsid w:val="0035410A"/>
    <w:rsid w:val="00354BE0"/>
    <w:rsid w:val="00354E7E"/>
    <w:rsid w:val="00354EA2"/>
    <w:rsid w:val="0035553F"/>
    <w:rsid w:val="00355D8D"/>
    <w:rsid w:val="003578A6"/>
    <w:rsid w:val="00360946"/>
    <w:rsid w:val="00360E20"/>
    <w:rsid w:val="00361203"/>
    <w:rsid w:val="0036206F"/>
    <w:rsid w:val="0036284D"/>
    <w:rsid w:val="003633CE"/>
    <w:rsid w:val="00363706"/>
    <w:rsid w:val="00363B1E"/>
    <w:rsid w:val="003641D9"/>
    <w:rsid w:val="003644C9"/>
    <w:rsid w:val="00364BAD"/>
    <w:rsid w:val="00365734"/>
    <w:rsid w:val="00365BA9"/>
    <w:rsid w:val="00365BB1"/>
    <w:rsid w:val="00365DFD"/>
    <w:rsid w:val="00365EB4"/>
    <w:rsid w:val="003660D7"/>
    <w:rsid w:val="003663B6"/>
    <w:rsid w:val="00367B83"/>
    <w:rsid w:val="00367B97"/>
    <w:rsid w:val="00370CD0"/>
    <w:rsid w:val="00371112"/>
    <w:rsid w:val="003712D9"/>
    <w:rsid w:val="00371F36"/>
    <w:rsid w:val="00372ABC"/>
    <w:rsid w:val="00373892"/>
    <w:rsid w:val="00373DF2"/>
    <w:rsid w:val="00374842"/>
    <w:rsid w:val="00375E72"/>
    <w:rsid w:val="0037708E"/>
    <w:rsid w:val="0037789D"/>
    <w:rsid w:val="00377BEF"/>
    <w:rsid w:val="003802FA"/>
    <w:rsid w:val="0038094C"/>
    <w:rsid w:val="00380F88"/>
    <w:rsid w:val="003810D2"/>
    <w:rsid w:val="0038281F"/>
    <w:rsid w:val="00382BE7"/>
    <w:rsid w:val="00382FA9"/>
    <w:rsid w:val="00383C81"/>
    <w:rsid w:val="003841D3"/>
    <w:rsid w:val="0038469C"/>
    <w:rsid w:val="00385BB6"/>
    <w:rsid w:val="00386316"/>
    <w:rsid w:val="003868DF"/>
    <w:rsid w:val="00386DC5"/>
    <w:rsid w:val="0038756E"/>
    <w:rsid w:val="0038768F"/>
    <w:rsid w:val="00387A86"/>
    <w:rsid w:val="00387F73"/>
    <w:rsid w:val="003908A7"/>
    <w:rsid w:val="00392D51"/>
    <w:rsid w:val="0039307A"/>
    <w:rsid w:val="003938D4"/>
    <w:rsid w:val="003942A5"/>
    <w:rsid w:val="00394C97"/>
    <w:rsid w:val="0039518D"/>
    <w:rsid w:val="003960C5"/>
    <w:rsid w:val="0039627B"/>
    <w:rsid w:val="00396513"/>
    <w:rsid w:val="003966EF"/>
    <w:rsid w:val="003967EE"/>
    <w:rsid w:val="00396E87"/>
    <w:rsid w:val="00396EFC"/>
    <w:rsid w:val="003976D1"/>
    <w:rsid w:val="003979A3"/>
    <w:rsid w:val="00397EF7"/>
    <w:rsid w:val="003A0A11"/>
    <w:rsid w:val="003A19DD"/>
    <w:rsid w:val="003A1CCF"/>
    <w:rsid w:val="003A2467"/>
    <w:rsid w:val="003A253A"/>
    <w:rsid w:val="003A2DBE"/>
    <w:rsid w:val="003A33D9"/>
    <w:rsid w:val="003A42A1"/>
    <w:rsid w:val="003A4503"/>
    <w:rsid w:val="003A50A1"/>
    <w:rsid w:val="003A53EE"/>
    <w:rsid w:val="003A564E"/>
    <w:rsid w:val="003A5A88"/>
    <w:rsid w:val="003A63FE"/>
    <w:rsid w:val="003A7325"/>
    <w:rsid w:val="003A78C4"/>
    <w:rsid w:val="003B03E4"/>
    <w:rsid w:val="003B08E3"/>
    <w:rsid w:val="003B0AD6"/>
    <w:rsid w:val="003B0B6E"/>
    <w:rsid w:val="003B0D0E"/>
    <w:rsid w:val="003B12D4"/>
    <w:rsid w:val="003B12F3"/>
    <w:rsid w:val="003B141B"/>
    <w:rsid w:val="003B22B9"/>
    <w:rsid w:val="003B2C15"/>
    <w:rsid w:val="003B2DD1"/>
    <w:rsid w:val="003B372E"/>
    <w:rsid w:val="003B4C10"/>
    <w:rsid w:val="003B6326"/>
    <w:rsid w:val="003B6B3E"/>
    <w:rsid w:val="003B72DD"/>
    <w:rsid w:val="003B773E"/>
    <w:rsid w:val="003B7ABC"/>
    <w:rsid w:val="003B7C22"/>
    <w:rsid w:val="003B7C70"/>
    <w:rsid w:val="003C05AB"/>
    <w:rsid w:val="003C0A37"/>
    <w:rsid w:val="003C0FAA"/>
    <w:rsid w:val="003C105B"/>
    <w:rsid w:val="003C12B2"/>
    <w:rsid w:val="003C1F07"/>
    <w:rsid w:val="003C2411"/>
    <w:rsid w:val="003C2ED6"/>
    <w:rsid w:val="003C3208"/>
    <w:rsid w:val="003C3B9F"/>
    <w:rsid w:val="003C3DD0"/>
    <w:rsid w:val="003C5430"/>
    <w:rsid w:val="003C5819"/>
    <w:rsid w:val="003C587D"/>
    <w:rsid w:val="003C5FA8"/>
    <w:rsid w:val="003C6315"/>
    <w:rsid w:val="003C63C2"/>
    <w:rsid w:val="003C7269"/>
    <w:rsid w:val="003C72B2"/>
    <w:rsid w:val="003C761D"/>
    <w:rsid w:val="003C7CCA"/>
    <w:rsid w:val="003D0309"/>
    <w:rsid w:val="003D0584"/>
    <w:rsid w:val="003D0AAB"/>
    <w:rsid w:val="003D0E4F"/>
    <w:rsid w:val="003D1CCE"/>
    <w:rsid w:val="003D24D4"/>
    <w:rsid w:val="003D2987"/>
    <w:rsid w:val="003D2EDC"/>
    <w:rsid w:val="003D3123"/>
    <w:rsid w:val="003D400A"/>
    <w:rsid w:val="003D50E0"/>
    <w:rsid w:val="003D5BBD"/>
    <w:rsid w:val="003D698D"/>
    <w:rsid w:val="003D6EDF"/>
    <w:rsid w:val="003D7074"/>
    <w:rsid w:val="003D7292"/>
    <w:rsid w:val="003D754A"/>
    <w:rsid w:val="003D7CBE"/>
    <w:rsid w:val="003E1206"/>
    <w:rsid w:val="003E1A69"/>
    <w:rsid w:val="003E1E18"/>
    <w:rsid w:val="003E23BA"/>
    <w:rsid w:val="003E246C"/>
    <w:rsid w:val="003E3016"/>
    <w:rsid w:val="003E32D9"/>
    <w:rsid w:val="003E50C4"/>
    <w:rsid w:val="003E534F"/>
    <w:rsid w:val="003E5790"/>
    <w:rsid w:val="003E63F5"/>
    <w:rsid w:val="003E67DB"/>
    <w:rsid w:val="003E6A61"/>
    <w:rsid w:val="003E729F"/>
    <w:rsid w:val="003E762E"/>
    <w:rsid w:val="003F1458"/>
    <w:rsid w:val="003F193A"/>
    <w:rsid w:val="003F1C9A"/>
    <w:rsid w:val="003F2344"/>
    <w:rsid w:val="003F2D26"/>
    <w:rsid w:val="003F3E28"/>
    <w:rsid w:val="003F4663"/>
    <w:rsid w:val="003F4C20"/>
    <w:rsid w:val="003F5AD1"/>
    <w:rsid w:val="003F6DA6"/>
    <w:rsid w:val="003F7527"/>
    <w:rsid w:val="003F7E51"/>
    <w:rsid w:val="004000B9"/>
    <w:rsid w:val="00400554"/>
    <w:rsid w:val="00401E95"/>
    <w:rsid w:val="00402236"/>
    <w:rsid w:val="00403DB1"/>
    <w:rsid w:val="00403F1C"/>
    <w:rsid w:val="004040F7"/>
    <w:rsid w:val="004043B9"/>
    <w:rsid w:val="00404CC9"/>
    <w:rsid w:val="00405152"/>
    <w:rsid w:val="004053DB"/>
    <w:rsid w:val="0040620C"/>
    <w:rsid w:val="00407BFB"/>
    <w:rsid w:val="00410B42"/>
    <w:rsid w:val="00410CAB"/>
    <w:rsid w:val="0041256E"/>
    <w:rsid w:val="00414976"/>
    <w:rsid w:val="00414D75"/>
    <w:rsid w:val="0041506F"/>
    <w:rsid w:val="0041552F"/>
    <w:rsid w:val="004166EE"/>
    <w:rsid w:val="00416CCC"/>
    <w:rsid w:val="0041741D"/>
    <w:rsid w:val="00417A67"/>
    <w:rsid w:val="00417BDC"/>
    <w:rsid w:val="00417CFF"/>
    <w:rsid w:val="0042025E"/>
    <w:rsid w:val="00420899"/>
    <w:rsid w:val="00420C46"/>
    <w:rsid w:val="0042152B"/>
    <w:rsid w:val="00421A87"/>
    <w:rsid w:val="00421CF3"/>
    <w:rsid w:val="004220F0"/>
    <w:rsid w:val="0042465D"/>
    <w:rsid w:val="00424B22"/>
    <w:rsid w:val="00425065"/>
    <w:rsid w:val="004253A5"/>
    <w:rsid w:val="004257E0"/>
    <w:rsid w:val="004258A8"/>
    <w:rsid w:val="00426883"/>
    <w:rsid w:val="004273BE"/>
    <w:rsid w:val="00427D4F"/>
    <w:rsid w:val="004304E0"/>
    <w:rsid w:val="00430E39"/>
    <w:rsid w:val="00431805"/>
    <w:rsid w:val="00431986"/>
    <w:rsid w:val="00431C6A"/>
    <w:rsid w:val="0043243C"/>
    <w:rsid w:val="00432ABB"/>
    <w:rsid w:val="00432AE5"/>
    <w:rsid w:val="00432CBC"/>
    <w:rsid w:val="00432FCE"/>
    <w:rsid w:val="00433837"/>
    <w:rsid w:val="0043392A"/>
    <w:rsid w:val="00433AE5"/>
    <w:rsid w:val="00433B7E"/>
    <w:rsid w:val="00434306"/>
    <w:rsid w:val="00434A02"/>
    <w:rsid w:val="00434C78"/>
    <w:rsid w:val="00434E3A"/>
    <w:rsid w:val="00434F8C"/>
    <w:rsid w:val="00435170"/>
    <w:rsid w:val="00435FDB"/>
    <w:rsid w:val="00437509"/>
    <w:rsid w:val="00441D53"/>
    <w:rsid w:val="00441F8F"/>
    <w:rsid w:val="00442CF5"/>
    <w:rsid w:val="00443035"/>
    <w:rsid w:val="0044360D"/>
    <w:rsid w:val="00443629"/>
    <w:rsid w:val="004444E8"/>
    <w:rsid w:val="004459B3"/>
    <w:rsid w:val="00445DE2"/>
    <w:rsid w:val="00445F4C"/>
    <w:rsid w:val="0044639E"/>
    <w:rsid w:val="00446C1F"/>
    <w:rsid w:val="00447193"/>
    <w:rsid w:val="00447972"/>
    <w:rsid w:val="00447B15"/>
    <w:rsid w:val="00450222"/>
    <w:rsid w:val="0045259B"/>
    <w:rsid w:val="00452D16"/>
    <w:rsid w:val="00453110"/>
    <w:rsid w:val="00453DB8"/>
    <w:rsid w:val="004549B9"/>
    <w:rsid w:val="004553F7"/>
    <w:rsid w:val="004561DA"/>
    <w:rsid w:val="0045635D"/>
    <w:rsid w:val="004567AE"/>
    <w:rsid w:val="00456EE7"/>
    <w:rsid w:val="0045715C"/>
    <w:rsid w:val="00457D05"/>
    <w:rsid w:val="00460DE3"/>
    <w:rsid w:val="004618A7"/>
    <w:rsid w:val="00463128"/>
    <w:rsid w:val="0046383A"/>
    <w:rsid w:val="0046406C"/>
    <w:rsid w:val="00464C8C"/>
    <w:rsid w:val="00464F71"/>
    <w:rsid w:val="00465CA2"/>
    <w:rsid w:val="00465DB2"/>
    <w:rsid w:val="00466132"/>
    <w:rsid w:val="004671DC"/>
    <w:rsid w:val="00467C8D"/>
    <w:rsid w:val="004709FD"/>
    <w:rsid w:val="00470A49"/>
    <w:rsid w:val="00470CB9"/>
    <w:rsid w:val="0047180F"/>
    <w:rsid w:val="00471EFC"/>
    <w:rsid w:val="004730EE"/>
    <w:rsid w:val="00474C4B"/>
    <w:rsid w:val="0047563C"/>
    <w:rsid w:val="004757E9"/>
    <w:rsid w:val="00476B37"/>
    <w:rsid w:val="00477C01"/>
    <w:rsid w:val="0048023B"/>
    <w:rsid w:val="00480483"/>
    <w:rsid w:val="00480CAF"/>
    <w:rsid w:val="004812C0"/>
    <w:rsid w:val="00481879"/>
    <w:rsid w:val="004819E3"/>
    <w:rsid w:val="00481A04"/>
    <w:rsid w:val="00483169"/>
    <w:rsid w:val="00483F96"/>
    <w:rsid w:val="00484241"/>
    <w:rsid w:val="004842E5"/>
    <w:rsid w:val="00484650"/>
    <w:rsid w:val="0048471B"/>
    <w:rsid w:val="00486284"/>
    <w:rsid w:val="004862F8"/>
    <w:rsid w:val="0049058F"/>
    <w:rsid w:val="0049105A"/>
    <w:rsid w:val="0049304A"/>
    <w:rsid w:val="004932C4"/>
    <w:rsid w:val="00493446"/>
    <w:rsid w:val="00493508"/>
    <w:rsid w:val="00493604"/>
    <w:rsid w:val="004939C2"/>
    <w:rsid w:val="004939EA"/>
    <w:rsid w:val="004942C4"/>
    <w:rsid w:val="00495469"/>
    <w:rsid w:val="00495C1B"/>
    <w:rsid w:val="0049608B"/>
    <w:rsid w:val="00496236"/>
    <w:rsid w:val="00496875"/>
    <w:rsid w:val="00496DA4"/>
    <w:rsid w:val="00497B92"/>
    <w:rsid w:val="00497D04"/>
    <w:rsid w:val="004A1064"/>
    <w:rsid w:val="004A15B9"/>
    <w:rsid w:val="004A25C0"/>
    <w:rsid w:val="004A28DF"/>
    <w:rsid w:val="004A406F"/>
    <w:rsid w:val="004A412A"/>
    <w:rsid w:val="004A46E3"/>
    <w:rsid w:val="004A486D"/>
    <w:rsid w:val="004A51D2"/>
    <w:rsid w:val="004A5598"/>
    <w:rsid w:val="004A6042"/>
    <w:rsid w:val="004A649D"/>
    <w:rsid w:val="004A653D"/>
    <w:rsid w:val="004A66BA"/>
    <w:rsid w:val="004A7217"/>
    <w:rsid w:val="004A750B"/>
    <w:rsid w:val="004A752B"/>
    <w:rsid w:val="004A756B"/>
    <w:rsid w:val="004B02F7"/>
    <w:rsid w:val="004B0E4F"/>
    <w:rsid w:val="004B118E"/>
    <w:rsid w:val="004B1743"/>
    <w:rsid w:val="004B197D"/>
    <w:rsid w:val="004B2C98"/>
    <w:rsid w:val="004B2E42"/>
    <w:rsid w:val="004B2FEA"/>
    <w:rsid w:val="004B3481"/>
    <w:rsid w:val="004B36B1"/>
    <w:rsid w:val="004B3A9A"/>
    <w:rsid w:val="004B3DA9"/>
    <w:rsid w:val="004B4CED"/>
    <w:rsid w:val="004B4E62"/>
    <w:rsid w:val="004B5367"/>
    <w:rsid w:val="004B53E7"/>
    <w:rsid w:val="004B54BD"/>
    <w:rsid w:val="004B5C9E"/>
    <w:rsid w:val="004B5FEB"/>
    <w:rsid w:val="004B60BE"/>
    <w:rsid w:val="004B616D"/>
    <w:rsid w:val="004B6297"/>
    <w:rsid w:val="004B6751"/>
    <w:rsid w:val="004B6C0B"/>
    <w:rsid w:val="004B70E3"/>
    <w:rsid w:val="004B7250"/>
    <w:rsid w:val="004B7AEA"/>
    <w:rsid w:val="004B7E4C"/>
    <w:rsid w:val="004C01D3"/>
    <w:rsid w:val="004C0BB0"/>
    <w:rsid w:val="004C0EC8"/>
    <w:rsid w:val="004C10CE"/>
    <w:rsid w:val="004C11CB"/>
    <w:rsid w:val="004C1602"/>
    <w:rsid w:val="004C1D28"/>
    <w:rsid w:val="004C1E15"/>
    <w:rsid w:val="004C1FA0"/>
    <w:rsid w:val="004C278B"/>
    <w:rsid w:val="004C2892"/>
    <w:rsid w:val="004C35C1"/>
    <w:rsid w:val="004C367E"/>
    <w:rsid w:val="004C3A58"/>
    <w:rsid w:val="004C4770"/>
    <w:rsid w:val="004C4884"/>
    <w:rsid w:val="004C67EC"/>
    <w:rsid w:val="004C6AD2"/>
    <w:rsid w:val="004C7203"/>
    <w:rsid w:val="004C7EEE"/>
    <w:rsid w:val="004D0043"/>
    <w:rsid w:val="004D03AD"/>
    <w:rsid w:val="004D1C7F"/>
    <w:rsid w:val="004D1E7A"/>
    <w:rsid w:val="004D24BC"/>
    <w:rsid w:val="004D2FCD"/>
    <w:rsid w:val="004D3281"/>
    <w:rsid w:val="004D3C13"/>
    <w:rsid w:val="004D4352"/>
    <w:rsid w:val="004D4B20"/>
    <w:rsid w:val="004D4C08"/>
    <w:rsid w:val="004D4C43"/>
    <w:rsid w:val="004D5360"/>
    <w:rsid w:val="004D6264"/>
    <w:rsid w:val="004D6FB1"/>
    <w:rsid w:val="004E0B4D"/>
    <w:rsid w:val="004E0BB0"/>
    <w:rsid w:val="004E0BB9"/>
    <w:rsid w:val="004E0CC3"/>
    <w:rsid w:val="004E15B9"/>
    <w:rsid w:val="004E1CA5"/>
    <w:rsid w:val="004E24D9"/>
    <w:rsid w:val="004E280F"/>
    <w:rsid w:val="004E2E6A"/>
    <w:rsid w:val="004E33DE"/>
    <w:rsid w:val="004E3D67"/>
    <w:rsid w:val="004E42D4"/>
    <w:rsid w:val="004E47CF"/>
    <w:rsid w:val="004E51F1"/>
    <w:rsid w:val="004E5DC2"/>
    <w:rsid w:val="004E60F4"/>
    <w:rsid w:val="004E72FD"/>
    <w:rsid w:val="004E744E"/>
    <w:rsid w:val="004E7740"/>
    <w:rsid w:val="004E7CCF"/>
    <w:rsid w:val="004F0959"/>
    <w:rsid w:val="004F0ED2"/>
    <w:rsid w:val="004F164D"/>
    <w:rsid w:val="004F184E"/>
    <w:rsid w:val="004F256A"/>
    <w:rsid w:val="004F362A"/>
    <w:rsid w:val="004F3AB0"/>
    <w:rsid w:val="004F3ADE"/>
    <w:rsid w:val="004F4D44"/>
    <w:rsid w:val="004F4EAE"/>
    <w:rsid w:val="004F5443"/>
    <w:rsid w:val="004F6089"/>
    <w:rsid w:val="004F7176"/>
    <w:rsid w:val="004F76E5"/>
    <w:rsid w:val="004F7ACD"/>
    <w:rsid w:val="004F7D5E"/>
    <w:rsid w:val="00500FC1"/>
    <w:rsid w:val="00501037"/>
    <w:rsid w:val="00501F36"/>
    <w:rsid w:val="00502804"/>
    <w:rsid w:val="0050314F"/>
    <w:rsid w:val="0050324B"/>
    <w:rsid w:val="00503287"/>
    <w:rsid w:val="00503C02"/>
    <w:rsid w:val="00504717"/>
    <w:rsid w:val="00504AA9"/>
    <w:rsid w:val="00505701"/>
    <w:rsid w:val="00505F47"/>
    <w:rsid w:val="005061F9"/>
    <w:rsid w:val="00507794"/>
    <w:rsid w:val="0051017B"/>
    <w:rsid w:val="0051079B"/>
    <w:rsid w:val="0051090E"/>
    <w:rsid w:val="0051099B"/>
    <w:rsid w:val="00510FEA"/>
    <w:rsid w:val="00511756"/>
    <w:rsid w:val="005126DB"/>
    <w:rsid w:val="00512A4F"/>
    <w:rsid w:val="00513804"/>
    <w:rsid w:val="00513F90"/>
    <w:rsid w:val="005141A1"/>
    <w:rsid w:val="005146E0"/>
    <w:rsid w:val="00514768"/>
    <w:rsid w:val="005151FE"/>
    <w:rsid w:val="0051537E"/>
    <w:rsid w:val="00515F80"/>
    <w:rsid w:val="00516A09"/>
    <w:rsid w:val="00516A8F"/>
    <w:rsid w:val="00516CC1"/>
    <w:rsid w:val="00516D57"/>
    <w:rsid w:val="00520A08"/>
    <w:rsid w:val="00520FA9"/>
    <w:rsid w:val="005210C8"/>
    <w:rsid w:val="00521151"/>
    <w:rsid w:val="00521487"/>
    <w:rsid w:val="00521725"/>
    <w:rsid w:val="0052201F"/>
    <w:rsid w:val="00522523"/>
    <w:rsid w:val="00522EBD"/>
    <w:rsid w:val="0052367B"/>
    <w:rsid w:val="005239F4"/>
    <w:rsid w:val="00523B54"/>
    <w:rsid w:val="00523D6B"/>
    <w:rsid w:val="00523E08"/>
    <w:rsid w:val="00524A08"/>
    <w:rsid w:val="005250D7"/>
    <w:rsid w:val="005251C6"/>
    <w:rsid w:val="005254B3"/>
    <w:rsid w:val="005257EC"/>
    <w:rsid w:val="00525CAD"/>
    <w:rsid w:val="00526213"/>
    <w:rsid w:val="0052659A"/>
    <w:rsid w:val="00526725"/>
    <w:rsid w:val="00526FFB"/>
    <w:rsid w:val="00527CD7"/>
    <w:rsid w:val="00530869"/>
    <w:rsid w:val="00530BA9"/>
    <w:rsid w:val="005310D3"/>
    <w:rsid w:val="005311B4"/>
    <w:rsid w:val="00532498"/>
    <w:rsid w:val="005328D7"/>
    <w:rsid w:val="00532E0A"/>
    <w:rsid w:val="005332BF"/>
    <w:rsid w:val="00533AAD"/>
    <w:rsid w:val="00534F3E"/>
    <w:rsid w:val="005355DE"/>
    <w:rsid w:val="00535604"/>
    <w:rsid w:val="00536C45"/>
    <w:rsid w:val="005374E8"/>
    <w:rsid w:val="005375E7"/>
    <w:rsid w:val="0053799F"/>
    <w:rsid w:val="00540E9B"/>
    <w:rsid w:val="005418CA"/>
    <w:rsid w:val="00542312"/>
    <w:rsid w:val="005423C7"/>
    <w:rsid w:val="00542A89"/>
    <w:rsid w:val="00543212"/>
    <w:rsid w:val="00543ED8"/>
    <w:rsid w:val="005442DF"/>
    <w:rsid w:val="00545101"/>
    <w:rsid w:val="005453E2"/>
    <w:rsid w:val="005460EF"/>
    <w:rsid w:val="005505C6"/>
    <w:rsid w:val="00550C82"/>
    <w:rsid w:val="00551475"/>
    <w:rsid w:val="00551791"/>
    <w:rsid w:val="005518DC"/>
    <w:rsid w:val="005519B5"/>
    <w:rsid w:val="005519F6"/>
    <w:rsid w:val="00551D1E"/>
    <w:rsid w:val="00554D10"/>
    <w:rsid w:val="00555A20"/>
    <w:rsid w:val="00555CB2"/>
    <w:rsid w:val="00555EF1"/>
    <w:rsid w:val="0055654C"/>
    <w:rsid w:val="005569E4"/>
    <w:rsid w:val="00556CF7"/>
    <w:rsid w:val="005577F2"/>
    <w:rsid w:val="00557980"/>
    <w:rsid w:val="00557B9C"/>
    <w:rsid w:val="00560D4B"/>
    <w:rsid w:val="00560FC9"/>
    <w:rsid w:val="00561D97"/>
    <w:rsid w:val="00562489"/>
    <w:rsid w:val="0056369F"/>
    <w:rsid w:val="0056421E"/>
    <w:rsid w:val="0056490C"/>
    <w:rsid w:val="00565CB5"/>
    <w:rsid w:val="005668E8"/>
    <w:rsid w:val="00566AFE"/>
    <w:rsid w:val="00566D1E"/>
    <w:rsid w:val="00570C8E"/>
    <w:rsid w:val="00571206"/>
    <w:rsid w:val="00571625"/>
    <w:rsid w:val="0057169D"/>
    <w:rsid w:val="00572146"/>
    <w:rsid w:val="00573346"/>
    <w:rsid w:val="00573588"/>
    <w:rsid w:val="0057382F"/>
    <w:rsid w:val="00573F05"/>
    <w:rsid w:val="0057405F"/>
    <w:rsid w:val="00576152"/>
    <w:rsid w:val="00576392"/>
    <w:rsid w:val="00576504"/>
    <w:rsid w:val="00576B53"/>
    <w:rsid w:val="0057766A"/>
    <w:rsid w:val="00577C93"/>
    <w:rsid w:val="00580011"/>
    <w:rsid w:val="00580649"/>
    <w:rsid w:val="005807B5"/>
    <w:rsid w:val="0058089C"/>
    <w:rsid w:val="00580A88"/>
    <w:rsid w:val="00581563"/>
    <w:rsid w:val="00581B7E"/>
    <w:rsid w:val="005825B1"/>
    <w:rsid w:val="00584542"/>
    <w:rsid w:val="00584D94"/>
    <w:rsid w:val="0058595E"/>
    <w:rsid w:val="00585BB3"/>
    <w:rsid w:val="005861B9"/>
    <w:rsid w:val="005862E9"/>
    <w:rsid w:val="00586754"/>
    <w:rsid w:val="0058735D"/>
    <w:rsid w:val="00587701"/>
    <w:rsid w:val="00590772"/>
    <w:rsid w:val="0059080D"/>
    <w:rsid w:val="00591B65"/>
    <w:rsid w:val="0059225D"/>
    <w:rsid w:val="00592277"/>
    <w:rsid w:val="00593167"/>
    <w:rsid w:val="005931F4"/>
    <w:rsid w:val="005948FB"/>
    <w:rsid w:val="00594B22"/>
    <w:rsid w:val="0059532A"/>
    <w:rsid w:val="00596322"/>
    <w:rsid w:val="005971FA"/>
    <w:rsid w:val="00597398"/>
    <w:rsid w:val="00597674"/>
    <w:rsid w:val="00597C69"/>
    <w:rsid w:val="005A09DF"/>
    <w:rsid w:val="005A0EE0"/>
    <w:rsid w:val="005A12D5"/>
    <w:rsid w:val="005A17DD"/>
    <w:rsid w:val="005A30B3"/>
    <w:rsid w:val="005A30F9"/>
    <w:rsid w:val="005A3785"/>
    <w:rsid w:val="005A39A1"/>
    <w:rsid w:val="005A3B3A"/>
    <w:rsid w:val="005A3C16"/>
    <w:rsid w:val="005A409E"/>
    <w:rsid w:val="005A4255"/>
    <w:rsid w:val="005A4C3F"/>
    <w:rsid w:val="005A4E36"/>
    <w:rsid w:val="005A6018"/>
    <w:rsid w:val="005A65AA"/>
    <w:rsid w:val="005A738B"/>
    <w:rsid w:val="005B0F47"/>
    <w:rsid w:val="005B105C"/>
    <w:rsid w:val="005B10D5"/>
    <w:rsid w:val="005B12F0"/>
    <w:rsid w:val="005B19A9"/>
    <w:rsid w:val="005B2144"/>
    <w:rsid w:val="005B2547"/>
    <w:rsid w:val="005B2D0B"/>
    <w:rsid w:val="005B3678"/>
    <w:rsid w:val="005B36BD"/>
    <w:rsid w:val="005B4615"/>
    <w:rsid w:val="005B525D"/>
    <w:rsid w:val="005B530A"/>
    <w:rsid w:val="005B5A0A"/>
    <w:rsid w:val="005B5B8F"/>
    <w:rsid w:val="005B6FC6"/>
    <w:rsid w:val="005C0256"/>
    <w:rsid w:val="005C0E09"/>
    <w:rsid w:val="005C1543"/>
    <w:rsid w:val="005C2359"/>
    <w:rsid w:val="005C2623"/>
    <w:rsid w:val="005C2851"/>
    <w:rsid w:val="005C2B45"/>
    <w:rsid w:val="005C2FE6"/>
    <w:rsid w:val="005C30EA"/>
    <w:rsid w:val="005C325B"/>
    <w:rsid w:val="005C3707"/>
    <w:rsid w:val="005C37D1"/>
    <w:rsid w:val="005C3C59"/>
    <w:rsid w:val="005C4185"/>
    <w:rsid w:val="005C4253"/>
    <w:rsid w:val="005C5D16"/>
    <w:rsid w:val="005C5D37"/>
    <w:rsid w:val="005C6083"/>
    <w:rsid w:val="005C60AB"/>
    <w:rsid w:val="005C6FB9"/>
    <w:rsid w:val="005C7682"/>
    <w:rsid w:val="005D0028"/>
    <w:rsid w:val="005D0B33"/>
    <w:rsid w:val="005D0BB0"/>
    <w:rsid w:val="005D0C12"/>
    <w:rsid w:val="005D0DE5"/>
    <w:rsid w:val="005D0F24"/>
    <w:rsid w:val="005D12F3"/>
    <w:rsid w:val="005D2589"/>
    <w:rsid w:val="005D2C50"/>
    <w:rsid w:val="005D3502"/>
    <w:rsid w:val="005D3E88"/>
    <w:rsid w:val="005D43FF"/>
    <w:rsid w:val="005D4524"/>
    <w:rsid w:val="005D4660"/>
    <w:rsid w:val="005D4E60"/>
    <w:rsid w:val="005D51D6"/>
    <w:rsid w:val="005D5237"/>
    <w:rsid w:val="005D5DDD"/>
    <w:rsid w:val="005D67E6"/>
    <w:rsid w:val="005D6DBD"/>
    <w:rsid w:val="005D74D3"/>
    <w:rsid w:val="005D760B"/>
    <w:rsid w:val="005D7981"/>
    <w:rsid w:val="005D7A65"/>
    <w:rsid w:val="005E02D0"/>
    <w:rsid w:val="005E0984"/>
    <w:rsid w:val="005E0B09"/>
    <w:rsid w:val="005E121F"/>
    <w:rsid w:val="005E318F"/>
    <w:rsid w:val="005E43F5"/>
    <w:rsid w:val="005E516B"/>
    <w:rsid w:val="005E5AE3"/>
    <w:rsid w:val="005E5BA9"/>
    <w:rsid w:val="005E5DC5"/>
    <w:rsid w:val="005E5F3F"/>
    <w:rsid w:val="005E6027"/>
    <w:rsid w:val="005E68E0"/>
    <w:rsid w:val="005E6AC0"/>
    <w:rsid w:val="005E6FCD"/>
    <w:rsid w:val="005E7981"/>
    <w:rsid w:val="005F0228"/>
    <w:rsid w:val="005F2D7C"/>
    <w:rsid w:val="005F3EFA"/>
    <w:rsid w:val="005F4031"/>
    <w:rsid w:val="005F4627"/>
    <w:rsid w:val="005F47E7"/>
    <w:rsid w:val="005F5226"/>
    <w:rsid w:val="005F5249"/>
    <w:rsid w:val="005F5265"/>
    <w:rsid w:val="005F5E44"/>
    <w:rsid w:val="005F62FD"/>
    <w:rsid w:val="005F74B5"/>
    <w:rsid w:val="005F7527"/>
    <w:rsid w:val="005F79FC"/>
    <w:rsid w:val="006015DE"/>
    <w:rsid w:val="006015E5"/>
    <w:rsid w:val="006018C5"/>
    <w:rsid w:val="006034B4"/>
    <w:rsid w:val="00603BE9"/>
    <w:rsid w:val="00603C26"/>
    <w:rsid w:val="00603F30"/>
    <w:rsid w:val="006040E8"/>
    <w:rsid w:val="00604241"/>
    <w:rsid w:val="006043C0"/>
    <w:rsid w:val="006045BA"/>
    <w:rsid w:val="00606F5B"/>
    <w:rsid w:val="00610C06"/>
    <w:rsid w:val="00611312"/>
    <w:rsid w:val="0061140B"/>
    <w:rsid w:val="00612104"/>
    <w:rsid w:val="00612110"/>
    <w:rsid w:val="00612362"/>
    <w:rsid w:val="006125E7"/>
    <w:rsid w:val="006128D9"/>
    <w:rsid w:val="00612F43"/>
    <w:rsid w:val="006157E6"/>
    <w:rsid w:val="00615A5A"/>
    <w:rsid w:val="00615E44"/>
    <w:rsid w:val="006169F9"/>
    <w:rsid w:val="00616A03"/>
    <w:rsid w:val="00616D6A"/>
    <w:rsid w:val="0061717C"/>
    <w:rsid w:val="00617A72"/>
    <w:rsid w:val="00620473"/>
    <w:rsid w:val="0062058C"/>
    <w:rsid w:val="00620945"/>
    <w:rsid w:val="00620AF3"/>
    <w:rsid w:val="006224C4"/>
    <w:rsid w:val="006230DF"/>
    <w:rsid w:val="006234D3"/>
    <w:rsid w:val="00623534"/>
    <w:rsid w:val="00623DF6"/>
    <w:rsid w:val="00623FD3"/>
    <w:rsid w:val="00624023"/>
    <w:rsid w:val="00624E78"/>
    <w:rsid w:val="0062559B"/>
    <w:rsid w:val="00626175"/>
    <w:rsid w:val="0062628E"/>
    <w:rsid w:val="00626AA2"/>
    <w:rsid w:val="006270F3"/>
    <w:rsid w:val="0062727B"/>
    <w:rsid w:val="00627812"/>
    <w:rsid w:val="00627A16"/>
    <w:rsid w:val="0063028F"/>
    <w:rsid w:val="0063036B"/>
    <w:rsid w:val="00630377"/>
    <w:rsid w:val="006309A1"/>
    <w:rsid w:val="00630BC1"/>
    <w:rsid w:val="00631324"/>
    <w:rsid w:val="0063166B"/>
    <w:rsid w:val="00631A01"/>
    <w:rsid w:val="00631CD5"/>
    <w:rsid w:val="006321E5"/>
    <w:rsid w:val="0063264F"/>
    <w:rsid w:val="0063274B"/>
    <w:rsid w:val="0063281A"/>
    <w:rsid w:val="006329D1"/>
    <w:rsid w:val="00632C94"/>
    <w:rsid w:val="00633A9D"/>
    <w:rsid w:val="00633B7F"/>
    <w:rsid w:val="00634422"/>
    <w:rsid w:val="006346A5"/>
    <w:rsid w:val="0063534A"/>
    <w:rsid w:val="00635515"/>
    <w:rsid w:val="006358A6"/>
    <w:rsid w:val="00635987"/>
    <w:rsid w:val="00635B7C"/>
    <w:rsid w:val="00635D3A"/>
    <w:rsid w:val="0063667D"/>
    <w:rsid w:val="006370E6"/>
    <w:rsid w:val="006371FE"/>
    <w:rsid w:val="0064031E"/>
    <w:rsid w:val="00640B00"/>
    <w:rsid w:val="0064139D"/>
    <w:rsid w:val="00641725"/>
    <w:rsid w:val="00641BBD"/>
    <w:rsid w:val="00641CFD"/>
    <w:rsid w:val="00641F0D"/>
    <w:rsid w:val="00642521"/>
    <w:rsid w:val="00643791"/>
    <w:rsid w:val="00643F81"/>
    <w:rsid w:val="006444B1"/>
    <w:rsid w:val="006446EF"/>
    <w:rsid w:val="00644D23"/>
    <w:rsid w:val="00645356"/>
    <w:rsid w:val="00646834"/>
    <w:rsid w:val="00646852"/>
    <w:rsid w:val="00646D4E"/>
    <w:rsid w:val="00646DBF"/>
    <w:rsid w:val="00646ECF"/>
    <w:rsid w:val="00647F5E"/>
    <w:rsid w:val="0065093E"/>
    <w:rsid w:val="00651085"/>
    <w:rsid w:val="006512F9"/>
    <w:rsid w:val="00651775"/>
    <w:rsid w:val="00651A09"/>
    <w:rsid w:val="0065213F"/>
    <w:rsid w:val="00652811"/>
    <w:rsid w:val="0065281C"/>
    <w:rsid w:val="00652E67"/>
    <w:rsid w:val="006539B4"/>
    <w:rsid w:val="00654CDA"/>
    <w:rsid w:val="00655016"/>
    <w:rsid w:val="006552D3"/>
    <w:rsid w:val="0065696F"/>
    <w:rsid w:val="00660F35"/>
    <w:rsid w:val="006616DF"/>
    <w:rsid w:val="00661A58"/>
    <w:rsid w:val="00661ECC"/>
    <w:rsid w:val="00662C9B"/>
    <w:rsid w:val="00663001"/>
    <w:rsid w:val="00663580"/>
    <w:rsid w:val="00664444"/>
    <w:rsid w:val="006645C6"/>
    <w:rsid w:val="00665193"/>
    <w:rsid w:val="00665877"/>
    <w:rsid w:val="00665B3D"/>
    <w:rsid w:val="00665C7B"/>
    <w:rsid w:val="0066637D"/>
    <w:rsid w:val="0066695F"/>
    <w:rsid w:val="00666DE9"/>
    <w:rsid w:val="00667B48"/>
    <w:rsid w:val="00670810"/>
    <w:rsid w:val="00670F35"/>
    <w:rsid w:val="00671038"/>
    <w:rsid w:val="00671B11"/>
    <w:rsid w:val="00672015"/>
    <w:rsid w:val="00672152"/>
    <w:rsid w:val="006721A2"/>
    <w:rsid w:val="00672864"/>
    <w:rsid w:val="006747AD"/>
    <w:rsid w:val="00674803"/>
    <w:rsid w:val="0067643F"/>
    <w:rsid w:val="00677104"/>
    <w:rsid w:val="00680D94"/>
    <w:rsid w:val="00680E3A"/>
    <w:rsid w:val="00682763"/>
    <w:rsid w:val="00682EC5"/>
    <w:rsid w:val="0068302A"/>
    <w:rsid w:val="00683681"/>
    <w:rsid w:val="006837FF"/>
    <w:rsid w:val="00683981"/>
    <w:rsid w:val="00683DC3"/>
    <w:rsid w:val="006840EE"/>
    <w:rsid w:val="006845B4"/>
    <w:rsid w:val="00684893"/>
    <w:rsid w:val="00684FB1"/>
    <w:rsid w:val="006851E4"/>
    <w:rsid w:val="00685694"/>
    <w:rsid w:val="00685F6E"/>
    <w:rsid w:val="0068613B"/>
    <w:rsid w:val="00686ECA"/>
    <w:rsid w:val="00690097"/>
    <w:rsid w:val="006901EE"/>
    <w:rsid w:val="0069071F"/>
    <w:rsid w:val="00691060"/>
    <w:rsid w:val="006915ED"/>
    <w:rsid w:val="00691DA1"/>
    <w:rsid w:val="00692166"/>
    <w:rsid w:val="0069255A"/>
    <w:rsid w:val="00692652"/>
    <w:rsid w:val="0069327C"/>
    <w:rsid w:val="00693AD7"/>
    <w:rsid w:val="00693D58"/>
    <w:rsid w:val="00693E10"/>
    <w:rsid w:val="00693F84"/>
    <w:rsid w:val="00693FCA"/>
    <w:rsid w:val="006945E2"/>
    <w:rsid w:val="00694BEF"/>
    <w:rsid w:val="0069519A"/>
    <w:rsid w:val="0069522A"/>
    <w:rsid w:val="0069610D"/>
    <w:rsid w:val="00696506"/>
    <w:rsid w:val="006970A6"/>
    <w:rsid w:val="006979B6"/>
    <w:rsid w:val="00697FB6"/>
    <w:rsid w:val="00697FDF"/>
    <w:rsid w:val="006A05A9"/>
    <w:rsid w:val="006A12D8"/>
    <w:rsid w:val="006A1F5D"/>
    <w:rsid w:val="006A20A4"/>
    <w:rsid w:val="006A2686"/>
    <w:rsid w:val="006A2ADB"/>
    <w:rsid w:val="006A3983"/>
    <w:rsid w:val="006A3CA3"/>
    <w:rsid w:val="006A49C0"/>
    <w:rsid w:val="006A553E"/>
    <w:rsid w:val="006A5EDA"/>
    <w:rsid w:val="006A62F5"/>
    <w:rsid w:val="006A67A3"/>
    <w:rsid w:val="006A6873"/>
    <w:rsid w:val="006A6AD4"/>
    <w:rsid w:val="006A700C"/>
    <w:rsid w:val="006A7223"/>
    <w:rsid w:val="006B094A"/>
    <w:rsid w:val="006B20DF"/>
    <w:rsid w:val="006B3C85"/>
    <w:rsid w:val="006B3CA7"/>
    <w:rsid w:val="006B3D34"/>
    <w:rsid w:val="006B489C"/>
    <w:rsid w:val="006B4B28"/>
    <w:rsid w:val="006B5A73"/>
    <w:rsid w:val="006B610D"/>
    <w:rsid w:val="006B78FE"/>
    <w:rsid w:val="006B7AD7"/>
    <w:rsid w:val="006B7DC1"/>
    <w:rsid w:val="006C0817"/>
    <w:rsid w:val="006C0A8C"/>
    <w:rsid w:val="006C295D"/>
    <w:rsid w:val="006C2E72"/>
    <w:rsid w:val="006C41E7"/>
    <w:rsid w:val="006C49A5"/>
    <w:rsid w:val="006C5E1A"/>
    <w:rsid w:val="006C5FCC"/>
    <w:rsid w:val="006C604E"/>
    <w:rsid w:val="006C7759"/>
    <w:rsid w:val="006D1B44"/>
    <w:rsid w:val="006D1F4D"/>
    <w:rsid w:val="006D3274"/>
    <w:rsid w:val="006D459B"/>
    <w:rsid w:val="006D46D9"/>
    <w:rsid w:val="006D5CC8"/>
    <w:rsid w:val="006D5E46"/>
    <w:rsid w:val="006D6C5F"/>
    <w:rsid w:val="006D7394"/>
    <w:rsid w:val="006D7511"/>
    <w:rsid w:val="006D7887"/>
    <w:rsid w:val="006D7894"/>
    <w:rsid w:val="006D7B80"/>
    <w:rsid w:val="006D7E9A"/>
    <w:rsid w:val="006E1824"/>
    <w:rsid w:val="006E228A"/>
    <w:rsid w:val="006E265D"/>
    <w:rsid w:val="006E28BB"/>
    <w:rsid w:val="006E2EC7"/>
    <w:rsid w:val="006E3B9A"/>
    <w:rsid w:val="006E4627"/>
    <w:rsid w:val="006E60A2"/>
    <w:rsid w:val="006E63D9"/>
    <w:rsid w:val="006E71AC"/>
    <w:rsid w:val="006E76EE"/>
    <w:rsid w:val="006E7A47"/>
    <w:rsid w:val="006E7C81"/>
    <w:rsid w:val="006F00DC"/>
    <w:rsid w:val="006F1D04"/>
    <w:rsid w:val="006F1F8D"/>
    <w:rsid w:val="006F2F70"/>
    <w:rsid w:val="006F3672"/>
    <w:rsid w:val="006F374D"/>
    <w:rsid w:val="006F3774"/>
    <w:rsid w:val="006F398D"/>
    <w:rsid w:val="006F4A09"/>
    <w:rsid w:val="006F5182"/>
    <w:rsid w:val="006F51C6"/>
    <w:rsid w:val="006F5239"/>
    <w:rsid w:val="006F5E64"/>
    <w:rsid w:val="006F65B8"/>
    <w:rsid w:val="007003E1"/>
    <w:rsid w:val="00700BEF"/>
    <w:rsid w:val="00700C5D"/>
    <w:rsid w:val="007016F2"/>
    <w:rsid w:val="00701725"/>
    <w:rsid w:val="00701F57"/>
    <w:rsid w:val="00703105"/>
    <w:rsid w:val="00703B08"/>
    <w:rsid w:val="00703B2C"/>
    <w:rsid w:val="00703F87"/>
    <w:rsid w:val="0070429F"/>
    <w:rsid w:val="00704E52"/>
    <w:rsid w:val="0070593C"/>
    <w:rsid w:val="00705B3E"/>
    <w:rsid w:val="00706365"/>
    <w:rsid w:val="007067F5"/>
    <w:rsid w:val="00706A15"/>
    <w:rsid w:val="00706A73"/>
    <w:rsid w:val="00707F9B"/>
    <w:rsid w:val="00707FB0"/>
    <w:rsid w:val="0071051C"/>
    <w:rsid w:val="00710796"/>
    <w:rsid w:val="0071109A"/>
    <w:rsid w:val="007113CD"/>
    <w:rsid w:val="007114F9"/>
    <w:rsid w:val="00711643"/>
    <w:rsid w:val="00712467"/>
    <w:rsid w:val="00712F84"/>
    <w:rsid w:val="00713625"/>
    <w:rsid w:val="007139E3"/>
    <w:rsid w:val="007145A1"/>
    <w:rsid w:val="00716A46"/>
    <w:rsid w:val="00716D9E"/>
    <w:rsid w:val="0071753A"/>
    <w:rsid w:val="00717714"/>
    <w:rsid w:val="00717F2D"/>
    <w:rsid w:val="0072018F"/>
    <w:rsid w:val="00720297"/>
    <w:rsid w:val="007226D0"/>
    <w:rsid w:val="00722986"/>
    <w:rsid w:val="0072328B"/>
    <w:rsid w:val="00723EC1"/>
    <w:rsid w:val="00724937"/>
    <w:rsid w:val="00724AB7"/>
    <w:rsid w:val="007257DF"/>
    <w:rsid w:val="007265A3"/>
    <w:rsid w:val="00726946"/>
    <w:rsid w:val="007279B5"/>
    <w:rsid w:val="00727D3D"/>
    <w:rsid w:val="00730733"/>
    <w:rsid w:val="00730ADA"/>
    <w:rsid w:val="00730DE2"/>
    <w:rsid w:val="00731E8B"/>
    <w:rsid w:val="007320B5"/>
    <w:rsid w:val="00732525"/>
    <w:rsid w:val="0073262C"/>
    <w:rsid w:val="00732BB5"/>
    <w:rsid w:val="0073384B"/>
    <w:rsid w:val="007346E0"/>
    <w:rsid w:val="007346F0"/>
    <w:rsid w:val="00734B90"/>
    <w:rsid w:val="007355BA"/>
    <w:rsid w:val="007359D0"/>
    <w:rsid w:val="00736565"/>
    <w:rsid w:val="00736CB4"/>
    <w:rsid w:val="0073715D"/>
    <w:rsid w:val="00737C28"/>
    <w:rsid w:val="00740471"/>
    <w:rsid w:val="00741720"/>
    <w:rsid w:val="00741ACC"/>
    <w:rsid w:val="007426C4"/>
    <w:rsid w:val="007427DC"/>
    <w:rsid w:val="007429F1"/>
    <w:rsid w:val="00742DFD"/>
    <w:rsid w:val="00743665"/>
    <w:rsid w:val="00743AA0"/>
    <w:rsid w:val="0074407A"/>
    <w:rsid w:val="00744362"/>
    <w:rsid w:val="00744AEB"/>
    <w:rsid w:val="00746272"/>
    <w:rsid w:val="00746291"/>
    <w:rsid w:val="007467B3"/>
    <w:rsid w:val="00746DCC"/>
    <w:rsid w:val="0074723F"/>
    <w:rsid w:val="0074756C"/>
    <w:rsid w:val="00747721"/>
    <w:rsid w:val="00750A4F"/>
    <w:rsid w:val="00751128"/>
    <w:rsid w:val="007512FE"/>
    <w:rsid w:val="00751395"/>
    <w:rsid w:val="00751784"/>
    <w:rsid w:val="00751E20"/>
    <w:rsid w:val="00752049"/>
    <w:rsid w:val="007529B4"/>
    <w:rsid w:val="00753132"/>
    <w:rsid w:val="00753281"/>
    <w:rsid w:val="00754151"/>
    <w:rsid w:val="00754819"/>
    <w:rsid w:val="0075529D"/>
    <w:rsid w:val="00756961"/>
    <w:rsid w:val="007602FD"/>
    <w:rsid w:val="00761281"/>
    <w:rsid w:val="00761DB6"/>
    <w:rsid w:val="00762002"/>
    <w:rsid w:val="00762A19"/>
    <w:rsid w:val="00762C2F"/>
    <w:rsid w:val="007632E7"/>
    <w:rsid w:val="00763C08"/>
    <w:rsid w:val="00764E92"/>
    <w:rsid w:val="00765582"/>
    <w:rsid w:val="00765BAA"/>
    <w:rsid w:val="0076632E"/>
    <w:rsid w:val="00766CBB"/>
    <w:rsid w:val="00766E58"/>
    <w:rsid w:val="00767248"/>
    <w:rsid w:val="00770777"/>
    <w:rsid w:val="007710BE"/>
    <w:rsid w:val="007719E5"/>
    <w:rsid w:val="00771DF7"/>
    <w:rsid w:val="00772957"/>
    <w:rsid w:val="007739C8"/>
    <w:rsid w:val="00773AEE"/>
    <w:rsid w:val="00774A7C"/>
    <w:rsid w:val="007750D8"/>
    <w:rsid w:val="007753B7"/>
    <w:rsid w:val="00775466"/>
    <w:rsid w:val="00776454"/>
    <w:rsid w:val="007765E4"/>
    <w:rsid w:val="007774A1"/>
    <w:rsid w:val="00777C09"/>
    <w:rsid w:val="0078017A"/>
    <w:rsid w:val="00780971"/>
    <w:rsid w:val="00780A45"/>
    <w:rsid w:val="00780B5F"/>
    <w:rsid w:val="00780D8E"/>
    <w:rsid w:val="007810E8"/>
    <w:rsid w:val="007812AE"/>
    <w:rsid w:val="007815B0"/>
    <w:rsid w:val="00781969"/>
    <w:rsid w:val="00782513"/>
    <w:rsid w:val="00782912"/>
    <w:rsid w:val="00783828"/>
    <w:rsid w:val="00784346"/>
    <w:rsid w:val="007854B3"/>
    <w:rsid w:val="00786AF6"/>
    <w:rsid w:val="0079046B"/>
    <w:rsid w:val="00790B9E"/>
    <w:rsid w:val="00790FD8"/>
    <w:rsid w:val="007912E2"/>
    <w:rsid w:val="007925F8"/>
    <w:rsid w:val="00792B83"/>
    <w:rsid w:val="00792D85"/>
    <w:rsid w:val="0079329F"/>
    <w:rsid w:val="007935E5"/>
    <w:rsid w:val="00794CFD"/>
    <w:rsid w:val="00794F73"/>
    <w:rsid w:val="007957BD"/>
    <w:rsid w:val="00795CA9"/>
    <w:rsid w:val="00795D0D"/>
    <w:rsid w:val="00796250"/>
    <w:rsid w:val="00796467"/>
    <w:rsid w:val="0079659B"/>
    <w:rsid w:val="00796681"/>
    <w:rsid w:val="0079775D"/>
    <w:rsid w:val="00797B48"/>
    <w:rsid w:val="007A0FEF"/>
    <w:rsid w:val="007A1438"/>
    <w:rsid w:val="007A17AC"/>
    <w:rsid w:val="007A1BBF"/>
    <w:rsid w:val="007A2290"/>
    <w:rsid w:val="007A3CBC"/>
    <w:rsid w:val="007A4CDA"/>
    <w:rsid w:val="007A59E6"/>
    <w:rsid w:val="007A5DCB"/>
    <w:rsid w:val="007A6224"/>
    <w:rsid w:val="007A6BA0"/>
    <w:rsid w:val="007A7202"/>
    <w:rsid w:val="007A7B55"/>
    <w:rsid w:val="007A7BC3"/>
    <w:rsid w:val="007A7D5A"/>
    <w:rsid w:val="007B04FA"/>
    <w:rsid w:val="007B0965"/>
    <w:rsid w:val="007B12B9"/>
    <w:rsid w:val="007B15CD"/>
    <w:rsid w:val="007B25E5"/>
    <w:rsid w:val="007B3101"/>
    <w:rsid w:val="007B315F"/>
    <w:rsid w:val="007B3AA0"/>
    <w:rsid w:val="007B3AAC"/>
    <w:rsid w:val="007B3E68"/>
    <w:rsid w:val="007B3F88"/>
    <w:rsid w:val="007B55EC"/>
    <w:rsid w:val="007B5CD5"/>
    <w:rsid w:val="007B7C3B"/>
    <w:rsid w:val="007B7EE3"/>
    <w:rsid w:val="007C0423"/>
    <w:rsid w:val="007C049E"/>
    <w:rsid w:val="007C09BD"/>
    <w:rsid w:val="007C0FFC"/>
    <w:rsid w:val="007C2B73"/>
    <w:rsid w:val="007C3AB9"/>
    <w:rsid w:val="007C3FF5"/>
    <w:rsid w:val="007C49EE"/>
    <w:rsid w:val="007C4FCD"/>
    <w:rsid w:val="007C5F2C"/>
    <w:rsid w:val="007C6F2D"/>
    <w:rsid w:val="007C7C86"/>
    <w:rsid w:val="007C7F32"/>
    <w:rsid w:val="007D0A11"/>
    <w:rsid w:val="007D0FF3"/>
    <w:rsid w:val="007D1E36"/>
    <w:rsid w:val="007D20B3"/>
    <w:rsid w:val="007D2A9C"/>
    <w:rsid w:val="007D2D78"/>
    <w:rsid w:val="007D39E1"/>
    <w:rsid w:val="007D3A3C"/>
    <w:rsid w:val="007D3F21"/>
    <w:rsid w:val="007D5547"/>
    <w:rsid w:val="007D5E09"/>
    <w:rsid w:val="007D60DB"/>
    <w:rsid w:val="007D626E"/>
    <w:rsid w:val="007D7031"/>
    <w:rsid w:val="007D7C0B"/>
    <w:rsid w:val="007D7D86"/>
    <w:rsid w:val="007E09CE"/>
    <w:rsid w:val="007E1405"/>
    <w:rsid w:val="007E24B4"/>
    <w:rsid w:val="007E4013"/>
    <w:rsid w:val="007E42AC"/>
    <w:rsid w:val="007E6036"/>
    <w:rsid w:val="007E78F2"/>
    <w:rsid w:val="007F0275"/>
    <w:rsid w:val="007F0687"/>
    <w:rsid w:val="007F13C4"/>
    <w:rsid w:val="007F194E"/>
    <w:rsid w:val="007F1EEE"/>
    <w:rsid w:val="007F2152"/>
    <w:rsid w:val="007F2301"/>
    <w:rsid w:val="007F23A6"/>
    <w:rsid w:val="007F2CA9"/>
    <w:rsid w:val="007F3A15"/>
    <w:rsid w:val="007F3CD5"/>
    <w:rsid w:val="007F3DFB"/>
    <w:rsid w:val="007F3E9F"/>
    <w:rsid w:val="007F5B63"/>
    <w:rsid w:val="007F5CFB"/>
    <w:rsid w:val="007F6703"/>
    <w:rsid w:val="007F75D3"/>
    <w:rsid w:val="007F7F5A"/>
    <w:rsid w:val="008006BA"/>
    <w:rsid w:val="00800EDA"/>
    <w:rsid w:val="008010FC"/>
    <w:rsid w:val="00801A81"/>
    <w:rsid w:val="00802621"/>
    <w:rsid w:val="00802B1F"/>
    <w:rsid w:val="00803990"/>
    <w:rsid w:val="00803DBD"/>
    <w:rsid w:val="00804FDA"/>
    <w:rsid w:val="008056DC"/>
    <w:rsid w:val="008057E6"/>
    <w:rsid w:val="0080606D"/>
    <w:rsid w:val="008075FB"/>
    <w:rsid w:val="00810031"/>
    <w:rsid w:val="0081023F"/>
    <w:rsid w:val="00810D90"/>
    <w:rsid w:val="00810F3D"/>
    <w:rsid w:val="00811168"/>
    <w:rsid w:val="008111EF"/>
    <w:rsid w:val="00811315"/>
    <w:rsid w:val="00811D0B"/>
    <w:rsid w:val="00811FC2"/>
    <w:rsid w:val="008134FB"/>
    <w:rsid w:val="00813A94"/>
    <w:rsid w:val="00814BE2"/>
    <w:rsid w:val="00814E78"/>
    <w:rsid w:val="00815E62"/>
    <w:rsid w:val="008160F4"/>
    <w:rsid w:val="00816F8B"/>
    <w:rsid w:val="0081737B"/>
    <w:rsid w:val="008174F6"/>
    <w:rsid w:val="00817913"/>
    <w:rsid w:val="00817936"/>
    <w:rsid w:val="00817A6A"/>
    <w:rsid w:val="00820382"/>
    <w:rsid w:val="00820F49"/>
    <w:rsid w:val="008212BA"/>
    <w:rsid w:val="00821401"/>
    <w:rsid w:val="0082157B"/>
    <w:rsid w:val="0082278B"/>
    <w:rsid w:val="00822B36"/>
    <w:rsid w:val="00822E95"/>
    <w:rsid w:val="008233B0"/>
    <w:rsid w:val="0082355B"/>
    <w:rsid w:val="00823F43"/>
    <w:rsid w:val="008240FF"/>
    <w:rsid w:val="008244CA"/>
    <w:rsid w:val="0082641D"/>
    <w:rsid w:val="008265E0"/>
    <w:rsid w:val="00827788"/>
    <w:rsid w:val="00827B03"/>
    <w:rsid w:val="00827ED4"/>
    <w:rsid w:val="0083045D"/>
    <w:rsid w:val="00831D6A"/>
    <w:rsid w:val="0083237D"/>
    <w:rsid w:val="00832CAA"/>
    <w:rsid w:val="008338C6"/>
    <w:rsid w:val="0083393D"/>
    <w:rsid w:val="00833B00"/>
    <w:rsid w:val="008343F4"/>
    <w:rsid w:val="00835FA9"/>
    <w:rsid w:val="00836B69"/>
    <w:rsid w:val="00836BF4"/>
    <w:rsid w:val="00836C15"/>
    <w:rsid w:val="00836F69"/>
    <w:rsid w:val="00837159"/>
    <w:rsid w:val="00837E52"/>
    <w:rsid w:val="00841668"/>
    <w:rsid w:val="00841770"/>
    <w:rsid w:val="00841959"/>
    <w:rsid w:val="008420CE"/>
    <w:rsid w:val="0084260B"/>
    <w:rsid w:val="008429A2"/>
    <w:rsid w:val="00842B2D"/>
    <w:rsid w:val="00842CD8"/>
    <w:rsid w:val="008432D8"/>
    <w:rsid w:val="008432E7"/>
    <w:rsid w:val="00843B3F"/>
    <w:rsid w:val="00844726"/>
    <w:rsid w:val="00844804"/>
    <w:rsid w:val="00844DF2"/>
    <w:rsid w:val="00847122"/>
    <w:rsid w:val="008475E7"/>
    <w:rsid w:val="008508DF"/>
    <w:rsid w:val="00850C5D"/>
    <w:rsid w:val="008515B0"/>
    <w:rsid w:val="00851AD6"/>
    <w:rsid w:val="00853179"/>
    <w:rsid w:val="008533DE"/>
    <w:rsid w:val="00853611"/>
    <w:rsid w:val="00853710"/>
    <w:rsid w:val="00855182"/>
    <w:rsid w:val="00855A27"/>
    <w:rsid w:val="0085680E"/>
    <w:rsid w:val="00856FC8"/>
    <w:rsid w:val="0085781D"/>
    <w:rsid w:val="00857E70"/>
    <w:rsid w:val="008603C7"/>
    <w:rsid w:val="0086057A"/>
    <w:rsid w:val="00860A5D"/>
    <w:rsid w:val="00860CA0"/>
    <w:rsid w:val="00860F4E"/>
    <w:rsid w:val="008613BC"/>
    <w:rsid w:val="00861B19"/>
    <w:rsid w:val="00861C47"/>
    <w:rsid w:val="008620BF"/>
    <w:rsid w:val="008625C7"/>
    <w:rsid w:val="00863B5D"/>
    <w:rsid w:val="008643D8"/>
    <w:rsid w:val="008651A7"/>
    <w:rsid w:val="008654CE"/>
    <w:rsid w:val="00865731"/>
    <w:rsid w:val="00865869"/>
    <w:rsid w:val="0086611B"/>
    <w:rsid w:val="008661F9"/>
    <w:rsid w:val="00867844"/>
    <w:rsid w:val="00867B56"/>
    <w:rsid w:val="00867E48"/>
    <w:rsid w:val="0087267D"/>
    <w:rsid w:val="008729B5"/>
    <w:rsid w:val="00872B9B"/>
    <w:rsid w:val="00873277"/>
    <w:rsid w:val="008735F6"/>
    <w:rsid w:val="00873CC6"/>
    <w:rsid w:val="008754F6"/>
    <w:rsid w:val="00876224"/>
    <w:rsid w:val="00876BAA"/>
    <w:rsid w:val="00877301"/>
    <w:rsid w:val="0087746C"/>
    <w:rsid w:val="0087771D"/>
    <w:rsid w:val="00880EA4"/>
    <w:rsid w:val="00881C1C"/>
    <w:rsid w:val="00881F79"/>
    <w:rsid w:val="00882206"/>
    <w:rsid w:val="008827D7"/>
    <w:rsid w:val="0088317C"/>
    <w:rsid w:val="00884444"/>
    <w:rsid w:val="00885DBB"/>
    <w:rsid w:val="00886944"/>
    <w:rsid w:val="00886D4D"/>
    <w:rsid w:val="00887486"/>
    <w:rsid w:val="00887BFC"/>
    <w:rsid w:val="0089013B"/>
    <w:rsid w:val="00890ECF"/>
    <w:rsid w:val="00890F2D"/>
    <w:rsid w:val="00892CF7"/>
    <w:rsid w:val="00893253"/>
    <w:rsid w:val="0089336F"/>
    <w:rsid w:val="008935A6"/>
    <w:rsid w:val="0089465B"/>
    <w:rsid w:val="00895006"/>
    <w:rsid w:val="0089500A"/>
    <w:rsid w:val="00895030"/>
    <w:rsid w:val="008958B3"/>
    <w:rsid w:val="0089749E"/>
    <w:rsid w:val="008978CB"/>
    <w:rsid w:val="008A0A96"/>
    <w:rsid w:val="008A0CD7"/>
    <w:rsid w:val="008A0E0B"/>
    <w:rsid w:val="008A1CE7"/>
    <w:rsid w:val="008A1F4D"/>
    <w:rsid w:val="008A2163"/>
    <w:rsid w:val="008A2185"/>
    <w:rsid w:val="008A22B8"/>
    <w:rsid w:val="008A2567"/>
    <w:rsid w:val="008A25C6"/>
    <w:rsid w:val="008A2778"/>
    <w:rsid w:val="008A2884"/>
    <w:rsid w:val="008A2DBA"/>
    <w:rsid w:val="008A36D6"/>
    <w:rsid w:val="008A3D49"/>
    <w:rsid w:val="008A4765"/>
    <w:rsid w:val="008A526E"/>
    <w:rsid w:val="008A5DD9"/>
    <w:rsid w:val="008A654D"/>
    <w:rsid w:val="008A793F"/>
    <w:rsid w:val="008A7D11"/>
    <w:rsid w:val="008B10B5"/>
    <w:rsid w:val="008B1467"/>
    <w:rsid w:val="008B19FD"/>
    <w:rsid w:val="008B1BBC"/>
    <w:rsid w:val="008B2AB6"/>
    <w:rsid w:val="008B3143"/>
    <w:rsid w:val="008B39D1"/>
    <w:rsid w:val="008B4D82"/>
    <w:rsid w:val="008B4FA8"/>
    <w:rsid w:val="008B57E8"/>
    <w:rsid w:val="008B5BCF"/>
    <w:rsid w:val="008B5EA3"/>
    <w:rsid w:val="008B5FFD"/>
    <w:rsid w:val="008B6410"/>
    <w:rsid w:val="008B69A9"/>
    <w:rsid w:val="008B6EC5"/>
    <w:rsid w:val="008B72AC"/>
    <w:rsid w:val="008C042C"/>
    <w:rsid w:val="008C05D7"/>
    <w:rsid w:val="008C085F"/>
    <w:rsid w:val="008C0B45"/>
    <w:rsid w:val="008C114D"/>
    <w:rsid w:val="008C15B5"/>
    <w:rsid w:val="008C1600"/>
    <w:rsid w:val="008C2B0D"/>
    <w:rsid w:val="008C3E24"/>
    <w:rsid w:val="008C3EAC"/>
    <w:rsid w:val="008C48CF"/>
    <w:rsid w:val="008C4B11"/>
    <w:rsid w:val="008C52C8"/>
    <w:rsid w:val="008C56C7"/>
    <w:rsid w:val="008C60B5"/>
    <w:rsid w:val="008C6145"/>
    <w:rsid w:val="008C6974"/>
    <w:rsid w:val="008C7439"/>
    <w:rsid w:val="008C77D5"/>
    <w:rsid w:val="008C797A"/>
    <w:rsid w:val="008C7A77"/>
    <w:rsid w:val="008C7D7D"/>
    <w:rsid w:val="008C7F50"/>
    <w:rsid w:val="008D0597"/>
    <w:rsid w:val="008D0685"/>
    <w:rsid w:val="008D1711"/>
    <w:rsid w:val="008D180D"/>
    <w:rsid w:val="008D1F5D"/>
    <w:rsid w:val="008D2314"/>
    <w:rsid w:val="008D23A3"/>
    <w:rsid w:val="008D2A67"/>
    <w:rsid w:val="008D2E53"/>
    <w:rsid w:val="008D33D8"/>
    <w:rsid w:val="008D444D"/>
    <w:rsid w:val="008D4626"/>
    <w:rsid w:val="008D494C"/>
    <w:rsid w:val="008D4E56"/>
    <w:rsid w:val="008D5896"/>
    <w:rsid w:val="008D5A86"/>
    <w:rsid w:val="008D5B59"/>
    <w:rsid w:val="008D5CE0"/>
    <w:rsid w:val="008D617B"/>
    <w:rsid w:val="008D72BB"/>
    <w:rsid w:val="008D7E38"/>
    <w:rsid w:val="008E014A"/>
    <w:rsid w:val="008E171A"/>
    <w:rsid w:val="008E1992"/>
    <w:rsid w:val="008E2DF9"/>
    <w:rsid w:val="008E3A3C"/>
    <w:rsid w:val="008E419B"/>
    <w:rsid w:val="008E4D04"/>
    <w:rsid w:val="008E4D06"/>
    <w:rsid w:val="008E5AC6"/>
    <w:rsid w:val="008E61E1"/>
    <w:rsid w:val="008E6385"/>
    <w:rsid w:val="008E6653"/>
    <w:rsid w:val="008E6AFC"/>
    <w:rsid w:val="008E7101"/>
    <w:rsid w:val="008E7467"/>
    <w:rsid w:val="008E74D1"/>
    <w:rsid w:val="008E76E2"/>
    <w:rsid w:val="008F03FE"/>
    <w:rsid w:val="008F0468"/>
    <w:rsid w:val="008F11C3"/>
    <w:rsid w:val="008F164E"/>
    <w:rsid w:val="008F28CD"/>
    <w:rsid w:val="008F3372"/>
    <w:rsid w:val="008F398A"/>
    <w:rsid w:val="008F4093"/>
    <w:rsid w:val="008F55F3"/>
    <w:rsid w:val="008F573B"/>
    <w:rsid w:val="008F5AC4"/>
    <w:rsid w:val="008F5CC1"/>
    <w:rsid w:val="008F6B16"/>
    <w:rsid w:val="008F71CF"/>
    <w:rsid w:val="008F74D9"/>
    <w:rsid w:val="008F7603"/>
    <w:rsid w:val="008F7790"/>
    <w:rsid w:val="008F78D5"/>
    <w:rsid w:val="0090237F"/>
    <w:rsid w:val="00902382"/>
    <w:rsid w:val="0090240E"/>
    <w:rsid w:val="009039E8"/>
    <w:rsid w:val="00903B76"/>
    <w:rsid w:val="00903E9B"/>
    <w:rsid w:val="00904170"/>
    <w:rsid w:val="00904741"/>
    <w:rsid w:val="00904779"/>
    <w:rsid w:val="009051BB"/>
    <w:rsid w:val="00905882"/>
    <w:rsid w:val="00905DD0"/>
    <w:rsid w:val="00905EC1"/>
    <w:rsid w:val="00907D85"/>
    <w:rsid w:val="00907FE4"/>
    <w:rsid w:val="00910106"/>
    <w:rsid w:val="009103B4"/>
    <w:rsid w:val="00910FCC"/>
    <w:rsid w:val="00911F8C"/>
    <w:rsid w:val="00913390"/>
    <w:rsid w:val="009135E1"/>
    <w:rsid w:val="00915125"/>
    <w:rsid w:val="00915597"/>
    <w:rsid w:val="0091724E"/>
    <w:rsid w:val="009177E0"/>
    <w:rsid w:val="00917AF1"/>
    <w:rsid w:val="00917C8D"/>
    <w:rsid w:val="00917F97"/>
    <w:rsid w:val="0092013E"/>
    <w:rsid w:val="00920F74"/>
    <w:rsid w:val="00921365"/>
    <w:rsid w:val="00921942"/>
    <w:rsid w:val="00921B4A"/>
    <w:rsid w:val="00922017"/>
    <w:rsid w:val="00922070"/>
    <w:rsid w:val="00922E30"/>
    <w:rsid w:val="009230D7"/>
    <w:rsid w:val="0092504F"/>
    <w:rsid w:val="0092519E"/>
    <w:rsid w:val="009253A3"/>
    <w:rsid w:val="0092565F"/>
    <w:rsid w:val="00926032"/>
    <w:rsid w:val="00926179"/>
    <w:rsid w:val="00926869"/>
    <w:rsid w:val="0092695F"/>
    <w:rsid w:val="00930061"/>
    <w:rsid w:val="009301C2"/>
    <w:rsid w:val="0093094A"/>
    <w:rsid w:val="00930DAA"/>
    <w:rsid w:val="0093124A"/>
    <w:rsid w:val="009316E0"/>
    <w:rsid w:val="00931E0F"/>
    <w:rsid w:val="0093252F"/>
    <w:rsid w:val="0093309C"/>
    <w:rsid w:val="0093309D"/>
    <w:rsid w:val="009331E9"/>
    <w:rsid w:val="0093372B"/>
    <w:rsid w:val="009337C3"/>
    <w:rsid w:val="00933E4B"/>
    <w:rsid w:val="00934882"/>
    <w:rsid w:val="00935433"/>
    <w:rsid w:val="009366BF"/>
    <w:rsid w:val="0094093E"/>
    <w:rsid w:val="00940A3B"/>
    <w:rsid w:val="00940BA6"/>
    <w:rsid w:val="00941707"/>
    <w:rsid w:val="00944C03"/>
    <w:rsid w:val="00945E53"/>
    <w:rsid w:val="00945EBF"/>
    <w:rsid w:val="0094672D"/>
    <w:rsid w:val="009467FC"/>
    <w:rsid w:val="00947649"/>
    <w:rsid w:val="00947AD1"/>
    <w:rsid w:val="009511C6"/>
    <w:rsid w:val="009514B2"/>
    <w:rsid w:val="00951561"/>
    <w:rsid w:val="00952153"/>
    <w:rsid w:val="00952D83"/>
    <w:rsid w:val="00953365"/>
    <w:rsid w:val="00953EFE"/>
    <w:rsid w:val="00954115"/>
    <w:rsid w:val="00954785"/>
    <w:rsid w:val="009547E5"/>
    <w:rsid w:val="00954AFB"/>
    <w:rsid w:val="009557EF"/>
    <w:rsid w:val="00956A15"/>
    <w:rsid w:val="00960DA0"/>
    <w:rsid w:val="00960F04"/>
    <w:rsid w:val="00962566"/>
    <w:rsid w:val="009635EF"/>
    <w:rsid w:val="00963BD8"/>
    <w:rsid w:val="00963CC9"/>
    <w:rsid w:val="00963D94"/>
    <w:rsid w:val="00964008"/>
    <w:rsid w:val="00964389"/>
    <w:rsid w:val="00964E58"/>
    <w:rsid w:val="00965B14"/>
    <w:rsid w:val="00967592"/>
    <w:rsid w:val="00970366"/>
    <w:rsid w:val="009704A2"/>
    <w:rsid w:val="009705B4"/>
    <w:rsid w:val="009715A6"/>
    <w:rsid w:val="0097213C"/>
    <w:rsid w:val="00972E86"/>
    <w:rsid w:val="00973754"/>
    <w:rsid w:val="00973C7C"/>
    <w:rsid w:val="00973DFF"/>
    <w:rsid w:val="00975420"/>
    <w:rsid w:val="00975690"/>
    <w:rsid w:val="00975894"/>
    <w:rsid w:val="00976549"/>
    <w:rsid w:val="00977212"/>
    <w:rsid w:val="0098002D"/>
    <w:rsid w:val="0098003E"/>
    <w:rsid w:val="00980A55"/>
    <w:rsid w:val="009828CA"/>
    <w:rsid w:val="00982EAC"/>
    <w:rsid w:val="00983045"/>
    <w:rsid w:val="009835EB"/>
    <w:rsid w:val="009836CE"/>
    <w:rsid w:val="00984BD9"/>
    <w:rsid w:val="009853F8"/>
    <w:rsid w:val="00985F92"/>
    <w:rsid w:val="009861EC"/>
    <w:rsid w:val="009864E1"/>
    <w:rsid w:val="00986E89"/>
    <w:rsid w:val="009874B4"/>
    <w:rsid w:val="00987630"/>
    <w:rsid w:val="00987DD1"/>
    <w:rsid w:val="0099012D"/>
    <w:rsid w:val="00990666"/>
    <w:rsid w:val="00991200"/>
    <w:rsid w:val="009921CB"/>
    <w:rsid w:val="009943E6"/>
    <w:rsid w:val="009947A8"/>
    <w:rsid w:val="009956BD"/>
    <w:rsid w:val="009A0491"/>
    <w:rsid w:val="009A0DD2"/>
    <w:rsid w:val="009A1609"/>
    <w:rsid w:val="009A2045"/>
    <w:rsid w:val="009A293F"/>
    <w:rsid w:val="009A29DB"/>
    <w:rsid w:val="009A333F"/>
    <w:rsid w:val="009A36BB"/>
    <w:rsid w:val="009A3750"/>
    <w:rsid w:val="009A3B62"/>
    <w:rsid w:val="009A4273"/>
    <w:rsid w:val="009A46A8"/>
    <w:rsid w:val="009A5F9A"/>
    <w:rsid w:val="009A60E9"/>
    <w:rsid w:val="009A6716"/>
    <w:rsid w:val="009A6C45"/>
    <w:rsid w:val="009B0EF6"/>
    <w:rsid w:val="009B1EEC"/>
    <w:rsid w:val="009B22F3"/>
    <w:rsid w:val="009B280C"/>
    <w:rsid w:val="009B31BB"/>
    <w:rsid w:val="009B3448"/>
    <w:rsid w:val="009B3659"/>
    <w:rsid w:val="009B3B4A"/>
    <w:rsid w:val="009B59F3"/>
    <w:rsid w:val="009B5C1C"/>
    <w:rsid w:val="009B5F51"/>
    <w:rsid w:val="009B7016"/>
    <w:rsid w:val="009C1138"/>
    <w:rsid w:val="009C15A0"/>
    <w:rsid w:val="009C1697"/>
    <w:rsid w:val="009C187E"/>
    <w:rsid w:val="009C25FD"/>
    <w:rsid w:val="009C2D3E"/>
    <w:rsid w:val="009C36C3"/>
    <w:rsid w:val="009C3B91"/>
    <w:rsid w:val="009C47AA"/>
    <w:rsid w:val="009C5081"/>
    <w:rsid w:val="009C5E0D"/>
    <w:rsid w:val="009C6F28"/>
    <w:rsid w:val="009D009E"/>
    <w:rsid w:val="009D00FB"/>
    <w:rsid w:val="009D04CC"/>
    <w:rsid w:val="009D0C44"/>
    <w:rsid w:val="009D1323"/>
    <w:rsid w:val="009D1D2A"/>
    <w:rsid w:val="009D1DEA"/>
    <w:rsid w:val="009D21D1"/>
    <w:rsid w:val="009D2673"/>
    <w:rsid w:val="009D26B2"/>
    <w:rsid w:val="009D3C04"/>
    <w:rsid w:val="009D3EAA"/>
    <w:rsid w:val="009D6567"/>
    <w:rsid w:val="009D6B76"/>
    <w:rsid w:val="009D6D28"/>
    <w:rsid w:val="009E015C"/>
    <w:rsid w:val="009E01B6"/>
    <w:rsid w:val="009E022F"/>
    <w:rsid w:val="009E0D92"/>
    <w:rsid w:val="009E16E5"/>
    <w:rsid w:val="009E18E5"/>
    <w:rsid w:val="009E1FA9"/>
    <w:rsid w:val="009E2389"/>
    <w:rsid w:val="009E29F9"/>
    <w:rsid w:val="009E2FC3"/>
    <w:rsid w:val="009E410B"/>
    <w:rsid w:val="009E42B5"/>
    <w:rsid w:val="009E4356"/>
    <w:rsid w:val="009E44A8"/>
    <w:rsid w:val="009E4ABC"/>
    <w:rsid w:val="009E5376"/>
    <w:rsid w:val="009E5DBE"/>
    <w:rsid w:val="009E793E"/>
    <w:rsid w:val="009E79AE"/>
    <w:rsid w:val="009F02A0"/>
    <w:rsid w:val="009F0EA8"/>
    <w:rsid w:val="009F2590"/>
    <w:rsid w:val="009F4639"/>
    <w:rsid w:val="009F5FB3"/>
    <w:rsid w:val="009F5FDD"/>
    <w:rsid w:val="009F63DD"/>
    <w:rsid w:val="009F7318"/>
    <w:rsid w:val="009F78F1"/>
    <w:rsid w:val="009F79E6"/>
    <w:rsid w:val="00A001BC"/>
    <w:rsid w:val="00A001C7"/>
    <w:rsid w:val="00A002C9"/>
    <w:rsid w:val="00A01741"/>
    <w:rsid w:val="00A0205F"/>
    <w:rsid w:val="00A0211B"/>
    <w:rsid w:val="00A029B1"/>
    <w:rsid w:val="00A03095"/>
    <w:rsid w:val="00A03212"/>
    <w:rsid w:val="00A03C28"/>
    <w:rsid w:val="00A0480A"/>
    <w:rsid w:val="00A04CBD"/>
    <w:rsid w:val="00A05049"/>
    <w:rsid w:val="00A05086"/>
    <w:rsid w:val="00A05E1C"/>
    <w:rsid w:val="00A0671E"/>
    <w:rsid w:val="00A0712A"/>
    <w:rsid w:val="00A07DE5"/>
    <w:rsid w:val="00A07FE5"/>
    <w:rsid w:val="00A10B71"/>
    <w:rsid w:val="00A124D0"/>
    <w:rsid w:val="00A128D6"/>
    <w:rsid w:val="00A12BC8"/>
    <w:rsid w:val="00A13058"/>
    <w:rsid w:val="00A13119"/>
    <w:rsid w:val="00A13AA8"/>
    <w:rsid w:val="00A13DA9"/>
    <w:rsid w:val="00A13DAF"/>
    <w:rsid w:val="00A142BE"/>
    <w:rsid w:val="00A146DD"/>
    <w:rsid w:val="00A15233"/>
    <w:rsid w:val="00A15A6F"/>
    <w:rsid w:val="00A1694C"/>
    <w:rsid w:val="00A1696E"/>
    <w:rsid w:val="00A17806"/>
    <w:rsid w:val="00A22938"/>
    <w:rsid w:val="00A2431F"/>
    <w:rsid w:val="00A24673"/>
    <w:rsid w:val="00A24847"/>
    <w:rsid w:val="00A25395"/>
    <w:rsid w:val="00A25CBC"/>
    <w:rsid w:val="00A26FF7"/>
    <w:rsid w:val="00A27252"/>
    <w:rsid w:val="00A30089"/>
    <w:rsid w:val="00A3051D"/>
    <w:rsid w:val="00A31A3E"/>
    <w:rsid w:val="00A32C6A"/>
    <w:rsid w:val="00A32F86"/>
    <w:rsid w:val="00A33650"/>
    <w:rsid w:val="00A34229"/>
    <w:rsid w:val="00A348C6"/>
    <w:rsid w:val="00A35651"/>
    <w:rsid w:val="00A360CF"/>
    <w:rsid w:val="00A36F87"/>
    <w:rsid w:val="00A3736D"/>
    <w:rsid w:val="00A3749F"/>
    <w:rsid w:val="00A374F9"/>
    <w:rsid w:val="00A37DAD"/>
    <w:rsid w:val="00A412EC"/>
    <w:rsid w:val="00A41861"/>
    <w:rsid w:val="00A41B91"/>
    <w:rsid w:val="00A41FDC"/>
    <w:rsid w:val="00A4201F"/>
    <w:rsid w:val="00A42310"/>
    <w:rsid w:val="00A426CF"/>
    <w:rsid w:val="00A42BB8"/>
    <w:rsid w:val="00A42EB8"/>
    <w:rsid w:val="00A432A0"/>
    <w:rsid w:val="00A4334E"/>
    <w:rsid w:val="00A43EC9"/>
    <w:rsid w:val="00A4531B"/>
    <w:rsid w:val="00A45C3D"/>
    <w:rsid w:val="00A46192"/>
    <w:rsid w:val="00A46B0B"/>
    <w:rsid w:val="00A473B5"/>
    <w:rsid w:val="00A503BF"/>
    <w:rsid w:val="00A50A55"/>
    <w:rsid w:val="00A51003"/>
    <w:rsid w:val="00A527F7"/>
    <w:rsid w:val="00A52AFD"/>
    <w:rsid w:val="00A52E61"/>
    <w:rsid w:val="00A52F60"/>
    <w:rsid w:val="00A53FE6"/>
    <w:rsid w:val="00A54029"/>
    <w:rsid w:val="00A542D5"/>
    <w:rsid w:val="00A5447E"/>
    <w:rsid w:val="00A56263"/>
    <w:rsid w:val="00A562ED"/>
    <w:rsid w:val="00A5695A"/>
    <w:rsid w:val="00A56D66"/>
    <w:rsid w:val="00A5742D"/>
    <w:rsid w:val="00A61083"/>
    <w:rsid w:val="00A6116C"/>
    <w:rsid w:val="00A61416"/>
    <w:rsid w:val="00A61E9B"/>
    <w:rsid w:val="00A6280D"/>
    <w:rsid w:val="00A629EB"/>
    <w:rsid w:val="00A62A0A"/>
    <w:rsid w:val="00A62D27"/>
    <w:rsid w:val="00A64194"/>
    <w:rsid w:val="00A64534"/>
    <w:rsid w:val="00A646CC"/>
    <w:rsid w:val="00A64F2C"/>
    <w:rsid w:val="00A65155"/>
    <w:rsid w:val="00A6567D"/>
    <w:rsid w:val="00A662BD"/>
    <w:rsid w:val="00A66D12"/>
    <w:rsid w:val="00A67492"/>
    <w:rsid w:val="00A67E97"/>
    <w:rsid w:val="00A7049C"/>
    <w:rsid w:val="00A70A0A"/>
    <w:rsid w:val="00A70ECE"/>
    <w:rsid w:val="00A71905"/>
    <w:rsid w:val="00A71A62"/>
    <w:rsid w:val="00A71A91"/>
    <w:rsid w:val="00A720F6"/>
    <w:rsid w:val="00A727C3"/>
    <w:rsid w:val="00A72D93"/>
    <w:rsid w:val="00A73AF1"/>
    <w:rsid w:val="00A746B0"/>
    <w:rsid w:val="00A74920"/>
    <w:rsid w:val="00A74D49"/>
    <w:rsid w:val="00A75EF0"/>
    <w:rsid w:val="00A76779"/>
    <w:rsid w:val="00A80335"/>
    <w:rsid w:val="00A8070F"/>
    <w:rsid w:val="00A8133B"/>
    <w:rsid w:val="00A83118"/>
    <w:rsid w:val="00A8362C"/>
    <w:rsid w:val="00A83687"/>
    <w:rsid w:val="00A8397E"/>
    <w:rsid w:val="00A842E6"/>
    <w:rsid w:val="00A84879"/>
    <w:rsid w:val="00A84D04"/>
    <w:rsid w:val="00A8543F"/>
    <w:rsid w:val="00A859FE"/>
    <w:rsid w:val="00A85C20"/>
    <w:rsid w:val="00A8626B"/>
    <w:rsid w:val="00A87A9F"/>
    <w:rsid w:val="00A87C5A"/>
    <w:rsid w:val="00A9003E"/>
    <w:rsid w:val="00A90D4B"/>
    <w:rsid w:val="00A9133A"/>
    <w:rsid w:val="00A9250B"/>
    <w:rsid w:val="00A938AE"/>
    <w:rsid w:val="00A93FA6"/>
    <w:rsid w:val="00A94C1E"/>
    <w:rsid w:val="00A94D45"/>
    <w:rsid w:val="00A955B9"/>
    <w:rsid w:val="00A95CF3"/>
    <w:rsid w:val="00A95F9C"/>
    <w:rsid w:val="00A96D77"/>
    <w:rsid w:val="00A96E89"/>
    <w:rsid w:val="00AA1F58"/>
    <w:rsid w:val="00AA3054"/>
    <w:rsid w:val="00AA3743"/>
    <w:rsid w:val="00AA4D3C"/>
    <w:rsid w:val="00AA4D5D"/>
    <w:rsid w:val="00AA71B0"/>
    <w:rsid w:val="00AA7485"/>
    <w:rsid w:val="00AA785F"/>
    <w:rsid w:val="00AA7BD8"/>
    <w:rsid w:val="00AB025A"/>
    <w:rsid w:val="00AB28E0"/>
    <w:rsid w:val="00AB2E3F"/>
    <w:rsid w:val="00AB3F23"/>
    <w:rsid w:val="00AB3F3B"/>
    <w:rsid w:val="00AB46B7"/>
    <w:rsid w:val="00AB4844"/>
    <w:rsid w:val="00AB4C03"/>
    <w:rsid w:val="00AB4D42"/>
    <w:rsid w:val="00AB69FB"/>
    <w:rsid w:val="00AB6DAE"/>
    <w:rsid w:val="00AB6FE2"/>
    <w:rsid w:val="00AB723A"/>
    <w:rsid w:val="00AB7613"/>
    <w:rsid w:val="00AC0813"/>
    <w:rsid w:val="00AC0A27"/>
    <w:rsid w:val="00AC0AD6"/>
    <w:rsid w:val="00AC0B7A"/>
    <w:rsid w:val="00AC0EE4"/>
    <w:rsid w:val="00AC10CC"/>
    <w:rsid w:val="00AC16B3"/>
    <w:rsid w:val="00AC1779"/>
    <w:rsid w:val="00AC1FFD"/>
    <w:rsid w:val="00AC22E2"/>
    <w:rsid w:val="00AC25D1"/>
    <w:rsid w:val="00AC2F5C"/>
    <w:rsid w:val="00AC3F3B"/>
    <w:rsid w:val="00AC4CFB"/>
    <w:rsid w:val="00AC6484"/>
    <w:rsid w:val="00AC6FBC"/>
    <w:rsid w:val="00AC7205"/>
    <w:rsid w:val="00AC7405"/>
    <w:rsid w:val="00AC76E3"/>
    <w:rsid w:val="00AC781F"/>
    <w:rsid w:val="00AC787F"/>
    <w:rsid w:val="00AC7F50"/>
    <w:rsid w:val="00AD0224"/>
    <w:rsid w:val="00AD04BE"/>
    <w:rsid w:val="00AD1FA6"/>
    <w:rsid w:val="00AD3766"/>
    <w:rsid w:val="00AD4380"/>
    <w:rsid w:val="00AD44C4"/>
    <w:rsid w:val="00AD4C6E"/>
    <w:rsid w:val="00AD570B"/>
    <w:rsid w:val="00AD5BEA"/>
    <w:rsid w:val="00AD6876"/>
    <w:rsid w:val="00AD69EC"/>
    <w:rsid w:val="00AD6D58"/>
    <w:rsid w:val="00AD6E41"/>
    <w:rsid w:val="00AD741D"/>
    <w:rsid w:val="00AD782E"/>
    <w:rsid w:val="00AE041B"/>
    <w:rsid w:val="00AE1929"/>
    <w:rsid w:val="00AE1988"/>
    <w:rsid w:val="00AE1A88"/>
    <w:rsid w:val="00AE1D96"/>
    <w:rsid w:val="00AE3349"/>
    <w:rsid w:val="00AE36F9"/>
    <w:rsid w:val="00AE39AA"/>
    <w:rsid w:val="00AE46E9"/>
    <w:rsid w:val="00AE4973"/>
    <w:rsid w:val="00AE49FC"/>
    <w:rsid w:val="00AE5EDC"/>
    <w:rsid w:val="00AE6347"/>
    <w:rsid w:val="00AE7344"/>
    <w:rsid w:val="00AE79D6"/>
    <w:rsid w:val="00AF0489"/>
    <w:rsid w:val="00AF0526"/>
    <w:rsid w:val="00AF087A"/>
    <w:rsid w:val="00AF09F6"/>
    <w:rsid w:val="00AF0BC5"/>
    <w:rsid w:val="00AF114A"/>
    <w:rsid w:val="00AF192C"/>
    <w:rsid w:val="00AF1D6E"/>
    <w:rsid w:val="00AF1DBC"/>
    <w:rsid w:val="00AF2E9A"/>
    <w:rsid w:val="00AF2F00"/>
    <w:rsid w:val="00AF3568"/>
    <w:rsid w:val="00AF3DB0"/>
    <w:rsid w:val="00AF3F20"/>
    <w:rsid w:val="00AF55D9"/>
    <w:rsid w:val="00AF6564"/>
    <w:rsid w:val="00AF6DB3"/>
    <w:rsid w:val="00AF751D"/>
    <w:rsid w:val="00AF7835"/>
    <w:rsid w:val="00AF7AE5"/>
    <w:rsid w:val="00B0040A"/>
    <w:rsid w:val="00B01056"/>
    <w:rsid w:val="00B019A0"/>
    <w:rsid w:val="00B01DBD"/>
    <w:rsid w:val="00B03015"/>
    <w:rsid w:val="00B0306F"/>
    <w:rsid w:val="00B03511"/>
    <w:rsid w:val="00B03A3F"/>
    <w:rsid w:val="00B043A3"/>
    <w:rsid w:val="00B046B1"/>
    <w:rsid w:val="00B04B02"/>
    <w:rsid w:val="00B0602D"/>
    <w:rsid w:val="00B06909"/>
    <w:rsid w:val="00B06E4C"/>
    <w:rsid w:val="00B07123"/>
    <w:rsid w:val="00B10057"/>
    <w:rsid w:val="00B108A3"/>
    <w:rsid w:val="00B111F1"/>
    <w:rsid w:val="00B11BAD"/>
    <w:rsid w:val="00B124FA"/>
    <w:rsid w:val="00B1304C"/>
    <w:rsid w:val="00B13328"/>
    <w:rsid w:val="00B136E5"/>
    <w:rsid w:val="00B14700"/>
    <w:rsid w:val="00B14A82"/>
    <w:rsid w:val="00B15477"/>
    <w:rsid w:val="00B15F81"/>
    <w:rsid w:val="00B160FE"/>
    <w:rsid w:val="00B16326"/>
    <w:rsid w:val="00B16F86"/>
    <w:rsid w:val="00B1723B"/>
    <w:rsid w:val="00B201C7"/>
    <w:rsid w:val="00B203D7"/>
    <w:rsid w:val="00B2144B"/>
    <w:rsid w:val="00B22180"/>
    <w:rsid w:val="00B226AE"/>
    <w:rsid w:val="00B2365E"/>
    <w:rsid w:val="00B25B94"/>
    <w:rsid w:val="00B25F21"/>
    <w:rsid w:val="00B262A2"/>
    <w:rsid w:val="00B269C2"/>
    <w:rsid w:val="00B2725C"/>
    <w:rsid w:val="00B27CBF"/>
    <w:rsid w:val="00B27E98"/>
    <w:rsid w:val="00B30032"/>
    <w:rsid w:val="00B30D86"/>
    <w:rsid w:val="00B31298"/>
    <w:rsid w:val="00B315BC"/>
    <w:rsid w:val="00B31763"/>
    <w:rsid w:val="00B31EED"/>
    <w:rsid w:val="00B32354"/>
    <w:rsid w:val="00B3291A"/>
    <w:rsid w:val="00B32C32"/>
    <w:rsid w:val="00B33EB0"/>
    <w:rsid w:val="00B343CA"/>
    <w:rsid w:val="00B34AD2"/>
    <w:rsid w:val="00B34B6E"/>
    <w:rsid w:val="00B35754"/>
    <w:rsid w:val="00B367F5"/>
    <w:rsid w:val="00B36D46"/>
    <w:rsid w:val="00B379EB"/>
    <w:rsid w:val="00B37C6E"/>
    <w:rsid w:val="00B37C80"/>
    <w:rsid w:val="00B37DC5"/>
    <w:rsid w:val="00B40E7A"/>
    <w:rsid w:val="00B41037"/>
    <w:rsid w:val="00B4140C"/>
    <w:rsid w:val="00B427E2"/>
    <w:rsid w:val="00B42D88"/>
    <w:rsid w:val="00B42F84"/>
    <w:rsid w:val="00B4301A"/>
    <w:rsid w:val="00B438A3"/>
    <w:rsid w:val="00B444AD"/>
    <w:rsid w:val="00B44DA4"/>
    <w:rsid w:val="00B44F7B"/>
    <w:rsid w:val="00B46B40"/>
    <w:rsid w:val="00B4716C"/>
    <w:rsid w:val="00B47214"/>
    <w:rsid w:val="00B479DB"/>
    <w:rsid w:val="00B50596"/>
    <w:rsid w:val="00B50695"/>
    <w:rsid w:val="00B50732"/>
    <w:rsid w:val="00B51CF2"/>
    <w:rsid w:val="00B5221C"/>
    <w:rsid w:val="00B52774"/>
    <w:rsid w:val="00B52E16"/>
    <w:rsid w:val="00B535BD"/>
    <w:rsid w:val="00B53BA9"/>
    <w:rsid w:val="00B53BE0"/>
    <w:rsid w:val="00B555B8"/>
    <w:rsid w:val="00B564E1"/>
    <w:rsid w:val="00B56B88"/>
    <w:rsid w:val="00B56C69"/>
    <w:rsid w:val="00B5735F"/>
    <w:rsid w:val="00B5752F"/>
    <w:rsid w:val="00B5789B"/>
    <w:rsid w:val="00B60014"/>
    <w:rsid w:val="00B60117"/>
    <w:rsid w:val="00B6022F"/>
    <w:rsid w:val="00B60888"/>
    <w:rsid w:val="00B618F3"/>
    <w:rsid w:val="00B62AAD"/>
    <w:rsid w:val="00B63C6F"/>
    <w:rsid w:val="00B6401D"/>
    <w:rsid w:val="00B64229"/>
    <w:rsid w:val="00B64619"/>
    <w:rsid w:val="00B64FDA"/>
    <w:rsid w:val="00B653CE"/>
    <w:rsid w:val="00B66643"/>
    <w:rsid w:val="00B66E9E"/>
    <w:rsid w:val="00B67312"/>
    <w:rsid w:val="00B67813"/>
    <w:rsid w:val="00B67875"/>
    <w:rsid w:val="00B678FD"/>
    <w:rsid w:val="00B67A37"/>
    <w:rsid w:val="00B67EFC"/>
    <w:rsid w:val="00B67FB4"/>
    <w:rsid w:val="00B7283F"/>
    <w:rsid w:val="00B72C3A"/>
    <w:rsid w:val="00B72D64"/>
    <w:rsid w:val="00B72E9A"/>
    <w:rsid w:val="00B73338"/>
    <w:rsid w:val="00B73654"/>
    <w:rsid w:val="00B73DEF"/>
    <w:rsid w:val="00B74AF6"/>
    <w:rsid w:val="00B74B80"/>
    <w:rsid w:val="00B76076"/>
    <w:rsid w:val="00B762FC"/>
    <w:rsid w:val="00B76496"/>
    <w:rsid w:val="00B765DE"/>
    <w:rsid w:val="00B766F7"/>
    <w:rsid w:val="00B76C84"/>
    <w:rsid w:val="00B76E6A"/>
    <w:rsid w:val="00B77430"/>
    <w:rsid w:val="00B774A6"/>
    <w:rsid w:val="00B778D7"/>
    <w:rsid w:val="00B80125"/>
    <w:rsid w:val="00B8029C"/>
    <w:rsid w:val="00B802E9"/>
    <w:rsid w:val="00B80788"/>
    <w:rsid w:val="00B80B54"/>
    <w:rsid w:val="00B81BA6"/>
    <w:rsid w:val="00B83CE6"/>
    <w:rsid w:val="00B840F4"/>
    <w:rsid w:val="00B84180"/>
    <w:rsid w:val="00B857CA"/>
    <w:rsid w:val="00B862E8"/>
    <w:rsid w:val="00B87252"/>
    <w:rsid w:val="00B87DC6"/>
    <w:rsid w:val="00B87E7B"/>
    <w:rsid w:val="00B903FA"/>
    <w:rsid w:val="00B9127E"/>
    <w:rsid w:val="00B91C1D"/>
    <w:rsid w:val="00B922AD"/>
    <w:rsid w:val="00B924C7"/>
    <w:rsid w:val="00B924F0"/>
    <w:rsid w:val="00B93B1C"/>
    <w:rsid w:val="00B940DA"/>
    <w:rsid w:val="00B96020"/>
    <w:rsid w:val="00B9660A"/>
    <w:rsid w:val="00B96F46"/>
    <w:rsid w:val="00B9703C"/>
    <w:rsid w:val="00B9711C"/>
    <w:rsid w:val="00B972FF"/>
    <w:rsid w:val="00B9743F"/>
    <w:rsid w:val="00B97870"/>
    <w:rsid w:val="00BA045C"/>
    <w:rsid w:val="00BA05AA"/>
    <w:rsid w:val="00BA2EA3"/>
    <w:rsid w:val="00BA31B0"/>
    <w:rsid w:val="00BA339F"/>
    <w:rsid w:val="00BA355C"/>
    <w:rsid w:val="00BA396F"/>
    <w:rsid w:val="00BA44FD"/>
    <w:rsid w:val="00BA4542"/>
    <w:rsid w:val="00BA478A"/>
    <w:rsid w:val="00BA4A7A"/>
    <w:rsid w:val="00BA552E"/>
    <w:rsid w:val="00BA5866"/>
    <w:rsid w:val="00BA5C4B"/>
    <w:rsid w:val="00BA636C"/>
    <w:rsid w:val="00BA69D2"/>
    <w:rsid w:val="00BA6B4D"/>
    <w:rsid w:val="00BA7390"/>
    <w:rsid w:val="00BA787A"/>
    <w:rsid w:val="00BA7AF6"/>
    <w:rsid w:val="00BA7E16"/>
    <w:rsid w:val="00BB087B"/>
    <w:rsid w:val="00BB0A3E"/>
    <w:rsid w:val="00BB0D03"/>
    <w:rsid w:val="00BB181A"/>
    <w:rsid w:val="00BB267E"/>
    <w:rsid w:val="00BB290B"/>
    <w:rsid w:val="00BB2F8C"/>
    <w:rsid w:val="00BB394D"/>
    <w:rsid w:val="00BB47A8"/>
    <w:rsid w:val="00BB5EEF"/>
    <w:rsid w:val="00BB6ACC"/>
    <w:rsid w:val="00BB6C51"/>
    <w:rsid w:val="00BB7841"/>
    <w:rsid w:val="00BC00E1"/>
    <w:rsid w:val="00BC058C"/>
    <w:rsid w:val="00BC05D4"/>
    <w:rsid w:val="00BC09D1"/>
    <w:rsid w:val="00BC1095"/>
    <w:rsid w:val="00BC1365"/>
    <w:rsid w:val="00BC1512"/>
    <w:rsid w:val="00BC1CD1"/>
    <w:rsid w:val="00BC1EBA"/>
    <w:rsid w:val="00BC37B4"/>
    <w:rsid w:val="00BC3C4F"/>
    <w:rsid w:val="00BC412E"/>
    <w:rsid w:val="00BC52A3"/>
    <w:rsid w:val="00BC66DE"/>
    <w:rsid w:val="00BC6B81"/>
    <w:rsid w:val="00BC6CFB"/>
    <w:rsid w:val="00BD0012"/>
    <w:rsid w:val="00BD0A42"/>
    <w:rsid w:val="00BD1002"/>
    <w:rsid w:val="00BD148A"/>
    <w:rsid w:val="00BD1765"/>
    <w:rsid w:val="00BD351C"/>
    <w:rsid w:val="00BD3C62"/>
    <w:rsid w:val="00BD3FCC"/>
    <w:rsid w:val="00BD5161"/>
    <w:rsid w:val="00BD614F"/>
    <w:rsid w:val="00BD66A6"/>
    <w:rsid w:val="00BD771A"/>
    <w:rsid w:val="00BD78B9"/>
    <w:rsid w:val="00BD7CEE"/>
    <w:rsid w:val="00BD7D60"/>
    <w:rsid w:val="00BE0A3F"/>
    <w:rsid w:val="00BE0B5F"/>
    <w:rsid w:val="00BE1127"/>
    <w:rsid w:val="00BE1140"/>
    <w:rsid w:val="00BE140F"/>
    <w:rsid w:val="00BE1D76"/>
    <w:rsid w:val="00BE2BAC"/>
    <w:rsid w:val="00BE325F"/>
    <w:rsid w:val="00BE462D"/>
    <w:rsid w:val="00BE5B21"/>
    <w:rsid w:val="00BE5F13"/>
    <w:rsid w:val="00BE7890"/>
    <w:rsid w:val="00BF00C1"/>
    <w:rsid w:val="00BF0792"/>
    <w:rsid w:val="00BF178A"/>
    <w:rsid w:val="00BF222C"/>
    <w:rsid w:val="00BF22FD"/>
    <w:rsid w:val="00BF2C1F"/>
    <w:rsid w:val="00BF33CE"/>
    <w:rsid w:val="00BF50FE"/>
    <w:rsid w:val="00BF5B59"/>
    <w:rsid w:val="00BF617E"/>
    <w:rsid w:val="00BF71F3"/>
    <w:rsid w:val="00BF7420"/>
    <w:rsid w:val="00C003CB"/>
    <w:rsid w:val="00C00493"/>
    <w:rsid w:val="00C005AE"/>
    <w:rsid w:val="00C0070E"/>
    <w:rsid w:val="00C0071F"/>
    <w:rsid w:val="00C0082D"/>
    <w:rsid w:val="00C02364"/>
    <w:rsid w:val="00C02A85"/>
    <w:rsid w:val="00C03A49"/>
    <w:rsid w:val="00C03C40"/>
    <w:rsid w:val="00C04413"/>
    <w:rsid w:val="00C04545"/>
    <w:rsid w:val="00C04A74"/>
    <w:rsid w:val="00C050BB"/>
    <w:rsid w:val="00C053C6"/>
    <w:rsid w:val="00C05DA9"/>
    <w:rsid w:val="00C06BF0"/>
    <w:rsid w:val="00C071F4"/>
    <w:rsid w:val="00C07957"/>
    <w:rsid w:val="00C07CA8"/>
    <w:rsid w:val="00C104E1"/>
    <w:rsid w:val="00C108B5"/>
    <w:rsid w:val="00C10BED"/>
    <w:rsid w:val="00C10D98"/>
    <w:rsid w:val="00C11229"/>
    <w:rsid w:val="00C11258"/>
    <w:rsid w:val="00C115FC"/>
    <w:rsid w:val="00C12E16"/>
    <w:rsid w:val="00C14165"/>
    <w:rsid w:val="00C1445F"/>
    <w:rsid w:val="00C144C6"/>
    <w:rsid w:val="00C1518C"/>
    <w:rsid w:val="00C152E9"/>
    <w:rsid w:val="00C15A35"/>
    <w:rsid w:val="00C16108"/>
    <w:rsid w:val="00C1647A"/>
    <w:rsid w:val="00C16E75"/>
    <w:rsid w:val="00C16EC7"/>
    <w:rsid w:val="00C16EEF"/>
    <w:rsid w:val="00C17132"/>
    <w:rsid w:val="00C1798B"/>
    <w:rsid w:val="00C2076B"/>
    <w:rsid w:val="00C20890"/>
    <w:rsid w:val="00C20D58"/>
    <w:rsid w:val="00C21223"/>
    <w:rsid w:val="00C2149F"/>
    <w:rsid w:val="00C21AAD"/>
    <w:rsid w:val="00C2262E"/>
    <w:rsid w:val="00C238A8"/>
    <w:rsid w:val="00C2393A"/>
    <w:rsid w:val="00C23E24"/>
    <w:rsid w:val="00C243D5"/>
    <w:rsid w:val="00C2496D"/>
    <w:rsid w:val="00C25413"/>
    <w:rsid w:val="00C25D35"/>
    <w:rsid w:val="00C262AE"/>
    <w:rsid w:val="00C26A2C"/>
    <w:rsid w:val="00C27FFE"/>
    <w:rsid w:val="00C3014C"/>
    <w:rsid w:val="00C31420"/>
    <w:rsid w:val="00C32240"/>
    <w:rsid w:val="00C323D9"/>
    <w:rsid w:val="00C325FC"/>
    <w:rsid w:val="00C33132"/>
    <w:rsid w:val="00C33A84"/>
    <w:rsid w:val="00C33B5C"/>
    <w:rsid w:val="00C34745"/>
    <w:rsid w:val="00C3476C"/>
    <w:rsid w:val="00C347B5"/>
    <w:rsid w:val="00C34D3F"/>
    <w:rsid w:val="00C350B6"/>
    <w:rsid w:val="00C35863"/>
    <w:rsid w:val="00C36613"/>
    <w:rsid w:val="00C366F7"/>
    <w:rsid w:val="00C36E29"/>
    <w:rsid w:val="00C36EE4"/>
    <w:rsid w:val="00C4010E"/>
    <w:rsid w:val="00C40BEE"/>
    <w:rsid w:val="00C41179"/>
    <w:rsid w:val="00C41265"/>
    <w:rsid w:val="00C42C1D"/>
    <w:rsid w:val="00C43DF3"/>
    <w:rsid w:val="00C44358"/>
    <w:rsid w:val="00C4445F"/>
    <w:rsid w:val="00C44A93"/>
    <w:rsid w:val="00C44B1E"/>
    <w:rsid w:val="00C4523E"/>
    <w:rsid w:val="00C4588B"/>
    <w:rsid w:val="00C467AA"/>
    <w:rsid w:val="00C47473"/>
    <w:rsid w:val="00C47E93"/>
    <w:rsid w:val="00C47F73"/>
    <w:rsid w:val="00C50223"/>
    <w:rsid w:val="00C50463"/>
    <w:rsid w:val="00C50571"/>
    <w:rsid w:val="00C506BB"/>
    <w:rsid w:val="00C513BB"/>
    <w:rsid w:val="00C51991"/>
    <w:rsid w:val="00C51B19"/>
    <w:rsid w:val="00C51D12"/>
    <w:rsid w:val="00C51F30"/>
    <w:rsid w:val="00C5208C"/>
    <w:rsid w:val="00C526BD"/>
    <w:rsid w:val="00C527E6"/>
    <w:rsid w:val="00C5294F"/>
    <w:rsid w:val="00C52D1E"/>
    <w:rsid w:val="00C54E29"/>
    <w:rsid w:val="00C552A1"/>
    <w:rsid w:val="00C55C83"/>
    <w:rsid w:val="00C55E8B"/>
    <w:rsid w:val="00C5698B"/>
    <w:rsid w:val="00C57069"/>
    <w:rsid w:val="00C574FD"/>
    <w:rsid w:val="00C5799E"/>
    <w:rsid w:val="00C57D75"/>
    <w:rsid w:val="00C6023D"/>
    <w:rsid w:val="00C60DBF"/>
    <w:rsid w:val="00C61406"/>
    <w:rsid w:val="00C62257"/>
    <w:rsid w:val="00C623C3"/>
    <w:rsid w:val="00C63C3D"/>
    <w:rsid w:val="00C63FDF"/>
    <w:rsid w:val="00C647C8"/>
    <w:rsid w:val="00C648E0"/>
    <w:rsid w:val="00C6490F"/>
    <w:rsid w:val="00C65595"/>
    <w:rsid w:val="00C6561F"/>
    <w:rsid w:val="00C66E1C"/>
    <w:rsid w:val="00C67922"/>
    <w:rsid w:val="00C7000A"/>
    <w:rsid w:val="00C7025D"/>
    <w:rsid w:val="00C706F9"/>
    <w:rsid w:val="00C71991"/>
    <w:rsid w:val="00C71D6B"/>
    <w:rsid w:val="00C71D88"/>
    <w:rsid w:val="00C71F48"/>
    <w:rsid w:val="00C72572"/>
    <w:rsid w:val="00C726CD"/>
    <w:rsid w:val="00C73580"/>
    <w:rsid w:val="00C738F8"/>
    <w:rsid w:val="00C73A74"/>
    <w:rsid w:val="00C73E99"/>
    <w:rsid w:val="00C74528"/>
    <w:rsid w:val="00C74771"/>
    <w:rsid w:val="00C74A05"/>
    <w:rsid w:val="00C74B44"/>
    <w:rsid w:val="00C750BD"/>
    <w:rsid w:val="00C75146"/>
    <w:rsid w:val="00C75212"/>
    <w:rsid w:val="00C75F38"/>
    <w:rsid w:val="00C761F0"/>
    <w:rsid w:val="00C762C9"/>
    <w:rsid w:val="00C764D2"/>
    <w:rsid w:val="00C765B8"/>
    <w:rsid w:val="00C77C93"/>
    <w:rsid w:val="00C8039D"/>
    <w:rsid w:val="00C814F4"/>
    <w:rsid w:val="00C81C3E"/>
    <w:rsid w:val="00C82172"/>
    <w:rsid w:val="00C82C2E"/>
    <w:rsid w:val="00C833B1"/>
    <w:rsid w:val="00C84480"/>
    <w:rsid w:val="00C86130"/>
    <w:rsid w:val="00C8621D"/>
    <w:rsid w:val="00C8668A"/>
    <w:rsid w:val="00C869D1"/>
    <w:rsid w:val="00C871D6"/>
    <w:rsid w:val="00C87299"/>
    <w:rsid w:val="00C90E98"/>
    <w:rsid w:val="00C917DB"/>
    <w:rsid w:val="00C917DF"/>
    <w:rsid w:val="00C91802"/>
    <w:rsid w:val="00C91BB1"/>
    <w:rsid w:val="00C92770"/>
    <w:rsid w:val="00C92950"/>
    <w:rsid w:val="00C9326C"/>
    <w:rsid w:val="00C94187"/>
    <w:rsid w:val="00C950C6"/>
    <w:rsid w:val="00C9578E"/>
    <w:rsid w:val="00C9611C"/>
    <w:rsid w:val="00C967C6"/>
    <w:rsid w:val="00C96AA3"/>
    <w:rsid w:val="00C97280"/>
    <w:rsid w:val="00C97304"/>
    <w:rsid w:val="00CA001F"/>
    <w:rsid w:val="00CA0BEF"/>
    <w:rsid w:val="00CA0D82"/>
    <w:rsid w:val="00CA0FC7"/>
    <w:rsid w:val="00CA1216"/>
    <w:rsid w:val="00CA168D"/>
    <w:rsid w:val="00CA1D66"/>
    <w:rsid w:val="00CA1E27"/>
    <w:rsid w:val="00CA209A"/>
    <w:rsid w:val="00CA2299"/>
    <w:rsid w:val="00CA24C1"/>
    <w:rsid w:val="00CA2878"/>
    <w:rsid w:val="00CA297D"/>
    <w:rsid w:val="00CA2ABF"/>
    <w:rsid w:val="00CA2FEC"/>
    <w:rsid w:val="00CA3399"/>
    <w:rsid w:val="00CA4CFA"/>
    <w:rsid w:val="00CA5CF0"/>
    <w:rsid w:val="00CA761C"/>
    <w:rsid w:val="00CA7F2F"/>
    <w:rsid w:val="00CB1500"/>
    <w:rsid w:val="00CB1B78"/>
    <w:rsid w:val="00CB267B"/>
    <w:rsid w:val="00CB2785"/>
    <w:rsid w:val="00CB2C18"/>
    <w:rsid w:val="00CB32CD"/>
    <w:rsid w:val="00CB332A"/>
    <w:rsid w:val="00CB43BA"/>
    <w:rsid w:val="00CB4418"/>
    <w:rsid w:val="00CB448F"/>
    <w:rsid w:val="00CB4C7B"/>
    <w:rsid w:val="00CB52EB"/>
    <w:rsid w:val="00CB5D0A"/>
    <w:rsid w:val="00CB64C9"/>
    <w:rsid w:val="00CB6ED3"/>
    <w:rsid w:val="00CB7047"/>
    <w:rsid w:val="00CC0911"/>
    <w:rsid w:val="00CC0A05"/>
    <w:rsid w:val="00CC0B76"/>
    <w:rsid w:val="00CC20C0"/>
    <w:rsid w:val="00CC23D9"/>
    <w:rsid w:val="00CC2775"/>
    <w:rsid w:val="00CC2CAB"/>
    <w:rsid w:val="00CC38E3"/>
    <w:rsid w:val="00CC435A"/>
    <w:rsid w:val="00CC4423"/>
    <w:rsid w:val="00CC4749"/>
    <w:rsid w:val="00CC4C40"/>
    <w:rsid w:val="00CC4DC8"/>
    <w:rsid w:val="00CC50A7"/>
    <w:rsid w:val="00CC6091"/>
    <w:rsid w:val="00CC66A1"/>
    <w:rsid w:val="00CC66D9"/>
    <w:rsid w:val="00CC6865"/>
    <w:rsid w:val="00CC6BE1"/>
    <w:rsid w:val="00CC6FF6"/>
    <w:rsid w:val="00CC7730"/>
    <w:rsid w:val="00CC793F"/>
    <w:rsid w:val="00CD00E3"/>
    <w:rsid w:val="00CD0139"/>
    <w:rsid w:val="00CD21E1"/>
    <w:rsid w:val="00CD2A6A"/>
    <w:rsid w:val="00CD3290"/>
    <w:rsid w:val="00CD3477"/>
    <w:rsid w:val="00CD4AFA"/>
    <w:rsid w:val="00CD58B6"/>
    <w:rsid w:val="00CD595F"/>
    <w:rsid w:val="00CD5B11"/>
    <w:rsid w:val="00CD6A8D"/>
    <w:rsid w:val="00CD77B5"/>
    <w:rsid w:val="00CE026D"/>
    <w:rsid w:val="00CE040D"/>
    <w:rsid w:val="00CE08AB"/>
    <w:rsid w:val="00CE0DC1"/>
    <w:rsid w:val="00CE2C82"/>
    <w:rsid w:val="00CE3375"/>
    <w:rsid w:val="00CE412B"/>
    <w:rsid w:val="00CE51A0"/>
    <w:rsid w:val="00CE5478"/>
    <w:rsid w:val="00CE5985"/>
    <w:rsid w:val="00CE5BEA"/>
    <w:rsid w:val="00CE75A3"/>
    <w:rsid w:val="00CE7C27"/>
    <w:rsid w:val="00CF07FD"/>
    <w:rsid w:val="00CF0D8C"/>
    <w:rsid w:val="00CF0FB2"/>
    <w:rsid w:val="00CF30D8"/>
    <w:rsid w:val="00CF357C"/>
    <w:rsid w:val="00CF43CA"/>
    <w:rsid w:val="00CF4D53"/>
    <w:rsid w:val="00CF5249"/>
    <w:rsid w:val="00CF52CC"/>
    <w:rsid w:val="00CF552C"/>
    <w:rsid w:val="00CF6058"/>
    <w:rsid w:val="00CF6976"/>
    <w:rsid w:val="00CF711B"/>
    <w:rsid w:val="00CF7452"/>
    <w:rsid w:val="00CF75EE"/>
    <w:rsid w:val="00D0011E"/>
    <w:rsid w:val="00D006FC"/>
    <w:rsid w:val="00D009B1"/>
    <w:rsid w:val="00D00D93"/>
    <w:rsid w:val="00D01032"/>
    <w:rsid w:val="00D010F6"/>
    <w:rsid w:val="00D016B6"/>
    <w:rsid w:val="00D01FAB"/>
    <w:rsid w:val="00D026CA"/>
    <w:rsid w:val="00D02B45"/>
    <w:rsid w:val="00D03244"/>
    <w:rsid w:val="00D04ADC"/>
    <w:rsid w:val="00D04E01"/>
    <w:rsid w:val="00D05F72"/>
    <w:rsid w:val="00D065A1"/>
    <w:rsid w:val="00D078C6"/>
    <w:rsid w:val="00D10DDA"/>
    <w:rsid w:val="00D12406"/>
    <w:rsid w:val="00D126AD"/>
    <w:rsid w:val="00D12B36"/>
    <w:rsid w:val="00D12F2B"/>
    <w:rsid w:val="00D13A9B"/>
    <w:rsid w:val="00D14152"/>
    <w:rsid w:val="00D14C30"/>
    <w:rsid w:val="00D14FCA"/>
    <w:rsid w:val="00D15595"/>
    <w:rsid w:val="00D1580C"/>
    <w:rsid w:val="00D15C95"/>
    <w:rsid w:val="00D15F7F"/>
    <w:rsid w:val="00D15FB2"/>
    <w:rsid w:val="00D1663A"/>
    <w:rsid w:val="00D169E3"/>
    <w:rsid w:val="00D16DBB"/>
    <w:rsid w:val="00D170CD"/>
    <w:rsid w:val="00D17196"/>
    <w:rsid w:val="00D20346"/>
    <w:rsid w:val="00D20984"/>
    <w:rsid w:val="00D20CEC"/>
    <w:rsid w:val="00D20F1F"/>
    <w:rsid w:val="00D2114E"/>
    <w:rsid w:val="00D2197C"/>
    <w:rsid w:val="00D22A9B"/>
    <w:rsid w:val="00D23450"/>
    <w:rsid w:val="00D23860"/>
    <w:rsid w:val="00D2430C"/>
    <w:rsid w:val="00D25345"/>
    <w:rsid w:val="00D255A0"/>
    <w:rsid w:val="00D26398"/>
    <w:rsid w:val="00D26E7B"/>
    <w:rsid w:val="00D27461"/>
    <w:rsid w:val="00D27527"/>
    <w:rsid w:val="00D27626"/>
    <w:rsid w:val="00D3015C"/>
    <w:rsid w:val="00D30438"/>
    <w:rsid w:val="00D308B2"/>
    <w:rsid w:val="00D31AB8"/>
    <w:rsid w:val="00D31FAE"/>
    <w:rsid w:val="00D32097"/>
    <w:rsid w:val="00D32591"/>
    <w:rsid w:val="00D33820"/>
    <w:rsid w:val="00D33CF5"/>
    <w:rsid w:val="00D34148"/>
    <w:rsid w:val="00D341E7"/>
    <w:rsid w:val="00D34282"/>
    <w:rsid w:val="00D34BFA"/>
    <w:rsid w:val="00D357BF"/>
    <w:rsid w:val="00D35A05"/>
    <w:rsid w:val="00D35D6F"/>
    <w:rsid w:val="00D36142"/>
    <w:rsid w:val="00D367B5"/>
    <w:rsid w:val="00D36895"/>
    <w:rsid w:val="00D36B41"/>
    <w:rsid w:val="00D378B0"/>
    <w:rsid w:val="00D37AA8"/>
    <w:rsid w:val="00D37DF4"/>
    <w:rsid w:val="00D37E46"/>
    <w:rsid w:val="00D37F21"/>
    <w:rsid w:val="00D37F29"/>
    <w:rsid w:val="00D40052"/>
    <w:rsid w:val="00D41450"/>
    <w:rsid w:val="00D41774"/>
    <w:rsid w:val="00D41E5D"/>
    <w:rsid w:val="00D42DDA"/>
    <w:rsid w:val="00D430BF"/>
    <w:rsid w:val="00D4370B"/>
    <w:rsid w:val="00D43764"/>
    <w:rsid w:val="00D437D7"/>
    <w:rsid w:val="00D438E3"/>
    <w:rsid w:val="00D43D2D"/>
    <w:rsid w:val="00D4417B"/>
    <w:rsid w:val="00D4454B"/>
    <w:rsid w:val="00D44A84"/>
    <w:rsid w:val="00D44D6A"/>
    <w:rsid w:val="00D44D85"/>
    <w:rsid w:val="00D45BAF"/>
    <w:rsid w:val="00D45EC5"/>
    <w:rsid w:val="00D45F2A"/>
    <w:rsid w:val="00D46772"/>
    <w:rsid w:val="00D46C78"/>
    <w:rsid w:val="00D50044"/>
    <w:rsid w:val="00D50174"/>
    <w:rsid w:val="00D50399"/>
    <w:rsid w:val="00D5077E"/>
    <w:rsid w:val="00D50FFA"/>
    <w:rsid w:val="00D51020"/>
    <w:rsid w:val="00D5121F"/>
    <w:rsid w:val="00D519D2"/>
    <w:rsid w:val="00D52A29"/>
    <w:rsid w:val="00D53444"/>
    <w:rsid w:val="00D538EB"/>
    <w:rsid w:val="00D53B4E"/>
    <w:rsid w:val="00D53B84"/>
    <w:rsid w:val="00D54169"/>
    <w:rsid w:val="00D54F97"/>
    <w:rsid w:val="00D56E82"/>
    <w:rsid w:val="00D56EFB"/>
    <w:rsid w:val="00D61B9B"/>
    <w:rsid w:val="00D620AE"/>
    <w:rsid w:val="00D62244"/>
    <w:rsid w:val="00D62DB6"/>
    <w:rsid w:val="00D63152"/>
    <w:rsid w:val="00D6357D"/>
    <w:rsid w:val="00D63A61"/>
    <w:rsid w:val="00D63B72"/>
    <w:rsid w:val="00D653A1"/>
    <w:rsid w:val="00D66B6D"/>
    <w:rsid w:val="00D66CEB"/>
    <w:rsid w:val="00D67754"/>
    <w:rsid w:val="00D67873"/>
    <w:rsid w:val="00D7068F"/>
    <w:rsid w:val="00D70AF6"/>
    <w:rsid w:val="00D71A31"/>
    <w:rsid w:val="00D71BBF"/>
    <w:rsid w:val="00D71DA2"/>
    <w:rsid w:val="00D7209E"/>
    <w:rsid w:val="00D72218"/>
    <w:rsid w:val="00D725ED"/>
    <w:rsid w:val="00D735DA"/>
    <w:rsid w:val="00D74168"/>
    <w:rsid w:val="00D744B1"/>
    <w:rsid w:val="00D7472D"/>
    <w:rsid w:val="00D752CC"/>
    <w:rsid w:val="00D755C0"/>
    <w:rsid w:val="00D7566D"/>
    <w:rsid w:val="00D757AC"/>
    <w:rsid w:val="00D767CA"/>
    <w:rsid w:val="00D76C83"/>
    <w:rsid w:val="00D77393"/>
    <w:rsid w:val="00D77D5B"/>
    <w:rsid w:val="00D80A3A"/>
    <w:rsid w:val="00D80B0D"/>
    <w:rsid w:val="00D80E0B"/>
    <w:rsid w:val="00D80FFF"/>
    <w:rsid w:val="00D810A0"/>
    <w:rsid w:val="00D8110F"/>
    <w:rsid w:val="00D81B8F"/>
    <w:rsid w:val="00D81C74"/>
    <w:rsid w:val="00D8204C"/>
    <w:rsid w:val="00D83184"/>
    <w:rsid w:val="00D83D36"/>
    <w:rsid w:val="00D84868"/>
    <w:rsid w:val="00D84AAE"/>
    <w:rsid w:val="00D84F49"/>
    <w:rsid w:val="00D85110"/>
    <w:rsid w:val="00D8534F"/>
    <w:rsid w:val="00D8544F"/>
    <w:rsid w:val="00D8583F"/>
    <w:rsid w:val="00D85B65"/>
    <w:rsid w:val="00D85B72"/>
    <w:rsid w:val="00D85F56"/>
    <w:rsid w:val="00D86598"/>
    <w:rsid w:val="00D86837"/>
    <w:rsid w:val="00D869EB"/>
    <w:rsid w:val="00D86C4D"/>
    <w:rsid w:val="00D90034"/>
    <w:rsid w:val="00D905C5"/>
    <w:rsid w:val="00D90E67"/>
    <w:rsid w:val="00D91AA3"/>
    <w:rsid w:val="00D924A8"/>
    <w:rsid w:val="00D9288D"/>
    <w:rsid w:val="00D930F2"/>
    <w:rsid w:val="00D93634"/>
    <w:rsid w:val="00D93D14"/>
    <w:rsid w:val="00D94CBF"/>
    <w:rsid w:val="00D9511A"/>
    <w:rsid w:val="00D96258"/>
    <w:rsid w:val="00D9649E"/>
    <w:rsid w:val="00D96A44"/>
    <w:rsid w:val="00D96A8C"/>
    <w:rsid w:val="00D972E5"/>
    <w:rsid w:val="00D977F1"/>
    <w:rsid w:val="00DA046E"/>
    <w:rsid w:val="00DA04D0"/>
    <w:rsid w:val="00DA07A7"/>
    <w:rsid w:val="00DA0D6D"/>
    <w:rsid w:val="00DA0F4B"/>
    <w:rsid w:val="00DA0F7D"/>
    <w:rsid w:val="00DA1B93"/>
    <w:rsid w:val="00DA3289"/>
    <w:rsid w:val="00DA379E"/>
    <w:rsid w:val="00DA5310"/>
    <w:rsid w:val="00DA6055"/>
    <w:rsid w:val="00DA6E85"/>
    <w:rsid w:val="00DA70EF"/>
    <w:rsid w:val="00DA7831"/>
    <w:rsid w:val="00DA78A7"/>
    <w:rsid w:val="00DA7F75"/>
    <w:rsid w:val="00DB0CA4"/>
    <w:rsid w:val="00DB1798"/>
    <w:rsid w:val="00DB2638"/>
    <w:rsid w:val="00DB2E40"/>
    <w:rsid w:val="00DB330B"/>
    <w:rsid w:val="00DB46FA"/>
    <w:rsid w:val="00DB55C6"/>
    <w:rsid w:val="00DB664F"/>
    <w:rsid w:val="00DB68D2"/>
    <w:rsid w:val="00DB6D06"/>
    <w:rsid w:val="00DB6D6B"/>
    <w:rsid w:val="00DC0E7E"/>
    <w:rsid w:val="00DC0E9F"/>
    <w:rsid w:val="00DC0F86"/>
    <w:rsid w:val="00DC10F5"/>
    <w:rsid w:val="00DC1FCB"/>
    <w:rsid w:val="00DC2534"/>
    <w:rsid w:val="00DC25D8"/>
    <w:rsid w:val="00DC2A4F"/>
    <w:rsid w:val="00DC2B59"/>
    <w:rsid w:val="00DC2B9C"/>
    <w:rsid w:val="00DC2F79"/>
    <w:rsid w:val="00DC341E"/>
    <w:rsid w:val="00DC3C86"/>
    <w:rsid w:val="00DC5EFA"/>
    <w:rsid w:val="00DC637E"/>
    <w:rsid w:val="00DC688D"/>
    <w:rsid w:val="00DC73E3"/>
    <w:rsid w:val="00DD067B"/>
    <w:rsid w:val="00DD197C"/>
    <w:rsid w:val="00DD1E13"/>
    <w:rsid w:val="00DD2175"/>
    <w:rsid w:val="00DD23CD"/>
    <w:rsid w:val="00DD2763"/>
    <w:rsid w:val="00DD2770"/>
    <w:rsid w:val="00DD29BC"/>
    <w:rsid w:val="00DD394D"/>
    <w:rsid w:val="00DD3B62"/>
    <w:rsid w:val="00DD43BB"/>
    <w:rsid w:val="00DD4809"/>
    <w:rsid w:val="00DD4AAB"/>
    <w:rsid w:val="00DD50F8"/>
    <w:rsid w:val="00DD5A29"/>
    <w:rsid w:val="00DD5B16"/>
    <w:rsid w:val="00DD6A67"/>
    <w:rsid w:val="00DD6DD4"/>
    <w:rsid w:val="00DE09BF"/>
    <w:rsid w:val="00DE1077"/>
    <w:rsid w:val="00DE1337"/>
    <w:rsid w:val="00DE1699"/>
    <w:rsid w:val="00DE1B21"/>
    <w:rsid w:val="00DE240B"/>
    <w:rsid w:val="00DE2580"/>
    <w:rsid w:val="00DE2853"/>
    <w:rsid w:val="00DE36BE"/>
    <w:rsid w:val="00DE3B59"/>
    <w:rsid w:val="00DE40EE"/>
    <w:rsid w:val="00DE4703"/>
    <w:rsid w:val="00DE4F7D"/>
    <w:rsid w:val="00DE5B43"/>
    <w:rsid w:val="00DE6479"/>
    <w:rsid w:val="00DE6B86"/>
    <w:rsid w:val="00DE70D8"/>
    <w:rsid w:val="00DE7755"/>
    <w:rsid w:val="00DF1E20"/>
    <w:rsid w:val="00DF268C"/>
    <w:rsid w:val="00DF27A9"/>
    <w:rsid w:val="00DF32AC"/>
    <w:rsid w:val="00DF3A65"/>
    <w:rsid w:val="00DF3E8E"/>
    <w:rsid w:val="00DF53F2"/>
    <w:rsid w:val="00DF5737"/>
    <w:rsid w:val="00DF5A44"/>
    <w:rsid w:val="00DF5F31"/>
    <w:rsid w:val="00DF64BA"/>
    <w:rsid w:val="00DF7187"/>
    <w:rsid w:val="00DF778F"/>
    <w:rsid w:val="00DF7BBA"/>
    <w:rsid w:val="00DF7FCD"/>
    <w:rsid w:val="00E00482"/>
    <w:rsid w:val="00E00C72"/>
    <w:rsid w:val="00E00E59"/>
    <w:rsid w:val="00E01999"/>
    <w:rsid w:val="00E021EE"/>
    <w:rsid w:val="00E03969"/>
    <w:rsid w:val="00E03A21"/>
    <w:rsid w:val="00E04A34"/>
    <w:rsid w:val="00E0512E"/>
    <w:rsid w:val="00E052D6"/>
    <w:rsid w:val="00E05C8F"/>
    <w:rsid w:val="00E05CD7"/>
    <w:rsid w:val="00E06264"/>
    <w:rsid w:val="00E064AE"/>
    <w:rsid w:val="00E07526"/>
    <w:rsid w:val="00E075DC"/>
    <w:rsid w:val="00E0766A"/>
    <w:rsid w:val="00E079F3"/>
    <w:rsid w:val="00E104F1"/>
    <w:rsid w:val="00E11CB4"/>
    <w:rsid w:val="00E11E8B"/>
    <w:rsid w:val="00E122F2"/>
    <w:rsid w:val="00E123C9"/>
    <w:rsid w:val="00E12B1D"/>
    <w:rsid w:val="00E131E8"/>
    <w:rsid w:val="00E13A7D"/>
    <w:rsid w:val="00E13BFA"/>
    <w:rsid w:val="00E13D20"/>
    <w:rsid w:val="00E13DC9"/>
    <w:rsid w:val="00E13F30"/>
    <w:rsid w:val="00E14438"/>
    <w:rsid w:val="00E14ED6"/>
    <w:rsid w:val="00E15339"/>
    <w:rsid w:val="00E17023"/>
    <w:rsid w:val="00E171EF"/>
    <w:rsid w:val="00E17DDA"/>
    <w:rsid w:val="00E206FC"/>
    <w:rsid w:val="00E20770"/>
    <w:rsid w:val="00E207A5"/>
    <w:rsid w:val="00E2097B"/>
    <w:rsid w:val="00E21DFB"/>
    <w:rsid w:val="00E2455E"/>
    <w:rsid w:val="00E2472C"/>
    <w:rsid w:val="00E24C5B"/>
    <w:rsid w:val="00E24EC0"/>
    <w:rsid w:val="00E24F34"/>
    <w:rsid w:val="00E25407"/>
    <w:rsid w:val="00E2556B"/>
    <w:rsid w:val="00E255C0"/>
    <w:rsid w:val="00E255C4"/>
    <w:rsid w:val="00E259AA"/>
    <w:rsid w:val="00E263C3"/>
    <w:rsid w:val="00E26E73"/>
    <w:rsid w:val="00E27448"/>
    <w:rsid w:val="00E2785A"/>
    <w:rsid w:val="00E278C0"/>
    <w:rsid w:val="00E27D64"/>
    <w:rsid w:val="00E27F47"/>
    <w:rsid w:val="00E30001"/>
    <w:rsid w:val="00E30508"/>
    <w:rsid w:val="00E30A3A"/>
    <w:rsid w:val="00E321AD"/>
    <w:rsid w:val="00E32924"/>
    <w:rsid w:val="00E32D2C"/>
    <w:rsid w:val="00E32D81"/>
    <w:rsid w:val="00E3314E"/>
    <w:rsid w:val="00E336C3"/>
    <w:rsid w:val="00E338D1"/>
    <w:rsid w:val="00E33D36"/>
    <w:rsid w:val="00E34308"/>
    <w:rsid w:val="00E34B36"/>
    <w:rsid w:val="00E35ECE"/>
    <w:rsid w:val="00E36956"/>
    <w:rsid w:val="00E36DD4"/>
    <w:rsid w:val="00E36FF8"/>
    <w:rsid w:val="00E3700B"/>
    <w:rsid w:val="00E375E5"/>
    <w:rsid w:val="00E37643"/>
    <w:rsid w:val="00E37939"/>
    <w:rsid w:val="00E379FD"/>
    <w:rsid w:val="00E37BDB"/>
    <w:rsid w:val="00E37C47"/>
    <w:rsid w:val="00E4080F"/>
    <w:rsid w:val="00E4213C"/>
    <w:rsid w:val="00E42758"/>
    <w:rsid w:val="00E42811"/>
    <w:rsid w:val="00E429B4"/>
    <w:rsid w:val="00E43A1E"/>
    <w:rsid w:val="00E43AE2"/>
    <w:rsid w:val="00E443FD"/>
    <w:rsid w:val="00E44DBF"/>
    <w:rsid w:val="00E45285"/>
    <w:rsid w:val="00E45C78"/>
    <w:rsid w:val="00E45D1E"/>
    <w:rsid w:val="00E45DC8"/>
    <w:rsid w:val="00E46010"/>
    <w:rsid w:val="00E4619D"/>
    <w:rsid w:val="00E462EF"/>
    <w:rsid w:val="00E465CB"/>
    <w:rsid w:val="00E4673F"/>
    <w:rsid w:val="00E501EA"/>
    <w:rsid w:val="00E50C45"/>
    <w:rsid w:val="00E51A69"/>
    <w:rsid w:val="00E52C9F"/>
    <w:rsid w:val="00E5305A"/>
    <w:rsid w:val="00E530CD"/>
    <w:rsid w:val="00E53AE6"/>
    <w:rsid w:val="00E5425D"/>
    <w:rsid w:val="00E54635"/>
    <w:rsid w:val="00E5531F"/>
    <w:rsid w:val="00E5752A"/>
    <w:rsid w:val="00E57835"/>
    <w:rsid w:val="00E57AE2"/>
    <w:rsid w:val="00E57B02"/>
    <w:rsid w:val="00E57F34"/>
    <w:rsid w:val="00E57F99"/>
    <w:rsid w:val="00E60910"/>
    <w:rsid w:val="00E609D5"/>
    <w:rsid w:val="00E60A0B"/>
    <w:rsid w:val="00E60AF7"/>
    <w:rsid w:val="00E60DF0"/>
    <w:rsid w:val="00E60F48"/>
    <w:rsid w:val="00E60F87"/>
    <w:rsid w:val="00E614C0"/>
    <w:rsid w:val="00E62169"/>
    <w:rsid w:val="00E624F5"/>
    <w:rsid w:val="00E6251F"/>
    <w:rsid w:val="00E6345F"/>
    <w:rsid w:val="00E6385A"/>
    <w:rsid w:val="00E638BA"/>
    <w:rsid w:val="00E63C8E"/>
    <w:rsid w:val="00E63CC6"/>
    <w:rsid w:val="00E64624"/>
    <w:rsid w:val="00E6495E"/>
    <w:rsid w:val="00E6647F"/>
    <w:rsid w:val="00E66922"/>
    <w:rsid w:val="00E66A4E"/>
    <w:rsid w:val="00E66DFD"/>
    <w:rsid w:val="00E66FA0"/>
    <w:rsid w:val="00E67265"/>
    <w:rsid w:val="00E67650"/>
    <w:rsid w:val="00E702BF"/>
    <w:rsid w:val="00E70B6B"/>
    <w:rsid w:val="00E70C38"/>
    <w:rsid w:val="00E71258"/>
    <w:rsid w:val="00E71C77"/>
    <w:rsid w:val="00E71CF3"/>
    <w:rsid w:val="00E71DB2"/>
    <w:rsid w:val="00E72ADA"/>
    <w:rsid w:val="00E72FF2"/>
    <w:rsid w:val="00E73C56"/>
    <w:rsid w:val="00E73EE7"/>
    <w:rsid w:val="00E74473"/>
    <w:rsid w:val="00E74FD4"/>
    <w:rsid w:val="00E75290"/>
    <w:rsid w:val="00E75ED1"/>
    <w:rsid w:val="00E76073"/>
    <w:rsid w:val="00E766B6"/>
    <w:rsid w:val="00E776DF"/>
    <w:rsid w:val="00E77B01"/>
    <w:rsid w:val="00E77E14"/>
    <w:rsid w:val="00E8040F"/>
    <w:rsid w:val="00E80590"/>
    <w:rsid w:val="00E80C40"/>
    <w:rsid w:val="00E80CBC"/>
    <w:rsid w:val="00E80EB8"/>
    <w:rsid w:val="00E812E6"/>
    <w:rsid w:val="00E8157A"/>
    <w:rsid w:val="00E816DF"/>
    <w:rsid w:val="00E81C89"/>
    <w:rsid w:val="00E827BF"/>
    <w:rsid w:val="00E82990"/>
    <w:rsid w:val="00E830C8"/>
    <w:rsid w:val="00E83525"/>
    <w:rsid w:val="00E835DB"/>
    <w:rsid w:val="00E83F5C"/>
    <w:rsid w:val="00E845EC"/>
    <w:rsid w:val="00E845F8"/>
    <w:rsid w:val="00E84DF0"/>
    <w:rsid w:val="00E85648"/>
    <w:rsid w:val="00E857DF"/>
    <w:rsid w:val="00E85A86"/>
    <w:rsid w:val="00E8636D"/>
    <w:rsid w:val="00E877A6"/>
    <w:rsid w:val="00E87C6C"/>
    <w:rsid w:val="00E90227"/>
    <w:rsid w:val="00E9091B"/>
    <w:rsid w:val="00E9137B"/>
    <w:rsid w:val="00E916DA"/>
    <w:rsid w:val="00E917DF"/>
    <w:rsid w:val="00E9184E"/>
    <w:rsid w:val="00E921A0"/>
    <w:rsid w:val="00E92224"/>
    <w:rsid w:val="00E924E1"/>
    <w:rsid w:val="00E928B6"/>
    <w:rsid w:val="00E92C25"/>
    <w:rsid w:val="00E92E7E"/>
    <w:rsid w:val="00E92EA8"/>
    <w:rsid w:val="00E931CB"/>
    <w:rsid w:val="00E93D34"/>
    <w:rsid w:val="00E9567E"/>
    <w:rsid w:val="00E9572A"/>
    <w:rsid w:val="00E95A5B"/>
    <w:rsid w:val="00E95DB8"/>
    <w:rsid w:val="00E96510"/>
    <w:rsid w:val="00E96D08"/>
    <w:rsid w:val="00E97212"/>
    <w:rsid w:val="00E976E9"/>
    <w:rsid w:val="00EA03C3"/>
    <w:rsid w:val="00EA23C1"/>
    <w:rsid w:val="00EA2C2E"/>
    <w:rsid w:val="00EA2C46"/>
    <w:rsid w:val="00EA2E5D"/>
    <w:rsid w:val="00EA34B8"/>
    <w:rsid w:val="00EA3628"/>
    <w:rsid w:val="00EA3C0E"/>
    <w:rsid w:val="00EA4A86"/>
    <w:rsid w:val="00EA5020"/>
    <w:rsid w:val="00EA5C47"/>
    <w:rsid w:val="00EA6569"/>
    <w:rsid w:val="00EA6E6D"/>
    <w:rsid w:val="00EA7B25"/>
    <w:rsid w:val="00EB0D46"/>
    <w:rsid w:val="00EB189C"/>
    <w:rsid w:val="00EB193C"/>
    <w:rsid w:val="00EB23B8"/>
    <w:rsid w:val="00EB2CBD"/>
    <w:rsid w:val="00EB3880"/>
    <w:rsid w:val="00EB38F2"/>
    <w:rsid w:val="00EB390C"/>
    <w:rsid w:val="00EB478B"/>
    <w:rsid w:val="00EB48B1"/>
    <w:rsid w:val="00EB5FE1"/>
    <w:rsid w:val="00EB63B7"/>
    <w:rsid w:val="00EB668F"/>
    <w:rsid w:val="00EB68CB"/>
    <w:rsid w:val="00EB6E79"/>
    <w:rsid w:val="00EB736A"/>
    <w:rsid w:val="00EB755D"/>
    <w:rsid w:val="00EB7A34"/>
    <w:rsid w:val="00EC0098"/>
    <w:rsid w:val="00EC03B9"/>
    <w:rsid w:val="00EC0548"/>
    <w:rsid w:val="00EC1CCF"/>
    <w:rsid w:val="00EC3441"/>
    <w:rsid w:val="00EC37CF"/>
    <w:rsid w:val="00EC4557"/>
    <w:rsid w:val="00EC700F"/>
    <w:rsid w:val="00EC708B"/>
    <w:rsid w:val="00EC72CC"/>
    <w:rsid w:val="00EC73AE"/>
    <w:rsid w:val="00EC7B2E"/>
    <w:rsid w:val="00EC7C3D"/>
    <w:rsid w:val="00ED0D47"/>
    <w:rsid w:val="00ED1389"/>
    <w:rsid w:val="00ED1511"/>
    <w:rsid w:val="00ED193A"/>
    <w:rsid w:val="00ED1AB6"/>
    <w:rsid w:val="00ED1E3F"/>
    <w:rsid w:val="00ED21D6"/>
    <w:rsid w:val="00ED23BD"/>
    <w:rsid w:val="00ED25F7"/>
    <w:rsid w:val="00ED2949"/>
    <w:rsid w:val="00ED2AAF"/>
    <w:rsid w:val="00ED3512"/>
    <w:rsid w:val="00ED44DF"/>
    <w:rsid w:val="00ED4B8F"/>
    <w:rsid w:val="00ED4D2F"/>
    <w:rsid w:val="00ED61F9"/>
    <w:rsid w:val="00ED62FD"/>
    <w:rsid w:val="00ED63C8"/>
    <w:rsid w:val="00EE0568"/>
    <w:rsid w:val="00EE07A6"/>
    <w:rsid w:val="00EE0A8B"/>
    <w:rsid w:val="00EE0F63"/>
    <w:rsid w:val="00EE1336"/>
    <w:rsid w:val="00EE193D"/>
    <w:rsid w:val="00EE1A0E"/>
    <w:rsid w:val="00EE1FE4"/>
    <w:rsid w:val="00EE2E35"/>
    <w:rsid w:val="00EE375C"/>
    <w:rsid w:val="00EE3DAC"/>
    <w:rsid w:val="00EE3F58"/>
    <w:rsid w:val="00EE43F1"/>
    <w:rsid w:val="00EE487C"/>
    <w:rsid w:val="00EE4B40"/>
    <w:rsid w:val="00EE4C22"/>
    <w:rsid w:val="00EE6217"/>
    <w:rsid w:val="00EE62B6"/>
    <w:rsid w:val="00EE6DE5"/>
    <w:rsid w:val="00EE70C7"/>
    <w:rsid w:val="00EE77E5"/>
    <w:rsid w:val="00EE7D74"/>
    <w:rsid w:val="00EF054B"/>
    <w:rsid w:val="00EF0723"/>
    <w:rsid w:val="00EF0AB2"/>
    <w:rsid w:val="00EF1867"/>
    <w:rsid w:val="00EF1ADA"/>
    <w:rsid w:val="00EF1AF4"/>
    <w:rsid w:val="00EF200B"/>
    <w:rsid w:val="00EF236E"/>
    <w:rsid w:val="00EF3634"/>
    <w:rsid w:val="00EF37CC"/>
    <w:rsid w:val="00EF40F0"/>
    <w:rsid w:val="00EF4268"/>
    <w:rsid w:val="00EF47E2"/>
    <w:rsid w:val="00EF5473"/>
    <w:rsid w:val="00EF5F7F"/>
    <w:rsid w:val="00EF6A16"/>
    <w:rsid w:val="00EF76B8"/>
    <w:rsid w:val="00EF7B31"/>
    <w:rsid w:val="00F00D69"/>
    <w:rsid w:val="00F015A5"/>
    <w:rsid w:val="00F01D1A"/>
    <w:rsid w:val="00F026EA"/>
    <w:rsid w:val="00F02C61"/>
    <w:rsid w:val="00F02C65"/>
    <w:rsid w:val="00F02D7D"/>
    <w:rsid w:val="00F0341F"/>
    <w:rsid w:val="00F04158"/>
    <w:rsid w:val="00F04183"/>
    <w:rsid w:val="00F0455C"/>
    <w:rsid w:val="00F04719"/>
    <w:rsid w:val="00F04CC2"/>
    <w:rsid w:val="00F05116"/>
    <w:rsid w:val="00F0526B"/>
    <w:rsid w:val="00F057A8"/>
    <w:rsid w:val="00F05D42"/>
    <w:rsid w:val="00F07260"/>
    <w:rsid w:val="00F07B73"/>
    <w:rsid w:val="00F10CB4"/>
    <w:rsid w:val="00F10CD6"/>
    <w:rsid w:val="00F112B3"/>
    <w:rsid w:val="00F1195C"/>
    <w:rsid w:val="00F119CB"/>
    <w:rsid w:val="00F1234A"/>
    <w:rsid w:val="00F125DD"/>
    <w:rsid w:val="00F12AAF"/>
    <w:rsid w:val="00F132F5"/>
    <w:rsid w:val="00F13908"/>
    <w:rsid w:val="00F1534B"/>
    <w:rsid w:val="00F17117"/>
    <w:rsid w:val="00F1782E"/>
    <w:rsid w:val="00F17D8E"/>
    <w:rsid w:val="00F20A86"/>
    <w:rsid w:val="00F20C12"/>
    <w:rsid w:val="00F20F51"/>
    <w:rsid w:val="00F22553"/>
    <w:rsid w:val="00F228DB"/>
    <w:rsid w:val="00F244EA"/>
    <w:rsid w:val="00F2457C"/>
    <w:rsid w:val="00F25202"/>
    <w:rsid w:val="00F26232"/>
    <w:rsid w:val="00F26421"/>
    <w:rsid w:val="00F26EEE"/>
    <w:rsid w:val="00F27390"/>
    <w:rsid w:val="00F306D7"/>
    <w:rsid w:val="00F307F4"/>
    <w:rsid w:val="00F31273"/>
    <w:rsid w:val="00F317E0"/>
    <w:rsid w:val="00F32829"/>
    <w:rsid w:val="00F32881"/>
    <w:rsid w:val="00F32A6C"/>
    <w:rsid w:val="00F3300C"/>
    <w:rsid w:val="00F334D2"/>
    <w:rsid w:val="00F33528"/>
    <w:rsid w:val="00F33AF1"/>
    <w:rsid w:val="00F33BA2"/>
    <w:rsid w:val="00F33CF6"/>
    <w:rsid w:val="00F340A0"/>
    <w:rsid w:val="00F34137"/>
    <w:rsid w:val="00F34228"/>
    <w:rsid w:val="00F3589E"/>
    <w:rsid w:val="00F35AC0"/>
    <w:rsid w:val="00F37625"/>
    <w:rsid w:val="00F40A27"/>
    <w:rsid w:val="00F41197"/>
    <w:rsid w:val="00F41D13"/>
    <w:rsid w:val="00F424F2"/>
    <w:rsid w:val="00F42567"/>
    <w:rsid w:val="00F42571"/>
    <w:rsid w:val="00F428CE"/>
    <w:rsid w:val="00F42E18"/>
    <w:rsid w:val="00F43CC7"/>
    <w:rsid w:val="00F44A4D"/>
    <w:rsid w:val="00F45544"/>
    <w:rsid w:val="00F45969"/>
    <w:rsid w:val="00F45F14"/>
    <w:rsid w:val="00F47281"/>
    <w:rsid w:val="00F4778E"/>
    <w:rsid w:val="00F478B2"/>
    <w:rsid w:val="00F479E9"/>
    <w:rsid w:val="00F47A1E"/>
    <w:rsid w:val="00F5077B"/>
    <w:rsid w:val="00F518D8"/>
    <w:rsid w:val="00F51DD4"/>
    <w:rsid w:val="00F52602"/>
    <w:rsid w:val="00F53083"/>
    <w:rsid w:val="00F5317B"/>
    <w:rsid w:val="00F537C3"/>
    <w:rsid w:val="00F53838"/>
    <w:rsid w:val="00F548A1"/>
    <w:rsid w:val="00F55026"/>
    <w:rsid w:val="00F558B0"/>
    <w:rsid w:val="00F558B8"/>
    <w:rsid w:val="00F55B2D"/>
    <w:rsid w:val="00F55C25"/>
    <w:rsid w:val="00F56A1E"/>
    <w:rsid w:val="00F56D61"/>
    <w:rsid w:val="00F57ACB"/>
    <w:rsid w:val="00F600AA"/>
    <w:rsid w:val="00F60523"/>
    <w:rsid w:val="00F60F40"/>
    <w:rsid w:val="00F61DC5"/>
    <w:rsid w:val="00F61ECB"/>
    <w:rsid w:val="00F61F1B"/>
    <w:rsid w:val="00F6229B"/>
    <w:rsid w:val="00F62340"/>
    <w:rsid w:val="00F62C68"/>
    <w:rsid w:val="00F62E9E"/>
    <w:rsid w:val="00F640A4"/>
    <w:rsid w:val="00F6505E"/>
    <w:rsid w:val="00F65FF0"/>
    <w:rsid w:val="00F66F61"/>
    <w:rsid w:val="00F67194"/>
    <w:rsid w:val="00F671A9"/>
    <w:rsid w:val="00F6738B"/>
    <w:rsid w:val="00F67835"/>
    <w:rsid w:val="00F67D7A"/>
    <w:rsid w:val="00F71379"/>
    <w:rsid w:val="00F7166E"/>
    <w:rsid w:val="00F7188D"/>
    <w:rsid w:val="00F71BC2"/>
    <w:rsid w:val="00F72280"/>
    <w:rsid w:val="00F73475"/>
    <w:rsid w:val="00F737C0"/>
    <w:rsid w:val="00F73CF2"/>
    <w:rsid w:val="00F73EC8"/>
    <w:rsid w:val="00F75A52"/>
    <w:rsid w:val="00F75D62"/>
    <w:rsid w:val="00F7656E"/>
    <w:rsid w:val="00F77425"/>
    <w:rsid w:val="00F7786E"/>
    <w:rsid w:val="00F808D9"/>
    <w:rsid w:val="00F81045"/>
    <w:rsid w:val="00F82480"/>
    <w:rsid w:val="00F8393A"/>
    <w:rsid w:val="00F83A44"/>
    <w:rsid w:val="00F84F0F"/>
    <w:rsid w:val="00F8597A"/>
    <w:rsid w:val="00F85A61"/>
    <w:rsid w:val="00F86254"/>
    <w:rsid w:val="00F86ADA"/>
    <w:rsid w:val="00F86FD4"/>
    <w:rsid w:val="00F87674"/>
    <w:rsid w:val="00F87BD3"/>
    <w:rsid w:val="00F904CA"/>
    <w:rsid w:val="00F906C4"/>
    <w:rsid w:val="00F91168"/>
    <w:rsid w:val="00F91837"/>
    <w:rsid w:val="00F93087"/>
    <w:rsid w:val="00F93FC9"/>
    <w:rsid w:val="00F94061"/>
    <w:rsid w:val="00F946CA"/>
    <w:rsid w:val="00F947BF"/>
    <w:rsid w:val="00F96625"/>
    <w:rsid w:val="00F96CD6"/>
    <w:rsid w:val="00F97862"/>
    <w:rsid w:val="00F97946"/>
    <w:rsid w:val="00F97E2C"/>
    <w:rsid w:val="00FA010B"/>
    <w:rsid w:val="00FA08BC"/>
    <w:rsid w:val="00FA1592"/>
    <w:rsid w:val="00FA1ADA"/>
    <w:rsid w:val="00FA22CE"/>
    <w:rsid w:val="00FA3A4C"/>
    <w:rsid w:val="00FA4346"/>
    <w:rsid w:val="00FA4412"/>
    <w:rsid w:val="00FA44AC"/>
    <w:rsid w:val="00FA49B0"/>
    <w:rsid w:val="00FA5559"/>
    <w:rsid w:val="00FA57CC"/>
    <w:rsid w:val="00FA5ACF"/>
    <w:rsid w:val="00FA5C96"/>
    <w:rsid w:val="00FA5CF8"/>
    <w:rsid w:val="00FA6BB7"/>
    <w:rsid w:val="00FB04EC"/>
    <w:rsid w:val="00FB0C12"/>
    <w:rsid w:val="00FB1482"/>
    <w:rsid w:val="00FB2182"/>
    <w:rsid w:val="00FB28D2"/>
    <w:rsid w:val="00FB2996"/>
    <w:rsid w:val="00FB3CE2"/>
    <w:rsid w:val="00FB3DCF"/>
    <w:rsid w:val="00FB3FC8"/>
    <w:rsid w:val="00FB4798"/>
    <w:rsid w:val="00FB52D5"/>
    <w:rsid w:val="00FB61FB"/>
    <w:rsid w:val="00FB6923"/>
    <w:rsid w:val="00FB695E"/>
    <w:rsid w:val="00FB6FD8"/>
    <w:rsid w:val="00FB7DBE"/>
    <w:rsid w:val="00FC05A6"/>
    <w:rsid w:val="00FC1092"/>
    <w:rsid w:val="00FC1C53"/>
    <w:rsid w:val="00FC1E13"/>
    <w:rsid w:val="00FC28B9"/>
    <w:rsid w:val="00FC2A9C"/>
    <w:rsid w:val="00FC2BCD"/>
    <w:rsid w:val="00FC2F7D"/>
    <w:rsid w:val="00FC33ED"/>
    <w:rsid w:val="00FC3C66"/>
    <w:rsid w:val="00FC42FD"/>
    <w:rsid w:val="00FC4D5C"/>
    <w:rsid w:val="00FC4EA8"/>
    <w:rsid w:val="00FC5175"/>
    <w:rsid w:val="00FC5CF5"/>
    <w:rsid w:val="00FD0B43"/>
    <w:rsid w:val="00FD0CBD"/>
    <w:rsid w:val="00FD133B"/>
    <w:rsid w:val="00FD13F9"/>
    <w:rsid w:val="00FD1592"/>
    <w:rsid w:val="00FD1CFA"/>
    <w:rsid w:val="00FD2E6A"/>
    <w:rsid w:val="00FD3944"/>
    <w:rsid w:val="00FD3B03"/>
    <w:rsid w:val="00FD3CA7"/>
    <w:rsid w:val="00FD3EBC"/>
    <w:rsid w:val="00FD4800"/>
    <w:rsid w:val="00FD4D2C"/>
    <w:rsid w:val="00FD5AF2"/>
    <w:rsid w:val="00FD6219"/>
    <w:rsid w:val="00FD62ED"/>
    <w:rsid w:val="00FD6F22"/>
    <w:rsid w:val="00FD70A6"/>
    <w:rsid w:val="00FD7187"/>
    <w:rsid w:val="00FD74E3"/>
    <w:rsid w:val="00FD7AB3"/>
    <w:rsid w:val="00FE046E"/>
    <w:rsid w:val="00FE08FC"/>
    <w:rsid w:val="00FE1095"/>
    <w:rsid w:val="00FE1166"/>
    <w:rsid w:val="00FE1B15"/>
    <w:rsid w:val="00FE1F03"/>
    <w:rsid w:val="00FE2721"/>
    <w:rsid w:val="00FE2B8B"/>
    <w:rsid w:val="00FE41C2"/>
    <w:rsid w:val="00FE4A3C"/>
    <w:rsid w:val="00FE55CA"/>
    <w:rsid w:val="00FE5D82"/>
    <w:rsid w:val="00FE7E33"/>
    <w:rsid w:val="00FF0147"/>
    <w:rsid w:val="00FF14AF"/>
    <w:rsid w:val="00FF1F5B"/>
    <w:rsid w:val="00FF2631"/>
    <w:rsid w:val="00FF33E0"/>
    <w:rsid w:val="00FF3ADD"/>
    <w:rsid w:val="00FF3B54"/>
    <w:rsid w:val="00FF3F00"/>
    <w:rsid w:val="00FF3F08"/>
    <w:rsid w:val="00FF404A"/>
    <w:rsid w:val="00FF521C"/>
    <w:rsid w:val="00FF5700"/>
    <w:rsid w:val="00FF5A37"/>
    <w:rsid w:val="00FF5BD5"/>
    <w:rsid w:val="00FF64DA"/>
    <w:rsid w:val="00FF6BD0"/>
    <w:rsid w:val="00FF6BDE"/>
    <w:rsid w:val="00FF6C57"/>
    <w:rsid w:val="00FF6FB2"/>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7B5AAB4"/>
  <w15:docId w15:val="{9FF69FF7-3062-4B5E-AEEB-C7F6C19F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99"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99"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20" w:qFormat="1"/>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393A"/>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12"/>
      </w:numPr>
      <w:spacing w:before="300" w:line="280" w:lineRule="atLeast"/>
      <w:ind w:left="709"/>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ind w:left="2836"/>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12"/>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12"/>
      </w:numPr>
      <w:spacing w:before="300" w:line="280" w:lineRule="atLeast"/>
      <w:ind w:left="2381"/>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2"/>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2"/>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uiPriority w:val="99"/>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qFormat/>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99"/>
    <w:qFormat/>
    <w:rsid w:val="000B2DFC"/>
    <w:pPr>
      <w:numPr>
        <w:numId w:val="13"/>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99"/>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0"/>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qFormat/>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right="153"/>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iPriority w:val="99"/>
    <w:unhideWhenUsed/>
    <w:rsid w:val="00E35ECE"/>
    <w:pPr>
      <w:spacing w:after="0" w:line="240" w:lineRule="auto"/>
      <w:ind w:left="0"/>
    </w:pPr>
  </w:style>
  <w:style w:type="character" w:customStyle="1" w:styleId="HeaderChar">
    <w:name w:val="Header Char"/>
    <w:basedOn w:val="DefaultParagraphFont"/>
    <w:link w:val="Header"/>
    <w:uiPriority w:val="99"/>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uiPriority w:val="99"/>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uiPriority w:val="99"/>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uiPriority w:val="99"/>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1"/>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0"/>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character" w:styleId="CommentReference">
    <w:name w:val="annotation reference"/>
    <w:basedOn w:val="DefaultParagraphFont"/>
    <w:uiPriority w:val="99"/>
    <w:semiHidden/>
    <w:unhideWhenUsed/>
    <w:rsid w:val="00E80EB8"/>
    <w:rPr>
      <w:sz w:val="16"/>
      <w:szCs w:val="16"/>
    </w:rPr>
  </w:style>
  <w:style w:type="paragraph" w:styleId="CommentText">
    <w:name w:val="annotation text"/>
    <w:basedOn w:val="Normal"/>
    <w:link w:val="CommentTextChar"/>
    <w:uiPriority w:val="99"/>
    <w:unhideWhenUsed/>
    <w:rsid w:val="00E80EB8"/>
    <w:pPr>
      <w:spacing w:line="240" w:lineRule="auto"/>
    </w:pPr>
    <w:rPr>
      <w:szCs w:val="20"/>
    </w:rPr>
  </w:style>
  <w:style w:type="character" w:customStyle="1" w:styleId="CommentTextChar">
    <w:name w:val="Comment Text Char"/>
    <w:basedOn w:val="DefaultParagraphFont"/>
    <w:link w:val="CommentText"/>
    <w:uiPriority w:val="99"/>
    <w:rsid w:val="00E80EB8"/>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E80EB8"/>
    <w:rPr>
      <w:b/>
      <w:bCs/>
    </w:rPr>
  </w:style>
  <w:style w:type="character" w:customStyle="1" w:styleId="CommentSubjectChar">
    <w:name w:val="Comment Subject Char"/>
    <w:basedOn w:val="CommentTextChar"/>
    <w:link w:val="CommentSubject"/>
    <w:semiHidden/>
    <w:rsid w:val="00E80EB8"/>
    <w:rPr>
      <w:rFonts w:ascii="Arial" w:hAnsi="Arial"/>
      <w:b/>
      <w:bCs/>
      <w:color w:val="373737"/>
      <w:sz w:val="20"/>
      <w:szCs w:val="20"/>
    </w:rPr>
  </w:style>
  <w:style w:type="paragraph" w:styleId="NormalWeb">
    <w:name w:val="Normal (Web)"/>
    <w:basedOn w:val="Normal"/>
    <w:uiPriority w:val="99"/>
    <w:unhideWhenUsed/>
    <w:rsid w:val="009874B4"/>
    <w:pPr>
      <w:spacing w:before="100" w:beforeAutospacing="1" w:after="100" w:afterAutospacing="1" w:line="240" w:lineRule="auto"/>
      <w:ind w:left="0"/>
      <w:jc w:val="left"/>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19"/>
    <w:semiHidden/>
    <w:unhideWhenUsed/>
    <w:rsid w:val="0019010A"/>
    <w:rPr>
      <w:color w:val="56B4E9" w:themeColor="followedHyperlink"/>
      <w:u w:val="single"/>
    </w:rPr>
  </w:style>
  <w:style w:type="table" w:styleId="LightShading">
    <w:name w:val="Light Shading"/>
    <w:basedOn w:val="TableNormal"/>
    <w:uiPriority w:val="60"/>
    <w:rsid w:val="004C1E15"/>
    <w:pPr>
      <w:spacing w:after="0" w:line="240" w:lineRule="auto"/>
    </w:pPr>
    <w:rPr>
      <w:color w:val="292929" w:themeColor="text1" w:themeShade="BF"/>
    </w:rPr>
    <w:tblPr>
      <w:tblStyleRowBandSize w:val="1"/>
      <w:tblStyleColBandSize w:val="1"/>
      <w:tblBorders>
        <w:top w:val="single" w:sz="8" w:space="0" w:color="373737" w:themeColor="text1"/>
        <w:bottom w:val="single" w:sz="8" w:space="0" w:color="373737" w:themeColor="text1"/>
      </w:tblBorders>
    </w:tblPr>
    <w:tblStylePr w:type="firstRow">
      <w:pPr>
        <w:spacing w:before="0" w:after="0" w:line="240" w:lineRule="auto"/>
      </w:pPr>
      <w:rPr>
        <w:b/>
        <w:bCs/>
      </w:rPr>
      <w:tblPr/>
      <w:tcPr>
        <w:tcBorders>
          <w:top w:val="single" w:sz="8" w:space="0" w:color="373737" w:themeColor="text1"/>
          <w:left w:val="nil"/>
          <w:bottom w:val="single" w:sz="8" w:space="0" w:color="373737" w:themeColor="text1"/>
          <w:right w:val="nil"/>
          <w:insideH w:val="nil"/>
          <w:insideV w:val="nil"/>
        </w:tcBorders>
      </w:tcPr>
    </w:tblStylePr>
    <w:tblStylePr w:type="lastRow">
      <w:pPr>
        <w:spacing w:before="0" w:after="0" w:line="240" w:lineRule="auto"/>
      </w:pPr>
      <w:rPr>
        <w:b/>
        <w:bCs/>
      </w:rPr>
      <w:tblPr/>
      <w:tcPr>
        <w:tcBorders>
          <w:top w:val="single" w:sz="8" w:space="0" w:color="373737" w:themeColor="text1"/>
          <w:left w:val="nil"/>
          <w:bottom w:val="single" w:sz="8" w:space="0" w:color="37373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text1" w:themeFillTint="3F"/>
      </w:tcPr>
    </w:tblStylePr>
    <w:tblStylePr w:type="band1Horz">
      <w:tblPr/>
      <w:tcPr>
        <w:tcBorders>
          <w:left w:val="nil"/>
          <w:right w:val="nil"/>
          <w:insideH w:val="nil"/>
          <w:insideV w:val="nil"/>
        </w:tcBorders>
        <w:shd w:val="clear" w:color="auto" w:fill="CDCDCD" w:themeFill="text1" w:themeFillTint="3F"/>
      </w:tcPr>
    </w:tblStylePr>
  </w:style>
  <w:style w:type="paragraph" w:styleId="Revision">
    <w:name w:val="Revision"/>
    <w:hidden/>
    <w:uiPriority w:val="99"/>
    <w:semiHidden/>
    <w:rsid w:val="00761DB6"/>
    <w:pPr>
      <w:spacing w:after="0" w:line="240" w:lineRule="auto"/>
    </w:pPr>
    <w:rPr>
      <w:rFonts w:ascii="Arial" w:hAnsi="Arial"/>
      <w:color w:val="373737"/>
      <w:sz w:val="20"/>
    </w:rPr>
  </w:style>
  <w:style w:type="paragraph" w:customStyle="1" w:styleId="FirstParagraph">
    <w:name w:val="First Paragraph"/>
    <w:basedOn w:val="BodyText"/>
    <w:next w:val="BodyText"/>
    <w:qFormat/>
    <w:rsid w:val="008654CE"/>
    <w:pPr>
      <w:spacing w:before="180" w:line="240" w:lineRule="auto"/>
      <w:jc w:val="left"/>
    </w:pPr>
    <w:rPr>
      <w:color w:val="auto"/>
      <w:sz w:val="24"/>
      <w:szCs w:val="24"/>
      <w:lang w:val="en-US"/>
    </w:rPr>
  </w:style>
  <w:style w:type="character" w:styleId="Emphasis">
    <w:name w:val="Emphasis"/>
    <w:basedOn w:val="DefaultParagraphFont"/>
    <w:uiPriority w:val="20"/>
    <w:qFormat/>
    <w:rsid w:val="002D3663"/>
    <w:rPr>
      <w:i/>
      <w:iCs/>
    </w:rPr>
  </w:style>
  <w:style w:type="character" w:customStyle="1" w:styleId="Heading3numberedChar">
    <w:name w:val="Heading 3 numbered Char"/>
    <w:basedOn w:val="DefaultParagraphFont"/>
    <w:link w:val="Heading3numbered"/>
    <w:semiHidden/>
    <w:locked/>
    <w:rsid w:val="0022320E"/>
    <w:rPr>
      <w:rFonts w:asciiTheme="majorHAnsi" w:eastAsiaTheme="majorEastAsia" w:hAnsiTheme="majorHAnsi" w:cstheme="majorBidi"/>
      <w:color w:val="005CAF"/>
      <w:sz w:val="21"/>
      <w:szCs w:val="20"/>
    </w:rPr>
  </w:style>
  <w:style w:type="paragraph" w:customStyle="1" w:styleId="Heading3numbered">
    <w:name w:val="Heading 3 numbered"/>
    <w:basedOn w:val="Heading8"/>
    <w:link w:val="Heading3numberedChar"/>
    <w:semiHidden/>
    <w:qFormat/>
    <w:rsid w:val="0022320E"/>
    <w:pPr>
      <w:numPr>
        <w:ilvl w:val="0"/>
        <w:numId w:val="0"/>
      </w:numP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83">
      <w:bodyDiv w:val="1"/>
      <w:marLeft w:val="0"/>
      <w:marRight w:val="0"/>
      <w:marTop w:val="0"/>
      <w:marBottom w:val="0"/>
      <w:divBdr>
        <w:top w:val="none" w:sz="0" w:space="0" w:color="auto"/>
        <w:left w:val="none" w:sz="0" w:space="0" w:color="auto"/>
        <w:bottom w:val="none" w:sz="0" w:space="0" w:color="auto"/>
        <w:right w:val="none" w:sz="0" w:space="0" w:color="auto"/>
      </w:divBdr>
    </w:div>
    <w:div w:id="8408938">
      <w:bodyDiv w:val="1"/>
      <w:marLeft w:val="0"/>
      <w:marRight w:val="0"/>
      <w:marTop w:val="0"/>
      <w:marBottom w:val="0"/>
      <w:divBdr>
        <w:top w:val="none" w:sz="0" w:space="0" w:color="auto"/>
        <w:left w:val="none" w:sz="0" w:space="0" w:color="auto"/>
        <w:bottom w:val="none" w:sz="0" w:space="0" w:color="auto"/>
        <w:right w:val="none" w:sz="0" w:space="0" w:color="auto"/>
      </w:divBdr>
    </w:div>
    <w:div w:id="40449814">
      <w:bodyDiv w:val="1"/>
      <w:marLeft w:val="0"/>
      <w:marRight w:val="0"/>
      <w:marTop w:val="0"/>
      <w:marBottom w:val="0"/>
      <w:divBdr>
        <w:top w:val="none" w:sz="0" w:space="0" w:color="auto"/>
        <w:left w:val="none" w:sz="0" w:space="0" w:color="auto"/>
        <w:bottom w:val="none" w:sz="0" w:space="0" w:color="auto"/>
        <w:right w:val="none" w:sz="0" w:space="0" w:color="auto"/>
      </w:divBdr>
    </w:div>
    <w:div w:id="46993930">
      <w:bodyDiv w:val="1"/>
      <w:marLeft w:val="0"/>
      <w:marRight w:val="0"/>
      <w:marTop w:val="0"/>
      <w:marBottom w:val="0"/>
      <w:divBdr>
        <w:top w:val="none" w:sz="0" w:space="0" w:color="auto"/>
        <w:left w:val="none" w:sz="0" w:space="0" w:color="auto"/>
        <w:bottom w:val="none" w:sz="0" w:space="0" w:color="auto"/>
        <w:right w:val="none" w:sz="0" w:space="0" w:color="auto"/>
      </w:divBdr>
    </w:div>
    <w:div w:id="47343845">
      <w:bodyDiv w:val="1"/>
      <w:marLeft w:val="0"/>
      <w:marRight w:val="0"/>
      <w:marTop w:val="0"/>
      <w:marBottom w:val="0"/>
      <w:divBdr>
        <w:top w:val="none" w:sz="0" w:space="0" w:color="auto"/>
        <w:left w:val="none" w:sz="0" w:space="0" w:color="auto"/>
        <w:bottom w:val="none" w:sz="0" w:space="0" w:color="auto"/>
        <w:right w:val="none" w:sz="0" w:space="0" w:color="auto"/>
      </w:divBdr>
    </w:div>
    <w:div w:id="52430238">
      <w:bodyDiv w:val="1"/>
      <w:marLeft w:val="0"/>
      <w:marRight w:val="0"/>
      <w:marTop w:val="0"/>
      <w:marBottom w:val="0"/>
      <w:divBdr>
        <w:top w:val="none" w:sz="0" w:space="0" w:color="auto"/>
        <w:left w:val="none" w:sz="0" w:space="0" w:color="auto"/>
        <w:bottom w:val="none" w:sz="0" w:space="0" w:color="auto"/>
        <w:right w:val="none" w:sz="0" w:space="0" w:color="auto"/>
      </w:divBdr>
    </w:div>
    <w:div w:id="55712061">
      <w:bodyDiv w:val="1"/>
      <w:marLeft w:val="0"/>
      <w:marRight w:val="0"/>
      <w:marTop w:val="0"/>
      <w:marBottom w:val="0"/>
      <w:divBdr>
        <w:top w:val="none" w:sz="0" w:space="0" w:color="auto"/>
        <w:left w:val="none" w:sz="0" w:space="0" w:color="auto"/>
        <w:bottom w:val="none" w:sz="0" w:space="0" w:color="auto"/>
        <w:right w:val="none" w:sz="0" w:space="0" w:color="auto"/>
      </w:divBdr>
    </w:div>
    <w:div w:id="67268419">
      <w:bodyDiv w:val="1"/>
      <w:marLeft w:val="0"/>
      <w:marRight w:val="0"/>
      <w:marTop w:val="0"/>
      <w:marBottom w:val="0"/>
      <w:divBdr>
        <w:top w:val="none" w:sz="0" w:space="0" w:color="auto"/>
        <w:left w:val="none" w:sz="0" w:space="0" w:color="auto"/>
        <w:bottom w:val="none" w:sz="0" w:space="0" w:color="auto"/>
        <w:right w:val="none" w:sz="0" w:space="0" w:color="auto"/>
      </w:divBdr>
    </w:div>
    <w:div w:id="69428890">
      <w:bodyDiv w:val="1"/>
      <w:marLeft w:val="0"/>
      <w:marRight w:val="0"/>
      <w:marTop w:val="0"/>
      <w:marBottom w:val="0"/>
      <w:divBdr>
        <w:top w:val="none" w:sz="0" w:space="0" w:color="auto"/>
        <w:left w:val="none" w:sz="0" w:space="0" w:color="auto"/>
        <w:bottom w:val="none" w:sz="0" w:space="0" w:color="auto"/>
        <w:right w:val="none" w:sz="0" w:space="0" w:color="auto"/>
      </w:divBdr>
    </w:div>
    <w:div w:id="70544441">
      <w:bodyDiv w:val="1"/>
      <w:marLeft w:val="0"/>
      <w:marRight w:val="0"/>
      <w:marTop w:val="0"/>
      <w:marBottom w:val="0"/>
      <w:divBdr>
        <w:top w:val="none" w:sz="0" w:space="0" w:color="auto"/>
        <w:left w:val="none" w:sz="0" w:space="0" w:color="auto"/>
        <w:bottom w:val="none" w:sz="0" w:space="0" w:color="auto"/>
        <w:right w:val="none" w:sz="0" w:space="0" w:color="auto"/>
      </w:divBdr>
    </w:div>
    <w:div w:id="102843611">
      <w:bodyDiv w:val="1"/>
      <w:marLeft w:val="0"/>
      <w:marRight w:val="0"/>
      <w:marTop w:val="0"/>
      <w:marBottom w:val="0"/>
      <w:divBdr>
        <w:top w:val="none" w:sz="0" w:space="0" w:color="auto"/>
        <w:left w:val="none" w:sz="0" w:space="0" w:color="auto"/>
        <w:bottom w:val="none" w:sz="0" w:space="0" w:color="auto"/>
        <w:right w:val="none" w:sz="0" w:space="0" w:color="auto"/>
      </w:divBdr>
    </w:div>
    <w:div w:id="116800184">
      <w:bodyDiv w:val="1"/>
      <w:marLeft w:val="0"/>
      <w:marRight w:val="0"/>
      <w:marTop w:val="0"/>
      <w:marBottom w:val="0"/>
      <w:divBdr>
        <w:top w:val="none" w:sz="0" w:space="0" w:color="auto"/>
        <w:left w:val="none" w:sz="0" w:space="0" w:color="auto"/>
        <w:bottom w:val="none" w:sz="0" w:space="0" w:color="auto"/>
        <w:right w:val="none" w:sz="0" w:space="0" w:color="auto"/>
      </w:divBdr>
    </w:div>
    <w:div w:id="130445593">
      <w:bodyDiv w:val="1"/>
      <w:marLeft w:val="0"/>
      <w:marRight w:val="0"/>
      <w:marTop w:val="0"/>
      <w:marBottom w:val="0"/>
      <w:divBdr>
        <w:top w:val="none" w:sz="0" w:space="0" w:color="auto"/>
        <w:left w:val="none" w:sz="0" w:space="0" w:color="auto"/>
        <w:bottom w:val="none" w:sz="0" w:space="0" w:color="auto"/>
        <w:right w:val="none" w:sz="0" w:space="0" w:color="auto"/>
      </w:divBdr>
    </w:div>
    <w:div w:id="136919187">
      <w:bodyDiv w:val="1"/>
      <w:marLeft w:val="0"/>
      <w:marRight w:val="0"/>
      <w:marTop w:val="0"/>
      <w:marBottom w:val="0"/>
      <w:divBdr>
        <w:top w:val="none" w:sz="0" w:space="0" w:color="auto"/>
        <w:left w:val="none" w:sz="0" w:space="0" w:color="auto"/>
        <w:bottom w:val="none" w:sz="0" w:space="0" w:color="auto"/>
        <w:right w:val="none" w:sz="0" w:space="0" w:color="auto"/>
      </w:divBdr>
    </w:div>
    <w:div w:id="138621860">
      <w:bodyDiv w:val="1"/>
      <w:marLeft w:val="0"/>
      <w:marRight w:val="0"/>
      <w:marTop w:val="0"/>
      <w:marBottom w:val="0"/>
      <w:divBdr>
        <w:top w:val="none" w:sz="0" w:space="0" w:color="auto"/>
        <w:left w:val="none" w:sz="0" w:space="0" w:color="auto"/>
        <w:bottom w:val="none" w:sz="0" w:space="0" w:color="auto"/>
        <w:right w:val="none" w:sz="0" w:space="0" w:color="auto"/>
      </w:divBdr>
    </w:div>
    <w:div w:id="141235391">
      <w:bodyDiv w:val="1"/>
      <w:marLeft w:val="0"/>
      <w:marRight w:val="0"/>
      <w:marTop w:val="0"/>
      <w:marBottom w:val="0"/>
      <w:divBdr>
        <w:top w:val="none" w:sz="0" w:space="0" w:color="auto"/>
        <w:left w:val="none" w:sz="0" w:space="0" w:color="auto"/>
        <w:bottom w:val="none" w:sz="0" w:space="0" w:color="auto"/>
        <w:right w:val="none" w:sz="0" w:space="0" w:color="auto"/>
      </w:divBdr>
    </w:div>
    <w:div w:id="142625127">
      <w:bodyDiv w:val="1"/>
      <w:marLeft w:val="0"/>
      <w:marRight w:val="0"/>
      <w:marTop w:val="0"/>
      <w:marBottom w:val="0"/>
      <w:divBdr>
        <w:top w:val="none" w:sz="0" w:space="0" w:color="auto"/>
        <w:left w:val="none" w:sz="0" w:space="0" w:color="auto"/>
        <w:bottom w:val="none" w:sz="0" w:space="0" w:color="auto"/>
        <w:right w:val="none" w:sz="0" w:space="0" w:color="auto"/>
      </w:divBdr>
    </w:div>
    <w:div w:id="144397040">
      <w:bodyDiv w:val="1"/>
      <w:marLeft w:val="0"/>
      <w:marRight w:val="0"/>
      <w:marTop w:val="0"/>
      <w:marBottom w:val="0"/>
      <w:divBdr>
        <w:top w:val="none" w:sz="0" w:space="0" w:color="auto"/>
        <w:left w:val="none" w:sz="0" w:space="0" w:color="auto"/>
        <w:bottom w:val="none" w:sz="0" w:space="0" w:color="auto"/>
        <w:right w:val="none" w:sz="0" w:space="0" w:color="auto"/>
      </w:divBdr>
    </w:div>
    <w:div w:id="145828873">
      <w:bodyDiv w:val="1"/>
      <w:marLeft w:val="0"/>
      <w:marRight w:val="0"/>
      <w:marTop w:val="0"/>
      <w:marBottom w:val="0"/>
      <w:divBdr>
        <w:top w:val="none" w:sz="0" w:space="0" w:color="auto"/>
        <w:left w:val="none" w:sz="0" w:space="0" w:color="auto"/>
        <w:bottom w:val="none" w:sz="0" w:space="0" w:color="auto"/>
        <w:right w:val="none" w:sz="0" w:space="0" w:color="auto"/>
      </w:divBdr>
    </w:div>
    <w:div w:id="150566535">
      <w:bodyDiv w:val="1"/>
      <w:marLeft w:val="0"/>
      <w:marRight w:val="0"/>
      <w:marTop w:val="0"/>
      <w:marBottom w:val="0"/>
      <w:divBdr>
        <w:top w:val="none" w:sz="0" w:space="0" w:color="auto"/>
        <w:left w:val="none" w:sz="0" w:space="0" w:color="auto"/>
        <w:bottom w:val="none" w:sz="0" w:space="0" w:color="auto"/>
        <w:right w:val="none" w:sz="0" w:space="0" w:color="auto"/>
      </w:divBdr>
    </w:div>
    <w:div w:id="156848600">
      <w:bodyDiv w:val="1"/>
      <w:marLeft w:val="0"/>
      <w:marRight w:val="0"/>
      <w:marTop w:val="0"/>
      <w:marBottom w:val="0"/>
      <w:divBdr>
        <w:top w:val="none" w:sz="0" w:space="0" w:color="auto"/>
        <w:left w:val="none" w:sz="0" w:space="0" w:color="auto"/>
        <w:bottom w:val="none" w:sz="0" w:space="0" w:color="auto"/>
        <w:right w:val="none" w:sz="0" w:space="0" w:color="auto"/>
      </w:divBdr>
    </w:div>
    <w:div w:id="172115198">
      <w:bodyDiv w:val="1"/>
      <w:marLeft w:val="0"/>
      <w:marRight w:val="0"/>
      <w:marTop w:val="0"/>
      <w:marBottom w:val="0"/>
      <w:divBdr>
        <w:top w:val="none" w:sz="0" w:space="0" w:color="auto"/>
        <w:left w:val="none" w:sz="0" w:space="0" w:color="auto"/>
        <w:bottom w:val="none" w:sz="0" w:space="0" w:color="auto"/>
        <w:right w:val="none" w:sz="0" w:space="0" w:color="auto"/>
      </w:divBdr>
    </w:div>
    <w:div w:id="196817880">
      <w:bodyDiv w:val="1"/>
      <w:marLeft w:val="0"/>
      <w:marRight w:val="0"/>
      <w:marTop w:val="0"/>
      <w:marBottom w:val="0"/>
      <w:divBdr>
        <w:top w:val="none" w:sz="0" w:space="0" w:color="auto"/>
        <w:left w:val="none" w:sz="0" w:space="0" w:color="auto"/>
        <w:bottom w:val="none" w:sz="0" w:space="0" w:color="auto"/>
        <w:right w:val="none" w:sz="0" w:space="0" w:color="auto"/>
      </w:divBdr>
    </w:div>
    <w:div w:id="197084129">
      <w:bodyDiv w:val="1"/>
      <w:marLeft w:val="0"/>
      <w:marRight w:val="0"/>
      <w:marTop w:val="0"/>
      <w:marBottom w:val="0"/>
      <w:divBdr>
        <w:top w:val="none" w:sz="0" w:space="0" w:color="auto"/>
        <w:left w:val="none" w:sz="0" w:space="0" w:color="auto"/>
        <w:bottom w:val="none" w:sz="0" w:space="0" w:color="auto"/>
        <w:right w:val="none" w:sz="0" w:space="0" w:color="auto"/>
      </w:divBdr>
    </w:div>
    <w:div w:id="200868339">
      <w:bodyDiv w:val="1"/>
      <w:marLeft w:val="0"/>
      <w:marRight w:val="0"/>
      <w:marTop w:val="0"/>
      <w:marBottom w:val="0"/>
      <w:divBdr>
        <w:top w:val="none" w:sz="0" w:space="0" w:color="auto"/>
        <w:left w:val="none" w:sz="0" w:space="0" w:color="auto"/>
        <w:bottom w:val="none" w:sz="0" w:space="0" w:color="auto"/>
        <w:right w:val="none" w:sz="0" w:space="0" w:color="auto"/>
      </w:divBdr>
    </w:div>
    <w:div w:id="202596687">
      <w:bodyDiv w:val="1"/>
      <w:marLeft w:val="0"/>
      <w:marRight w:val="0"/>
      <w:marTop w:val="0"/>
      <w:marBottom w:val="0"/>
      <w:divBdr>
        <w:top w:val="none" w:sz="0" w:space="0" w:color="auto"/>
        <w:left w:val="none" w:sz="0" w:space="0" w:color="auto"/>
        <w:bottom w:val="none" w:sz="0" w:space="0" w:color="auto"/>
        <w:right w:val="none" w:sz="0" w:space="0" w:color="auto"/>
      </w:divBdr>
    </w:div>
    <w:div w:id="208421249">
      <w:bodyDiv w:val="1"/>
      <w:marLeft w:val="0"/>
      <w:marRight w:val="0"/>
      <w:marTop w:val="0"/>
      <w:marBottom w:val="0"/>
      <w:divBdr>
        <w:top w:val="none" w:sz="0" w:space="0" w:color="auto"/>
        <w:left w:val="none" w:sz="0" w:space="0" w:color="auto"/>
        <w:bottom w:val="none" w:sz="0" w:space="0" w:color="auto"/>
        <w:right w:val="none" w:sz="0" w:space="0" w:color="auto"/>
      </w:divBdr>
    </w:div>
    <w:div w:id="234903028">
      <w:bodyDiv w:val="1"/>
      <w:marLeft w:val="0"/>
      <w:marRight w:val="0"/>
      <w:marTop w:val="0"/>
      <w:marBottom w:val="0"/>
      <w:divBdr>
        <w:top w:val="none" w:sz="0" w:space="0" w:color="auto"/>
        <w:left w:val="none" w:sz="0" w:space="0" w:color="auto"/>
        <w:bottom w:val="none" w:sz="0" w:space="0" w:color="auto"/>
        <w:right w:val="none" w:sz="0" w:space="0" w:color="auto"/>
      </w:divBdr>
    </w:div>
    <w:div w:id="235551455">
      <w:bodyDiv w:val="1"/>
      <w:marLeft w:val="0"/>
      <w:marRight w:val="0"/>
      <w:marTop w:val="0"/>
      <w:marBottom w:val="0"/>
      <w:divBdr>
        <w:top w:val="none" w:sz="0" w:space="0" w:color="auto"/>
        <w:left w:val="none" w:sz="0" w:space="0" w:color="auto"/>
        <w:bottom w:val="none" w:sz="0" w:space="0" w:color="auto"/>
        <w:right w:val="none" w:sz="0" w:space="0" w:color="auto"/>
      </w:divBdr>
    </w:div>
    <w:div w:id="266471919">
      <w:bodyDiv w:val="1"/>
      <w:marLeft w:val="0"/>
      <w:marRight w:val="0"/>
      <w:marTop w:val="0"/>
      <w:marBottom w:val="0"/>
      <w:divBdr>
        <w:top w:val="none" w:sz="0" w:space="0" w:color="auto"/>
        <w:left w:val="none" w:sz="0" w:space="0" w:color="auto"/>
        <w:bottom w:val="none" w:sz="0" w:space="0" w:color="auto"/>
        <w:right w:val="none" w:sz="0" w:space="0" w:color="auto"/>
      </w:divBdr>
    </w:div>
    <w:div w:id="269053632">
      <w:bodyDiv w:val="1"/>
      <w:marLeft w:val="0"/>
      <w:marRight w:val="0"/>
      <w:marTop w:val="0"/>
      <w:marBottom w:val="0"/>
      <w:divBdr>
        <w:top w:val="none" w:sz="0" w:space="0" w:color="auto"/>
        <w:left w:val="none" w:sz="0" w:space="0" w:color="auto"/>
        <w:bottom w:val="none" w:sz="0" w:space="0" w:color="auto"/>
        <w:right w:val="none" w:sz="0" w:space="0" w:color="auto"/>
      </w:divBdr>
    </w:div>
    <w:div w:id="272321712">
      <w:bodyDiv w:val="1"/>
      <w:marLeft w:val="0"/>
      <w:marRight w:val="0"/>
      <w:marTop w:val="0"/>
      <w:marBottom w:val="0"/>
      <w:divBdr>
        <w:top w:val="none" w:sz="0" w:space="0" w:color="auto"/>
        <w:left w:val="none" w:sz="0" w:space="0" w:color="auto"/>
        <w:bottom w:val="none" w:sz="0" w:space="0" w:color="auto"/>
        <w:right w:val="none" w:sz="0" w:space="0" w:color="auto"/>
      </w:divBdr>
    </w:div>
    <w:div w:id="286736429">
      <w:bodyDiv w:val="1"/>
      <w:marLeft w:val="0"/>
      <w:marRight w:val="0"/>
      <w:marTop w:val="0"/>
      <w:marBottom w:val="0"/>
      <w:divBdr>
        <w:top w:val="none" w:sz="0" w:space="0" w:color="auto"/>
        <w:left w:val="none" w:sz="0" w:space="0" w:color="auto"/>
        <w:bottom w:val="none" w:sz="0" w:space="0" w:color="auto"/>
        <w:right w:val="none" w:sz="0" w:space="0" w:color="auto"/>
      </w:divBdr>
    </w:div>
    <w:div w:id="286742590">
      <w:bodyDiv w:val="1"/>
      <w:marLeft w:val="0"/>
      <w:marRight w:val="0"/>
      <w:marTop w:val="0"/>
      <w:marBottom w:val="0"/>
      <w:divBdr>
        <w:top w:val="none" w:sz="0" w:space="0" w:color="auto"/>
        <w:left w:val="none" w:sz="0" w:space="0" w:color="auto"/>
        <w:bottom w:val="none" w:sz="0" w:space="0" w:color="auto"/>
        <w:right w:val="none" w:sz="0" w:space="0" w:color="auto"/>
      </w:divBdr>
    </w:div>
    <w:div w:id="313923040">
      <w:bodyDiv w:val="1"/>
      <w:marLeft w:val="0"/>
      <w:marRight w:val="0"/>
      <w:marTop w:val="0"/>
      <w:marBottom w:val="0"/>
      <w:divBdr>
        <w:top w:val="none" w:sz="0" w:space="0" w:color="auto"/>
        <w:left w:val="none" w:sz="0" w:space="0" w:color="auto"/>
        <w:bottom w:val="none" w:sz="0" w:space="0" w:color="auto"/>
        <w:right w:val="none" w:sz="0" w:space="0" w:color="auto"/>
      </w:divBdr>
    </w:div>
    <w:div w:id="316998966">
      <w:bodyDiv w:val="1"/>
      <w:marLeft w:val="0"/>
      <w:marRight w:val="0"/>
      <w:marTop w:val="0"/>
      <w:marBottom w:val="0"/>
      <w:divBdr>
        <w:top w:val="none" w:sz="0" w:space="0" w:color="auto"/>
        <w:left w:val="none" w:sz="0" w:space="0" w:color="auto"/>
        <w:bottom w:val="none" w:sz="0" w:space="0" w:color="auto"/>
        <w:right w:val="none" w:sz="0" w:space="0" w:color="auto"/>
      </w:divBdr>
    </w:div>
    <w:div w:id="319039322">
      <w:bodyDiv w:val="1"/>
      <w:marLeft w:val="0"/>
      <w:marRight w:val="0"/>
      <w:marTop w:val="0"/>
      <w:marBottom w:val="0"/>
      <w:divBdr>
        <w:top w:val="none" w:sz="0" w:space="0" w:color="auto"/>
        <w:left w:val="none" w:sz="0" w:space="0" w:color="auto"/>
        <w:bottom w:val="none" w:sz="0" w:space="0" w:color="auto"/>
        <w:right w:val="none" w:sz="0" w:space="0" w:color="auto"/>
      </w:divBdr>
    </w:div>
    <w:div w:id="351803012">
      <w:bodyDiv w:val="1"/>
      <w:marLeft w:val="0"/>
      <w:marRight w:val="0"/>
      <w:marTop w:val="0"/>
      <w:marBottom w:val="0"/>
      <w:divBdr>
        <w:top w:val="none" w:sz="0" w:space="0" w:color="auto"/>
        <w:left w:val="none" w:sz="0" w:space="0" w:color="auto"/>
        <w:bottom w:val="none" w:sz="0" w:space="0" w:color="auto"/>
        <w:right w:val="none" w:sz="0" w:space="0" w:color="auto"/>
      </w:divBdr>
    </w:div>
    <w:div w:id="362823183">
      <w:bodyDiv w:val="1"/>
      <w:marLeft w:val="0"/>
      <w:marRight w:val="0"/>
      <w:marTop w:val="0"/>
      <w:marBottom w:val="0"/>
      <w:divBdr>
        <w:top w:val="none" w:sz="0" w:space="0" w:color="auto"/>
        <w:left w:val="none" w:sz="0" w:space="0" w:color="auto"/>
        <w:bottom w:val="none" w:sz="0" w:space="0" w:color="auto"/>
        <w:right w:val="none" w:sz="0" w:space="0" w:color="auto"/>
      </w:divBdr>
    </w:div>
    <w:div w:id="364405035">
      <w:bodyDiv w:val="1"/>
      <w:marLeft w:val="0"/>
      <w:marRight w:val="0"/>
      <w:marTop w:val="0"/>
      <w:marBottom w:val="0"/>
      <w:divBdr>
        <w:top w:val="none" w:sz="0" w:space="0" w:color="auto"/>
        <w:left w:val="none" w:sz="0" w:space="0" w:color="auto"/>
        <w:bottom w:val="none" w:sz="0" w:space="0" w:color="auto"/>
        <w:right w:val="none" w:sz="0" w:space="0" w:color="auto"/>
      </w:divBdr>
    </w:div>
    <w:div w:id="372120662">
      <w:bodyDiv w:val="1"/>
      <w:marLeft w:val="0"/>
      <w:marRight w:val="0"/>
      <w:marTop w:val="0"/>
      <w:marBottom w:val="0"/>
      <w:divBdr>
        <w:top w:val="none" w:sz="0" w:space="0" w:color="auto"/>
        <w:left w:val="none" w:sz="0" w:space="0" w:color="auto"/>
        <w:bottom w:val="none" w:sz="0" w:space="0" w:color="auto"/>
        <w:right w:val="none" w:sz="0" w:space="0" w:color="auto"/>
      </w:divBdr>
    </w:div>
    <w:div w:id="376051261">
      <w:bodyDiv w:val="1"/>
      <w:marLeft w:val="0"/>
      <w:marRight w:val="0"/>
      <w:marTop w:val="0"/>
      <w:marBottom w:val="0"/>
      <w:divBdr>
        <w:top w:val="none" w:sz="0" w:space="0" w:color="auto"/>
        <w:left w:val="none" w:sz="0" w:space="0" w:color="auto"/>
        <w:bottom w:val="none" w:sz="0" w:space="0" w:color="auto"/>
        <w:right w:val="none" w:sz="0" w:space="0" w:color="auto"/>
      </w:divBdr>
    </w:div>
    <w:div w:id="396513021">
      <w:bodyDiv w:val="1"/>
      <w:marLeft w:val="0"/>
      <w:marRight w:val="0"/>
      <w:marTop w:val="0"/>
      <w:marBottom w:val="0"/>
      <w:divBdr>
        <w:top w:val="none" w:sz="0" w:space="0" w:color="auto"/>
        <w:left w:val="none" w:sz="0" w:space="0" w:color="auto"/>
        <w:bottom w:val="none" w:sz="0" w:space="0" w:color="auto"/>
        <w:right w:val="none" w:sz="0" w:space="0" w:color="auto"/>
      </w:divBdr>
    </w:div>
    <w:div w:id="398872204">
      <w:bodyDiv w:val="1"/>
      <w:marLeft w:val="0"/>
      <w:marRight w:val="0"/>
      <w:marTop w:val="0"/>
      <w:marBottom w:val="0"/>
      <w:divBdr>
        <w:top w:val="none" w:sz="0" w:space="0" w:color="auto"/>
        <w:left w:val="none" w:sz="0" w:space="0" w:color="auto"/>
        <w:bottom w:val="none" w:sz="0" w:space="0" w:color="auto"/>
        <w:right w:val="none" w:sz="0" w:space="0" w:color="auto"/>
      </w:divBdr>
    </w:div>
    <w:div w:id="398943732">
      <w:bodyDiv w:val="1"/>
      <w:marLeft w:val="0"/>
      <w:marRight w:val="0"/>
      <w:marTop w:val="0"/>
      <w:marBottom w:val="0"/>
      <w:divBdr>
        <w:top w:val="none" w:sz="0" w:space="0" w:color="auto"/>
        <w:left w:val="none" w:sz="0" w:space="0" w:color="auto"/>
        <w:bottom w:val="none" w:sz="0" w:space="0" w:color="auto"/>
        <w:right w:val="none" w:sz="0" w:space="0" w:color="auto"/>
      </w:divBdr>
    </w:div>
    <w:div w:id="414208255">
      <w:bodyDiv w:val="1"/>
      <w:marLeft w:val="0"/>
      <w:marRight w:val="0"/>
      <w:marTop w:val="0"/>
      <w:marBottom w:val="0"/>
      <w:divBdr>
        <w:top w:val="none" w:sz="0" w:space="0" w:color="auto"/>
        <w:left w:val="none" w:sz="0" w:space="0" w:color="auto"/>
        <w:bottom w:val="none" w:sz="0" w:space="0" w:color="auto"/>
        <w:right w:val="none" w:sz="0" w:space="0" w:color="auto"/>
      </w:divBdr>
    </w:div>
    <w:div w:id="428934592">
      <w:bodyDiv w:val="1"/>
      <w:marLeft w:val="0"/>
      <w:marRight w:val="0"/>
      <w:marTop w:val="0"/>
      <w:marBottom w:val="0"/>
      <w:divBdr>
        <w:top w:val="none" w:sz="0" w:space="0" w:color="auto"/>
        <w:left w:val="none" w:sz="0" w:space="0" w:color="auto"/>
        <w:bottom w:val="none" w:sz="0" w:space="0" w:color="auto"/>
        <w:right w:val="none" w:sz="0" w:space="0" w:color="auto"/>
      </w:divBdr>
    </w:div>
    <w:div w:id="457770611">
      <w:bodyDiv w:val="1"/>
      <w:marLeft w:val="0"/>
      <w:marRight w:val="0"/>
      <w:marTop w:val="0"/>
      <w:marBottom w:val="0"/>
      <w:divBdr>
        <w:top w:val="none" w:sz="0" w:space="0" w:color="auto"/>
        <w:left w:val="none" w:sz="0" w:space="0" w:color="auto"/>
        <w:bottom w:val="none" w:sz="0" w:space="0" w:color="auto"/>
        <w:right w:val="none" w:sz="0" w:space="0" w:color="auto"/>
      </w:divBdr>
    </w:div>
    <w:div w:id="458838568">
      <w:bodyDiv w:val="1"/>
      <w:marLeft w:val="0"/>
      <w:marRight w:val="0"/>
      <w:marTop w:val="0"/>
      <w:marBottom w:val="0"/>
      <w:divBdr>
        <w:top w:val="none" w:sz="0" w:space="0" w:color="auto"/>
        <w:left w:val="none" w:sz="0" w:space="0" w:color="auto"/>
        <w:bottom w:val="none" w:sz="0" w:space="0" w:color="auto"/>
        <w:right w:val="none" w:sz="0" w:space="0" w:color="auto"/>
      </w:divBdr>
    </w:div>
    <w:div w:id="468403545">
      <w:bodyDiv w:val="1"/>
      <w:marLeft w:val="0"/>
      <w:marRight w:val="0"/>
      <w:marTop w:val="0"/>
      <w:marBottom w:val="0"/>
      <w:divBdr>
        <w:top w:val="none" w:sz="0" w:space="0" w:color="auto"/>
        <w:left w:val="none" w:sz="0" w:space="0" w:color="auto"/>
        <w:bottom w:val="none" w:sz="0" w:space="0" w:color="auto"/>
        <w:right w:val="none" w:sz="0" w:space="0" w:color="auto"/>
      </w:divBdr>
    </w:div>
    <w:div w:id="470365514">
      <w:bodyDiv w:val="1"/>
      <w:marLeft w:val="0"/>
      <w:marRight w:val="0"/>
      <w:marTop w:val="0"/>
      <w:marBottom w:val="0"/>
      <w:divBdr>
        <w:top w:val="none" w:sz="0" w:space="0" w:color="auto"/>
        <w:left w:val="none" w:sz="0" w:space="0" w:color="auto"/>
        <w:bottom w:val="none" w:sz="0" w:space="0" w:color="auto"/>
        <w:right w:val="none" w:sz="0" w:space="0" w:color="auto"/>
      </w:divBdr>
    </w:div>
    <w:div w:id="484397694">
      <w:bodyDiv w:val="1"/>
      <w:marLeft w:val="0"/>
      <w:marRight w:val="0"/>
      <w:marTop w:val="0"/>
      <w:marBottom w:val="0"/>
      <w:divBdr>
        <w:top w:val="none" w:sz="0" w:space="0" w:color="auto"/>
        <w:left w:val="none" w:sz="0" w:space="0" w:color="auto"/>
        <w:bottom w:val="none" w:sz="0" w:space="0" w:color="auto"/>
        <w:right w:val="none" w:sz="0" w:space="0" w:color="auto"/>
      </w:divBdr>
    </w:div>
    <w:div w:id="498546141">
      <w:bodyDiv w:val="1"/>
      <w:marLeft w:val="0"/>
      <w:marRight w:val="0"/>
      <w:marTop w:val="0"/>
      <w:marBottom w:val="0"/>
      <w:divBdr>
        <w:top w:val="none" w:sz="0" w:space="0" w:color="auto"/>
        <w:left w:val="none" w:sz="0" w:space="0" w:color="auto"/>
        <w:bottom w:val="none" w:sz="0" w:space="0" w:color="auto"/>
        <w:right w:val="none" w:sz="0" w:space="0" w:color="auto"/>
      </w:divBdr>
    </w:div>
    <w:div w:id="503980026">
      <w:bodyDiv w:val="1"/>
      <w:marLeft w:val="0"/>
      <w:marRight w:val="0"/>
      <w:marTop w:val="0"/>
      <w:marBottom w:val="0"/>
      <w:divBdr>
        <w:top w:val="none" w:sz="0" w:space="0" w:color="auto"/>
        <w:left w:val="none" w:sz="0" w:space="0" w:color="auto"/>
        <w:bottom w:val="none" w:sz="0" w:space="0" w:color="auto"/>
        <w:right w:val="none" w:sz="0" w:space="0" w:color="auto"/>
      </w:divBdr>
    </w:div>
    <w:div w:id="510416901">
      <w:bodyDiv w:val="1"/>
      <w:marLeft w:val="0"/>
      <w:marRight w:val="0"/>
      <w:marTop w:val="0"/>
      <w:marBottom w:val="0"/>
      <w:divBdr>
        <w:top w:val="none" w:sz="0" w:space="0" w:color="auto"/>
        <w:left w:val="none" w:sz="0" w:space="0" w:color="auto"/>
        <w:bottom w:val="none" w:sz="0" w:space="0" w:color="auto"/>
        <w:right w:val="none" w:sz="0" w:space="0" w:color="auto"/>
      </w:divBdr>
    </w:div>
    <w:div w:id="565065787">
      <w:bodyDiv w:val="1"/>
      <w:marLeft w:val="0"/>
      <w:marRight w:val="0"/>
      <w:marTop w:val="0"/>
      <w:marBottom w:val="0"/>
      <w:divBdr>
        <w:top w:val="none" w:sz="0" w:space="0" w:color="auto"/>
        <w:left w:val="none" w:sz="0" w:space="0" w:color="auto"/>
        <w:bottom w:val="none" w:sz="0" w:space="0" w:color="auto"/>
        <w:right w:val="none" w:sz="0" w:space="0" w:color="auto"/>
      </w:divBdr>
    </w:div>
    <w:div w:id="565262485">
      <w:bodyDiv w:val="1"/>
      <w:marLeft w:val="0"/>
      <w:marRight w:val="0"/>
      <w:marTop w:val="0"/>
      <w:marBottom w:val="0"/>
      <w:divBdr>
        <w:top w:val="none" w:sz="0" w:space="0" w:color="auto"/>
        <w:left w:val="none" w:sz="0" w:space="0" w:color="auto"/>
        <w:bottom w:val="none" w:sz="0" w:space="0" w:color="auto"/>
        <w:right w:val="none" w:sz="0" w:space="0" w:color="auto"/>
      </w:divBdr>
    </w:div>
    <w:div w:id="569385051">
      <w:bodyDiv w:val="1"/>
      <w:marLeft w:val="0"/>
      <w:marRight w:val="0"/>
      <w:marTop w:val="0"/>
      <w:marBottom w:val="0"/>
      <w:divBdr>
        <w:top w:val="none" w:sz="0" w:space="0" w:color="auto"/>
        <w:left w:val="none" w:sz="0" w:space="0" w:color="auto"/>
        <w:bottom w:val="none" w:sz="0" w:space="0" w:color="auto"/>
        <w:right w:val="none" w:sz="0" w:space="0" w:color="auto"/>
      </w:divBdr>
    </w:div>
    <w:div w:id="577207682">
      <w:bodyDiv w:val="1"/>
      <w:marLeft w:val="0"/>
      <w:marRight w:val="0"/>
      <w:marTop w:val="0"/>
      <w:marBottom w:val="0"/>
      <w:divBdr>
        <w:top w:val="none" w:sz="0" w:space="0" w:color="auto"/>
        <w:left w:val="none" w:sz="0" w:space="0" w:color="auto"/>
        <w:bottom w:val="none" w:sz="0" w:space="0" w:color="auto"/>
        <w:right w:val="none" w:sz="0" w:space="0" w:color="auto"/>
      </w:divBdr>
    </w:div>
    <w:div w:id="604773073">
      <w:bodyDiv w:val="1"/>
      <w:marLeft w:val="0"/>
      <w:marRight w:val="0"/>
      <w:marTop w:val="0"/>
      <w:marBottom w:val="0"/>
      <w:divBdr>
        <w:top w:val="none" w:sz="0" w:space="0" w:color="auto"/>
        <w:left w:val="none" w:sz="0" w:space="0" w:color="auto"/>
        <w:bottom w:val="none" w:sz="0" w:space="0" w:color="auto"/>
        <w:right w:val="none" w:sz="0" w:space="0" w:color="auto"/>
      </w:divBdr>
    </w:div>
    <w:div w:id="604777594">
      <w:bodyDiv w:val="1"/>
      <w:marLeft w:val="0"/>
      <w:marRight w:val="0"/>
      <w:marTop w:val="0"/>
      <w:marBottom w:val="0"/>
      <w:divBdr>
        <w:top w:val="none" w:sz="0" w:space="0" w:color="auto"/>
        <w:left w:val="none" w:sz="0" w:space="0" w:color="auto"/>
        <w:bottom w:val="none" w:sz="0" w:space="0" w:color="auto"/>
        <w:right w:val="none" w:sz="0" w:space="0" w:color="auto"/>
      </w:divBdr>
    </w:div>
    <w:div w:id="607784252">
      <w:bodyDiv w:val="1"/>
      <w:marLeft w:val="0"/>
      <w:marRight w:val="0"/>
      <w:marTop w:val="0"/>
      <w:marBottom w:val="0"/>
      <w:divBdr>
        <w:top w:val="none" w:sz="0" w:space="0" w:color="auto"/>
        <w:left w:val="none" w:sz="0" w:space="0" w:color="auto"/>
        <w:bottom w:val="none" w:sz="0" w:space="0" w:color="auto"/>
        <w:right w:val="none" w:sz="0" w:space="0" w:color="auto"/>
      </w:divBdr>
    </w:div>
    <w:div w:id="609898165">
      <w:bodyDiv w:val="1"/>
      <w:marLeft w:val="0"/>
      <w:marRight w:val="0"/>
      <w:marTop w:val="0"/>
      <w:marBottom w:val="0"/>
      <w:divBdr>
        <w:top w:val="none" w:sz="0" w:space="0" w:color="auto"/>
        <w:left w:val="none" w:sz="0" w:space="0" w:color="auto"/>
        <w:bottom w:val="none" w:sz="0" w:space="0" w:color="auto"/>
        <w:right w:val="none" w:sz="0" w:space="0" w:color="auto"/>
      </w:divBdr>
    </w:div>
    <w:div w:id="630137227">
      <w:bodyDiv w:val="1"/>
      <w:marLeft w:val="0"/>
      <w:marRight w:val="0"/>
      <w:marTop w:val="0"/>
      <w:marBottom w:val="0"/>
      <w:divBdr>
        <w:top w:val="none" w:sz="0" w:space="0" w:color="auto"/>
        <w:left w:val="none" w:sz="0" w:space="0" w:color="auto"/>
        <w:bottom w:val="none" w:sz="0" w:space="0" w:color="auto"/>
        <w:right w:val="none" w:sz="0" w:space="0" w:color="auto"/>
      </w:divBdr>
    </w:div>
    <w:div w:id="648050483">
      <w:bodyDiv w:val="1"/>
      <w:marLeft w:val="0"/>
      <w:marRight w:val="0"/>
      <w:marTop w:val="0"/>
      <w:marBottom w:val="0"/>
      <w:divBdr>
        <w:top w:val="none" w:sz="0" w:space="0" w:color="auto"/>
        <w:left w:val="none" w:sz="0" w:space="0" w:color="auto"/>
        <w:bottom w:val="none" w:sz="0" w:space="0" w:color="auto"/>
        <w:right w:val="none" w:sz="0" w:space="0" w:color="auto"/>
      </w:divBdr>
    </w:div>
    <w:div w:id="662438656">
      <w:bodyDiv w:val="1"/>
      <w:marLeft w:val="0"/>
      <w:marRight w:val="0"/>
      <w:marTop w:val="0"/>
      <w:marBottom w:val="0"/>
      <w:divBdr>
        <w:top w:val="none" w:sz="0" w:space="0" w:color="auto"/>
        <w:left w:val="none" w:sz="0" w:space="0" w:color="auto"/>
        <w:bottom w:val="none" w:sz="0" w:space="0" w:color="auto"/>
        <w:right w:val="none" w:sz="0" w:space="0" w:color="auto"/>
      </w:divBdr>
    </w:div>
    <w:div w:id="663826477">
      <w:bodyDiv w:val="1"/>
      <w:marLeft w:val="0"/>
      <w:marRight w:val="0"/>
      <w:marTop w:val="0"/>
      <w:marBottom w:val="0"/>
      <w:divBdr>
        <w:top w:val="none" w:sz="0" w:space="0" w:color="auto"/>
        <w:left w:val="none" w:sz="0" w:space="0" w:color="auto"/>
        <w:bottom w:val="none" w:sz="0" w:space="0" w:color="auto"/>
        <w:right w:val="none" w:sz="0" w:space="0" w:color="auto"/>
      </w:divBdr>
    </w:div>
    <w:div w:id="668172060">
      <w:bodyDiv w:val="1"/>
      <w:marLeft w:val="0"/>
      <w:marRight w:val="0"/>
      <w:marTop w:val="0"/>
      <w:marBottom w:val="0"/>
      <w:divBdr>
        <w:top w:val="none" w:sz="0" w:space="0" w:color="auto"/>
        <w:left w:val="none" w:sz="0" w:space="0" w:color="auto"/>
        <w:bottom w:val="none" w:sz="0" w:space="0" w:color="auto"/>
        <w:right w:val="none" w:sz="0" w:space="0" w:color="auto"/>
      </w:divBdr>
    </w:div>
    <w:div w:id="675234150">
      <w:bodyDiv w:val="1"/>
      <w:marLeft w:val="0"/>
      <w:marRight w:val="0"/>
      <w:marTop w:val="0"/>
      <w:marBottom w:val="0"/>
      <w:divBdr>
        <w:top w:val="none" w:sz="0" w:space="0" w:color="auto"/>
        <w:left w:val="none" w:sz="0" w:space="0" w:color="auto"/>
        <w:bottom w:val="none" w:sz="0" w:space="0" w:color="auto"/>
        <w:right w:val="none" w:sz="0" w:space="0" w:color="auto"/>
      </w:divBdr>
    </w:div>
    <w:div w:id="675621396">
      <w:bodyDiv w:val="1"/>
      <w:marLeft w:val="0"/>
      <w:marRight w:val="0"/>
      <w:marTop w:val="0"/>
      <w:marBottom w:val="0"/>
      <w:divBdr>
        <w:top w:val="none" w:sz="0" w:space="0" w:color="auto"/>
        <w:left w:val="none" w:sz="0" w:space="0" w:color="auto"/>
        <w:bottom w:val="none" w:sz="0" w:space="0" w:color="auto"/>
        <w:right w:val="none" w:sz="0" w:space="0" w:color="auto"/>
      </w:divBdr>
    </w:div>
    <w:div w:id="693113015">
      <w:bodyDiv w:val="1"/>
      <w:marLeft w:val="0"/>
      <w:marRight w:val="0"/>
      <w:marTop w:val="0"/>
      <w:marBottom w:val="0"/>
      <w:divBdr>
        <w:top w:val="none" w:sz="0" w:space="0" w:color="auto"/>
        <w:left w:val="none" w:sz="0" w:space="0" w:color="auto"/>
        <w:bottom w:val="none" w:sz="0" w:space="0" w:color="auto"/>
        <w:right w:val="none" w:sz="0" w:space="0" w:color="auto"/>
      </w:divBdr>
    </w:div>
    <w:div w:id="720593376">
      <w:bodyDiv w:val="1"/>
      <w:marLeft w:val="0"/>
      <w:marRight w:val="0"/>
      <w:marTop w:val="0"/>
      <w:marBottom w:val="0"/>
      <w:divBdr>
        <w:top w:val="none" w:sz="0" w:space="0" w:color="auto"/>
        <w:left w:val="none" w:sz="0" w:space="0" w:color="auto"/>
        <w:bottom w:val="none" w:sz="0" w:space="0" w:color="auto"/>
        <w:right w:val="none" w:sz="0" w:space="0" w:color="auto"/>
      </w:divBdr>
    </w:div>
    <w:div w:id="725883029">
      <w:bodyDiv w:val="1"/>
      <w:marLeft w:val="0"/>
      <w:marRight w:val="0"/>
      <w:marTop w:val="0"/>
      <w:marBottom w:val="0"/>
      <w:divBdr>
        <w:top w:val="none" w:sz="0" w:space="0" w:color="auto"/>
        <w:left w:val="none" w:sz="0" w:space="0" w:color="auto"/>
        <w:bottom w:val="none" w:sz="0" w:space="0" w:color="auto"/>
        <w:right w:val="none" w:sz="0" w:space="0" w:color="auto"/>
      </w:divBdr>
    </w:div>
    <w:div w:id="730619412">
      <w:bodyDiv w:val="1"/>
      <w:marLeft w:val="0"/>
      <w:marRight w:val="0"/>
      <w:marTop w:val="0"/>
      <w:marBottom w:val="0"/>
      <w:divBdr>
        <w:top w:val="none" w:sz="0" w:space="0" w:color="auto"/>
        <w:left w:val="none" w:sz="0" w:space="0" w:color="auto"/>
        <w:bottom w:val="none" w:sz="0" w:space="0" w:color="auto"/>
        <w:right w:val="none" w:sz="0" w:space="0" w:color="auto"/>
      </w:divBdr>
    </w:div>
    <w:div w:id="732700367">
      <w:bodyDiv w:val="1"/>
      <w:marLeft w:val="0"/>
      <w:marRight w:val="0"/>
      <w:marTop w:val="0"/>
      <w:marBottom w:val="0"/>
      <w:divBdr>
        <w:top w:val="none" w:sz="0" w:space="0" w:color="auto"/>
        <w:left w:val="none" w:sz="0" w:space="0" w:color="auto"/>
        <w:bottom w:val="none" w:sz="0" w:space="0" w:color="auto"/>
        <w:right w:val="none" w:sz="0" w:space="0" w:color="auto"/>
      </w:divBdr>
    </w:div>
    <w:div w:id="735083505">
      <w:bodyDiv w:val="1"/>
      <w:marLeft w:val="0"/>
      <w:marRight w:val="0"/>
      <w:marTop w:val="0"/>
      <w:marBottom w:val="0"/>
      <w:divBdr>
        <w:top w:val="none" w:sz="0" w:space="0" w:color="auto"/>
        <w:left w:val="none" w:sz="0" w:space="0" w:color="auto"/>
        <w:bottom w:val="none" w:sz="0" w:space="0" w:color="auto"/>
        <w:right w:val="none" w:sz="0" w:space="0" w:color="auto"/>
      </w:divBdr>
    </w:div>
    <w:div w:id="735320677">
      <w:bodyDiv w:val="1"/>
      <w:marLeft w:val="0"/>
      <w:marRight w:val="0"/>
      <w:marTop w:val="0"/>
      <w:marBottom w:val="0"/>
      <w:divBdr>
        <w:top w:val="none" w:sz="0" w:space="0" w:color="auto"/>
        <w:left w:val="none" w:sz="0" w:space="0" w:color="auto"/>
        <w:bottom w:val="none" w:sz="0" w:space="0" w:color="auto"/>
        <w:right w:val="none" w:sz="0" w:space="0" w:color="auto"/>
      </w:divBdr>
    </w:div>
    <w:div w:id="736317235">
      <w:bodyDiv w:val="1"/>
      <w:marLeft w:val="0"/>
      <w:marRight w:val="0"/>
      <w:marTop w:val="0"/>
      <w:marBottom w:val="0"/>
      <w:divBdr>
        <w:top w:val="none" w:sz="0" w:space="0" w:color="auto"/>
        <w:left w:val="none" w:sz="0" w:space="0" w:color="auto"/>
        <w:bottom w:val="none" w:sz="0" w:space="0" w:color="auto"/>
        <w:right w:val="none" w:sz="0" w:space="0" w:color="auto"/>
      </w:divBdr>
    </w:div>
    <w:div w:id="742483451">
      <w:bodyDiv w:val="1"/>
      <w:marLeft w:val="0"/>
      <w:marRight w:val="0"/>
      <w:marTop w:val="0"/>
      <w:marBottom w:val="0"/>
      <w:divBdr>
        <w:top w:val="none" w:sz="0" w:space="0" w:color="auto"/>
        <w:left w:val="none" w:sz="0" w:space="0" w:color="auto"/>
        <w:bottom w:val="none" w:sz="0" w:space="0" w:color="auto"/>
        <w:right w:val="none" w:sz="0" w:space="0" w:color="auto"/>
      </w:divBdr>
    </w:div>
    <w:div w:id="745958867">
      <w:bodyDiv w:val="1"/>
      <w:marLeft w:val="0"/>
      <w:marRight w:val="0"/>
      <w:marTop w:val="0"/>
      <w:marBottom w:val="0"/>
      <w:divBdr>
        <w:top w:val="none" w:sz="0" w:space="0" w:color="auto"/>
        <w:left w:val="none" w:sz="0" w:space="0" w:color="auto"/>
        <w:bottom w:val="none" w:sz="0" w:space="0" w:color="auto"/>
        <w:right w:val="none" w:sz="0" w:space="0" w:color="auto"/>
      </w:divBdr>
    </w:div>
    <w:div w:id="749501933">
      <w:bodyDiv w:val="1"/>
      <w:marLeft w:val="0"/>
      <w:marRight w:val="0"/>
      <w:marTop w:val="0"/>
      <w:marBottom w:val="0"/>
      <w:divBdr>
        <w:top w:val="none" w:sz="0" w:space="0" w:color="auto"/>
        <w:left w:val="none" w:sz="0" w:space="0" w:color="auto"/>
        <w:bottom w:val="none" w:sz="0" w:space="0" w:color="auto"/>
        <w:right w:val="none" w:sz="0" w:space="0" w:color="auto"/>
      </w:divBdr>
    </w:div>
    <w:div w:id="759640617">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773942444">
      <w:bodyDiv w:val="1"/>
      <w:marLeft w:val="0"/>
      <w:marRight w:val="0"/>
      <w:marTop w:val="0"/>
      <w:marBottom w:val="0"/>
      <w:divBdr>
        <w:top w:val="none" w:sz="0" w:space="0" w:color="auto"/>
        <w:left w:val="none" w:sz="0" w:space="0" w:color="auto"/>
        <w:bottom w:val="none" w:sz="0" w:space="0" w:color="auto"/>
        <w:right w:val="none" w:sz="0" w:space="0" w:color="auto"/>
      </w:divBdr>
    </w:div>
    <w:div w:id="779879053">
      <w:bodyDiv w:val="1"/>
      <w:marLeft w:val="0"/>
      <w:marRight w:val="0"/>
      <w:marTop w:val="0"/>
      <w:marBottom w:val="0"/>
      <w:divBdr>
        <w:top w:val="none" w:sz="0" w:space="0" w:color="auto"/>
        <w:left w:val="none" w:sz="0" w:space="0" w:color="auto"/>
        <w:bottom w:val="none" w:sz="0" w:space="0" w:color="auto"/>
        <w:right w:val="none" w:sz="0" w:space="0" w:color="auto"/>
      </w:divBdr>
    </w:div>
    <w:div w:id="784033393">
      <w:bodyDiv w:val="1"/>
      <w:marLeft w:val="0"/>
      <w:marRight w:val="0"/>
      <w:marTop w:val="0"/>
      <w:marBottom w:val="0"/>
      <w:divBdr>
        <w:top w:val="none" w:sz="0" w:space="0" w:color="auto"/>
        <w:left w:val="none" w:sz="0" w:space="0" w:color="auto"/>
        <w:bottom w:val="none" w:sz="0" w:space="0" w:color="auto"/>
        <w:right w:val="none" w:sz="0" w:space="0" w:color="auto"/>
      </w:divBdr>
    </w:div>
    <w:div w:id="799804453">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813907175">
      <w:bodyDiv w:val="1"/>
      <w:marLeft w:val="0"/>
      <w:marRight w:val="0"/>
      <w:marTop w:val="0"/>
      <w:marBottom w:val="0"/>
      <w:divBdr>
        <w:top w:val="none" w:sz="0" w:space="0" w:color="auto"/>
        <w:left w:val="none" w:sz="0" w:space="0" w:color="auto"/>
        <w:bottom w:val="none" w:sz="0" w:space="0" w:color="auto"/>
        <w:right w:val="none" w:sz="0" w:space="0" w:color="auto"/>
      </w:divBdr>
    </w:div>
    <w:div w:id="817847631">
      <w:bodyDiv w:val="1"/>
      <w:marLeft w:val="0"/>
      <w:marRight w:val="0"/>
      <w:marTop w:val="0"/>
      <w:marBottom w:val="0"/>
      <w:divBdr>
        <w:top w:val="none" w:sz="0" w:space="0" w:color="auto"/>
        <w:left w:val="none" w:sz="0" w:space="0" w:color="auto"/>
        <w:bottom w:val="none" w:sz="0" w:space="0" w:color="auto"/>
        <w:right w:val="none" w:sz="0" w:space="0" w:color="auto"/>
      </w:divBdr>
    </w:div>
    <w:div w:id="832335082">
      <w:bodyDiv w:val="1"/>
      <w:marLeft w:val="0"/>
      <w:marRight w:val="0"/>
      <w:marTop w:val="0"/>
      <w:marBottom w:val="0"/>
      <w:divBdr>
        <w:top w:val="none" w:sz="0" w:space="0" w:color="auto"/>
        <w:left w:val="none" w:sz="0" w:space="0" w:color="auto"/>
        <w:bottom w:val="none" w:sz="0" w:space="0" w:color="auto"/>
        <w:right w:val="none" w:sz="0" w:space="0" w:color="auto"/>
      </w:divBdr>
    </w:div>
    <w:div w:id="853882558">
      <w:bodyDiv w:val="1"/>
      <w:marLeft w:val="0"/>
      <w:marRight w:val="0"/>
      <w:marTop w:val="0"/>
      <w:marBottom w:val="0"/>
      <w:divBdr>
        <w:top w:val="none" w:sz="0" w:space="0" w:color="auto"/>
        <w:left w:val="none" w:sz="0" w:space="0" w:color="auto"/>
        <w:bottom w:val="none" w:sz="0" w:space="0" w:color="auto"/>
        <w:right w:val="none" w:sz="0" w:space="0" w:color="auto"/>
      </w:divBdr>
    </w:div>
    <w:div w:id="861014720">
      <w:bodyDiv w:val="1"/>
      <w:marLeft w:val="0"/>
      <w:marRight w:val="0"/>
      <w:marTop w:val="0"/>
      <w:marBottom w:val="0"/>
      <w:divBdr>
        <w:top w:val="none" w:sz="0" w:space="0" w:color="auto"/>
        <w:left w:val="none" w:sz="0" w:space="0" w:color="auto"/>
        <w:bottom w:val="none" w:sz="0" w:space="0" w:color="auto"/>
        <w:right w:val="none" w:sz="0" w:space="0" w:color="auto"/>
      </w:divBdr>
    </w:div>
    <w:div w:id="928467242">
      <w:bodyDiv w:val="1"/>
      <w:marLeft w:val="0"/>
      <w:marRight w:val="0"/>
      <w:marTop w:val="0"/>
      <w:marBottom w:val="0"/>
      <w:divBdr>
        <w:top w:val="none" w:sz="0" w:space="0" w:color="auto"/>
        <w:left w:val="none" w:sz="0" w:space="0" w:color="auto"/>
        <w:bottom w:val="none" w:sz="0" w:space="0" w:color="auto"/>
        <w:right w:val="none" w:sz="0" w:space="0" w:color="auto"/>
      </w:divBdr>
    </w:div>
    <w:div w:id="930815613">
      <w:bodyDiv w:val="1"/>
      <w:marLeft w:val="0"/>
      <w:marRight w:val="0"/>
      <w:marTop w:val="0"/>
      <w:marBottom w:val="0"/>
      <w:divBdr>
        <w:top w:val="none" w:sz="0" w:space="0" w:color="auto"/>
        <w:left w:val="none" w:sz="0" w:space="0" w:color="auto"/>
        <w:bottom w:val="none" w:sz="0" w:space="0" w:color="auto"/>
        <w:right w:val="none" w:sz="0" w:space="0" w:color="auto"/>
      </w:divBdr>
    </w:div>
    <w:div w:id="935672902">
      <w:bodyDiv w:val="1"/>
      <w:marLeft w:val="0"/>
      <w:marRight w:val="0"/>
      <w:marTop w:val="0"/>
      <w:marBottom w:val="0"/>
      <w:divBdr>
        <w:top w:val="none" w:sz="0" w:space="0" w:color="auto"/>
        <w:left w:val="none" w:sz="0" w:space="0" w:color="auto"/>
        <w:bottom w:val="none" w:sz="0" w:space="0" w:color="auto"/>
        <w:right w:val="none" w:sz="0" w:space="0" w:color="auto"/>
      </w:divBdr>
    </w:div>
    <w:div w:id="957494266">
      <w:bodyDiv w:val="1"/>
      <w:marLeft w:val="0"/>
      <w:marRight w:val="0"/>
      <w:marTop w:val="0"/>
      <w:marBottom w:val="0"/>
      <w:divBdr>
        <w:top w:val="none" w:sz="0" w:space="0" w:color="auto"/>
        <w:left w:val="none" w:sz="0" w:space="0" w:color="auto"/>
        <w:bottom w:val="none" w:sz="0" w:space="0" w:color="auto"/>
        <w:right w:val="none" w:sz="0" w:space="0" w:color="auto"/>
      </w:divBdr>
    </w:div>
    <w:div w:id="993215198">
      <w:bodyDiv w:val="1"/>
      <w:marLeft w:val="0"/>
      <w:marRight w:val="0"/>
      <w:marTop w:val="0"/>
      <w:marBottom w:val="0"/>
      <w:divBdr>
        <w:top w:val="none" w:sz="0" w:space="0" w:color="auto"/>
        <w:left w:val="none" w:sz="0" w:space="0" w:color="auto"/>
        <w:bottom w:val="none" w:sz="0" w:space="0" w:color="auto"/>
        <w:right w:val="none" w:sz="0" w:space="0" w:color="auto"/>
      </w:divBdr>
    </w:div>
    <w:div w:id="996113915">
      <w:bodyDiv w:val="1"/>
      <w:marLeft w:val="0"/>
      <w:marRight w:val="0"/>
      <w:marTop w:val="0"/>
      <w:marBottom w:val="0"/>
      <w:divBdr>
        <w:top w:val="none" w:sz="0" w:space="0" w:color="auto"/>
        <w:left w:val="none" w:sz="0" w:space="0" w:color="auto"/>
        <w:bottom w:val="none" w:sz="0" w:space="0" w:color="auto"/>
        <w:right w:val="none" w:sz="0" w:space="0" w:color="auto"/>
      </w:divBdr>
    </w:div>
    <w:div w:id="998264889">
      <w:bodyDiv w:val="1"/>
      <w:marLeft w:val="0"/>
      <w:marRight w:val="0"/>
      <w:marTop w:val="0"/>
      <w:marBottom w:val="0"/>
      <w:divBdr>
        <w:top w:val="none" w:sz="0" w:space="0" w:color="auto"/>
        <w:left w:val="none" w:sz="0" w:space="0" w:color="auto"/>
        <w:bottom w:val="none" w:sz="0" w:space="0" w:color="auto"/>
        <w:right w:val="none" w:sz="0" w:space="0" w:color="auto"/>
      </w:divBdr>
    </w:div>
    <w:div w:id="1009789993">
      <w:bodyDiv w:val="1"/>
      <w:marLeft w:val="0"/>
      <w:marRight w:val="0"/>
      <w:marTop w:val="0"/>
      <w:marBottom w:val="0"/>
      <w:divBdr>
        <w:top w:val="none" w:sz="0" w:space="0" w:color="auto"/>
        <w:left w:val="none" w:sz="0" w:space="0" w:color="auto"/>
        <w:bottom w:val="none" w:sz="0" w:space="0" w:color="auto"/>
        <w:right w:val="none" w:sz="0" w:space="0" w:color="auto"/>
      </w:divBdr>
    </w:div>
    <w:div w:id="1017080308">
      <w:bodyDiv w:val="1"/>
      <w:marLeft w:val="0"/>
      <w:marRight w:val="0"/>
      <w:marTop w:val="0"/>
      <w:marBottom w:val="0"/>
      <w:divBdr>
        <w:top w:val="none" w:sz="0" w:space="0" w:color="auto"/>
        <w:left w:val="none" w:sz="0" w:space="0" w:color="auto"/>
        <w:bottom w:val="none" w:sz="0" w:space="0" w:color="auto"/>
        <w:right w:val="none" w:sz="0" w:space="0" w:color="auto"/>
      </w:divBdr>
    </w:div>
    <w:div w:id="1031108953">
      <w:bodyDiv w:val="1"/>
      <w:marLeft w:val="0"/>
      <w:marRight w:val="0"/>
      <w:marTop w:val="0"/>
      <w:marBottom w:val="0"/>
      <w:divBdr>
        <w:top w:val="none" w:sz="0" w:space="0" w:color="auto"/>
        <w:left w:val="none" w:sz="0" w:space="0" w:color="auto"/>
        <w:bottom w:val="none" w:sz="0" w:space="0" w:color="auto"/>
        <w:right w:val="none" w:sz="0" w:space="0" w:color="auto"/>
      </w:divBdr>
    </w:div>
    <w:div w:id="1048067423">
      <w:bodyDiv w:val="1"/>
      <w:marLeft w:val="0"/>
      <w:marRight w:val="0"/>
      <w:marTop w:val="0"/>
      <w:marBottom w:val="0"/>
      <w:divBdr>
        <w:top w:val="none" w:sz="0" w:space="0" w:color="auto"/>
        <w:left w:val="none" w:sz="0" w:space="0" w:color="auto"/>
        <w:bottom w:val="none" w:sz="0" w:space="0" w:color="auto"/>
        <w:right w:val="none" w:sz="0" w:space="0" w:color="auto"/>
      </w:divBdr>
    </w:div>
    <w:div w:id="1098988660">
      <w:bodyDiv w:val="1"/>
      <w:marLeft w:val="0"/>
      <w:marRight w:val="0"/>
      <w:marTop w:val="0"/>
      <w:marBottom w:val="0"/>
      <w:divBdr>
        <w:top w:val="none" w:sz="0" w:space="0" w:color="auto"/>
        <w:left w:val="none" w:sz="0" w:space="0" w:color="auto"/>
        <w:bottom w:val="none" w:sz="0" w:space="0" w:color="auto"/>
        <w:right w:val="none" w:sz="0" w:space="0" w:color="auto"/>
      </w:divBdr>
    </w:div>
    <w:div w:id="1106732704">
      <w:bodyDiv w:val="1"/>
      <w:marLeft w:val="0"/>
      <w:marRight w:val="0"/>
      <w:marTop w:val="0"/>
      <w:marBottom w:val="0"/>
      <w:divBdr>
        <w:top w:val="none" w:sz="0" w:space="0" w:color="auto"/>
        <w:left w:val="none" w:sz="0" w:space="0" w:color="auto"/>
        <w:bottom w:val="none" w:sz="0" w:space="0" w:color="auto"/>
        <w:right w:val="none" w:sz="0" w:space="0" w:color="auto"/>
      </w:divBdr>
    </w:div>
    <w:div w:id="1109741215">
      <w:bodyDiv w:val="1"/>
      <w:marLeft w:val="0"/>
      <w:marRight w:val="0"/>
      <w:marTop w:val="0"/>
      <w:marBottom w:val="0"/>
      <w:divBdr>
        <w:top w:val="none" w:sz="0" w:space="0" w:color="auto"/>
        <w:left w:val="none" w:sz="0" w:space="0" w:color="auto"/>
        <w:bottom w:val="none" w:sz="0" w:space="0" w:color="auto"/>
        <w:right w:val="none" w:sz="0" w:space="0" w:color="auto"/>
      </w:divBdr>
    </w:div>
    <w:div w:id="1145510965">
      <w:bodyDiv w:val="1"/>
      <w:marLeft w:val="0"/>
      <w:marRight w:val="0"/>
      <w:marTop w:val="0"/>
      <w:marBottom w:val="0"/>
      <w:divBdr>
        <w:top w:val="none" w:sz="0" w:space="0" w:color="auto"/>
        <w:left w:val="none" w:sz="0" w:space="0" w:color="auto"/>
        <w:bottom w:val="none" w:sz="0" w:space="0" w:color="auto"/>
        <w:right w:val="none" w:sz="0" w:space="0" w:color="auto"/>
      </w:divBdr>
    </w:div>
    <w:div w:id="1150751526">
      <w:bodyDiv w:val="1"/>
      <w:marLeft w:val="0"/>
      <w:marRight w:val="0"/>
      <w:marTop w:val="0"/>
      <w:marBottom w:val="0"/>
      <w:divBdr>
        <w:top w:val="none" w:sz="0" w:space="0" w:color="auto"/>
        <w:left w:val="none" w:sz="0" w:space="0" w:color="auto"/>
        <w:bottom w:val="none" w:sz="0" w:space="0" w:color="auto"/>
        <w:right w:val="none" w:sz="0" w:space="0" w:color="auto"/>
      </w:divBdr>
    </w:div>
    <w:div w:id="1184519006">
      <w:bodyDiv w:val="1"/>
      <w:marLeft w:val="0"/>
      <w:marRight w:val="0"/>
      <w:marTop w:val="0"/>
      <w:marBottom w:val="0"/>
      <w:divBdr>
        <w:top w:val="none" w:sz="0" w:space="0" w:color="auto"/>
        <w:left w:val="none" w:sz="0" w:space="0" w:color="auto"/>
        <w:bottom w:val="none" w:sz="0" w:space="0" w:color="auto"/>
        <w:right w:val="none" w:sz="0" w:space="0" w:color="auto"/>
      </w:divBdr>
    </w:div>
    <w:div w:id="1189368945">
      <w:bodyDiv w:val="1"/>
      <w:marLeft w:val="0"/>
      <w:marRight w:val="0"/>
      <w:marTop w:val="0"/>
      <w:marBottom w:val="0"/>
      <w:divBdr>
        <w:top w:val="none" w:sz="0" w:space="0" w:color="auto"/>
        <w:left w:val="none" w:sz="0" w:space="0" w:color="auto"/>
        <w:bottom w:val="none" w:sz="0" w:space="0" w:color="auto"/>
        <w:right w:val="none" w:sz="0" w:space="0" w:color="auto"/>
      </w:divBdr>
    </w:div>
    <w:div w:id="1199854278">
      <w:bodyDiv w:val="1"/>
      <w:marLeft w:val="0"/>
      <w:marRight w:val="0"/>
      <w:marTop w:val="0"/>
      <w:marBottom w:val="0"/>
      <w:divBdr>
        <w:top w:val="none" w:sz="0" w:space="0" w:color="auto"/>
        <w:left w:val="none" w:sz="0" w:space="0" w:color="auto"/>
        <w:bottom w:val="none" w:sz="0" w:space="0" w:color="auto"/>
        <w:right w:val="none" w:sz="0" w:space="0" w:color="auto"/>
      </w:divBdr>
    </w:div>
    <w:div w:id="1216627931">
      <w:bodyDiv w:val="1"/>
      <w:marLeft w:val="0"/>
      <w:marRight w:val="0"/>
      <w:marTop w:val="0"/>
      <w:marBottom w:val="0"/>
      <w:divBdr>
        <w:top w:val="none" w:sz="0" w:space="0" w:color="auto"/>
        <w:left w:val="none" w:sz="0" w:space="0" w:color="auto"/>
        <w:bottom w:val="none" w:sz="0" w:space="0" w:color="auto"/>
        <w:right w:val="none" w:sz="0" w:space="0" w:color="auto"/>
      </w:divBdr>
    </w:div>
    <w:div w:id="1226378337">
      <w:bodyDiv w:val="1"/>
      <w:marLeft w:val="0"/>
      <w:marRight w:val="0"/>
      <w:marTop w:val="0"/>
      <w:marBottom w:val="0"/>
      <w:divBdr>
        <w:top w:val="none" w:sz="0" w:space="0" w:color="auto"/>
        <w:left w:val="none" w:sz="0" w:space="0" w:color="auto"/>
        <w:bottom w:val="none" w:sz="0" w:space="0" w:color="auto"/>
        <w:right w:val="none" w:sz="0" w:space="0" w:color="auto"/>
      </w:divBdr>
    </w:div>
    <w:div w:id="1285767083">
      <w:bodyDiv w:val="1"/>
      <w:marLeft w:val="0"/>
      <w:marRight w:val="0"/>
      <w:marTop w:val="0"/>
      <w:marBottom w:val="0"/>
      <w:divBdr>
        <w:top w:val="none" w:sz="0" w:space="0" w:color="auto"/>
        <w:left w:val="none" w:sz="0" w:space="0" w:color="auto"/>
        <w:bottom w:val="none" w:sz="0" w:space="0" w:color="auto"/>
        <w:right w:val="none" w:sz="0" w:space="0" w:color="auto"/>
      </w:divBdr>
    </w:div>
    <w:div w:id="1290551751">
      <w:bodyDiv w:val="1"/>
      <w:marLeft w:val="0"/>
      <w:marRight w:val="0"/>
      <w:marTop w:val="0"/>
      <w:marBottom w:val="0"/>
      <w:divBdr>
        <w:top w:val="none" w:sz="0" w:space="0" w:color="auto"/>
        <w:left w:val="none" w:sz="0" w:space="0" w:color="auto"/>
        <w:bottom w:val="none" w:sz="0" w:space="0" w:color="auto"/>
        <w:right w:val="none" w:sz="0" w:space="0" w:color="auto"/>
      </w:divBdr>
    </w:div>
    <w:div w:id="1290743228">
      <w:bodyDiv w:val="1"/>
      <w:marLeft w:val="0"/>
      <w:marRight w:val="0"/>
      <w:marTop w:val="0"/>
      <w:marBottom w:val="0"/>
      <w:divBdr>
        <w:top w:val="none" w:sz="0" w:space="0" w:color="auto"/>
        <w:left w:val="none" w:sz="0" w:space="0" w:color="auto"/>
        <w:bottom w:val="none" w:sz="0" w:space="0" w:color="auto"/>
        <w:right w:val="none" w:sz="0" w:space="0" w:color="auto"/>
      </w:divBdr>
    </w:div>
    <w:div w:id="1291518757">
      <w:bodyDiv w:val="1"/>
      <w:marLeft w:val="0"/>
      <w:marRight w:val="0"/>
      <w:marTop w:val="0"/>
      <w:marBottom w:val="0"/>
      <w:divBdr>
        <w:top w:val="none" w:sz="0" w:space="0" w:color="auto"/>
        <w:left w:val="none" w:sz="0" w:space="0" w:color="auto"/>
        <w:bottom w:val="none" w:sz="0" w:space="0" w:color="auto"/>
        <w:right w:val="none" w:sz="0" w:space="0" w:color="auto"/>
      </w:divBdr>
    </w:div>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331910837">
      <w:bodyDiv w:val="1"/>
      <w:marLeft w:val="0"/>
      <w:marRight w:val="0"/>
      <w:marTop w:val="0"/>
      <w:marBottom w:val="0"/>
      <w:divBdr>
        <w:top w:val="none" w:sz="0" w:space="0" w:color="auto"/>
        <w:left w:val="none" w:sz="0" w:space="0" w:color="auto"/>
        <w:bottom w:val="none" w:sz="0" w:space="0" w:color="auto"/>
        <w:right w:val="none" w:sz="0" w:space="0" w:color="auto"/>
      </w:divBdr>
    </w:div>
    <w:div w:id="1332486524">
      <w:bodyDiv w:val="1"/>
      <w:marLeft w:val="0"/>
      <w:marRight w:val="0"/>
      <w:marTop w:val="0"/>
      <w:marBottom w:val="0"/>
      <w:divBdr>
        <w:top w:val="none" w:sz="0" w:space="0" w:color="auto"/>
        <w:left w:val="none" w:sz="0" w:space="0" w:color="auto"/>
        <w:bottom w:val="none" w:sz="0" w:space="0" w:color="auto"/>
        <w:right w:val="none" w:sz="0" w:space="0" w:color="auto"/>
      </w:divBdr>
    </w:div>
    <w:div w:id="1333802113">
      <w:bodyDiv w:val="1"/>
      <w:marLeft w:val="0"/>
      <w:marRight w:val="0"/>
      <w:marTop w:val="0"/>
      <w:marBottom w:val="0"/>
      <w:divBdr>
        <w:top w:val="none" w:sz="0" w:space="0" w:color="auto"/>
        <w:left w:val="none" w:sz="0" w:space="0" w:color="auto"/>
        <w:bottom w:val="none" w:sz="0" w:space="0" w:color="auto"/>
        <w:right w:val="none" w:sz="0" w:space="0" w:color="auto"/>
      </w:divBdr>
    </w:div>
    <w:div w:id="1347051660">
      <w:bodyDiv w:val="1"/>
      <w:marLeft w:val="0"/>
      <w:marRight w:val="0"/>
      <w:marTop w:val="0"/>
      <w:marBottom w:val="0"/>
      <w:divBdr>
        <w:top w:val="none" w:sz="0" w:space="0" w:color="auto"/>
        <w:left w:val="none" w:sz="0" w:space="0" w:color="auto"/>
        <w:bottom w:val="none" w:sz="0" w:space="0" w:color="auto"/>
        <w:right w:val="none" w:sz="0" w:space="0" w:color="auto"/>
      </w:divBdr>
    </w:div>
    <w:div w:id="1417049570">
      <w:bodyDiv w:val="1"/>
      <w:marLeft w:val="0"/>
      <w:marRight w:val="0"/>
      <w:marTop w:val="0"/>
      <w:marBottom w:val="0"/>
      <w:divBdr>
        <w:top w:val="none" w:sz="0" w:space="0" w:color="auto"/>
        <w:left w:val="none" w:sz="0" w:space="0" w:color="auto"/>
        <w:bottom w:val="none" w:sz="0" w:space="0" w:color="auto"/>
        <w:right w:val="none" w:sz="0" w:space="0" w:color="auto"/>
      </w:divBdr>
    </w:div>
    <w:div w:id="1427195327">
      <w:bodyDiv w:val="1"/>
      <w:marLeft w:val="0"/>
      <w:marRight w:val="0"/>
      <w:marTop w:val="0"/>
      <w:marBottom w:val="0"/>
      <w:divBdr>
        <w:top w:val="none" w:sz="0" w:space="0" w:color="auto"/>
        <w:left w:val="none" w:sz="0" w:space="0" w:color="auto"/>
        <w:bottom w:val="none" w:sz="0" w:space="0" w:color="auto"/>
        <w:right w:val="none" w:sz="0" w:space="0" w:color="auto"/>
      </w:divBdr>
    </w:div>
    <w:div w:id="1443764850">
      <w:bodyDiv w:val="1"/>
      <w:marLeft w:val="0"/>
      <w:marRight w:val="0"/>
      <w:marTop w:val="0"/>
      <w:marBottom w:val="0"/>
      <w:divBdr>
        <w:top w:val="none" w:sz="0" w:space="0" w:color="auto"/>
        <w:left w:val="none" w:sz="0" w:space="0" w:color="auto"/>
        <w:bottom w:val="none" w:sz="0" w:space="0" w:color="auto"/>
        <w:right w:val="none" w:sz="0" w:space="0" w:color="auto"/>
      </w:divBdr>
    </w:div>
    <w:div w:id="1467814344">
      <w:bodyDiv w:val="1"/>
      <w:marLeft w:val="0"/>
      <w:marRight w:val="0"/>
      <w:marTop w:val="0"/>
      <w:marBottom w:val="0"/>
      <w:divBdr>
        <w:top w:val="none" w:sz="0" w:space="0" w:color="auto"/>
        <w:left w:val="none" w:sz="0" w:space="0" w:color="auto"/>
        <w:bottom w:val="none" w:sz="0" w:space="0" w:color="auto"/>
        <w:right w:val="none" w:sz="0" w:space="0" w:color="auto"/>
      </w:divBdr>
    </w:div>
    <w:div w:id="1479687726">
      <w:bodyDiv w:val="1"/>
      <w:marLeft w:val="0"/>
      <w:marRight w:val="0"/>
      <w:marTop w:val="0"/>
      <w:marBottom w:val="0"/>
      <w:divBdr>
        <w:top w:val="none" w:sz="0" w:space="0" w:color="auto"/>
        <w:left w:val="none" w:sz="0" w:space="0" w:color="auto"/>
        <w:bottom w:val="none" w:sz="0" w:space="0" w:color="auto"/>
        <w:right w:val="none" w:sz="0" w:space="0" w:color="auto"/>
      </w:divBdr>
    </w:div>
    <w:div w:id="1509639802">
      <w:bodyDiv w:val="1"/>
      <w:marLeft w:val="0"/>
      <w:marRight w:val="0"/>
      <w:marTop w:val="0"/>
      <w:marBottom w:val="0"/>
      <w:divBdr>
        <w:top w:val="none" w:sz="0" w:space="0" w:color="auto"/>
        <w:left w:val="none" w:sz="0" w:space="0" w:color="auto"/>
        <w:bottom w:val="none" w:sz="0" w:space="0" w:color="auto"/>
        <w:right w:val="none" w:sz="0" w:space="0" w:color="auto"/>
      </w:divBdr>
    </w:div>
    <w:div w:id="1510634385">
      <w:bodyDiv w:val="1"/>
      <w:marLeft w:val="0"/>
      <w:marRight w:val="0"/>
      <w:marTop w:val="0"/>
      <w:marBottom w:val="0"/>
      <w:divBdr>
        <w:top w:val="none" w:sz="0" w:space="0" w:color="auto"/>
        <w:left w:val="none" w:sz="0" w:space="0" w:color="auto"/>
        <w:bottom w:val="none" w:sz="0" w:space="0" w:color="auto"/>
        <w:right w:val="none" w:sz="0" w:space="0" w:color="auto"/>
      </w:divBdr>
    </w:div>
    <w:div w:id="1514107327">
      <w:bodyDiv w:val="1"/>
      <w:marLeft w:val="0"/>
      <w:marRight w:val="0"/>
      <w:marTop w:val="0"/>
      <w:marBottom w:val="0"/>
      <w:divBdr>
        <w:top w:val="none" w:sz="0" w:space="0" w:color="auto"/>
        <w:left w:val="none" w:sz="0" w:space="0" w:color="auto"/>
        <w:bottom w:val="none" w:sz="0" w:space="0" w:color="auto"/>
        <w:right w:val="none" w:sz="0" w:space="0" w:color="auto"/>
      </w:divBdr>
    </w:div>
    <w:div w:id="1546600691">
      <w:bodyDiv w:val="1"/>
      <w:marLeft w:val="0"/>
      <w:marRight w:val="0"/>
      <w:marTop w:val="0"/>
      <w:marBottom w:val="0"/>
      <w:divBdr>
        <w:top w:val="none" w:sz="0" w:space="0" w:color="auto"/>
        <w:left w:val="none" w:sz="0" w:space="0" w:color="auto"/>
        <w:bottom w:val="none" w:sz="0" w:space="0" w:color="auto"/>
        <w:right w:val="none" w:sz="0" w:space="0" w:color="auto"/>
      </w:divBdr>
    </w:div>
    <w:div w:id="1551264962">
      <w:bodyDiv w:val="1"/>
      <w:marLeft w:val="0"/>
      <w:marRight w:val="0"/>
      <w:marTop w:val="0"/>
      <w:marBottom w:val="0"/>
      <w:divBdr>
        <w:top w:val="none" w:sz="0" w:space="0" w:color="auto"/>
        <w:left w:val="none" w:sz="0" w:space="0" w:color="auto"/>
        <w:bottom w:val="none" w:sz="0" w:space="0" w:color="auto"/>
        <w:right w:val="none" w:sz="0" w:space="0" w:color="auto"/>
      </w:divBdr>
    </w:div>
    <w:div w:id="1551989970">
      <w:bodyDiv w:val="1"/>
      <w:marLeft w:val="0"/>
      <w:marRight w:val="0"/>
      <w:marTop w:val="0"/>
      <w:marBottom w:val="0"/>
      <w:divBdr>
        <w:top w:val="none" w:sz="0" w:space="0" w:color="auto"/>
        <w:left w:val="none" w:sz="0" w:space="0" w:color="auto"/>
        <w:bottom w:val="none" w:sz="0" w:space="0" w:color="auto"/>
        <w:right w:val="none" w:sz="0" w:space="0" w:color="auto"/>
      </w:divBdr>
    </w:div>
    <w:div w:id="1569076644">
      <w:bodyDiv w:val="1"/>
      <w:marLeft w:val="0"/>
      <w:marRight w:val="0"/>
      <w:marTop w:val="0"/>
      <w:marBottom w:val="0"/>
      <w:divBdr>
        <w:top w:val="none" w:sz="0" w:space="0" w:color="auto"/>
        <w:left w:val="none" w:sz="0" w:space="0" w:color="auto"/>
        <w:bottom w:val="none" w:sz="0" w:space="0" w:color="auto"/>
        <w:right w:val="none" w:sz="0" w:space="0" w:color="auto"/>
      </w:divBdr>
    </w:div>
    <w:div w:id="1615551749">
      <w:bodyDiv w:val="1"/>
      <w:marLeft w:val="0"/>
      <w:marRight w:val="0"/>
      <w:marTop w:val="0"/>
      <w:marBottom w:val="0"/>
      <w:divBdr>
        <w:top w:val="none" w:sz="0" w:space="0" w:color="auto"/>
        <w:left w:val="none" w:sz="0" w:space="0" w:color="auto"/>
        <w:bottom w:val="none" w:sz="0" w:space="0" w:color="auto"/>
        <w:right w:val="none" w:sz="0" w:space="0" w:color="auto"/>
      </w:divBdr>
    </w:div>
    <w:div w:id="1627201772">
      <w:bodyDiv w:val="1"/>
      <w:marLeft w:val="0"/>
      <w:marRight w:val="0"/>
      <w:marTop w:val="0"/>
      <w:marBottom w:val="0"/>
      <w:divBdr>
        <w:top w:val="none" w:sz="0" w:space="0" w:color="auto"/>
        <w:left w:val="none" w:sz="0" w:space="0" w:color="auto"/>
        <w:bottom w:val="none" w:sz="0" w:space="0" w:color="auto"/>
        <w:right w:val="none" w:sz="0" w:space="0" w:color="auto"/>
      </w:divBdr>
    </w:div>
    <w:div w:id="1661809468">
      <w:bodyDiv w:val="1"/>
      <w:marLeft w:val="0"/>
      <w:marRight w:val="0"/>
      <w:marTop w:val="0"/>
      <w:marBottom w:val="0"/>
      <w:divBdr>
        <w:top w:val="none" w:sz="0" w:space="0" w:color="auto"/>
        <w:left w:val="none" w:sz="0" w:space="0" w:color="auto"/>
        <w:bottom w:val="none" w:sz="0" w:space="0" w:color="auto"/>
        <w:right w:val="none" w:sz="0" w:space="0" w:color="auto"/>
      </w:divBdr>
    </w:div>
    <w:div w:id="1672296874">
      <w:bodyDiv w:val="1"/>
      <w:marLeft w:val="0"/>
      <w:marRight w:val="0"/>
      <w:marTop w:val="0"/>
      <w:marBottom w:val="0"/>
      <w:divBdr>
        <w:top w:val="none" w:sz="0" w:space="0" w:color="auto"/>
        <w:left w:val="none" w:sz="0" w:space="0" w:color="auto"/>
        <w:bottom w:val="none" w:sz="0" w:space="0" w:color="auto"/>
        <w:right w:val="none" w:sz="0" w:space="0" w:color="auto"/>
      </w:divBdr>
    </w:div>
    <w:div w:id="1674069028">
      <w:bodyDiv w:val="1"/>
      <w:marLeft w:val="0"/>
      <w:marRight w:val="0"/>
      <w:marTop w:val="0"/>
      <w:marBottom w:val="0"/>
      <w:divBdr>
        <w:top w:val="none" w:sz="0" w:space="0" w:color="auto"/>
        <w:left w:val="none" w:sz="0" w:space="0" w:color="auto"/>
        <w:bottom w:val="none" w:sz="0" w:space="0" w:color="auto"/>
        <w:right w:val="none" w:sz="0" w:space="0" w:color="auto"/>
      </w:divBdr>
    </w:div>
    <w:div w:id="1681155731">
      <w:bodyDiv w:val="1"/>
      <w:marLeft w:val="0"/>
      <w:marRight w:val="0"/>
      <w:marTop w:val="0"/>
      <w:marBottom w:val="0"/>
      <w:divBdr>
        <w:top w:val="none" w:sz="0" w:space="0" w:color="auto"/>
        <w:left w:val="none" w:sz="0" w:space="0" w:color="auto"/>
        <w:bottom w:val="none" w:sz="0" w:space="0" w:color="auto"/>
        <w:right w:val="none" w:sz="0" w:space="0" w:color="auto"/>
      </w:divBdr>
    </w:div>
    <w:div w:id="1692996994">
      <w:bodyDiv w:val="1"/>
      <w:marLeft w:val="0"/>
      <w:marRight w:val="0"/>
      <w:marTop w:val="0"/>
      <w:marBottom w:val="0"/>
      <w:divBdr>
        <w:top w:val="none" w:sz="0" w:space="0" w:color="auto"/>
        <w:left w:val="none" w:sz="0" w:space="0" w:color="auto"/>
        <w:bottom w:val="none" w:sz="0" w:space="0" w:color="auto"/>
        <w:right w:val="none" w:sz="0" w:space="0" w:color="auto"/>
      </w:divBdr>
    </w:div>
    <w:div w:id="1712029663">
      <w:bodyDiv w:val="1"/>
      <w:marLeft w:val="0"/>
      <w:marRight w:val="0"/>
      <w:marTop w:val="0"/>
      <w:marBottom w:val="0"/>
      <w:divBdr>
        <w:top w:val="none" w:sz="0" w:space="0" w:color="auto"/>
        <w:left w:val="none" w:sz="0" w:space="0" w:color="auto"/>
        <w:bottom w:val="none" w:sz="0" w:space="0" w:color="auto"/>
        <w:right w:val="none" w:sz="0" w:space="0" w:color="auto"/>
      </w:divBdr>
    </w:div>
    <w:div w:id="1722091931">
      <w:bodyDiv w:val="1"/>
      <w:marLeft w:val="0"/>
      <w:marRight w:val="0"/>
      <w:marTop w:val="0"/>
      <w:marBottom w:val="0"/>
      <w:divBdr>
        <w:top w:val="none" w:sz="0" w:space="0" w:color="auto"/>
        <w:left w:val="none" w:sz="0" w:space="0" w:color="auto"/>
        <w:bottom w:val="none" w:sz="0" w:space="0" w:color="auto"/>
        <w:right w:val="none" w:sz="0" w:space="0" w:color="auto"/>
      </w:divBdr>
    </w:div>
    <w:div w:id="1729109265">
      <w:bodyDiv w:val="1"/>
      <w:marLeft w:val="0"/>
      <w:marRight w:val="0"/>
      <w:marTop w:val="0"/>
      <w:marBottom w:val="0"/>
      <w:divBdr>
        <w:top w:val="none" w:sz="0" w:space="0" w:color="auto"/>
        <w:left w:val="none" w:sz="0" w:space="0" w:color="auto"/>
        <w:bottom w:val="none" w:sz="0" w:space="0" w:color="auto"/>
        <w:right w:val="none" w:sz="0" w:space="0" w:color="auto"/>
      </w:divBdr>
    </w:div>
    <w:div w:id="1784954832">
      <w:bodyDiv w:val="1"/>
      <w:marLeft w:val="0"/>
      <w:marRight w:val="0"/>
      <w:marTop w:val="0"/>
      <w:marBottom w:val="0"/>
      <w:divBdr>
        <w:top w:val="none" w:sz="0" w:space="0" w:color="auto"/>
        <w:left w:val="none" w:sz="0" w:space="0" w:color="auto"/>
        <w:bottom w:val="none" w:sz="0" w:space="0" w:color="auto"/>
        <w:right w:val="none" w:sz="0" w:space="0" w:color="auto"/>
      </w:divBdr>
    </w:div>
    <w:div w:id="1789160913">
      <w:bodyDiv w:val="1"/>
      <w:marLeft w:val="0"/>
      <w:marRight w:val="0"/>
      <w:marTop w:val="0"/>
      <w:marBottom w:val="0"/>
      <w:divBdr>
        <w:top w:val="none" w:sz="0" w:space="0" w:color="auto"/>
        <w:left w:val="none" w:sz="0" w:space="0" w:color="auto"/>
        <w:bottom w:val="none" w:sz="0" w:space="0" w:color="auto"/>
        <w:right w:val="none" w:sz="0" w:space="0" w:color="auto"/>
      </w:divBdr>
    </w:div>
    <w:div w:id="1801991746">
      <w:bodyDiv w:val="1"/>
      <w:marLeft w:val="0"/>
      <w:marRight w:val="0"/>
      <w:marTop w:val="0"/>
      <w:marBottom w:val="0"/>
      <w:divBdr>
        <w:top w:val="none" w:sz="0" w:space="0" w:color="auto"/>
        <w:left w:val="none" w:sz="0" w:space="0" w:color="auto"/>
        <w:bottom w:val="none" w:sz="0" w:space="0" w:color="auto"/>
        <w:right w:val="none" w:sz="0" w:space="0" w:color="auto"/>
      </w:divBdr>
    </w:div>
    <w:div w:id="1802310589">
      <w:bodyDiv w:val="1"/>
      <w:marLeft w:val="0"/>
      <w:marRight w:val="0"/>
      <w:marTop w:val="0"/>
      <w:marBottom w:val="0"/>
      <w:divBdr>
        <w:top w:val="none" w:sz="0" w:space="0" w:color="auto"/>
        <w:left w:val="none" w:sz="0" w:space="0" w:color="auto"/>
        <w:bottom w:val="none" w:sz="0" w:space="0" w:color="auto"/>
        <w:right w:val="none" w:sz="0" w:space="0" w:color="auto"/>
      </w:divBdr>
    </w:div>
    <w:div w:id="1833788960">
      <w:bodyDiv w:val="1"/>
      <w:marLeft w:val="0"/>
      <w:marRight w:val="0"/>
      <w:marTop w:val="0"/>
      <w:marBottom w:val="0"/>
      <w:divBdr>
        <w:top w:val="none" w:sz="0" w:space="0" w:color="auto"/>
        <w:left w:val="none" w:sz="0" w:space="0" w:color="auto"/>
        <w:bottom w:val="none" w:sz="0" w:space="0" w:color="auto"/>
        <w:right w:val="none" w:sz="0" w:space="0" w:color="auto"/>
      </w:divBdr>
    </w:div>
    <w:div w:id="1882858573">
      <w:bodyDiv w:val="1"/>
      <w:marLeft w:val="0"/>
      <w:marRight w:val="0"/>
      <w:marTop w:val="0"/>
      <w:marBottom w:val="0"/>
      <w:divBdr>
        <w:top w:val="none" w:sz="0" w:space="0" w:color="auto"/>
        <w:left w:val="none" w:sz="0" w:space="0" w:color="auto"/>
        <w:bottom w:val="none" w:sz="0" w:space="0" w:color="auto"/>
        <w:right w:val="none" w:sz="0" w:space="0" w:color="auto"/>
      </w:divBdr>
    </w:div>
    <w:div w:id="1891572870">
      <w:bodyDiv w:val="1"/>
      <w:marLeft w:val="0"/>
      <w:marRight w:val="0"/>
      <w:marTop w:val="0"/>
      <w:marBottom w:val="0"/>
      <w:divBdr>
        <w:top w:val="none" w:sz="0" w:space="0" w:color="auto"/>
        <w:left w:val="none" w:sz="0" w:space="0" w:color="auto"/>
        <w:bottom w:val="none" w:sz="0" w:space="0" w:color="auto"/>
        <w:right w:val="none" w:sz="0" w:space="0" w:color="auto"/>
      </w:divBdr>
    </w:div>
    <w:div w:id="191596519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 w:id="1927379670">
      <w:bodyDiv w:val="1"/>
      <w:marLeft w:val="0"/>
      <w:marRight w:val="0"/>
      <w:marTop w:val="0"/>
      <w:marBottom w:val="0"/>
      <w:divBdr>
        <w:top w:val="none" w:sz="0" w:space="0" w:color="auto"/>
        <w:left w:val="none" w:sz="0" w:space="0" w:color="auto"/>
        <w:bottom w:val="none" w:sz="0" w:space="0" w:color="auto"/>
        <w:right w:val="none" w:sz="0" w:space="0" w:color="auto"/>
      </w:divBdr>
    </w:div>
    <w:div w:id="1952782558">
      <w:bodyDiv w:val="1"/>
      <w:marLeft w:val="0"/>
      <w:marRight w:val="0"/>
      <w:marTop w:val="0"/>
      <w:marBottom w:val="0"/>
      <w:divBdr>
        <w:top w:val="none" w:sz="0" w:space="0" w:color="auto"/>
        <w:left w:val="none" w:sz="0" w:space="0" w:color="auto"/>
        <w:bottom w:val="none" w:sz="0" w:space="0" w:color="auto"/>
        <w:right w:val="none" w:sz="0" w:space="0" w:color="auto"/>
      </w:divBdr>
    </w:div>
    <w:div w:id="1957449051">
      <w:bodyDiv w:val="1"/>
      <w:marLeft w:val="0"/>
      <w:marRight w:val="0"/>
      <w:marTop w:val="0"/>
      <w:marBottom w:val="0"/>
      <w:divBdr>
        <w:top w:val="none" w:sz="0" w:space="0" w:color="auto"/>
        <w:left w:val="none" w:sz="0" w:space="0" w:color="auto"/>
        <w:bottom w:val="none" w:sz="0" w:space="0" w:color="auto"/>
        <w:right w:val="none" w:sz="0" w:space="0" w:color="auto"/>
      </w:divBdr>
    </w:div>
    <w:div w:id="1971131903">
      <w:bodyDiv w:val="1"/>
      <w:marLeft w:val="0"/>
      <w:marRight w:val="0"/>
      <w:marTop w:val="0"/>
      <w:marBottom w:val="0"/>
      <w:divBdr>
        <w:top w:val="none" w:sz="0" w:space="0" w:color="auto"/>
        <w:left w:val="none" w:sz="0" w:space="0" w:color="auto"/>
        <w:bottom w:val="none" w:sz="0" w:space="0" w:color="auto"/>
        <w:right w:val="none" w:sz="0" w:space="0" w:color="auto"/>
      </w:divBdr>
    </w:div>
    <w:div w:id="1990792626">
      <w:bodyDiv w:val="1"/>
      <w:marLeft w:val="0"/>
      <w:marRight w:val="0"/>
      <w:marTop w:val="0"/>
      <w:marBottom w:val="0"/>
      <w:divBdr>
        <w:top w:val="none" w:sz="0" w:space="0" w:color="auto"/>
        <w:left w:val="none" w:sz="0" w:space="0" w:color="auto"/>
        <w:bottom w:val="none" w:sz="0" w:space="0" w:color="auto"/>
        <w:right w:val="none" w:sz="0" w:space="0" w:color="auto"/>
      </w:divBdr>
    </w:div>
    <w:div w:id="1990940053">
      <w:bodyDiv w:val="1"/>
      <w:marLeft w:val="0"/>
      <w:marRight w:val="0"/>
      <w:marTop w:val="0"/>
      <w:marBottom w:val="0"/>
      <w:divBdr>
        <w:top w:val="none" w:sz="0" w:space="0" w:color="auto"/>
        <w:left w:val="none" w:sz="0" w:space="0" w:color="auto"/>
        <w:bottom w:val="none" w:sz="0" w:space="0" w:color="auto"/>
        <w:right w:val="none" w:sz="0" w:space="0" w:color="auto"/>
      </w:divBdr>
    </w:div>
    <w:div w:id="1998410858">
      <w:bodyDiv w:val="1"/>
      <w:marLeft w:val="0"/>
      <w:marRight w:val="0"/>
      <w:marTop w:val="0"/>
      <w:marBottom w:val="0"/>
      <w:divBdr>
        <w:top w:val="none" w:sz="0" w:space="0" w:color="auto"/>
        <w:left w:val="none" w:sz="0" w:space="0" w:color="auto"/>
        <w:bottom w:val="none" w:sz="0" w:space="0" w:color="auto"/>
        <w:right w:val="none" w:sz="0" w:space="0" w:color="auto"/>
      </w:divBdr>
    </w:div>
    <w:div w:id="2018459095">
      <w:bodyDiv w:val="1"/>
      <w:marLeft w:val="0"/>
      <w:marRight w:val="0"/>
      <w:marTop w:val="0"/>
      <w:marBottom w:val="0"/>
      <w:divBdr>
        <w:top w:val="none" w:sz="0" w:space="0" w:color="auto"/>
        <w:left w:val="none" w:sz="0" w:space="0" w:color="auto"/>
        <w:bottom w:val="none" w:sz="0" w:space="0" w:color="auto"/>
        <w:right w:val="none" w:sz="0" w:space="0" w:color="auto"/>
      </w:divBdr>
    </w:div>
    <w:div w:id="2073507275">
      <w:bodyDiv w:val="1"/>
      <w:marLeft w:val="0"/>
      <w:marRight w:val="0"/>
      <w:marTop w:val="0"/>
      <w:marBottom w:val="0"/>
      <w:divBdr>
        <w:top w:val="none" w:sz="0" w:space="0" w:color="auto"/>
        <w:left w:val="none" w:sz="0" w:space="0" w:color="auto"/>
        <w:bottom w:val="none" w:sz="0" w:space="0" w:color="auto"/>
        <w:right w:val="none" w:sz="0" w:space="0" w:color="auto"/>
      </w:divBdr>
    </w:div>
    <w:div w:id="2078742398">
      <w:bodyDiv w:val="1"/>
      <w:marLeft w:val="0"/>
      <w:marRight w:val="0"/>
      <w:marTop w:val="0"/>
      <w:marBottom w:val="0"/>
      <w:divBdr>
        <w:top w:val="none" w:sz="0" w:space="0" w:color="auto"/>
        <w:left w:val="none" w:sz="0" w:space="0" w:color="auto"/>
        <w:bottom w:val="none" w:sz="0" w:space="0" w:color="auto"/>
        <w:right w:val="none" w:sz="0" w:space="0" w:color="auto"/>
      </w:divBdr>
    </w:div>
    <w:div w:id="2083408540">
      <w:bodyDiv w:val="1"/>
      <w:marLeft w:val="0"/>
      <w:marRight w:val="0"/>
      <w:marTop w:val="0"/>
      <w:marBottom w:val="0"/>
      <w:divBdr>
        <w:top w:val="none" w:sz="0" w:space="0" w:color="auto"/>
        <w:left w:val="none" w:sz="0" w:space="0" w:color="auto"/>
        <w:bottom w:val="none" w:sz="0" w:space="0" w:color="auto"/>
        <w:right w:val="none" w:sz="0" w:space="0" w:color="auto"/>
      </w:divBdr>
    </w:div>
    <w:div w:id="21180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ndustry.gov.au/OCE"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iefeconomist@industry.gov.au" TargetMode="Externa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1.%20BG%20characteristics%20v2%2010th%20Dec.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Born_global_NZ_07Feb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1.%20BG%20characteristics%20v2%2010th%20De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Born_global_NZ_07Feb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ABS%20output\Cleared_Apr%2011_19\10.%20Survival%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prod.protected.ind\user\user06\ABruno\My%20Documents\IFA\Born%20global\Results\Interpretation%20of%20data\Debt%20rati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4199475065617"/>
          <c:y val="5.1948051948051951E-2"/>
          <c:w val="0.84556901014005115"/>
          <c:h val="0.73500869086177245"/>
        </c:manualLayout>
      </c:layout>
      <c:lineChart>
        <c:grouping val="standard"/>
        <c:varyColors val="0"/>
        <c:ser>
          <c:idx val="0"/>
          <c:order val="0"/>
          <c:tx>
            <c:v>Born global share of exporters</c:v>
          </c:tx>
          <c:spPr>
            <a:ln w="25400" cap="rnd">
              <a:solidFill>
                <a:srgbClr val="005CAF"/>
              </a:solidFill>
              <a:prstDash val="solid"/>
              <a:round/>
            </a:ln>
            <a:effectLst/>
          </c:spPr>
          <c:marker>
            <c:symbol val="none"/>
          </c:marker>
          <c:cat>
            <c:numRef>
              <c:f>Counts!$P$7:$P$19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Counts!$K$7:$K$19</c:f>
              <c:numCache>
                <c:formatCode>0.00</c:formatCode>
                <c:ptCount val="13"/>
                <c:pt idx="0">
                  <c:v>5.2469135802469129</c:v>
                </c:pt>
                <c:pt idx="1">
                  <c:v>4.873246745318295</c:v>
                </c:pt>
                <c:pt idx="2">
                  <c:v>4.7900331329365375</c:v>
                </c:pt>
                <c:pt idx="3">
                  <c:v>4.9997790966525777</c:v>
                </c:pt>
                <c:pt idx="4">
                  <c:v>4.3010280291714258</c:v>
                </c:pt>
                <c:pt idx="5">
                  <c:v>3.7584984422719807</c:v>
                </c:pt>
                <c:pt idx="6">
                  <c:v>4.1791269066045533</c:v>
                </c:pt>
                <c:pt idx="7">
                  <c:v>3.9074068477833852</c:v>
                </c:pt>
                <c:pt idx="8">
                  <c:v>3.9965549545193562</c:v>
                </c:pt>
                <c:pt idx="9">
                  <c:v>3.5841702893119471</c:v>
                </c:pt>
                <c:pt idx="10">
                  <c:v>4.1728266226048643</c:v>
                </c:pt>
                <c:pt idx="11">
                  <c:v>4.6922958332749367</c:v>
                </c:pt>
                <c:pt idx="12">
                  <c:v>5.2827113775101511</c:v>
                </c:pt>
              </c:numCache>
            </c:numRef>
          </c:val>
          <c:smooth val="0"/>
        </c:ser>
        <c:ser>
          <c:idx val="1"/>
          <c:order val="1"/>
          <c:tx>
            <c:strRef>
              <c:f>Counts!$P$4</c:f>
              <c:strCache>
                <c:ptCount val="1"/>
                <c:pt idx="0">
                  <c:v>Exporting business share</c:v>
                </c:pt>
              </c:strCache>
            </c:strRef>
          </c:tx>
          <c:spPr>
            <a:ln w="25400" cap="rnd">
              <a:solidFill>
                <a:srgbClr val="56B4DF"/>
              </a:solidFill>
              <a:prstDash val="solid"/>
              <a:round/>
            </a:ln>
            <a:effectLst/>
          </c:spPr>
          <c:marker>
            <c:symbol val="none"/>
          </c:marker>
          <c:cat>
            <c:numRef>
              <c:f>Counts!$P$7:$P$19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Counts!$Q$7:$Q$19</c:f>
              <c:numCache>
                <c:formatCode>General</c:formatCode>
                <c:ptCount val="13"/>
                <c:pt idx="0">
                  <c:v>3.27</c:v>
                </c:pt>
                <c:pt idx="1">
                  <c:v>3.25</c:v>
                </c:pt>
                <c:pt idx="2">
                  <c:v>3.25</c:v>
                </c:pt>
                <c:pt idx="3">
                  <c:v>3.24</c:v>
                </c:pt>
                <c:pt idx="4">
                  <c:v>3.28</c:v>
                </c:pt>
                <c:pt idx="5">
                  <c:v>3.21</c:v>
                </c:pt>
                <c:pt idx="6">
                  <c:v>3.22</c:v>
                </c:pt>
                <c:pt idx="7">
                  <c:v>3.19</c:v>
                </c:pt>
                <c:pt idx="8">
                  <c:v>3.23</c:v>
                </c:pt>
                <c:pt idx="9">
                  <c:v>3.24</c:v>
                </c:pt>
                <c:pt idx="10">
                  <c:v>3.33</c:v>
                </c:pt>
                <c:pt idx="11">
                  <c:v>3.42</c:v>
                </c:pt>
                <c:pt idx="12">
                  <c:v>3.47</c:v>
                </c:pt>
              </c:numCache>
            </c:numRef>
          </c:val>
          <c:smooth val="0"/>
        </c:ser>
        <c:ser>
          <c:idx val="2"/>
          <c:order val="2"/>
          <c:tx>
            <c:strRef>
              <c:f>Counts!$T$4</c:f>
              <c:strCache>
                <c:ptCount val="1"/>
                <c:pt idx="0">
                  <c:v>General business entry rate </c:v>
                </c:pt>
              </c:strCache>
            </c:strRef>
          </c:tx>
          <c:spPr>
            <a:ln w="28575" cap="rnd">
              <a:solidFill>
                <a:srgbClr val="9ED9DF"/>
              </a:solidFill>
              <a:prstDash val="solid"/>
              <a:round/>
            </a:ln>
            <a:effectLst/>
          </c:spPr>
          <c:marker>
            <c:symbol val="none"/>
          </c:marker>
          <c:cat>
            <c:numRef>
              <c:f>Counts!$P$7:$P$19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Counts!$T$7:$T$19</c:f>
              <c:numCache>
                <c:formatCode>General</c:formatCode>
                <c:ptCount val="13"/>
                <c:pt idx="6" formatCode="0.0">
                  <c:v>16.763189284136381</c:v>
                </c:pt>
                <c:pt idx="7" formatCode="0.0">
                  <c:v>13.847457228249358</c:v>
                </c:pt>
                <c:pt idx="8" formatCode="0.0">
                  <c:v>13.483370005421092</c:v>
                </c:pt>
                <c:pt idx="9" formatCode="0.0">
                  <c:v>11.172242770679219</c:v>
                </c:pt>
                <c:pt idx="10">
                  <c:v>13.7</c:v>
                </c:pt>
                <c:pt idx="11">
                  <c:v>13.4</c:v>
                </c:pt>
                <c:pt idx="12">
                  <c:v>14.6</c:v>
                </c:pt>
              </c:numCache>
            </c:numRef>
          </c:val>
          <c:smooth val="0"/>
        </c:ser>
        <c:dLbls>
          <c:showLegendKey val="0"/>
          <c:showVal val="0"/>
          <c:showCatName val="0"/>
          <c:showSerName val="0"/>
          <c:showPercent val="0"/>
          <c:showBubbleSize val="0"/>
        </c:dLbls>
        <c:smooth val="0"/>
        <c:axId val="1076874440"/>
        <c:axId val="960245176"/>
      </c:lineChart>
      <c:catAx>
        <c:axId val="107687444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960245176"/>
        <c:crosses val="autoZero"/>
        <c:auto val="1"/>
        <c:lblAlgn val="ctr"/>
        <c:lblOffset val="100"/>
        <c:noMultiLvlLbl val="0"/>
      </c:catAx>
      <c:valAx>
        <c:axId val="960245176"/>
        <c:scaling>
          <c:orientation val="minMax"/>
          <c:max val="18"/>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Share (per cent)</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76874440"/>
        <c:crosses val="autoZero"/>
        <c:crossBetween val="between"/>
        <c:majorUnit val="2"/>
      </c:valAx>
      <c:spPr>
        <a:noFill/>
        <a:ln w="25400">
          <a:noFill/>
        </a:ln>
        <a:effectLst/>
      </c:spPr>
    </c:plotArea>
    <c:legend>
      <c:legendPos val="b"/>
      <c:layout>
        <c:manualLayout>
          <c:xMode val="edge"/>
          <c:yMode val="edge"/>
          <c:x val="6.3226724596762221E-2"/>
          <c:y val="0.85332180883903386"/>
          <c:w val="0.91416157836667289"/>
          <c:h val="0.14667819116096617"/>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Other exporters</a:t>
            </a:r>
          </a:p>
        </c:rich>
      </c:tx>
      <c:layout>
        <c:manualLayout>
          <c:xMode val="edge"/>
          <c:yMode val="edge"/>
          <c:x val="0.39696401552908478"/>
          <c:y val="0.8681738969620667"/>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lineChart>
        <c:grouping val="standard"/>
        <c:varyColors val="0"/>
        <c:ser>
          <c:idx val="0"/>
          <c:order val="0"/>
          <c:tx>
            <c:strRef>
              <c:f>EBIT!$B$33</c:f>
              <c:strCache>
                <c:ptCount val="1"/>
                <c:pt idx="0">
                  <c:v>p25</c:v>
                </c:pt>
              </c:strCache>
            </c:strRef>
          </c:tx>
          <c:spPr>
            <a:ln w="28575" cap="rnd">
              <a:solidFill>
                <a:srgbClr val="005CAF"/>
              </a:solidFill>
              <a:prstDash val="solid"/>
              <a:round/>
            </a:ln>
            <a:effectLst/>
          </c:spPr>
          <c:marker>
            <c:symbol val="none"/>
          </c:marker>
          <c:cat>
            <c:numRef>
              <c:f>EBIT!$A$36:$A$48</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EBIT!$B$36:$B$48</c:f>
              <c:numCache>
                <c:formatCode>General</c:formatCode>
                <c:ptCount val="13"/>
                <c:pt idx="0">
                  <c:v>30565</c:v>
                </c:pt>
                <c:pt idx="1">
                  <c:v>30562</c:v>
                </c:pt>
                <c:pt idx="2">
                  <c:v>31439</c:v>
                </c:pt>
                <c:pt idx="3">
                  <c:v>36858</c:v>
                </c:pt>
                <c:pt idx="4">
                  <c:v>36586</c:v>
                </c:pt>
                <c:pt idx="5">
                  <c:v>29154</c:v>
                </c:pt>
                <c:pt idx="6">
                  <c:v>30931</c:v>
                </c:pt>
                <c:pt idx="7">
                  <c:v>34417</c:v>
                </c:pt>
                <c:pt idx="8">
                  <c:v>31885</c:v>
                </c:pt>
                <c:pt idx="9">
                  <c:v>25045</c:v>
                </c:pt>
                <c:pt idx="10">
                  <c:v>26753</c:v>
                </c:pt>
                <c:pt idx="11">
                  <c:v>29342</c:v>
                </c:pt>
                <c:pt idx="12">
                  <c:v>30938</c:v>
                </c:pt>
              </c:numCache>
            </c:numRef>
          </c:val>
          <c:smooth val="0"/>
        </c:ser>
        <c:ser>
          <c:idx val="1"/>
          <c:order val="1"/>
          <c:tx>
            <c:strRef>
              <c:f>EBIT!$C$33</c:f>
              <c:strCache>
                <c:ptCount val="1"/>
                <c:pt idx="0">
                  <c:v>p50</c:v>
                </c:pt>
              </c:strCache>
            </c:strRef>
          </c:tx>
          <c:spPr>
            <a:ln w="28575" cap="rnd">
              <a:solidFill>
                <a:srgbClr val="56B4DF"/>
              </a:solidFill>
              <a:prstDash val="solid"/>
              <a:round/>
            </a:ln>
            <a:effectLst/>
          </c:spPr>
          <c:marker>
            <c:symbol val="none"/>
          </c:marker>
          <c:cat>
            <c:numRef>
              <c:f>EBIT!$A$36:$A$48</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EBIT!$C$36:$C$48</c:f>
              <c:numCache>
                <c:formatCode>General</c:formatCode>
                <c:ptCount val="13"/>
                <c:pt idx="0">
                  <c:v>108396</c:v>
                </c:pt>
                <c:pt idx="1">
                  <c:v>112823</c:v>
                </c:pt>
                <c:pt idx="2">
                  <c:v>119610</c:v>
                </c:pt>
                <c:pt idx="3">
                  <c:v>124309</c:v>
                </c:pt>
                <c:pt idx="4">
                  <c:v>127932</c:v>
                </c:pt>
                <c:pt idx="5">
                  <c:v>110809</c:v>
                </c:pt>
                <c:pt idx="6">
                  <c:v>117962</c:v>
                </c:pt>
                <c:pt idx="7">
                  <c:v>119399</c:v>
                </c:pt>
                <c:pt idx="8">
                  <c:v>122992</c:v>
                </c:pt>
                <c:pt idx="9">
                  <c:v>106654</c:v>
                </c:pt>
                <c:pt idx="10">
                  <c:v>109638</c:v>
                </c:pt>
                <c:pt idx="11">
                  <c:v>116524</c:v>
                </c:pt>
                <c:pt idx="12">
                  <c:v>118568</c:v>
                </c:pt>
              </c:numCache>
            </c:numRef>
          </c:val>
          <c:smooth val="0"/>
        </c:ser>
        <c:ser>
          <c:idx val="2"/>
          <c:order val="2"/>
          <c:tx>
            <c:strRef>
              <c:f>EBIT!$D$33</c:f>
              <c:strCache>
                <c:ptCount val="1"/>
                <c:pt idx="0">
                  <c:v>p75</c:v>
                </c:pt>
              </c:strCache>
            </c:strRef>
          </c:tx>
          <c:spPr>
            <a:ln w="28575" cap="rnd">
              <a:solidFill>
                <a:srgbClr val="9ED9DF"/>
              </a:solidFill>
              <a:prstDash val="solid"/>
              <a:round/>
            </a:ln>
            <a:effectLst/>
          </c:spPr>
          <c:marker>
            <c:symbol val="none"/>
          </c:marker>
          <c:cat>
            <c:numRef>
              <c:f>EBIT!$A$36:$A$48</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EBIT!$D$36:$D$48</c:f>
              <c:numCache>
                <c:formatCode>General</c:formatCode>
                <c:ptCount val="13"/>
                <c:pt idx="0">
                  <c:v>260815</c:v>
                </c:pt>
                <c:pt idx="1">
                  <c:v>256603</c:v>
                </c:pt>
                <c:pt idx="2">
                  <c:v>271351</c:v>
                </c:pt>
                <c:pt idx="3">
                  <c:v>276710</c:v>
                </c:pt>
                <c:pt idx="4">
                  <c:v>284868</c:v>
                </c:pt>
                <c:pt idx="5">
                  <c:v>258216</c:v>
                </c:pt>
                <c:pt idx="6">
                  <c:v>272429</c:v>
                </c:pt>
                <c:pt idx="7">
                  <c:v>277335</c:v>
                </c:pt>
                <c:pt idx="8">
                  <c:v>277248</c:v>
                </c:pt>
                <c:pt idx="9">
                  <c:v>256294</c:v>
                </c:pt>
                <c:pt idx="10">
                  <c:v>256332</c:v>
                </c:pt>
                <c:pt idx="11">
                  <c:v>266270</c:v>
                </c:pt>
                <c:pt idx="12">
                  <c:v>268493</c:v>
                </c:pt>
              </c:numCache>
            </c:numRef>
          </c:val>
          <c:smooth val="0"/>
        </c:ser>
        <c:dLbls>
          <c:showLegendKey val="0"/>
          <c:showVal val="0"/>
          <c:showCatName val="0"/>
          <c:showSerName val="0"/>
          <c:showPercent val="0"/>
          <c:showBubbleSize val="0"/>
        </c:dLbls>
        <c:smooth val="0"/>
        <c:axId val="1088223840"/>
        <c:axId val="1088228544"/>
      </c:lineChart>
      <c:catAx>
        <c:axId val="108822384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8544"/>
        <c:crosses val="autoZero"/>
        <c:auto val="1"/>
        <c:lblAlgn val="ctr"/>
        <c:lblOffset val="100"/>
        <c:noMultiLvlLbl val="0"/>
      </c:catAx>
      <c:valAx>
        <c:axId val="1088228544"/>
        <c:scaling>
          <c:orientation val="minMax"/>
          <c:max val="500000"/>
        </c:scaling>
        <c:delete val="0"/>
        <c:axPos val="l"/>
        <c:numFmt formatCode="#,##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3840"/>
        <c:crosses val="autoZero"/>
        <c:crossBetween val="between"/>
        <c:majorUnit val="100000"/>
        <c:dispUnits>
          <c:builtInUnit val="thousands"/>
          <c:dispUnitsLbl>
            <c:layout>
              <c:manualLayout>
                <c:xMode val="edge"/>
                <c:yMode val="edge"/>
                <c:x val="2.2222222222222223E-2"/>
                <c:y val="0.32870370370370372"/>
              </c:manualLayout>
            </c:layout>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Dollars ('000s)</a:t>
                  </a:r>
                </a:p>
              </c:rich>
            </c:tx>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dispUnitsLbl>
        </c:dispUnits>
      </c:valAx>
      <c:spPr>
        <a:noFill/>
        <a:ln w="25400">
          <a:noFill/>
        </a:ln>
        <a:effectLst/>
      </c:spPr>
    </c:plotArea>
    <c:legend>
      <c:legendPos val="b"/>
      <c:layout>
        <c:manualLayout>
          <c:xMode val="edge"/>
          <c:yMode val="edge"/>
          <c:x val="0.29626557546690385"/>
          <c:y val="0.92223680373286676"/>
          <c:w val="0.40746855076535798"/>
          <c:h val="7.71253750437868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BGFs</a:t>
            </a:r>
          </a:p>
        </c:rich>
      </c:tx>
      <c:layout>
        <c:manualLayout>
          <c:xMode val="edge"/>
          <c:yMode val="edge"/>
          <c:x val="0.45706411372207717"/>
          <c:y val="0.84612194110327665"/>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13372532088841374"/>
          <c:y val="4.5624222314392365E-2"/>
          <c:w val="0.81695643135991802"/>
          <c:h val="0.72239930502258354"/>
        </c:manualLayout>
      </c:layout>
      <c:lineChart>
        <c:grouping val="standard"/>
        <c:varyColors val="0"/>
        <c:ser>
          <c:idx val="0"/>
          <c:order val="0"/>
          <c:tx>
            <c:strRef>
              <c:f>Gratio!$B$6</c:f>
              <c:strCache>
                <c:ptCount val="1"/>
                <c:pt idx="0">
                  <c:v>p25</c:v>
                </c:pt>
              </c:strCache>
            </c:strRef>
          </c:tx>
          <c:spPr>
            <a:ln w="28575" cap="rnd">
              <a:solidFill>
                <a:srgbClr val="005CAF"/>
              </a:solidFill>
              <a:prstDash val="solid"/>
              <a:round/>
            </a:ln>
            <a:effectLst/>
          </c:spPr>
          <c:marker>
            <c:symbol val="none"/>
          </c:marker>
          <c:cat>
            <c:numRef>
              <c:f>Gratio!$A$9:$A$21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Gratio!$B$9:$B$21</c:f>
              <c:numCache>
                <c:formatCode>General</c:formatCode>
                <c:ptCount val="13"/>
                <c:pt idx="0">
                  <c:v>0.24665110000000001</c:v>
                </c:pt>
                <c:pt idx="1">
                  <c:v>0.26909739999999999</c:v>
                </c:pt>
                <c:pt idx="2">
                  <c:v>0.265015</c:v>
                </c:pt>
                <c:pt idx="3">
                  <c:v>0.30155409999999999</c:v>
                </c:pt>
                <c:pt idx="4">
                  <c:v>0.26396599999999998</c:v>
                </c:pt>
                <c:pt idx="5">
                  <c:v>0.28252369999999999</c:v>
                </c:pt>
                <c:pt idx="6">
                  <c:v>0.24936430000000001</c:v>
                </c:pt>
                <c:pt idx="7">
                  <c:v>0.25472689999999998</c:v>
                </c:pt>
                <c:pt idx="8">
                  <c:v>0.25715130000000003</c:v>
                </c:pt>
                <c:pt idx="9">
                  <c:v>0.2424405</c:v>
                </c:pt>
                <c:pt idx="10">
                  <c:v>0.21910099999999999</c:v>
                </c:pt>
                <c:pt idx="11">
                  <c:v>0.26028479999999998</c:v>
                </c:pt>
                <c:pt idx="12">
                  <c:v>0.25097969999999997</c:v>
                </c:pt>
              </c:numCache>
            </c:numRef>
          </c:val>
          <c:smooth val="0"/>
        </c:ser>
        <c:ser>
          <c:idx val="1"/>
          <c:order val="1"/>
          <c:tx>
            <c:strRef>
              <c:f>Gratio!$C$6</c:f>
              <c:strCache>
                <c:ptCount val="1"/>
                <c:pt idx="0">
                  <c:v>p50</c:v>
                </c:pt>
              </c:strCache>
            </c:strRef>
          </c:tx>
          <c:spPr>
            <a:ln w="28575" cap="rnd">
              <a:solidFill>
                <a:srgbClr val="56B4DF"/>
              </a:solidFill>
              <a:prstDash val="solid"/>
              <a:round/>
            </a:ln>
            <a:effectLst/>
          </c:spPr>
          <c:marker>
            <c:symbol val="none"/>
          </c:marker>
          <c:cat>
            <c:numRef>
              <c:f>Gratio!$A$9:$A$21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Gratio!$C$9:$C$21</c:f>
              <c:numCache>
                <c:formatCode>General</c:formatCode>
                <c:ptCount val="13"/>
                <c:pt idx="0">
                  <c:v>0.48276639999999998</c:v>
                </c:pt>
                <c:pt idx="1">
                  <c:v>0.58546200000000004</c:v>
                </c:pt>
                <c:pt idx="2">
                  <c:v>0.5660463</c:v>
                </c:pt>
                <c:pt idx="3">
                  <c:v>0.52453070000000002</c:v>
                </c:pt>
                <c:pt idx="4">
                  <c:v>0.50089110000000003</c:v>
                </c:pt>
                <c:pt idx="5">
                  <c:v>0.47575450000000002</c:v>
                </c:pt>
                <c:pt idx="6">
                  <c:v>0.49170849999999999</c:v>
                </c:pt>
                <c:pt idx="7">
                  <c:v>0.46324549999999998</c:v>
                </c:pt>
                <c:pt idx="8">
                  <c:v>0.45472259999999998</c:v>
                </c:pt>
                <c:pt idx="9">
                  <c:v>0.43127759999999998</c:v>
                </c:pt>
                <c:pt idx="10">
                  <c:v>0.46984520000000002</c:v>
                </c:pt>
                <c:pt idx="11">
                  <c:v>0.52101500000000001</c:v>
                </c:pt>
                <c:pt idx="12">
                  <c:v>0.53314589999999995</c:v>
                </c:pt>
              </c:numCache>
            </c:numRef>
          </c:val>
          <c:smooth val="0"/>
        </c:ser>
        <c:ser>
          <c:idx val="2"/>
          <c:order val="2"/>
          <c:tx>
            <c:strRef>
              <c:f>Gratio!$D$6</c:f>
              <c:strCache>
                <c:ptCount val="1"/>
                <c:pt idx="0">
                  <c:v>p75</c:v>
                </c:pt>
              </c:strCache>
            </c:strRef>
          </c:tx>
          <c:spPr>
            <a:ln w="28575" cap="rnd">
              <a:solidFill>
                <a:srgbClr val="9ED9DF"/>
              </a:solidFill>
              <a:prstDash val="solid"/>
              <a:round/>
            </a:ln>
            <a:effectLst/>
          </c:spPr>
          <c:marker>
            <c:symbol val="none"/>
          </c:marker>
          <c:cat>
            <c:numRef>
              <c:f>Gratio!$A$9:$A$21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Gratio!$D$9:$D$21</c:f>
              <c:numCache>
                <c:formatCode>General</c:formatCode>
                <c:ptCount val="13"/>
                <c:pt idx="0">
                  <c:v>0.76034239999999997</c:v>
                </c:pt>
                <c:pt idx="1">
                  <c:v>0.81060940000000004</c:v>
                </c:pt>
                <c:pt idx="2">
                  <c:v>0.82176419999999994</c:v>
                </c:pt>
                <c:pt idx="3">
                  <c:v>0.80932190000000004</c:v>
                </c:pt>
                <c:pt idx="4">
                  <c:v>0.73326340000000001</c:v>
                </c:pt>
                <c:pt idx="5">
                  <c:v>0.74074249999999997</c:v>
                </c:pt>
                <c:pt idx="6">
                  <c:v>0.7482316</c:v>
                </c:pt>
                <c:pt idx="7">
                  <c:v>0.71045659999999999</c:v>
                </c:pt>
                <c:pt idx="8">
                  <c:v>0.74325850000000004</c:v>
                </c:pt>
                <c:pt idx="9">
                  <c:v>0.70209549999999998</c:v>
                </c:pt>
                <c:pt idx="10">
                  <c:v>0.72043400000000002</c:v>
                </c:pt>
                <c:pt idx="11">
                  <c:v>0.76990210000000003</c:v>
                </c:pt>
                <c:pt idx="12">
                  <c:v>0.79090930000000004</c:v>
                </c:pt>
              </c:numCache>
            </c:numRef>
          </c:val>
          <c:smooth val="0"/>
        </c:ser>
        <c:dLbls>
          <c:showLegendKey val="0"/>
          <c:showVal val="0"/>
          <c:showCatName val="0"/>
          <c:showSerName val="0"/>
          <c:showPercent val="0"/>
          <c:showBubbleSize val="0"/>
        </c:dLbls>
        <c:smooth val="0"/>
        <c:axId val="1088223056"/>
        <c:axId val="1088224232"/>
      </c:lineChart>
      <c:catAx>
        <c:axId val="108822305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4232"/>
        <c:crosses val="autoZero"/>
        <c:auto val="1"/>
        <c:lblAlgn val="ctr"/>
        <c:lblOffset val="100"/>
        <c:noMultiLvlLbl val="0"/>
      </c:catAx>
      <c:valAx>
        <c:axId val="108822423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Gearing</a:t>
                </a:r>
                <a:r>
                  <a:rPr lang="en-AU" baseline="0"/>
                  <a:t> ratio</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3056"/>
        <c:crosses val="autoZero"/>
        <c:crossBetween val="between"/>
        <c:majorUnit val="0.2"/>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Other exporters</a:t>
            </a:r>
          </a:p>
        </c:rich>
      </c:tx>
      <c:layout>
        <c:manualLayout>
          <c:xMode val="edge"/>
          <c:yMode val="edge"/>
          <c:x val="0.41729747880731621"/>
          <c:y val="0.87361419068736146"/>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lineChart>
        <c:grouping val="standard"/>
        <c:varyColors val="0"/>
        <c:ser>
          <c:idx val="0"/>
          <c:order val="0"/>
          <c:tx>
            <c:strRef>
              <c:f>Gratio!$B$29</c:f>
              <c:strCache>
                <c:ptCount val="1"/>
                <c:pt idx="0">
                  <c:v>p25</c:v>
                </c:pt>
              </c:strCache>
            </c:strRef>
          </c:tx>
          <c:spPr>
            <a:ln w="28575" cap="rnd">
              <a:solidFill>
                <a:srgbClr val="005CAF"/>
              </a:solidFill>
              <a:prstDash val="solid"/>
              <a:round/>
            </a:ln>
            <a:effectLst/>
          </c:spPr>
          <c:marker>
            <c:symbol val="none"/>
          </c:marker>
          <c:cat>
            <c:numRef>
              <c:f>Gratio!$A$32:$A$44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Gratio!$B$32:$B$44</c:f>
              <c:numCache>
                <c:formatCode>General</c:formatCode>
                <c:ptCount val="13"/>
                <c:pt idx="0">
                  <c:v>0.250143</c:v>
                </c:pt>
                <c:pt idx="1">
                  <c:v>0.24950839999999999</c:v>
                </c:pt>
                <c:pt idx="2">
                  <c:v>0.23749329999999999</c:v>
                </c:pt>
                <c:pt idx="3">
                  <c:v>0.23346220000000001</c:v>
                </c:pt>
                <c:pt idx="4">
                  <c:v>0.22899120000000001</c:v>
                </c:pt>
                <c:pt idx="5">
                  <c:v>0.2171864</c:v>
                </c:pt>
                <c:pt idx="6">
                  <c:v>0.21744830000000001</c:v>
                </c:pt>
                <c:pt idx="7">
                  <c:v>0.2176689</c:v>
                </c:pt>
                <c:pt idx="8">
                  <c:v>0.2126333</c:v>
                </c:pt>
                <c:pt idx="9">
                  <c:v>0.21161099999999999</c:v>
                </c:pt>
                <c:pt idx="10">
                  <c:v>0.2035516</c:v>
                </c:pt>
                <c:pt idx="11">
                  <c:v>0.20539379999999999</c:v>
                </c:pt>
                <c:pt idx="12">
                  <c:v>0.2065149</c:v>
                </c:pt>
              </c:numCache>
            </c:numRef>
          </c:val>
          <c:smooth val="0"/>
        </c:ser>
        <c:ser>
          <c:idx val="1"/>
          <c:order val="1"/>
          <c:tx>
            <c:strRef>
              <c:f>Gratio!$C$29</c:f>
              <c:strCache>
                <c:ptCount val="1"/>
                <c:pt idx="0">
                  <c:v>p50</c:v>
                </c:pt>
              </c:strCache>
            </c:strRef>
          </c:tx>
          <c:spPr>
            <a:ln w="28575" cap="rnd">
              <a:solidFill>
                <a:srgbClr val="56B4DF"/>
              </a:solidFill>
              <a:prstDash val="solid"/>
              <a:round/>
            </a:ln>
            <a:effectLst/>
          </c:spPr>
          <c:marker>
            <c:symbol val="none"/>
          </c:marker>
          <c:cat>
            <c:numRef>
              <c:f>Gratio!$A$32:$A$44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Gratio!$C$32:$C$44</c:f>
              <c:numCache>
                <c:formatCode>General</c:formatCode>
                <c:ptCount val="13"/>
                <c:pt idx="0">
                  <c:v>0.45693109999999998</c:v>
                </c:pt>
                <c:pt idx="1">
                  <c:v>0.45806479999999999</c:v>
                </c:pt>
                <c:pt idx="2">
                  <c:v>0.44542039999999999</c:v>
                </c:pt>
                <c:pt idx="3">
                  <c:v>0.42768050000000002</c:v>
                </c:pt>
                <c:pt idx="4">
                  <c:v>0.43221159999999997</c:v>
                </c:pt>
                <c:pt idx="5">
                  <c:v>0.42329030000000001</c:v>
                </c:pt>
                <c:pt idx="6">
                  <c:v>0.43133840000000001</c:v>
                </c:pt>
                <c:pt idx="7">
                  <c:v>0.43202200000000002</c:v>
                </c:pt>
                <c:pt idx="8">
                  <c:v>0.4247438</c:v>
                </c:pt>
                <c:pt idx="9">
                  <c:v>0.42830590000000002</c:v>
                </c:pt>
                <c:pt idx="10">
                  <c:v>0.41235270000000002</c:v>
                </c:pt>
                <c:pt idx="11">
                  <c:v>0.40939310000000001</c:v>
                </c:pt>
                <c:pt idx="12">
                  <c:v>0.41667609999999999</c:v>
                </c:pt>
              </c:numCache>
            </c:numRef>
          </c:val>
          <c:smooth val="0"/>
        </c:ser>
        <c:ser>
          <c:idx val="2"/>
          <c:order val="2"/>
          <c:tx>
            <c:strRef>
              <c:f>Gratio!$D$29</c:f>
              <c:strCache>
                <c:ptCount val="1"/>
                <c:pt idx="0">
                  <c:v>p75</c:v>
                </c:pt>
              </c:strCache>
            </c:strRef>
          </c:tx>
          <c:spPr>
            <a:ln w="28575" cap="rnd">
              <a:solidFill>
                <a:srgbClr val="9ED9DF"/>
              </a:solidFill>
              <a:prstDash val="solid"/>
              <a:round/>
            </a:ln>
            <a:effectLst/>
          </c:spPr>
          <c:marker>
            <c:symbol val="none"/>
          </c:marker>
          <c:cat>
            <c:numRef>
              <c:f>Gratio!$A$32:$A$44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Gratio!$D$32:$D$44</c:f>
              <c:numCache>
                <c:formatCode>General</c:formatCode>
                <c:ptCount val="13"/>
                <c:pt idx="0">
                  <c:v>0.69656649999999998</c:v>
                </c:pt>
                <c:pt idx="1">
                  <c:v>0.69739649999999997</c:v>
                </c:pt>
                <c:pt idx="2">
                  <c:v>0.6910423</c:v>
                </c:pt>
                <c:pt idx="3">
                  <c:v>0.67597039999999997</c:v>
                </c:pt>
                <c:pt idx="4">
                  <c:v>0.68387279999999995</c:v>
                </c:pt>
                <c:pt idx="5">
                  <c:v>0.68463499999999999</c:v>
                </c:pt>
                <c:pt idx="6">
                  <c:v>0.69757729999999996</c:v>
                </c:pt>
                <c:pt idx="7">
                  <c:v>0.67991919999999995</c:v>
                </c:pt>
                <c:pt idx="8">
                  <c:v>0.68557159999999995</c:v>
                </c:pt>
                <c:pt idx="9">
                  <c:v>0.6877723</c:v>
                </c:pt>
                <c:pt idx="10">
                  <c:v>0.67274590000000001</c:v>
                </c:pt>
                <c:pt idx="11">
                  <c:v>0.68448240000000005</c:v>
                </c:pt>
                <c:pt idx="12">
                  <c:v>0.67837499999999995</c:v>
                </c:pt>
              </c:numCache>
            </c:numRef>
          </c:val>
          <c:smooth val="0"/>
        </c:ser>
        <c:dLbls>
          <c:showLegendKey val="0"/>
          <c:showVal val="0"/>
          <c:showCatName val="0"/>
          <c:showSerName val="0"/>
          <c:showPercent val="0"/>
          <c:showBubbleSize val="0"/>
        </c:dLbls>
        <c:smooth val="0"/>
        <c:axId val="1088225800"/>
        <c:axId val="1088229328"/>
      </c:lineChart>
      <c:catAx>
        <c:axId val="108822580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9328"/>
        <c:crosses val="autoZero"/>
        <c:auto val="1"/>
        <c:lblAlgn val="ctr"/>
        <c:lblOffset val="100"/>
        <c:noMultiLvlLbl val="0"/>
      </c:catAx>
      <c:valAx>
        <c:axId val="1088229328"/>
        <c:scaling>
          <c:orientation val="minMax"/>
          <c:max val="1"/>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Gearing</a:t>
                </a:r>
                <a:r>
                  <a:rPr lang="en-AU" baseline="0"/>
                  <a:t> ratio</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5800"/>
        <c:crosses val="autoZero"/>
        <c:crossBetween val="between"/>
        <c:majorUnit val="0.2"/>
      </c:valAx>
      <c:spPr>
        <a:noFill/>
        <a:ln w="25400">
          <a:noFill/>
        </a:ln>
        <a:effectLst/>
      </c:spPr>
    </c:plotArea>
    <c:legend>
      <c:legendPos val="b"/>
      <c:layout>
        <c:manualLayout>
          <c:xMode val="edge"/>
          <c:yMode val="edge"/>
          <c:x val="0.29916668379898986"/>
          <c:y val="0.92927038776472226"/>
          <c:w val="0.40746855076535798"/>
          <c:h val="7.0729612235277683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BGFs</a:t>
            </a:r>
          </a:p>
        </c:rich>
      </c:tx>
      <c:layout>
        <c:manualLayout>
          <c:xMode val="edge"/>
          <c:yMode val="edge"/>
          <c:x val="0.45685131195335277"/>
          <c:y val="0.84828711256117451"/>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13438809944675284"/>
          <c:y val="4.4861337683523655E-2"/>
          <c:w val="0.81021831454741611"/>
          <c:h val="0.72704107847041144"/>
        </c:manualLayout>
      </c:layout>
      <c:lineChart>
        <c:grouping val="standard"/>
        <c:varyColors val="0"/>
        <c:ser>
          <c:idx val="0"/>
          <c:order val="0"/>
          <c:tx>
            <c:strRef>
              <c:f>ROA!$B$6</c:f>
              <c:strCache>
                <c:ptCount val="1"/>
                <c:pt idx="0">
                  <c:v>p25</c:v>
                </c:pt>
              </c:strCache>
            </c:strRef>
          </c:tx>
          <c:spPr>
            <a:ln w="28575" cap="rnd">
              <a:solidFill>
                <a:srgbClr val="005CAF"/>
              </a:solidFill>
              <a:prstDash val="solid"/>
              <a:round/>
            </a:ln>
            <a:effectLst/>
          </c:spPr>
          <c:marker>
            <c:symbol val="none"/>
          </c:marker>
          <c:cat>
            <c:numRef>
              <c:f>ROA!$A$9:$A$21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ROA!$B$9:$B$21</c:f>
              <c:numCache>
                <c:formatCode>General</c:formatCode>
                <c:ptCount val="13"/>
                <c:pt idx="0">
                  <c:v>2.2303E-2</c:v>
                </c:pt>
                <c:pt idx="1">
                  <c:v>1.21177E-2</c:v>
                </c:pt>
                <c:pt idx="2">
                  <c:v>3.3839300000000003E-2</c:v>
                </c:pt>
                <c:pt idx="3">
                  <c:v>4.7442900000000003E-2</c:v>
                </c:pt>
                <c:pt idx="4">
                  <c:v>1.2391900000000001E-2</c:v>
                </c:pt>
                <c:pt idx="5">
                  <c:v>3.2028899999999999E-2</c:v>
                </c:pt>
                <c:pt idx="6">
                  <c:v>1.8437100000000001E-2</c:v>
                </c:pt>
                <c:pt idx="7">
                  <c:v>1.5899E-2</c:v>
                </c:pt>
                <c:pt idx="8">
                  <c:v>1.27458E-2</c:v>
                </c:pt>
                <c:pt idx="9">
                  <c:v>2.3424899999999999E-2</c:v>
                </c:pt>
                <c:pt idx="10">
                  <c:v>2.2382599999999999E-2</c:v>
                </c:pt>
                <c:pt idx="11">
                  <c:v>2.21581E-2</c:v>
                </c:pt>
                <c:pt idx="12">
                  <c:v>2.7863800000000001E-2</c:v>
                </c:pt>
              </c:numCache>
            </c:numRef>
          </c:val>
          <c:smooth val="0"/>
        </c:ser>
        <c:ser>
          <c:idx val="1"/>
          <c:order val="1"/>
          <c:tx>
            <c:strRef>
              <c:f>ROA!$C$6</c:f>
              <c:strCache>
                <c:ptCount val="1"/>
                <c:pt idx="0">
                  <c:v>p50</c:v>
                </c:pt>
              </c:strCache>
            </c:strRef>
          </c:tx>
          <c:spPr>
            <a:ln w="28575" cap="rnd">
              <a:solidFill>
                <a:srgbClr val="56B4DF"/>
              </a:solidFill>
              <a:prstDash val="solid"/>
              <a:round/>
            </a:ln>
            <a:effectLst/>
          </c:spPr>
          <c:marker>
            <c:symbol val="none"/>
          </c:marker>
          <c:cat>
            <c:numRef>
              <c:f>ROA!$A$9:$A$21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ROA!$C$9:$C$21</c:f>
              <c:numCache>
                <c:formatCode>General</c:formatCode>
                <c:ptCount val="13"/>
                <c:pt idx="0">
                  <c:v>8.1504499999999994E-2</c:v>
                </c:pt>
                <c:pt idx="1">
                  <c:v>7.5615600000000005E-2</c:v>
                </c:pt>
                <c:pt idx="2">
                  <c:v>9.7730899999999996E-2</c:v>
                </c:pt>
                <c:pt idx="3">
                  <c:v>0.11646040000000001</c:v>
                </c:pt>
                <c:pt idx="4">
                  <c:v>9.9817500000000003E-2</c:v>
                </c:pt>
                <c:pt idx="5">
                  <c:v>9.7272200000000003E-2</c:v>
                </c:pt>
                <c:pt idx="6">
                  <c:v>7.9717399999999994E-2</c:v>
                </c:pt>
                <c:pt idx="7">
                  <c:v>8.9285600000000007E-2</c:v>
                </c:pt>
                <c:pt idx="8">
                  <c:v>6.5897999999999998E-2</c:v>
                </c:pt>
                <c:pt idx="9">
                  <c:v>8.54018E-2</c:v>
                </c:pt>
                <c:pt idx="10">
                  <c:v>7.8827900000000006E-2</c:v>
                </c:pt>
                <c:pt idx="11">
                  <c:v>7.7665700000000004E-2</c:v>
                </c:pt>
                <c:pt idx="12">
                  <c:v>8.7608500000000006E-2</c:v>
                </c:pt>
              </c:numCache>
            </c:numRef>
          </c:val>
          <c:smooth val="0"/>
        </c:ser>
        <c:ser>
          <c:idx val="2"/>
          <c:order val="2"/>
          <c:tx>
            <c:strRef>
              <c:f>ROA!$D$6</c:f>
              <c:strCache>
                <c:ptCount val="1"/>
                <c:pt idx="0">
                  <c:v>p75</c:v>
                </c:pt>
              </c:strCache>
            </c:strRef>
          </c:tx>
          <c:spPr>
            <a:ln w="28575" cap="rnd">
              <a:solidFill>
                <a:srgbClr val="9ED9DF"/>
              </a:solidFill>
              <a:prstDash val="solid"/>
              <a:round/>
            </a:ln>
            <a:effectLst/>
          </c:spPr>
          <c:marker>
            <c:symbol val="none"/>
          </c:marker>
          <c:cat>
            <c:numRef>
              <c:f>ROA!$A$9:$A$21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ROA!$D$9:$D$21</c:f>
              <c:numCache>
                <c:formatCode>General</c:formatCode>
                <c:ptCount val="13"/>
                <c:pt idx="0">
                  <c:v>0.23602139999999999</c:v>
                </c:pt>
                <c:pt idx="1">
                  <c:v>0.24608070000000001</c:v>
                </c:pt>
                <c:pt idx="2">
                  <c:v>0.24534800000000001</c:v>
                </c:pt>
                <c:pt idx="3">
                  <c:v>0.26205859999999997</c:v>
                </c:pt>
                <c:pt idx="4">
                  <c:v>0.24523909999999999</c:v>
                </c:pt>
                <c:pt idx="5">
                  <c:v>0.23522119999999999</c:v>
                </c:pt>
                <c:pt idx="6">
                  <c:v>0.1955414</c:v>
                </c:pt>
                <c:pt idx="7">
                  <c:v>0.18520210000000001</c:v>
                </c:pt>
                <c:pt idx="8">
                  <c:v>0.1661271</c:v>
                </c:pt>
                <c:pt idx="9">
                  <c:v>0.17959539999999999</c:v>
                </c:pt>
                <c:pt idx="10">
                  <c:v>0.1766723</c:v>
                </c:pt>
                <c:pt idx="11">
                  <c:v>0.18386739999999999</c:v>
                </c:pt>
                <c:pt idx="12">
                  <c:v>0.18889049999999999</c:v>
                </c:pt>
              </c:numCache>
            </c:numRef>
          </c:val>
          <c:smooth val="0"/>
        </c:ser>
        <c:dLbls>
          <c:showLegendKey val="0"/>
          <c:showVal val="0"/>
          <c:showCatName val="0"/>
          <c:showSerName val="0"/>
          <c:showPercent val="0"/>
          <c:showBubbleSize val="0"/>
        </c:dLbls>
        <c:smooth val="0"/>
        <c:axId val="1088226584"/>
        <c:axId val="1088227368"/>
      </c:lineChart>
      <c:catAx>
        <c:axId val="108822658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7368"/>
        <c:crosses val="autoZero"/>
        <c:auto val="1"/>
        <c:lblAlgn val="ctr"/>
        <c:lblOffset val="100"/>
        <c:noMultiLvlLbl val="0"/>
      </c:catAx>
      <c:valAx>
        <c:axId val="1088227368"/>
        <c:scaling>
          <c:orientation val="minMax"/>
          <c:max val="0.5"/>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ROA ratio</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6584"/>
        <c:crosses val="autoZero"/>
        <c:crossBetween val="between"/>
        <c:majorUnit val="0.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Other</a:t>
            </a:r>
            <a:r>
              <a:rPr lang="en-AU" sz="900" baseline="0"/>
              <a:t> exporters</a:t>
            </a:r>
            <a:endParaRPr lang="en-AU" sz="900"/>
          </a:p>
        </c:rich>
      </c:tx>
      <c:layout>
        <c:manualLayout>
          <c:xMode val="edge"/>
          <c:yMode val="edge"/>
          <c:x val="0.40633188392151171"/>
          <c:y val="0.88089330024813894"/>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lineChart>
        <c:grouping val="standard"/>
        <c:varyColors val="0"/>
        <c:ser>
          <c:idx val="0"/>
          <c:order val="0"/>
          <c:tx>
            <c:strRef>
              <c:f>ROA!$B$29</c:f>
              <c:strCache>
                <c:ptCount val="1"/>
                <c:pt idx="0">
                  <c:v>p25</c:v>
                </c:pt>
              </c:strCache>
            </c:strRef>
          </c:tx>
          <c:spPr>
            <a:ln w="28575" cap="rnd">
              <a:solidFill>
                <a:srgbClr val="005CAF"/>
              </a:solidFill>
              <a:prstDash val="solid"/>
              <a:round/>
            </a:ln>
            <a:effectLst/>
          </c:spPr>
          <c:marker>
            <c:symbol val="none"/>
          </c:marker>
          <c:cat>
            <c:numRef>
              <c:f>ROA!$A$32:$A$44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ROA!$B$32:$B$44</c:f>
              <c:numCache>
                <c:formatCode>General</c:formatCode>
                <c:ptCount val="13"/>
                <c:pt idx="0">
                  <c:v>3.0889E-2</c:v>
                </c:pt>
                <c:pt idx="1">
                  <c:v>3.0399200000000001E-2</c:v>
                </c:pt>
                <c:pt idx="2">
                  <c:v>2.9643599999999999E-2</c:v>
                </c:pt>
                <c:pt idx="3">
                  <c:v>3.3338600000000003E-2</c:v>
                </c:pt>
                <c:pt idx="4">
                  <c:v>3.4021099999999999E-2</c:v>
                </c:pt>
                <c:pt idx="5">
                  <c:v>2.78306E-2</c:v>
                </c:pt>
                <c:pt idx="6">
                  <c:v>2.7999599999999999E-2</c:v>
                </c:pt>
                <c:pt idx="7">
                  <c:v>2.86012E-2</c:v>
                </c:pt>
                <c:pt idx="8">
                  <c:v>2.64233E-2</c:v>
                </c:pt>
                <c:pt idx="9">
                  <c:v>2.0028299999999999E-2</c:v>
                </c:pt>
                <c:pt idx="10">
                  <c:v>2.1711299999999999E-2</c:v>
                </c:pt>
                <c:pt idx="11">
                  <c:v>2.3238999999999999E-2</c:v>
                </c:pt>
                <c:pt idx="12">
                  <c:v>2.1835400000000001E-2</c:v>
                </c:pt>
              </c:numCache>
            </c:numRef>
          </c:val>
          <c:smooth val="0"/>
        </c:ser>
        <c:ser>
          <c:idx val="1"/>
          <c:order val="1"/>
          <c:tx>
            <c:strRef>
              <c:f>ROA!$C$29</c:f>
              <c:strCache>
                <c:ptCount val="1"/>
                <c:pt idx="0">
                  <c:v>p50</c:v>
                </c:pt>
              </c:strCache>
            </c:strRef>
          </c:tx>
          <c:spPr>
            <a:ln w="28575" cap="rnd">
              <a:solidFill>
                <a:srgbClr val="56B4DF"/>
              </a:solidFill>
              <a:prstDash val="solid"/>
              <a:round/>
            </a:ln>
            <a:effectLst/>
          </c:spPr>
          <c:marker>
            <c:symbol val="none"/>
          </c:marker>
          <c:cat>
            <c:numRef>
              <c:f>ROA!$A$32:$A$44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ROA!$C$32:$C$44</c:f>
              <c:numCache>
                <c:formatCode>General</c:formatCode>
                <c:ptCount val="13"/>
                <c:pt idx="0">
                  <c:v>8.9211600000000002E-2</c:v>
                </c:pt>
                <c:pt idx="1">
                  <c:v>8.8398400000000002E-2</c:v>
                </c:pt>
                <c:pt idx="2">
                  <c:v>8.8409100000000004E-2</c:v>
                </c:pt>
                <c:pt idx="3">
                  <c:v>9.4139399999999998E-2</c:v>
                </c:pt>
                <c:pt idx="4">
                  <c:v>9.3441899999999994E-2</c:v>
                </c:pt>
                <c:pt idx="5">
                  <c:v>8.3505899999999994E-2</c:v>
                </c:pt>
                <c:pt idx="6">
                  <c:v>8.5537699999999994E-2</c:v>
                </c:pt>
                <c:pt idx="7">
                  <c:v>8.7134900000000001E-2</c:v>
                </c:pt>
                <c:pt idx="8">
                  <c:v>8.2862099999999994E-2</c:v>
                </c:pt>
                <c:pt idx="9">
                  <c:v>7.2021799999999997E-2</c:v>
                </c:pt>
                <c:pt idx="10">
                  <c:v>7.2822300000000006E-2</c:v>
                </c:pt>
                <c:pt idx="11">
                  <c:v>7.2409500000000002E-2</c:v>
                </c:pt>
                <c:pt idx="12">
                  <c:v>7.1198300000000006E-2</c:v>
                </c:pt>
              </c:numCache>
            </c:numRef>
          </c:val>
          <c:smooth val="0"/>
        </c:ser>
        <c:ser>
          <c:idx val="2"/>
          <c:order val="2"/>
          <c:tx>
            <c:strRef>
              <c:f>ROA!$D$29</c:f>
              <c:strCache>
                <c:ptCount val="1"/>
                <c:pt idx="0">
                  <c:v>p75</c:v>
                </c:pt>
              </c:strCache>
            </c:strRef>
          </c:tx>
          <c:spPr>
            <a:ln w="28575" cap="rnd">
              <a:solidFill>
                <a:srgbClr val="9ED9DF"/>
              </a:solidFill>
              <a:prstDash val="solid"/>
              <a:round/>
            </a:ln>
            <a:effectLst/>
          </c:spPr>
          <c:marker>
            <c:symbol val="none"/>
          </c:marker>
          <c:cat>
            <c:numRef>
              <c:f>ROA!$A$32:$A$44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ROA!$D$32:$D$44</c:f>
              <c:numCache>
                <c:formatCode>General</c:formatCode>
                <c:ptCount val="13"/>
                <c:pt idx="0">
                  <c:v>0.19149150000000001</c:v>
                </c:pt>
                <c:pt idx="1">
                  <c:v>0.1884526</c:v>
                </c:pt>
                <c:pt idx="2">
                  <c:v>0.1900934</c:v>
                </c:pt>
                <c:pt idx="3">
                  <c:v>0.19372549999999999</c:v>
                </c:pt>
                <c:pt idx="4">
                  <c:v>0.1967477</c:v>
                </c:pt>
                <c:pt idx="5">
                  <c:v>0.1749762</c:v>
                </c:pt>
                <c:pt idx="6">
                  <c:v>0.18257889999999999</c:v>
                </c:pt>
                <c:pt idx="7">
                  <c:v>0.18310750000000001</c:v>
                </c:pt>
                <c:pt idx="8">
                  <c:v>0.1768969</c:v>
                </c:pt>
                <c:pt idx="9">
                  <c:v>0.1697118</c:v>
                </c:pt>
                <c:pt idx="10">
                  <c:v>0.16510369999999999</c:v>
                </c:pt>
                <c:pt idx="11">
                  <c:v>0.16424050000000001</c:v>
                </c:pt>
                <c:pt idx="12">
                  <c:v>0.1603097</c:v>
                </c:pt>
              </c:numCache>
            </c:numRef>
          </c:val>
          <c:smooth val="0"/>
        </c:ser>
        <c:dLbls>
          <c:showLegendKey val="0"/>
          <c:showVal val="0"/>
          <c:showCatName val="0"/>
          <c:showSerName val="0"/>
          <c:showPercent val="0"/>
          <c:showBubbleSize val="0"/>
        </c:dLbls>
        <c:smooth val="0"/>
        <c:axId val="1088234784"/>
        <c:axId val="1088232040"/>
      </c:lineChart>
      <c:catAx>
        <c:axId val="108823478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32040"/>
        <c:crosses val="autoZero"/>
        <c:auto val="1"/>
        <c:lblAlgn val="ctr"/>
        <c:lblOffset val="100"/>
        <c:noMultiLvlLbl val="0"/>
      </c:catAx>
      <c:valAx>
        <c:axId val="1088232040"/>
        <c:scaling>
          <c:orientation val="minMax"/>
          <c:max val="0.5"/>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ROA</a:t>
                </a:r>
                <a:r>
                  <a:rPr lang="en-AU" baseline="0"/>
                  <a:t> ratio</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34784"/>
        <c:crosses val="autoZero"/>
        <c:crossBetween val="between"/>
        <c:majorUnit val="0.1"/>
      </c:valAx>
      <c:spPr>
        <a:noFill/>
        <a:ln w="25400">
          <a:noFill/>
        </a:ln>
        <a:effectLst/>
      </c:spPr>
    </c:plotArea>
    <c:legend>
      <c:legendPos val="b"/>
      <c:layout>
        <c:manualLayout>
          <c:xMode val="edge"/>
          <c:yMode val="edge"/>
          <c:x val="0.29764528245379784"/>
          <c:y val="0.9340383475638746"/>
          <c:w val="0.40470943509240426"/>
          <c:h val="6.596165243612538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5050403294889"/>
          <c:y val="5.3191489361702128E-2"/>
          <c:w val="0.85613554180401075"/>
          <c:h val="0.73438332901810877"/>
        </c:manualLayout>
      </c:layout>
      <c:lineChart>
        <c:grouping val="standard"/>
        <c:varyColors val="0"/>
        <c:ser>
          <c:idx val="1"/>
          <c:order val="0"/>
          <c:tx>
            <c:strRef>
              <c:f>born_global_1!$K$86</c:f>
              <c:strCache>
                <c:ptCount val="1"/>
                <c:pt idx="0">
                  <c:v>Australia</c:v>
                </c:pt>
              </c:strCache>
            </c:strRef>
          </c:tx>
          <c:spPr>
            <a:ln w="25400" cap="rnd">
              <a:solidFill>
                <a:srgbClr val="56B4DF"/>
              </a:solidFill>
              <a:prstDash val="solid"/>
              <a:round/>
            </a:ln>
            <a:effectLst/>
          </c:spPr>
          <c:marker>
            <c:symbol val="none"/>
          </c:marker>
          <c:cat>
            <c:numRef>
              <c:f>born_global_1!$G$90:$G$103</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born_global_1!$K$90:$K$103</c:f>
              <c:numCache>
                <c:formatCode>0.0</c:formatCode>
                <c:ptCount val="14"/>
                <c:pt idx="0">
                  <c:v>5.1015338756753401</c:v>
                </c:pt>
                <c:pt idx="1">
                  <c:v>5.2469135802469129</c:v>
                </c:pt>
                <c:pt idx="2">
                  <c:v>4.873246745318295</c:v>
                </c:pt>
                <c:pt idx="3">
                  <c:v>4.7900331329365375</c:v>
                </c:pt>
                <c:pt idx="4">
                  <c:v>4.9997790966525777</c:v>
                </c:pt>
                <c:pt idx="5">
                  <c:v>4.3010280291714258</c:v>
                </c:pt>
                <c:pt idx="6">
                  <c:v>3.7584984422719807</c:v>
                </c:pt>
                <c:pt idx="7">
                  <c:v>4.1791269066045533</c:v>
                </c:pt>
                <c:pt idx="8">
                  <c:v>3.9074068477833852</c:v>
                </c:pt>
                <c:pt idx="9">
                  <c:v>3.9965549545193562</c:v>
                </c:pt>
                <c:pt idx="10">
                  <c:v>3.5841702893119471</c:v>
                </c:pt>
                <c:pt idx="11">
                  <c:v>4.1728266226048643</c:v>
                </c:pt>
                <c:pt idx="12">
                  <c:v>4.6922958332749367</c:v>
                </c:pt>
                <c:pt idx="13">
                  <c:v>5.2827113775101511</c:v>
                </c:pt>
              </c:numCache>
            </c:numRef>
          </c:val>
          <c:smooth val="0"/>
        </c:ser>
        <c:ser>
          <c:idx val="0"/>
          <c:order val="1"/>
          <c:tx>
            <c:strRef>
              <c:f>born_global_1!$J$86</c:f>
              <c:strCache>
                <c:ptCount val="1"/>
                <c:pt idx="0">
                  <c:v>New Zealand</c:v>
                </c:pt>
              </c:strCache>
            </c:strRef>
          </c:tx>
          <c:spPr>
            <a:ln w="25400" cap="rnd">
              <a:solidFill>
                <a:srgbClr val="005CAF"/>
              </a:solidFill>
              <a:prstDash val="solid"/>
              <a:round/>
            </a:ln>
            <a:effectLst/>
          </c:spPr>
          <c:marker>
            <c:symbol val="none"/>
          </c:marker>
          <c:cat>
            <c:numRef>
              <c:f>born_global_1!$G$90:$G$103</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born_global_1!$J$90:$J$103</c:f>
              <c:numCache>
                <c:formatCode>General</c:formatCode>
                <c:ptCount val="14"/>
                <c:pt idx="0">
                  <c:v>4.2336599752640094</c:v>
                </c:pt>
                <c:pt idx="1">
                  <c:v>4.0029446949480079</c:v>
                </c:pt>
                <c:pt idx="2">
                  <c:v>3.4564307804256864</c:v>
                </c:pt>
                <c:pt idx="3">
                  <c:v>3.26358391457849</c:v>
                </c:pt>
                <c:pt idx="4">
                  <c:v>3.283059745021248</c:v>
                </c:pt>
                <c:pt idx="5">
                  <c:v>3.2372615410025603</c:v>
                </c:pt>
                <c:pt idx="6">
                  <c:v>2.6502208517376449</c:v>
                </c:pt>
                <c:pt idx="7">
                  <c:v>2.5716446760231952</c:v>
                </c:pt>
                <c:pt idx="8">
                  <c:v>2.4141502669110029</c:v>
                </c:pt>
                <c:pt idx="9">
                  <c:v>2.2718431494592699</c:v>
                </c:pt>
                <c:pt idx="10">
                  <c:v>2.4237746043998456</c:v>
                </c:pt>
                <c:pt idx="11">
                  <c:v>2.2882254887104105</c:v>
                </c:pt>
                <c:pt idx="12">
                  <c:v>2.5022679165406712</c:v>
                </c:pt>
                <c:pt idx="13">
                  <c:v>2.2212283840190814</c:v>
                </c:pt>
              </c:numCache>
            </c:numRef>
          </c:val>
          <c:smooth val="0"/>
        </c:ser>
        <c:dLbls>
          <c:showLegendKey val="0"/>
          <c:showVal val="0"/>
          <c:showCatName val="0"/>
          <c:showSerName val="0"/>
          <c:showPercent val="0"/>
          <c:showBubbleSize val="0"/>
        </c:dLbls>
        <c:smooth val="0"/>
        <c:axId val="960242040"/>
        <c:axId val="968254568"/>
      </c:lineChart>
      <c:catAx>
        <c:axId val="96024204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968254568"/>
        <c:crosses val="autoZero"/>
        <c:auto val="1"/>
        <c:lblAlgn val="ctr"/>
        <c:lblOffset val="100"/>
        <c:noMultiLvlLbl val="0"/>
      </c:catAx>
      <c:valAx>
        <c:axId val="96825456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Share (per</a:t>
                </a:r>
                <a:r>
                  <a:rPr lang="en-AU" baseline="0"/>
                  <a:t> cent)</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96024204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'Export intensities- first globa'!$D$4</c:f>
              <c:strCache>
                <c:ptCount val="1"/>
                <c:pt idx="0">
                  <c:v>Other exporters median</c:v>
                </c:pt>
              </c:strCache>
            </c:strRef>
          </c:tx>
          <c:spPr>
            <a:ln w="25400" cap="rnd">
              <a:solidFill>
                <a:srgbClr val="005CAF"/>
              </a:solidFill>
              <a:prstDash val="solid"/>
              <a:round/>
            </a:ln>
            <a:effectLst/>
          </c:spPr>
          <c:marker>
            <c:symbol val="none"/>
          </c:marker>
          <c:cat>
            <c:numRef>
              <c:f>'Export intensities- first globa'!$A$7:$A$19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'Export intensities- first globa'!$D$7:$D$19</c:f>
              <c:numCache>
                <c:formatCode>General</c:formatCode>
                <c:ptCount val="13"/>
                <c:pt idx="0">
                  <c:v>0.1804984</c:v>
                </c:pt>
                <c:pt idx="1">
                  <c:v>0.1670691</c:v>
                </c:pt>
                <c:pt idx="2">
                  <c:v>0.15210090000000001</c:v>
                </c:pt>
                <c:pt idx="3">
                  <c:v>0.14579700000000001</c:v>
                </c:pt>
                <c:pt idx="4">
                  <c:v>0.14784149999999999</c:v>
                </c:pt>
                <c:pt idx="5">
                  <c:v>0.1514279</c:v>
                </c:pt>
                <c:pt idx="6">
                  <c:v>0.1402246</c:v>
                </c:pt>
                <c:pt idx="7">
                  <c:v>0.1373579</c:v>
                </c:pt>
                <c:pt idx="8">
                  <c:v>0.13669419999999999</c:v>
                </c:pt>
                <c:pt idx="9">
                  <c:v>0.13794339999999999</c:v>
                </c:pt>
                <c:pt idx="10">
                  <c:v>0.1364138</c:v>
                </c:pt>
                <c:pt idx="11">
                  <c:v>0.1360113</c:v>
                </c:pt>
                <c:pt idx="12">
                  <c:v>0.14165910000000001</c:v>
                </c:pt>
              </c:numCache>
            </c:numRef>
          </c:val>
          <c:smooth val="0"/>
        </c:ser>
        <c:ser>
          <c:idx val="1"/>
          <c:order val="1"/>
          <c:tx>
            <c:strRef>
              <c:f>'Export intensities- first globa'!$G$4</c:f>
              <c:strCache>
                <c:ptCount val="1"/>
                <c:pt idx="0">
                  <c:v>Other exporters average </c:v>
                </c:pt>
              </c:strCache>
            </c:strRef>
          </c:tx>
          <c:spPr>
            <a:ln w="25400" cap="rnd">
              <a:solidFill>
                <a:srgbClr val="56B4DF"/>
              </a:solidFill>
              <a:prstDash val="solid"/>
              <a:round/>
            </a:ln>
            <a:effectLst/>
          </c:spPr>
          <c:marker>
            <c:symbol val="none"/>
          </c:marker>
          <c:cat>
            <c:numRef>
              <c:f>'Export intensities- first globa'!$A$7:$A$19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'Export intensities- first globa'!$G$7:$G$19</c:f>
              <c:numCache>
                <c:formatCode>General</c:formatCode>
                <c:ptCount val="13"/>
                <c:pt idx="0">
                  <c:v>0.34151670000000001</c:v>
                </c:pt>
                <c:pt idx="1">
                  <c:v>0.32548060000000001</c:v>
                </c:pt>
                <c:pt idx="2">
                  <c:v>0.31557429999999997</c:v>
                </c:pt>
                <c:pt idx="3">
                  <c:v>0.30646250000000003</c:v>
                </c:pt>
                <c:pt idx="4">
                  <c:v>0.3088188</c:v>
                </c:pt>
                <c:pt idx="5">
                  <c:v>0.31443919999999997</c:v>
                </c:pt>
                <c:pt idx="6">
                  <c:v>0.30560150000000003</c:v>
                </c:pt>
                <c:pt idx="7">
                  <c:v>0.3030815</c:v>
                </c:pt>
                <c:pt idx="8">
                  <c:v>0.3012841</c:v>
                </c:pt>
                <c:pt idx="9">
                  <c:v>0.30327920000000003</c:v>
                </c:pt>
                <c:pt idx="10">
                  <c:v>0.30086220000000002</c:v>
                </c:pt>
                <c:pt idx="11">
                  <c:v>0.30029719999999999</c:v>
                </c:pt>
                <c:pt idx="12">
                  <c:v>0.30829980000000001</c:v>
                </c:pt>
              </c:numCache>
            </c:numRef>
          </c:val>
          <c:smooth val="0"/>
        </c:ser>
        <c:ser>
          <c:idx val="2"/>
          <c:order val="2"/>
          <c:tx>
            <c:strRef>
              <c:f>'Export intensities- first globa'!$D$27</c:f>
              <c:strCache>
                <c:ptCount val="1"/>
                <c:pt idx="0">
                  <c:v>Born global median</c:v>
                </c:pt>
              </c:strCache>
            </c:strRef>
          </c:tx>
          <c:spPr>
            <a:ln w="25400" cap="rnd">
              <a:solidFill>
                <a:srgbClr val="9ED9DF"/>
              </a:solidFill>
              <a:prstDash val="solid"/>
              <a:round/>
            </a:ln>
            <a:effectLst/>
          </c:spPr>
          <c:marker>
            <c:symbol val="none"/>
          </c:marker>
          <c:cat>
            <c:numRef>
              <c:f>'Export intensities- first globa'!$A$7:$A$19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'Export intensities- first globa'!$D$30:$D$42</c:f>
              <c:numCache>
                <c:formatCode>General</c:formatCode>
                <c:ptCount val="13"/>
                <c:pt idx="0">
                  <c:v>0.25967319999999999</c:v>
                </c:pt>
                <c:pt idx="1">
                  <c:v>0.25149690000000002</c:v>
                </c:pt>
                <c:pt idx="2">
                  <c:v>0.25998729999999998</c:v>
                </c:pt>
                <c:pt idx="3">
                  <c:v>0.2948306</c:v>
                </c:pt>
                <c:pt idx="4">
                  <c:v>0.25735439999999998</c:v>
                </c:pt>
                <c:pt idx="5">
                  <c:v>0.30591030000000002</c:v>
                </c:pt>
                <c:pt idx="6">
                  <c:v>0.31071599999999999</c:v>
                </c:pt>
                <c:pt idx="7">
                  <c:v>0.3193201</c:v>
                </c:pt>
                <c:pt idx="8">
                  <c:v>0.3179516</c:v>
                </c:pt>
                <c:pt idx="9">
                  <c:v>0.30496030000000002</c:v>
                </c:pt>
                <c:pt idx="10">
                  <c:v>0.34817399999999998</c:v>
                </c:pt>
                <c:pt idx="11">
                  <c:v>0.3907794</c:v>
                </c:pt>
                <c:pt idx="12">
                  <c:v>0.43794680000000002</c:v>
                </c:pt>
              </c:numCache>
            </c:numRef>
          </c:val>
          <c:smooth val="0"/>
        </c:ser>
        <c:ser>
          <c:idx val="3"/>
          <c:order val="3"/>
          <c:tx>
            <c:strRef>
              <c:f>'Export intensities- first globa'!$G$27</c:f>
              <c:strCache>
                <c:ptCount val="1"/>
                <c:pt idx="0">
                  <c:v>Born global average </c:v>
                </c:pt>
              </c:strCache>
            </c:strRef>
          </c:tx>
          <c:spPr>
            <a:ln w="25400" cap="rnd">
              <a:solidFill>
                <a:srgbClr val="BCBFC1"/>
              </a:solidFill>
              <a:prstDash val="solid"/>
              <a:round/>
            </a:ln>
            <a:effectLst/>
          </c:spPr>
          <c:marker>
            <c:symbol val="none"/>
          </c:marker>
          <c:cat>
            <c:numRef>
              <c:f>'Export intensities- first globa'!$A$7:$A$19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'Export intensities- first globa'!$G$30:$G$42</c:f>
              <c:numCache>
                <c:formatCode>General</c:formatCode>
                <c:ptCount val="13"/>
                <c:pt idx="0">
                  <c:v>0.4152129</c:v>
                </c:pt>
                <c:pt idx="1">
                  <c:v>0.40440710000000002</c:v>
                </c:pt>
                <c:pt idx="2">
                  <c:v>0.41044580000000003</c:v>
                </c:pt>
                <c:pt idx="3">
                  <c:v>0.4187266</c:v>
                </c:pt>
                <c:pt idx="4">
                  <c:v>0.41532859999999999</c:v>
                </c:pt>
                <c:pt idx="5">
                  <c:v>0.44193070000000001</c:v>
                </c:pt>
                <c:pt idx="6">
                  <c:v>0.43494169999999999</c:v>
                </c:pt>
                <c:pt idx="7">
                  <c:v>0.4507621</c:v>
                </c:pt>
                <c:pt idx="8">
                  <c:v>0.4474474</c:v>
                </c:pt>
                <c:pt idx="9">
                  <c:v>0.43776130000000002</c:v>
                </c:pt>
                <c:pt idx="10">
                  <c:v>0.46210469999999998</c:v>
                </c:pt>
                <c:pt idx="11">
                  <c:v>0.4773384</c:v>
                </c:pt>
                <c:pt idx="12">
                  <c:v>0.49189699999999997</c:v>
                </c:pt>
              </c:numCache>
            </c:numRef>
          </c:val>
          <c:smooth val="0"/>
        </c:ser>
        <c:dLbls>
          <c:showLegendKey val="0"/>
          <c:showVal val="0"/>
          <c:showCatName val="0"/>
          <c:showSerName val="0"/>
          <c:showPercent val="0"/>
          <c:showBubbleSize val="0"/>
        </c:dLbls>
        <c:smooth val="0"/>
        <c:axId val="565004896"/>
        <c:axId val="961930552"/>
      </c:lineChart>
      <c:catAx>
        <c:axId val="56500489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961930552"/>
        <c:crosses val="autoZero"/>
        <c:auto val="1"/>
        <c:lblAlgn val="ctr"/>
        <c:lblOffset val="100"/>
        <c:noMultiLvlLbl val="0"/>
      </c:catAx>
      <c:valAx>
        <c:axId val="96193055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Export intensity</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565004896"/>
        <c:crosses val="autoZero"/>
        <c:crossBetween val="between"/>
        <c:majorUnit val="0.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62639428557069"/>
          <c:y val="5.3191489361702128E-2"/>
          <c:w val="0.83436287174285984"/>
          <c:h val="0.66451133888728131"/>
        </c:manualLayout>
      </c:layout>
      <c:lineChart>
        <c:grouping val="standard"/>
        <c:varyColors val="0"/>
        <c:ser>
          <c:idx val="0"/>
          <c:order val="0"/>
          <c:tx>
            <c:strRef>
              <c:f>export_intensity!$B$26</c:f>
              <c:strCache>
                <c:ptCount val="1"/>
                <c:pt idx="0">
                  <c:v>NZ Born global </c:v>
                </c:pt>
              </c:strCache>
            </c:strRef>
          </c:tx>
          <c:spPr>
            <a:ln w="28575" cap="rnd">
              <a:solidFill>
                <a:srgbClr val="005CAF"/>
              </a:solidFill>
              <a:prstDash val="solid"/>
              <a:round/>
            </a:ln>
            <a:effectLst/>
          </c:spPr>
          <c:marker>
            <c:symbol val="none"/>
          </c:marker>
          <c:cat>
            <c:strRef>
              <c:f>export_intensity!$C$25:$G$25</c:f>
              <c:strCache>
                <c:ptCount val="5"/>
                <c:pt idx="0">
                  <c:v>p10</c:v>
                </c:pt>
                <c:pt idx="1">
                  <c:v>p25</c:v>
                </c:pt>
                <c:pt idx="2">
                  <c:v>p50</c:v>
                </c:pt>
                <c:pt idx="3">
                  <c:v>p75</c:v>
                </c:pt>
                <c:pt idx="4">
                  <c:v>p90</c:v>
                </c:pt>
              </c:strCache>
            </c:strRef>
          </c:cat>
          <c:val>
            <c:numRef>
              <c:f>export_intensity!$C$26:$G$26</c:f>
              <c:numCache>
                <c:formatCode>General</c:formatCode>
                <c:ptCount val="5"/>
                <c:pt idx="0">
                  <c:v>2.58E-2</c:v>
                </c:pt>
                <c:pt idx="1">
                  <c:v>0.151</c:v>
                </c:pt>
                <c:pt idx="2">
                  <c:v>0.65400000000000003</c:v>
                </c:pt>
                <c:pt idx="3">
                  <c:v>1</c:v>
                </c:pt>
                <c:pt idx="4">
                  <c:v>1</c:v>
                </c:pt>
              </c:numCache>
            </c:numRef>
          </c:val>
          <c:smooth val="0"/>
        </c:ser>
        <c:ser>
          <c:idx val="1"/>
          <c:order val="1"/>
          <c:tx>
            <c:strRef>
              <c:f>export_intensity!$B$27</c:f>
              <c:strCache>
                <c:ptCount val="1"/>
                <c:pt idx="0">
                  <c:v>AU Born global</c:v>
                </c:pt>
              </c:strCache>
            </c:strRef>
          </c:tx>
          <c:spPr>
            <a:ln w="28575" cap="rnd">
              <a:solidFill>
                <a:srgbClr val="56B4DF"/>
              </a:solidFill>
              <a:prstDash val="solid"/>
              <a:round/>
            </a:ln>
            <a:effectLst/>
          </c:spPr>
          <c:marker>
            <c:symbol val="none"/>
          </c:marker>
          <c:cat>
            <c:strRef>
              <c:f>export_intensity!$C$25:$G$25</c:f>
              <c:strCache>
                <c:ptCount val="5"/>
                <c:pt idx="0">
                  <c:v>p10</c:v>
                </c:pt>
                <c:pt idx="1">
                  <c:v>p25</c:v>
                </c:pt>
                <c:pt idx="2">
                  <c:v>p50</c:v>
                </c:pt>
                <c:pt idx="3">
                  <c:v>p75</c:v>
                </c:pt>
                <c:pt idx="4">
                  <c:v>p90</c:v>
                </c:pt>
              </c:strCache>
            </c:strRef>
          </c:cat>
          <c:val>
            <c:numRef>
              <c:f>export_intensity!$C$27:$G$27</c:f>
              <c:numCache>
                <c:formatCode>General</c:formatCode>
                <c:ptCount val="5"/>
                <c:pt idx="0">
                  <c:v>2.0387599999999999E-2</c:v>
                </c:pt>
                <c:pt idx="1">
                  <c:v>8.5496500000000003E-2</c:v>
                </c:pt>
                <c:pt idx="2">
                  <c:v>0.43794680000000002</c:v>
                </c:pt>
                <c:pt idx="3">
                  <c:v>0.96796230000000005</c:v>
                </c:pt>
                <c:pt idx="4">
                  <c:v>1</c:v>
                </c:pt>
              </c:numCache>
            </c:numRef>
          </c:val>
          <c:smooth val="0"/>
        </c:ser>
        <c:ser>
          <c:idx val="2"/>
          <c:order val="2"/>
          <c:tx>
            <c:strRef>
              <c:f>export_intensity!$B$28</c:f>
              <c:strCache>
                <c:ptCount val="1"/>
                <c:pt idx="0">
                  <c:v>NZ Other exporters</c:v>
                </c:pt>
              </c:strCache>
            </c:strRef>
          </c:tx>
          <c:spPr>
            <a:ln w="28575" cap="rnd">
              <a:solidFill>
                <a:srgbClr val="9ED9DF"/>
              </a:solidFill>
              <a:prstDash val="solid"/>
              <a:round/>
            </a:ln>
            <a:effectLst/>
          </c:spPr>
          <c:marker>
            <c:symbol val="none"/>
          </c:marker>
          <c:cat>
            <c:strRef>
              <c:f>export_intensity!$C$25:$G$25</c:f>
              <c:strCache>
                <c:ptCount val="5"/>
                <c:pt idx="0">
                  <c:v>p10</c:v>
                </c:pt>
                <c:pt idx="1">
                  <c:v>p25</c:v>
                </c:pt>
                <c:pt idx="2">
                  <c:v>p50</c:v>
                </c:pt>
                <c:pt idx="3">
                  <c:v>p75</c:v>
                </c:pt>
                <c:pt idx="4">
                  <c:v>p90</c:v>
                </c:pt>
              </c:strCache>
            </c:strRef>
          </c:cat>
          <c:val>
            <c:numRef>
              <c:f>export_intensity!$C$28:$G$28</c:f>
              <c:numCache>
                <c:formatCode>General</c:formatCode>
                <c:ptCount val="5"/>
                <c:pt idx="0">
                  <c:v>1.3799999999999999E-3</c:v>
                </c:pt>
                <c:pt idx="1">
                  <c:v>1.2500000000000001E-2</c:v>
                </c:pt>
                <c:pt idx="2">
                  <c:v>0.114</c:v>
                </c:pt>
                <c:pt idx="3">
                  <c:v>0.58399999999999996</c:v>
                </c:pt>
                <c:pt idx="4">
                  <c:v>0.96699999999999997</c:v>
                </c:pt>
              </c:numCache>
            </c:numRef>
          </c:val>
          <c:smooth val="0"/>
        </c:ser>
        <c:ser>
          <c:idx val="3"/>
          <c:order val="3"/>
          <c:tx>
            <c:strRef>
              <c:f>export_intensity!$B$29</c:f>
              <c:strCache>
                <c:ptCount val="1"/>
                <c:pt idx="0">
                  <c:v>AU Other exporters</c:v>
                </c:pt>
              </c:strCache>
            </c:strRef>
          </c:tx>
          <c:spPr>
            <a:ln w="28575" cap="rnd">
              <a:solidFill>
                <a:srgbClr val="BCBFC1"/>
              </a:solidFill>
              <a:prstDash val="solid"/>
              <a:round/>
            </a:ln>
            <a:effectLst/>
          </c:spPr>
          <c:marker>
            <c:symbol val="none"/>
          </c:marker>
          <c:cat>
            <c:strRef>
              <c:f>export_intensity!$C$25:$G$25</c:f>
              <c:strCache>
                <c:ptCount val="5"/>
                <c:pt idx="0">
                  <c:v>p10</c:v>
                </c:pt>
                <c:pt idx="1">
                  <c:v>p25</c:v>
                </c:pt>
                <c:pt idx="2">
                  <c:v>p50</c:v>
                </c:pt>
                <c:pt idx="3">
                  <c:v>p75</c:v>
                </c:pt>
                <c:pt idx="4">
                  <c:v>p90</c:v>
                </c:pt>
              </c:strCache>
            </c:strRef>
          </c:cat>
          <c:val>
            <c:numRef>
              <c:f>export_intensity!$C$29:$G$29</c:f>
              <c:numCache>
                <c:formatCode>General</c:formatCode>
                <c:ptCount val="5"/>
                <c:pt idx="0">
                  <c:v>7.2506999999999997E-3</c:v>
                </c:pt>
                <c:pt idx="1">
                  <c:v>3.0200899999999999E-2</c:v>
                </c:pt>
                <c:pt idx="2">
                  <c:v>0.14165910000000001</c:v>
                </c:pt>
                <c:pt idx="3">
                  <c:v>0.53274710000000003</c:v>
                </c:pt>
                <c:pt idx="4">
                  <c:v>0.96662199999999998</c:v>
                </c:pt>
              </c:numCache>
            </c:numRef>
          </c:val>
          <c:smooth val="0"/>
        </c:ser>
        <c:dLbls>
          <c:showLegendKey val="0"/>
          <c:showVal val="0"/>
          <c:showCatName val="0"/>
          <c:showSerName val="0"/>
          <c:showPercent val="0"/>
          <c:showBubbleSize val="0"/>
        </c:dLbls>
        <c:smooth val="0"/>
        <c:axId val="1076874832"/>
        <c:axId val="1089016688"/>
      </c:lineChart>
      <c:catAx>
        <c:axId val="107687483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6688"/>
        <c:crosses val="autoZero"/>
        <c:auto val="1"/>
        <c:lblAlgn val="ctr"/>
        <c:lblOffset val="100"/>
        <c:noMultiLvlLbl val="0"/>
      </c:catAx>
      <c:valAx>
        <c:axId val="1089016688"/>
        <c:scaling>
          <c:orientation val="minMax"/>
          <c:max val="1"/>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Export</a:t>
                </a:r>
                <a:r>
                  <a:rPr lang="en-AU" baseline="0"/>
                  <a:t> intensity</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76874832"/>
        <c:crosses val="autoZero"/>
        <c:crossBetween val="between"/>
        <c:majorUnit val="0.5"/>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Sheet1!$A$8</c:f>
              <c:strCache>
                <c:ptCount val="1"/>
                <c:pt idx="0">
                  <c:v>Born global </c:v>
                </c:pt>
              </c:strCache>
            </c:strRef>
          </c:tx>
          <c:spPr>
            <a:ln w="28575" cap="rnd">
              <a:solidFill>
                <a:srgbClr val="005CAF"/>
              </a:solidFill>
              <a:prstDash val="solid"/>
              <a:round/>
            </a:ln>
            <a:effectLst/>
          </c:spPr>
          <c:marker>
            <c:symbol val="none"/>
          </c:marker>
          <c:cat>
            <c:strRef>
              <c:f>Sheet1!$B$7:$E$7</c:f>
              <c:strCache>
                <c:ptCount val="4"/>
                <c:pt idx="0">
                  <c:v>Year 0</c:v>
                </c:pt>
                <c:pt idx="1">
                  <c:v>Year 1</c:v>
                </c:pt>
                <c:pt idx="2">
                  <c:v>Year 3 </c:v>
                </c:pt>
                <c:pt idx="3">
                  <c:v>Year 5</c:v>
                </c:pt>
              </c:strCache>
            </c:strRef>
          </c:cat>
          <c:val>
            <c:numRef>
              <c:f>Sheet1!$B$8:$E$8</c:f>
              <c:numCache>
                <c:formatCode>0.0</c:formatCode>
                <c:ptCount val="4"/>
                <c:pt idx="0" formatCode="General">
                  <c:v>100</c:v>
                </c:pt>
                <c:pt idx="1">
                  <c:v>82.953882078225334</c:v>
                </c:pt>
                <c:pt idx="2">
                  <c:v>71.044950379451251</c:v>
                </c:pt>
                <c:pt idx="3">
                  <c:v>57.968476357267953</c:v>
                </c:pt>
              </c:numCache>
            </c:numRef>
          </c:val>
          <c:smooth val="0"/>
        </c:ser>
        <c:ser>
          <c:idx val="1"/>
          <c:order val="1"/>
          <c:tx>
            <c:strRef>
              <c:f>Sheet1!$A$9</c:f>
              <c:strCache>
                <c:ptCount val="1"/>
                <c:pt idx="0">
                  <c:v>Other small exporters</c:v>
                </c:pt>
              </c:strCache>
            </c:strRef>
          </c:tx>
          <c:spPr>
            <a:ln w="28575" cap="rnd">
              <a:solidFill>
                <a:srgbClr val="56B4DF"/>
              </a:solidFill>
              <a:prstDash val="solid"/>
              <a:round/>
            </a:ln>
            <a:effectLst/>
          </c:spPr>
          <c:marker>
            <c:symbol val="none"/>
          </c:marker>
          <c:cat>
            <c:strRef>
              <c:f>Sheet1!$B$7:$E$7</c:f>
              <c:strCache>
                <c:ptCount val="4"/>
                <c:pt idx="0">
                  <c:v>Year 0</c:v>
                </c:pt>
                <c:pt idx="1">
                  <c:v>Year 1</c:v>
                </c:pt>
                <c:pt idx="2">
                  <c:v>Year 3 </c:v>
                </c:pt>
                <c:pt idx="3">
                  <c:v>Year 5</c:v>
                </c:pt>
              </c:strCache>
            </c:strRef>
          </c:cat>
          <c:val>
            <c:numRef>
              <c:f>Sheet1!$B$9:$E$9</c:f>
              <c:numCache>
                <c:formatCode>0.0</c:formatCode>
                <c:ptCount val="4"/>
                <c:pt idx="0" formatCode="General">
                  <c:v>100</c:v>
                </c:pt>
                <c:pt idx="1">
                  <c:v>81.031429836210705</c:v>
                </c:pt>
                <c:pt idx="2">
                  <c:v>82.691456396635672</c:v>
                </c:pt>
                <c:pt idx="3">
                  <c:v>73.926516157591863</c:v>
                </c:pt>
              </c:numCache>
            </c:numRef>
          </c:val>
          <c:smooth val="0"/>
        </c:ser>
        <c:ser>
          <c:idx val="2"/>
          <c:order val="2"/>
          <c:tx>
            <c:strRef>
              <c:f>Sheet1!$A$10</c:f>
              <c:strCache>
                <c:ptCount val="1"/>
                <c:pt idx="0">
                  <c:v>All employing small firms </c:v>
                </c:pt>
              </c:strCache>
            </c:strRef>
          </c:tx>
          <c:spPr>
            <a:ln w="28575" cap="rnd">
              <a:solidFill>
                <a:srgbClr val="9ED9DF"/>
              </a:solidFill>
              <a:prstDash val="solid"/>
              <a:round/>
            </a:ln>
            <a:effectLst/>
          </c:spPr>
          <c:marker>
            <c:symbol val="none"/>
          </c:marker>
          <c:cat>
            <c:strRef>
              <c:f>Sheet1!$B$7:$E$7</c:f>
              <c:strCache>
                <c:ptCount val="4"/>
                <c:pt idx="0">
                  <c:v>Year 0</c:v>
                </c:pt>
                <c:pt idx="1">
                  <c:v>Year 1</c:v>
                </c:pt>
                <c:pt idx="2">
                  <c:v>Year 3 </c:v>
                </c:pt>
                <c:pt idx="3">
                  <c:v>Year 5</c:v>
                </c:pt>
              </c:strCache>
            </c:strRef>
          </c:cat>
          <c:val>
            <c:numRef>
              <c:f>Sheet1!$B$10:$E$10</c:f>
              <c:numCache>
                <c:formatCode>0.0</c:formatCode>
                <c:ptCount val="4"/>
                <c:pt idx="0" formatCode="General">
                  <c:v>100</c:v>
                </c:pt>
                <c:pt idx="1">
                  <c:v>78.002191637595629</c:v>
                </c:pt>
                <c:pt idx="2">
                  <c:v>66.568478621480054</c:v>
                </c:pt>
                <c:pt idx="3">
                  <c:v>55.038253124088911</c:v>
                </c:pt>
              </c:numCache>
            </c:numRef>
          </c:val>
          <c:smooth val="0"/>
        </c:ser>
        <c:dLbls>
          <c:showLegendKey val="0"/>
          <c:showVal val="0"/>
          <c:showCatName val="0"/>
          <c:showSerName val="0"/>
          <c:showPercent val="0"/>
          <c:showBubbleSize val="0"/>
        </c:dLbls>
        <c:smooth val="0"/>
        <c:axId val="1089019432"/>
        <c:axId val="1089019040"/>
      </c:lineChart>
      <c:catAx>
        <c:axId val="108901943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9040"/>
        <c:crosses val="autoZero"/>
        <c:auto val="1"/>
        <c:lblAlgn val="ctr"/>
        <c:lblOffset val="100"/>
        <c:noMultiLvlLbl val="0"/>
      </c:catAx>
      <c:valAx>
        <c:axId val="1089019040"/>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Survival rate (per</a:t>
                </a:r>
                <a:r>
                  <a:rPr lang="en-AU" baseline="0"/>
                  <a:t> cent)</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943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Counts!$B$4</c:f>
              <c:strCache>
                <c:ptCount val="1"/>
                <c:pt idx="0">
                  <c:v>1yr</c:v>
                </c:pt>
              </c:strCache>
            </c:strRef>
          </c:tx>
          <c:spPr>
            <a:ln w="28575" cap="rnd">
              <a:solidFill>
                <a:srgbClr val="005CAF"/>
              </a:solidFill>
              <a:prstDash val="solid"/>
              <a:round/>
            </a:ln>
            <a:effectLst/>
          </c:spPr>
          <c:marker>
            <c:symbol val="none"/>
          </c:marker>
          <c:cat>
            <c:numRef>
              <c:f>Counts!$A$6:$A$17</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Counts!$B$6:$B$17</c:f>
              <c:numCache>
                <c:formatCode>General</c:formatCode>
                <c:ptCount val="12"/>
                <c:pt idx="0">
                  <c:v>3190</c:v>
                </c:pt>
                <c:pt idx="1">
                  <c:v>3193</c:v>
                </c:pt>
                <c:pt idx="2">
                  <c:v>3391</c:v>
                </c:pt>
                <c:pt idx="3">
                  <c:v>2936</c:v>
                </c:pt>
                <c:pt idx="4">
                  <c:v>2447</c:v>
                </c:pt>
                <c:pt idx="5">
                  <c:v>2778</c:v>
                </c:pt>
                <c:pt idx="6">
                  <c:v>2584</c:v>
                </c:pt>
                <c:pt idx="7">
                  <c:v>2645</c:v>
                </c:pt>
                <c:pt idx="8">
                  <c:v>2390</c:v>
                </c:pt>
                <c:pt idx="9">
                  <c:v>2878</c:v>
                </c:pt>
                <c:pt idx="10">
                  <c:v>3348</c:v>
                </c:pt>
                <c:pt idx="11">
                  <c:v>3825</c:v>
                </c:pt>
              </c:numCache>
            </c:numRef>
          </c:val>
          <c:smooth val="0"/>
        </c:ser>
        <c:ser>
          <c:idx val="1"/>
          <c:order val="1"/>
          <c:tx>
            <c:strRef>
              <c:f>Counts!$C$4</c:f>
              <c:strCache>
                <c:ptCount val="1"/>
                <c:pt idx="0">
                  <c:v>1yr 25%</c:v>
                </c:pt>
              </c:strCache>
            </c:strRef>
          </c:tx>
          <c:spPr>
            <a:ln w="28575" cap="rnd">
              <a:solidFill>
                <a:srgbClr val="56B4DF"/>
              </a:solidFill>
              <a:prstDash val="solid"/>
              <a:round/>
            </a:ln>
            <a:effectLst/>
          </c:spPr>
          <c:marker>
            <c:symbol val="none"/>
          </c:marker>
          <c:cat>
            <c:numRef>
              <c:f>Counts!$A$6:$A$17</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Counts!$C$6:$C$17</c:f>
              <c:numCache>
                <c:formatCode>General</c:formatCode>
                <c:ptCount val="12"/>
                <c:pt idx="0">
                  <c:v>1692</c:v>
                </c:pt>
                <c:pt idx="1">
                  <c:v>1693</c:v>
                </c:pt>
                <c:pt idx="2">
                  <c:v>1903</c:v>
                </c:pt>
                <c:pt idx="3">
                  <c:v>1555</c:v>
                </c:pt>
                <c:pt idx="4">
                  <c:v>1400</c:v>
                </c:pt>
                <c:pt idx="5">
                  <c:v>1578</c:v>
                </c:pt>
                <c:pt idx="6">
                  <c:v>1482</c:v>
                </c:pt>
                <c:pt idx="7">
                  <c:v>1495</c:v>
                </c:pt>
                <c:pt idx="8">
                  <c:v>1330</c:v>
                </c:pt>
                <c:pt idx="9">
                  <c:v>1656</c:v>
                </c:pt>
                <c:pt idx="10">
                  <c:v>1983</c:v>
                </c:pt>
                <c:pt idx="11">
                  <c:v>2370</c:v>
                </c:pt>
              </c:numCache>
            </c:numRef>
          </c:val>
          <c:smooth val="0"/>
        </c:ser>
        <c:ser>
          <c:idx val="2"/>
          <c:order val="2"/>
          <c:tx>
            <c:strRef>
              <c:f>Counts!$D$4</c:f>
              <c:strCache>
                <c:ptCount val="1"/>
                <c:pt idx="0">
                  <c:v>3yr 100%</c:v>
                </c:pt>
              </c:strCache>
            </c:strRef>
          </c:tx>
          <c:spPr>
            <a:ln w="28575" cap="rnd">
              <a:solidFill>
                <a:srgbClr val="9ED9DF"/>
              </a:solidFill>
              <a:prstDash val="solid"/>
              <a:round/>
            </a:ln>
            <a:effectLst/>
          </c:spPr>
          <c:marker>
            <c:symbol val="none"/>
          </c:marker>
          <c:cat>
            <c:numRef>
              <c:f>Counts!$A$6:$A$17</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Counts!$D$6:$D$17</c:f>
              <c:numCache>
                <c:formatCode>General</c:formatCode>
                <c:ptCount val="12"/>
                <c:pt idx="0" formatCode="#,##0">
                  <c:v>1010</c:v>
                </c:pt>
                <c:pt idx="1">
                  <c:v>1014</c:v>
                </c:pt>
                <c:pt idx="2">
                  <c:v>993</c:v>
                </c:pt>
                <c:pt idx="3">
                  <c:v>980</c:v>
                </c:pt>
                <c:pt idx="4">
                  <c:v>901</c:v>
                </c:pt>
                <c:pt idx="5" formatCode="#,##0">
                  <c:v>1036</c:v>
                </c:pt>
                <c:pt idx="6">
                  <c:v>989</c:v>
                </c:pt>
                <c:pt idx="7">
                  <c:v>989</c:v>
                </c:pt>
                <c:pt idx="8">
                  <c:v>934</c:v>
                </c:pt>
                <c:pt idx="9" formatCode="#,##0">
                  <c:v>1067</c:v>
                </c:pt>
                <c:pt idx="10" formatCode="#,##0">
                  <c:v>1244</c:v>
                </c:pt>
                <c:pt idx="11" formatCode="#,##0">
                  <c:v>1489</c:v>
                </c:pt>
              </c:numCache>
            </c:numRef>
          </c:val>
          <c:smooth val="0"/>
        </c:ser>
        <c:ser>
          <c:idx val="3"/>
          <c:order val="3"/>
          <c:tx>
            <c:strRef>
              <c:f>Counts!$E$4</c:f>
              <c:strCache>
                <c:ptCount val="1"/>
                <c:pt idx="0">
                  <c:v>3yr 25%</c:v>
                </c:pt>
              </c:strCache>
            </c:strRef>
          </c:tx>
          <c:spPr>
            <a:ln w="28575" cap="rnd">
              <a:solidFill>
                <a:srgbClr val="BCBFC1"/>
              </a:solidFill>
              <a:prstDash val="solid"/>
              <a:round/>
            </a:ln>
            <a:effectLst/>
          </c:spPr>
          <c:marker>
            <c:symbol val="none"/>
          </c:marker>
          <c:cat>
            <c:numRef>
              <c:f>Counts!$A$6:$A$17</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Counts!$E$6:$E$17</c:f>
              <c:numCache>
                <c:formatCode>#,##0</c:formatCode>
                <c:ptCount val="12"/>
                <c:pt idx="0">
                  <c:v>3360</c:v>
                </c:pt>
                <c:pt idx="1">
                  <c:v>3375</c:v>
                </c:pt>
                <c:pt idx="2">
                  <c:v>3381</c:v>
                </c:pt>
                <c:pt idx="3">
                  <c:v>3376</c:v>
                </c:pt>
                <c:pt idx="4">
                  <c:v>2854</c:v>
                </c:pt>
                <c:pt idx="5">
                  <c:v>3156</c:v>
                </c:pt>
                <c:pt idx="6">
                  <c:v>2998</c:v>
                </c:pt>
                <c:pt idx="7">
                  <c:v>2952</c:v>
                </c:pt>
                <c:pt idx="8">
                  <c:v>2812</c:v>
                </c:pt>
                <c:pt idx="9">
                  <c:v>3127</c:v>
                </c:pt>
                <c:pt idx="10">
                  <c:v>3633</c:v>
                </c:pt>
                <c:pt idx="11">
                  <c:v>4291</c:v>
                </c:pt>
              </c:numCache>
            </c:numRef>
          </c:val>
          <c:smooth val="0"/>
        </c:ser>
        <c:dLbls>
          <c:showLegendKey val="0"/>
          <c:showVal val="0"/>
          <c:showCatName val="0"/>
          <c:showSerName val="0"/>
          <c:showPercent val="0"/>
          <c:showBubbleSize val="0"/>
        </c:dLbls>
        <c:smooth val="0"/>
        <c:axId val="1089015904"/>
        <c:axId val="1089016296"/>
      </c:lineChart>
      <c:catAx>
        <c:axId val="108901590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6296"/>
        <c:crosses val="autoZero"/>
        <c:auto val="1"/>
        <c:lblAlgn val="ctr"/>
        <c:lblOffset val="100"/>
        <c:noMultiLvlLbl val="0"/>
      </c:catAx>
      <c:valAx>
        <c:axId val="1089016296"/>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Count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5904"/>
        <c:crosses val="autoZero"/>
        <c:crossBetween val="between"/>
        <c:majorUnit val="1000"/>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BGFs</a:t>
            </a:r>
          </a:p>
        </c:rich>
      </c:tx>
      <c:layout>
        <c:manualLayout>
          <c:xMode val="edge"/>
          <c:yMode val="edge"/>
          <c:x val="0.47144133093023949"/>
          <c:y val="0.85044586423795676"/>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12926281018013522"/>
          <c:y val="4.878048780487805E-2"/>
          <c:w val="0.81465194024050425"/>
          <c:h val="0.72093335893988864"/>
        </c:manualLayout>
      </c:layout>
      <c:lineChart>
        <c:grouping val="standard"/>
        <c:varyColors val="0"/>
        <c:ser>
          <c:idx val="0"/>
          <c:order val="0"/>
          <c:tx>
            <c:strRef>
              <c:f>DSR!$B$6</c:f>
              <c:strCache>
                <c:ptCount val="1"/>
                <c:pt idx="0">
                  <c:v>p25</c:v>
                </c:pt>
              </c:strCache>
            </c:strRef>
          </c:tx>
          <c:spPr>
            <a:ln w="28575" cap="rnd">
              <a:solidFill>
                <a:srgbClr val="005CAF"/>
              </a:solidFill>
              <a:prstDash val="solid"/>
              <a:round/>
            </a:ln>
            <a:effectLst/>
          </c:spPr>
          <c:marker>
            <c:symbol val="none"/>
          </c:marker>
          <c:cat>
            <c:numRef>
              <c:f>DSR!$A$9:$A$21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DSR!$B$9:$B$21</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mooth val="0"/>
        </c:ser>
        <c:ser>
          <c:idx val="1"/>
          <c:order val="1"/>
          <c:tx>
            <c:strRef>
              <c:f>DSR!$C$6</c:f>
              <c:strCache>
                <c:ptCount val="1"/>
                <c:pt idx="0">
                  <c:v>p50</c:v>
                </c:pt>
              </c:strCache>
            </c:strRef>
          </c:tx>
          <c:spPr>
            <a:ln w="28575" cap="rnd">
              <a:solidFill>
                <a:srgbClr val="56B4DF"/>
              </a:solidFill>
              <a:prstDash val="solid"/>
              <a:round/>
            </a:ln>
            <a:effectLst/>
          </c:spPr>
          <c:marker>
            <c:symbol val="none"/>
          </c:marker>
          <c:cat>
            <c:numRef>
              <c:f>DSR!$A$9:$A$21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DSR!$C$9:$C$21</c:f>
              <c:numCache>
                <c:formatCode>General</c:formatCode>
                <c:ptCount val="13"/>
                <c:pt idx="0">
                  <c:v>1.6192999999999999E-3</c:v>
                </c:pt>
                <c:pt idx="1">
                  <c:v>1.9737999999999999E-3</c:v>
                </c:pt>
                <c:pt idx="2">
                  <c:v>8.5231000000000005E-3</c:v>
                </c:pt>
                <c:pt idx="3">
                  <c:v>1.0515999999999999E-2</c:v>
                </c:pt>
                <c:pt idx="4">
                  <c:v>1.0274800000000001E-2</c:v>
                </c:pt>
                <c:pt idx="5">
                  <c:v>1.19851E-2</c:v>
                </c:pt>
                <c:pt idx="6">
                  <c:v>1.0433100000000001E-2</c:v>
                </c:pt>
                <c:pt idx="7">
                  <c:v>1.2018E-3</c:v>
                </c:pt>
                <c:pt idx="8">
                  <c:v>7.3052000000000004E-3</c:v>
                </c:pt>
                <c:pt idx="9">
                  <c:v>9.1582E-3</c:v>
                </c:pt>
                <c:pt idx="10">
                  <c:v>4.4757E-3</c:v>
                </c:pt>
                <c:pt idx="11">
                  <c:v>8.4250999999999996E-3</c:v>
                </c:pt>
                <c:pt idx="12">
                  <c:v>1.2633399999999999E-2</c:v>
                </c:pt>
              </c:numCache>
            </c:numRef>
          </c:val>
          <c:smooth val="0"/>
        </c:ser>
        <c:ser>
          <c:idx val="2"/>
          <c:order val="2"/>
          <c:tx>
            <c:strRef>
              <c:f>DSR!$D$6</c:f>
              <c:strCache>
                <c:ptCount val="1"/>
                <c:pt idx="0">
                  <c:v>p75</c:v>
                </c:pt>
              </c:strCache>
            </c:strRef>
          </c:tx>
          <c:spPr>
            <a:ln w="28575" cap="rnd">
              <a:solidFill>
                <a:srgbClr val="9ED9DF"/>
              </a:solidFill>
              <a:prstDash val="solid"/>
              <a:round/>
            </a:ln>
            <a:effectLst/>
          </c:spPr>
          <c:marker>
            <c:symbol val="none"/>
          </c:marker>
          <c:cat>
            <c:numRef>
              <c:f>DSR!$A$9:$A$21</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DSR!$D$9:$D$21</c:f>
              <c:numCache>
                <c:formatCode>General</c:formatCode>
                <c:ptCount val="13"/>
                <c:pt idx="0">
                  <c:v>9.5469700000000005E-2</c:v>
                </c:pt>
                <c:pt idx="1">
                  <c:v>0.1077589</c:v>
                </c:pt>
                <c:pt idx="2">
                  <c:v>0.1074924</c:v>
                </c:pt>
                <c:pt idx="3">
                  <c:v>0.15321889999999999</c:v>
                </c:pt>
                <c:pt idx="4">
                  <c:v>0.19272429999999999</c:v>
                </c:pt>
                <c:pt idx="5">
                  <c:v>0.16641230000000001</c:v>
                </c:pt>
                <c:pt idx="6">
                  <c:v>0.15408810000000001</c:v>
                </c:pt>
                <c:pt idx="7">
                  <c:v>0.1578639</c:v>
                </c:pt>
                <c:pt idx="8">
                  <c:v>0.14176430000000001</c:v>
                </c:pt>
                <c:pt idx="9">
                  <c:v>0.1868003</c:v>
                </c:pt>
                <c:pt idx="10">
                  <c:v>0.14314869999999999</c:v>
                </c:pt>
                <c:pt idx="11">
                  <c:v>0.1204311</c:v>
                </c:pt>
                <c:pt idx="12">
                  <c:v>0.1449357</c:v>
                </c:pt>
              </c:numCache>
            </c:numRef>
          </c:val>
          <c:smooth val="0"/>
        </c:ser>
        <c:dLbls>
          <c:showLegendKey val="0"/>
          <c:showVal val="0"/>
          <c:showCatName val="0"/>
          <c:showSerName val="0"/>
          <c:showPercent val="0"/>
          <c:showBubbleSize val="0"/>
        </c:dLbls>
        <c:smooth val="0"/>
        <c:axId val="1089018256"/>
        <c:axId val="1088223448"/>
      </c:lineChart>
      <c:catAx>
        <c:axId val="108901825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3448"/>
        <c:crosses val="autoZero"/>
        <c:auto val="1"/>
        <c:lblAlgn val="ctr"/>
        <c:lblOffset val="100"/>
        <c:noMultiLvlLbl val="0"/>
      </c:catAx>
      <c:valAx>
        <c:axId val="1088223448"/>
        <c:scaling>
          <c:orientation val="minMax"/>
          <c:max val="0.5"/>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DSR ratio</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9018256"/>
        <c:crosses val="autoZero"/>
        <c:crossBetween val="between"/>
        <c:majorUnit val="0.1"/>
      </c:valAx>
      <c:spPr>
        <a:noFill/>
        <a:ln w="25400">
          <a:noFill/>
        </a:ln>
        <a:effectLst/>
      </c:spPr>
    </c:plotArea>
    <c:legend>
      <c:legendPos val="b"/>
      <c:layout>
        <c:manualLayout>
          <c:xMode val="edge"/>
          <c:yMode val="edge"/>
          <c:x val="0.29626561040183291"/>
          <c:y val="0.9228746249562132"/>
          <c:w val="0.40746855076535798"/>
          <c:h val="7.71253750437868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Other exporters</a:t>
            </a:r>
          </a:p>
        </c:rich>
      </c:tx>
      <c:layout>
        <c:manualLayout>
          <c:xMode val="edge"/>
          <c:yMode val="edge"/>
          <c:x val="0.40926898568799924"/>
          <c:y val="0.88065885687972134"/>
        </c:manualLayout>
      </c:layout>
      <c:overlay val="0"/>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lineChart>
        <c:grouping val="standard"/>
        <c:varyColors val="0"/>
        <c:ser>
          <c:idx val="0"/>
          <c:order val="0"/>
          <c:tx>
            <c:strRef>
              <c:f>DSR!$B$29</c:f>
              <c:strCache>
                <c:ptCount val="1"/>
                <c:pt idx="0">
                  <c:v>p25</c:v>
                </c:pt>
              </c:strCache>
            </c:strRef>
          </c:tx>
          <c:spPr>
            <a:ln w="28575" cap="rnd">
              <a:solidFill>
                <a:srgbClr val="005CAF"/>
              </a:solidFill>
              <a:prstDash val="solid"/>
              <a:round/>
            </a:ln>
            <a:effectLst/>
          </c:spPr>
          <c:marker>
            <c:symbol val="none"/>
          </c:marker>
          <c:cat>
            <c:numRef>
              <c:f>DSR!$A$32:$A$44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DSR!$B$32:$B$44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mooth val="0"/>
        </c:ser>
        <c:ser>
          <c:idx val="1"/>
          <c:order val="1"/>
          <c:tx>
            <c:strRef>
              <c:f>DSR!$C$29</c:f>
              <c:strCache>
                <c:ptCount val="1"/>
                <c:pt idx="0">
                  <c:v>p50</c:v>
                </c:pt>
              </c:strCache>
            </c:strRef>
          </c:tx>
          <c:spPr>
            <a:ln w="28575" cap="rnd">
              <a:solidFill>
                <a:srgbClr val="56B4DF"/>
              </a:solidFill>
              <a:prstDash val="solid"/>
              <a:round/>
            </a:ln>
            <a:effectLst/>
          </c:spPr>
          <c:marker>
            <c:symbol val="none"/>
          </c:marker>
          <c:cat>
            <c:numRef>
              <c:f>DSR!$A$32:$A$44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DSR!$C$32:$C$44</c:f>
              <c:numCache>
                <c:formatCode>General</c:formatCode>
                <c:ptCount val="13"/>
                <c:pt idx="0">
                  <c:v>4.1758900000000002E-2</c:v>
                </c:pt>
                <c:pt idx="1">
                  <c:v>4.5079800000000003E-2</c:v>
                </c:pt>
                <c:pt idx="2">
                  <c:v>4.21616E-2</c:v>
                </c:pt>
                <c:pt idx="3">
                  <c:v>4.2840299999999998E-2</c:v>
                </c:pt>
                <c:pt idx="4">
                  <c:v>4.13467E-2</c:v>
                </c:pt>
                <c:pt idx="5">
                  <c:v>4.0379600000000002E-2</c:v>
                </c:pt>
                <c:pt idx="6">
                  <c:v>3.3604500000000002E-2</c:v>
                </c:pt>
                <c:pt idx="7">
                  <c:v>3.2532199999999997E-2</c:v>
                </c:pt>
                <c:pt idx="8">
                  <c:v>2.9812200000000001E-2</c:v>
                </c:pt>
                <c:pt idx="9">
                  <c:v>2.5666700000000001E-2</c:v>
                </c:pt>
                <c:pt idx="10">
                  <c:v>2.2722099999999999E-2</c:v>
                </c:pt>
                <c:pt idx="11">
                  <c:v>2.2847200000000002E-2</c:v>
                </c:pt>
                <c:pt idx="12">
                  <c:v>2.1004700000000001E-2</c:v>
                </c:pt>
              </c:numCache>
            </c:numRef>
          </c:val>
          <c:smooth val="0"/>
        </c:ser>
        <c:ser>
          <c:idx val="2"/>
          <c:order val="2"/>
          <c:tx>
            <c:strRef>
              <c:f>DSR!$D$29</c:f>
              <c:strCache>
                <c:ptCount val="1"/>
                <c:pt idx="0">
                  <c:v>p75</c:v>
                </c:pt>
              </c:strCache>
            </c:strRef>
          </c:tx>
          <c:spPr>
            <a:ln w="28575" cap="rnd">
              <a:solidFill>
                <a:srgbClr val="9ED9DF"/>
              </a:solidFill>
              <a:prstDash val="solid"/>
              <a:round/>
            </a:ln>
            <a:effectLst/>
          </c:spPr>
          <c:marker>
            <c:symbol val="none"/>
          </c:marker>
          <c:cat>
            <c:numRef>
              <c:f>DSR!$A$32:$A$44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DSR!$D$32:$D$44</c:f>
              <c:numCache>
                <c:formatCode>General</c:formatCode>
                <c:ptCount val="13"/>
                <c:pt idx="0">
                  <c:v>0.24496470000000001</c:v>
                </c:pt>
                <c:pt idx="1">
                  <c:v>0.26546069999999999</c:v>
                </c:pt>
                <c:pt idx="2">
                  <c:v>0.27163880000000001</c:v>
                </c:pt>
                <c:pt idx="3">
                  <c:v>0.2660727</c:v>
                </c:pt>
                <c:pt idx="4">
                  <c:v>0.27124520000000002</c:v>
                </c:pt>
                <c:pt idx="5">
                  <c:v>0.28076200000000001</c:v>
                </c:pt>
                <c:pt idx="6">
                  <c:v>0.25058150000000001</c:v>
                </c:pt>
                <c:pt idx="7">
                  <c:v>0.25476349999999998</c:v>
                </c:pt>
                <c:pt idx="8">
                  <c:v>0.2455707</c:v>
                </c:pt>
                <c:pt idx="9">
                  <c:v>0.22778580000000001</c:v>
                </c:pt>
                <c:pt idx="10">
                  <c:v>0.2159903</c:v>
                </c:pt>
                <c:pt idx="11">
                  <c:v>0.20066129999999999</c:v>
                </c:pt>
                <c:pt idx="12">
                  <c:v>0.18665809999999999</c:v>
                </c:pt>
              </c:numCache>
            </c:numRef>
          </c:val>
          <c:smooth val="0"/>
        </c:ser>
        <c:dLbls>
          <c:showLegendKey val="0"/>
          <c:showVal val="0"/>
          <c:showCatName val="0"/>
          <c:showSerName val="0"/>
          <c:showPercent val="0"/>
          <c:showBubbleSize val="0"/>
        </c:dLbls>
        <c:smooth val="0"/>
        <c:axId val="1088225408"/>
        <c:axId val="1088227760"/>
      </c:lineChart>
      <c:catAx>
        <c:axId val="108822540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7760"/>
        <c:crosses val="autoZero"/>
        <c:auto val="1"/>
        <c:lblAlgn val="ctr"/>
        <c:lblOffset val="100"/>
        <c:noMultiLvlLbl val="0"/>
      </c:catAx>
      <c:valAx>
        <c:axId val="1088227760"/>
        <c:scaling>
          <c:orientation val="minMax"/>
          <c:max val="0.5"/>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DSR ratio</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5408"/>
        <c:crosses val="autoZero"/>
        <c:crossBetween val="between"/>
        <c:majorUnit val="0.1"/>
      </c:valAx>
      <c:spPr>
        <a:noFill/>
        <a:ln w="25400">
          <a:noFill/>
        </a:ln>
        <a:effectLst/>
      </c:spPr>
    </c:plotArea>
    <c:legend>
      <c:legendPos val="b"/>
      <c:layout>
        <c:manualLayout>
          <c:xMode val="edge"/>
          <c:yMode val="edge"/>
          <c:x val="0.30416273258648024"/>
          <c:y val="0.93384683716692196"/>
          <c:w val="0.39167431525047097"/>
          <c:h val="6.6153162833078052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AU" sz="900"/>
              <a:t>BGFs</a:t>
            </a:r>
          </a:p>
        </c:rich>
      </c:tx>
      <c:layout>
        <c:manualLayout>
          <c:xMode val="edge"/>
          <c:yMode val="edge"/>
          <c:x val="0.46054888507718689"/>
          <c:y val="0.84197165221070447"/>
        </c:manualLayout>
      </c:layout>
      <c:overlay val="1"/>
      <c:spPr>
        <a:noFill/>
        <a:ln>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13893698536396501"/>
          <c:y val="4.6541146604611804E-2"/>
          <c:w val="0.80960503864975697"/>
          <c:h val="0.721051290209202"/>
        </c:manualLayout>
      </c:layout>
      <c:lineChart>
        <c:grouping val="standard"/>
        <c:varyColors val="0"/>
        <c:ser>
          <c:idx val="0"/>
          <c:order val="0"/>
          <c:tx>
            <c:strRef>
              <c:f>EBIT!$B$10</c:f>
              <c:strCache>
                <c:ptCount val="1"/>
                <c:pt idx="0">
                  <c:v>p25</c:v>
                </c:pt>
              </c:strCache>
            </c:strRef>
          </c:tx>
          <c:spPr>
            <a:ln w="28575" cap="rnd">
              <a:solidFill>
                <a:srgbClr val="005CAF"/>
              </a:solidFill>
              <a:prstDash val="solid"/>
              <a:round/>
            </a:ln>
            <a:effectLst/>
          </c:spPr>
          <c:marker>
            <c:symbol val="none"/>
          </c:marker>
          <c:cat>
            <c:numRef>
              <c:f>EBIT!$A$13:$A$25</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EBIT!$B$13:$B$25</c:f>
              <c:numCache>
                <c:formatCode>General</c:formatCode>
                <c:ptCount val="13"/>
                <c:pt idx="0">
                  <c:v>8766</c:v>
                </c:pt>
                <c:pt idx="1">
                  <c:v>5616</c:v>
                </c:pt>
                <c:pt idx="2">
                  <c:v>14302</c:v>
                </c:pt>
                <c:pt idx="3">
                  <c:v>19843</c:v>
                </c:pt>
                <c:pt idx="4">
                  <c:v>17310</c:v>
                </c:pt>
                <c:pt idx="5">
                  <c:v>24065</c:v>
                </c:pt>
                <c:pt idx="6">
                  <c:v>19670</c:v>
                </c:pt>
                <c:pt idx="7">
                  <c:v>12675</c:v>
                </c:pt>
                <c:pt idx="8">
                  <c:v>8858</c:v>
                </c:pt>
                <c:pt idx="9">
                  <c:v>19648</c:v>
                </c:pt>
                <c:pt idx="10">
                  <c:v>19228</c:v>
                </c:pt>
                <c:pt idx="11">
                  <c:v>20761</c:v>
                </c:pt>
                <c:pt idx="12">
                  <c:v>31568</c:v>
                </c:pt>
              </c:numCache>
            </c:numRef>
          </c:val>
          <c:smooth val="0"/>
        </c:ser>
        <c:ser>
          <c:idx val="1"/>
          <c:order val="1"/>
          <c:tx>
            <c:strRef>
              <c:f>EBIT!$C$10</c:f>
              <c:strCache>
                <c:ptCount val="1"/>
                <c:pt idx="0">
                  <c:v>p50</c:v>
                </c:pt>
              </c:strCache>
            </c:strRef>
          </c:tx>
          <c:spPr>
            <a:ln w="28575" cap="rnd">
              <a:solidFill>
                <a:srgbClr val="56B4DF"/>
              </a:solidFill>
              <a:prstDash val="solid"/>
              <a:round/>
            </a:ln>
            <a:effectLst/>
          </c:spPr>
          <c:marker>
            <c:symbol val="none"/>
          </c:marker>
          <c:cat>
            <c:numRef>
              <c:f>EBIT!$A$13:$A$25</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EBIT!$C$13:$C$25</c:f>
              <c:numCache>
                <c:formatCode>General</c:formatCode>
                <c:ptCount val="13"/>
                <c:pt idx="0">
                  <c:v>66514</c:v>
                </c:pt>
                <c:pt idx="1">
                  <c:v>66537</c:v>
                </c:pt>
                <c:pt idx="2">
                  <c:v>76557</c:v>
                </c:pt>
                <c:pt idx="3">
                  <c:v>106907</c:v>
                </c:pt>
                <c:pt idx="4">
                  <c:v>106595</c:v>
                </c:pt>
                <c:pt idx="5">
                  <c:v>119194</c:v>
                </c:pt>
                <c:pt idx="6">
                  <c:v>87128</c:v>
                </c:pt>
                <c:pt idx="7">
                  <c:v>102533</c:v>
                </c:pt>
                <c:pt idx="8">
                  <c:v>92547</c:v>
                </c:pt>
                <c:pt idx="9">
                  <c:v>99094</c:v>
                </c:pt>
                <c:pt idx="10">
                  <c:v>117542</c:v>
                </c:pt>
                <c:pt idx="11">
                  <c:v>106186</c:v>
                </c:pt>
                <c:pt idx="12">
                  <c:v>123417</c:v>
                </c:pt>
              </c:numCache>
            </c:numRef>
          </c:val>
          <c:smooth val="0"/>
        </c:ser>
        <c:ser>
          <c:idx val="2"/>
          <c:order val="2"/>
          <c:tx>
            <c:strRef>
              <c:f>EBIT!$D$10</c:f>
              <c:strCache>
                <c:ptCount val="1"/>
                <c:pt idx="0">
                  <c:v>p75</c:v>
                </c:pt>
              </c:strCache>
            </c:strRef>
          </c:tx>
          <c:spPr>
            <a:ln w="28575" cap="rnd">
              <a:solidFill>
                <a:srgbClr val="9ED9DF"/>
              </a:solidFill>
              <a:prstDash val="solid"/>
              <a:round/>
            </a:ln>
            <a:effectLst/>
          </c:spPr>
          <c:marker>
            <c:symbol val="none"/>
          </c:marker>
          <c:cat>
            <c:numRef>
              <c:f>EBIT!$A$13:$A$25</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EBIT!$D$13:$D$25</c:f>
              <c:numCache>
                <c:formatCode>General</c:formatCode>
                <c:ptCount val="13"/>
                <c:pt idx="0">
                  <c:v>203444</c:v>
                </c:pt>
                <c:pt idx="1">
                  <c:v>191404</c:v>
                </c:pt>
                <c:pt idx="2">
                  <c:v>193647</c:v>
                </c:pt>
                <c:pt idx="3">
                  <c:v>255676</c:v>
                </c:pt>
                <c:pt idx="4">
                  <c:v>240142</c:v>
                </c:pt>
                <c:pt idx="5">
                  <c:v>273727</c:v>
                </c:pt>
                <c:pt idx="6">
                  <c:v>242824</c:v>
                </c:pt>
                <c:pt idx="7">
                  <c:v>239187</c:v>
                </c:pt>
                <c:pt idx="8">
                  <c:v>246132</c:v>
                </c:pt>
                <c:pt idx="9">
                  <c:v>227640</c:v>
                </c:pt>
                <c:pt idx="10">
                  <c:v>254061</c:v>
                </c:pt>
                <c:pt idx="11">
                  <c:v>278497</c:v>
                </c:pt>
                <c:pt idx="12">
                  <c:v>266126</c:v>
                </c:pt>
              </c:numCache>
            </c:numRef>
          </c:val>
          <c:smooth val="0"/>
        </c:ser>
        <c:dLbls>
          <c:showLegendKey val="0"/>
          <c:showVal val="0"/>
          <c:showCatName val="0"/>
          <c:showSerName val="0"/>
          <c:showPercent val="0"/>
          <c:showBubbleSize val="0"/>
        </c:dLbls>
        <c:smooth val="0"/>
        <c:axId val="1088230504"/>
        <c:axId val="1088228152"/>
      </c:lineChart>
      <c:catAx>
        <c:axId val="108823050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28152"/>
        <c:crosses val="autoZero"/>
        <c:auto val="1"/>
        <c:lblAlgn val="ctr"/>
        <c:lblOffset val="100"/>
        <c:noMultiLvlLbl val="0"/>
      </c:catAx>
      <c:valAx>
        <c:axId val="1088228152"/>
        <c:scaling>
          <c:orientation val="minMax"/>
          <c:max val="500000"/>
        </c:scaling>
        <c:delete val="0"/>
        <c:axPos val="l"/>
        <c:numFmt formatCode="#,##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88230504"/>
        <c:crosses val="autoZero"/>
        <c:crossBetween val="between"/>
        <c:majorUnit val="100000"/>
        <c:dispUnits>
          <c:builtInUnit val="thousands"/>
          <c:dispUnitsLbl>
            <c:layout>
              <c:manualLayout>
                <c:xMode val="edge"/>
                <c:yMode val="edge"/>
                <c:x val="1.9444444444444445E-2"/>
                <c:y val="0.34259259259259256"/>
              </c:manualLayout>
            </c:layout>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Dollars</a:t>
                  </a:r>
                  <a:r>
                    <a:rPr lang="en-US" baseline="0"/>
                    <a:t> ('000s)</a:t>
                  </a:r>
                  <a:endParaRPr lang="en-US"/>
                </a:p>
              </c:rich>
            </c:tx>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dispUnitsLbl>
        </c:dispUnits>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CE448F29BE40D7918C6C8338DB7BFA"/>
        <w:category>
          <w:name w:val="General"/>
          <w:gallery w:val="placeholder"/>
        </w:category>
        <w:types>
          <w:type w:val="bbPlcHdr"/>
        </w:types>
        <w:behaviors>
          <w:behavior w:val="content"/>
        </w:behaviors>
        <w:guid w:val="{843F13A7-8744-455C-B516-453524D118D7}"/>
      </w:docPartPr>
      <w:docPartBody>
        <w:p w:rsidR="00583D6D" w:rsidRDefault="00610A00" w:rsidP="00610A00">
          <w:pPr>
            <w:pStyle w:val="C7CE448F29BE40D7918C6C8338DB7BFA"/>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00"/>
    <w:rsid w:val="00013357"/>
    <w:rsid w:val="0005731A"/>
    <w:rsid w:val="00093302"/>
    <w:rsid w:val="000A77B6"/>
    <w:rsid w:val="000E5E60"/>
    <w:rsid w:val="001027C2"/>
    <w:rsid w:val="0014306C"/>
    <w:rsid w:val="00171B72"/>
    <w:rsid w:val="001C321E"/>
    <w:rsid w:val="00202B97"/>
    <w:rsid w:val="00204AB2"/>
    <w:rsid w:val="00226529"/>
    <w:rsid w:val="00261619"/>
    <w:rsid w:val="00291439"/>
    <w:rsid w:val="0029293D"/>
    <w:rsid w:val="002B5D8A"/>
    <w:rsid w:val="002D6D18"/>
    <w:rsid w:val="003347D5"/>
    <w:rsid w:val="003A70FA"/>
    <w:rsid w:val="003F7DC2"/>
    <w:rsid w:val="00401534"/>
    <w:rsid w:val="00414E86"/>
    <w:rsid w:val="0046179B"/>
    <w:rsid w:val="0047460A"/>
    <w:rsid w:val="004C555B"/>
    <w:rsid w:val="005144BB"/>
    <w:rsid w:val="00583D6D"/>
    <w:rsid w:val="005E1620"/>
    <w:rsid w:val="00610A00"/>
    <w:rsid w:val="006148DC"/>
    <w:rsid w:val="00634EFA"/>
    <w:rsid w:val="00653CCA"/>
    <w:rsid w:val="006A3BE7"/>
    <w:rsid w:val="00714C75"/>
    <w:rsid w:val="00760640"/>
    <w:rsid w:val="007920E7"/>
    <w:rsid w:val="0085334C"/>
    <w:rsid w:val="008650B3"/>
    <w:rsid w:val="00921778"/>
    <w:rsid w:val="009375D8"/>
    <w:rsid w:val="00940EFA"/>
    <w:rsid w:val="0099191E"/>
    <w:rsid w:val="00A0608F"/>
    <w:rsid w:val="00A14388"/>
    <w:rsid w:val="00A5119A"/>
    <w:rsid w:val="00A81BCF"/>
    <w:rsid w:val="00AC058B"/>
    <w:rsid w:val="00AC41E6"/>
    <w:rsid w:val="00AE2B13"/>
    <w:rsid w:val="00AF371D"/>
    <w:rsid w:val="00B22B4E"/>
    <w:rsid w:val="00B22ECD"/>
    <w:rsid w:val="00B91BEF"/>
    <w:rsid w:val="00BD50B7"/>
    <w:rsid w:val="00BF25A0"/>
    <w:rsid w:val="00C040C8"/>
    <w:rsid w:val="00C11A7F"/>
    <w:rsid w:val="00C15D39"/>
    <w:rsid w:val="00C15F5F"/>
    <w:rsid w:val="00C32AF6"/>
    <w:rsid w:val="00C5350F"/>
    <w:rsid w:val="00C94C59"/>
    <w:rsid w:val="00CE252A"/>
    <w:rsid w:val="00CE6142"/>
    <w:rsid w:val="00D45CC1"/>
    <w:rsid w:val="00DA1B99"/>
    <w:rsid w:val="00E11338"/>
    <w:rsid w:val="00E46AD8"/>
    <w:rsid w:val="00E510AB"/>
    <w:rsid w:val="00E70374"/>
    <w:rsid w:val="00ED7B48"/>
    <w:rsid w:val="00F06031"/>
    <w:rsid w:val="00F10B11"/>
    <w:rsid w:val="00F3141B"/>
    <w:rsid w:val="00F8050D"/>
    <w:rsid w:val="00F8257B"/>
    <w:rsid w:val="00FB0272"/>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C59"/>
    <w:rPr>
      <w:color w:val="808080"/>
    </w:rPr>
  </w:style>
  <w:style w:type="paragraph" w:customStyle="1" w:styleId="C7CE448F29BE40D7918C6C8338DB7BFA">
    <w:name w:val="C7CE448F29BE40D7918C6C8338DB7BFA"/>
    <w:rsid w:val="00610A00"/>
  </w:style>
  <w:style w:type="paragraph" w:customStyle="1" w:styleId="6640DA0D9EA544259AEC85C6EE4CF56E">
    <w:name w:val="6640DA0D9EA544259AEC85C6EE4CF56E"/>
    <w:rsid w:val="00C94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fb9733eaf78f91d3f4ab4e6b0a30ddd1">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c23bf15e7a6897271b736deaba5b9f68"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BLADE projects</TermName>
          <TermId xmlns="http://schemas.microsoft.com/office/infopath/2007/PartnerControls">ca448b30-5ddf-48a0-a226-5dd5e6dd8db2</TermId>
        </TermInfo>
        <TermInfo xmlns="http://schemas.microsoft.com/office/infopath/2007/PartnerControls">
          <TermName xmlns="http://schemas.microsoft.com/office/infopath/2007/PartnerControls">BLADE</TermName>
          <TermId xmlns="http://schemas.microsoft.com/office/infopath/2007/PartnerControls">cdd3fb11-98fb-4f14-b93b-6cd6a8863386</TermId>
        </TermInfo>
        <TermInfo xmlns="http://schemas.microsoft.com/office/infopath/2007/PartnerControls">
          <TermName xmlns="http://schemas.microsoft.com/office/infopath/2007/PartnerControls">firm performance</TermName>
          <TermId xmlns="http://schemas.microsoft.com/office/infopath/2007/PartnerControls">17091888-58bb-4455-ab07-e9c54201258c</TermId>
        </TermInfo>
        <TermInfo xmlns="http://schemas.microsoft.com/office/infopath/2007/PartnerControls">
          <TermName xmlns="http://schemas.microsoft.com/office/infopath/2007/PartnerControls">exporter performance</TermName>
          <TermId xmlns="http://schemas.microsoft.com/office/infopath/2007/PartnerControls">8b64ba15-be0a-425a-95b1-ae260051c867</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b28facd8-3dc8-46bf-a2b8-d55c169e0df6</TermId>
        </TermInfo>
      </Terms>
    </pe2555c81638466f9eb614edb9ecde52>
    <TaxCatchAll xmlns="46486fd5-fff8-4cbe-a2d1-89ce7ea547a7">
      <Value>780</Value>
      <Value>82</Value>
      <Value>2380</Value>
      <Value>196</Value>
      <Value>782</Value>
      <Value>3</Value>
      <Value>121</Value>
      <Value>1972</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EUCW2WRC2PUD-1078297381-118</_dlc_DocId>
    <_dlc_DocIdUrl xmlns="46486fd5-fff8-4cbe-a2d1-89ce7ea547a7">
      <Url>https://dochub/div/economicanalyticalservices/businessfunctions/publicationsmgmt/researchpapers/_layouts/15/DocIdRedir.aspx?ID=EUCW2WRC2PUD-1078297381-118</Url>
      <Description>EUCW2WRC2PUD-1078297381-118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B312-053E-4C91-A50D-3E9A66DDB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35827-E85F-44A8-AB44-5E57ADAD5A91}">
  <ds:schemaRefs>
    <ds:schemaRef ds:uri="http://schemas.microsoft.com/sharepoint/events"/>
  </ds:schemaRefs>
</ds:datastoreItem>
</file>

<file path=customXml/itemProps3.xml><?xml version="1.0" encoding="utf-8"?>
<ds:datastoreItem xmlns:ds="http://schemas.openxmlformats.org/officeDocument/2006/customXml" ds:itemID="{7C82E28D-6947-480F-BBF1-3DFDF858D2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47d1c65-9f6c-49e5-a774-2c92ccb46d02"/>
    <ds:schemaRef ds:uri="46486fd5-fff8-4cbe-a2d1-89ce7ea547a7"/>
    <ds:schemaRef ds:uri="http://www.w3.org/XML/1998/namespace"/>
    <ds:schemaRef ds:uri="http://purl.org/dc/dcmitype/"/>
  </ds:schemaRefs>
</ds:datastoreItem>
</file>

<file path=customXml/itemProps4.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5.xml><?xml version="1.0" encoding="utf-8"?>
<ds:datastoreItem xmlns:ds="http://schemas.openxmlformats.org/officeDocument/2006/customXml" ds:itemID="{78E8B922-821A-4082-AE0A-9F0CACFB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OCE%20Portrait%20Template.dotm</Template>
  <TotalTime>1</TotalTime>
  <Pages>46</Pages>
  <Words>11905</Words>
  <Characters>67862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International entrepreneurship: evidence on Australian born global firms</vt:lpstr>
    </vt:vector>
  </TitlesOfParts>
  <Company>INDUSTRY</Company>
  <LinksUpToDate>false</LinksUpToDate>
  <CharactersWithSpaces>79608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entrepreneurship: evidence on Australian born global firms</dc:title>
  <dc:creator>Francis, Sophie</dc:creator>
  <cp:lastModifiedBy>Francis, Sophie</cp:lastModifiedBy>
  <cp:revision>3</cp:revision>
  <cp:lastPrinted>2020-07-23T06:23:00Z</cp:lastPrinted>
  <dcterms:created xsi:type="dcterms:W3CDTF">2020-07-23T06:22:00Z</dcterms:created>
  <dcterms:modified xsi:type="dcterms:W3CDTF">2020-07-23T06:23:00Z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85709be1-eb79-4440-85b5-84c31d539e50</vt:lpwstr>
  </property>
  <property fmtid="{D5CDD505-2E9C-101B-9397-08002B2CF9AE}" pid="8" name="DocHub_Year">
    <vt:lpwstr>2380;#2019|7e451fe0-4dc6-437a-a849-bab7965a9aee</vt:lpwstr>
  </property>
  <property fmtid="{D5CDD505-2E9C-101B-9397-08002B2CF9AE}" pid="9" name="DocHub_DocumentType">
    <vt:lpwstr>121;#Research|b28facd8-3dc8-46bf-a2b8-d55c169e0df6</vt:lpwstr>
  </property>
  <property fmtid="{D5CDD505-2E9C-101B-9397-08002B2CF9AE}" pid="10" name="DocHub_SecurityClassification">
    <vt:lpwstr>3;#UNCLASSIFIED|6106d03b-a1a0-4e30-9d91-d5e9fb4314f9</vt:lpwstr>
  </property>
  <property fmtid="{D5CDD505-2E9C-101B-9397-08002B2CF9AE}" pid="11" name="DocHub_Keywords">
    <vt:lpwstr>1972;#BLADE projects|ca448b30-5ddf-48a0-a226-5dd5e6dd8db2;#196;#BLADE|cdd3fb11-98fb-4f14-b93b-6cd6a8863386;#780;#firm performance|17091888-58bb-4455-ab07-e9c54201258c;#782;#exporter performance|8b64ba15-be0a-425a-95b1-ae260051c867</vt:lpwstr>
  </property>
  <property fmtid="{D5CDD505-2E9C-101B-9397-08002B2CF9AE}" pid="12" name="DocHub_WorkActivity">
    <vt:lpwstr>82;#Research|7b4c149d-8b70-4bf0-8e72-df534d298464</vt:lpwstr>
  </property>
  <property fmtid="{D5CDD505-2E9C-101B-9397-08002B2CF9AE}" pid="13" name="DocHub_DataType">
    <vt:lpwstr/>
  </property>
</Properties>
</file>