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4B5CB" w14:textId="77777777" w:rsidR="00EC00A2" w:rsidRDefault="00EB11F9" w:rsidP="00EC00A2">
      <w:pPr>
        <w:pStyle w:val="Title"/>
      </w:pPr>
      <w:bookmarkStart w:id="0" w:name="_Toc19023741"/>
      <w:bookmarkStart w:id="1" w:name="_Toc19107846"/>
      <w:bookmarkStart w:id="2" w:name="_GoBack"/>
      <w:r>
        <w:t>Evaluation of Country of Origin Labelling for Food</w:t>
      </w:r>
      <w:bookmarkEnd w:id="2"/>
      <w:r>
        <w:t xml:space="preserve"> </w:t>
      </w:r>
    </w:p>
    <w:p w14:paraId="50DEFB0C" w14:textId="77777777" w:rsidR="00225C7D" w:rsidRDefault="00225C7D" w:rsidP="00225C7D">
      <w:pPr>
        <w:pStyle w:val="Heading1"/>
      </w:pPr>
      <w:bookmarkStart w:id="3" w:name="_Toc19023742"/>
      <w:bookmarkStart w:id="4" w:name="_Toc19107847"/>
      <w:bookmarkEnd w:id="0"/>
      <w:bookmarkEnd w:id="1"/>
      <w:r>
        <w:t xml:space="preserve">Terms of reference </w:t>
      </w:r>
    </w:p>
    <w:p w14:paraId="1551CE15" w14:textId="77777777" w:rsidR="00EB11F9" w:rsidRPr="00E25F59" w:rsidRDefault="00EB11F9" w:rsidP="00EB11F9">
      <w:r w:rsidRPr="00E25F59">
        <w:t>The Australian Government is evaluating the reforms to Australia’s Country of Origin Labelling (</w:t>
      </w:r>
      <w:proofErr w:type="spellStart"/>
      <w:r w:rsidRPr="00E25F59">
        <w:t>CoOL</w:t>
      </w:r>
      <w:proofErr w:type="spellEnd"/>
      <w:r w:rsidRPr="00E25F59">
        <w:t>) regulations for food, which came into full</w:t>
      </w:r>
      <w:r w:rsidRPr="00E25F59">
        <w:noBreakHyphen/>
        <w:t xml:space="preserve">effect in July 2018. </w:t>
      </w:r>
    </w:p>
    <w:p w14:paraId="7E5BC37B" w14:textId="77777777" w:rsidR="00EB11F9" w:rsidRPr="00E25F59" w:rsidRDefault="00EB11F9" w:rsidP="00EB11F9">
      <w:r w:rsidRPr="00E25F59">
        <w:t xml:space="preserve">The Department of Industry, Science, Energy and Resources (the department) will lead the evaluation, with the assistance of an external consultant. </w:t>
      </w:r>
    </w:p>
    <w:p w14:paraId="21674D4E" w14:textId="77777777" w:rsidR="00EB11F9" w:rsidRPr="00E25F59" w:rsidRDefault="00EB11F9" w:rsidP="00EB11F9">
      <w:r w:rsidRPr="00E25F59">
        <w:t xml:space="preserve">The department’s Evaluation Unit will manage the evaluation as a whole, with support from the Business Facilitation and Food Policy Branch, and a multi-agency Reference Group will provide strategic direction to the evaluation. </w:t>
      </w:r>
    </w:p>
    <w:p w14:paraId="130D7A7D" w14:textId="77777777" w:rsidR="00EB11F9" w:rsidRPr="00E25F59" w:rsidRDefault="00EB11F9" w:rsidP="00EB11F9">
      <w:r w:rsidRPr="00E25F59">
        <w:t xml:space="preserve">The purpose of the impact evaluation is to review the </w:t>
      </w:r>
      <w:proofErr w:type="spellStart"/>
      <w:r w:rsidRPr="00E25F59">
        <w:t>CoOL</w:t>
      </w:r>
      <w:proofErr w:type="spellEnd"/>
      <w:r w:rsidRPr="00E25F59">
        <w:t xml:space="preserve"> reforms and their effectiveness in meeting their intended objectives, including a consideration of any unintended consequences.</w:t>
      </w:r>
    </w:p>
    <w:bookmarkEnd w:id="3"/>
    <w:bookmarkEnd w:id="4"/>
    <w:p w14:paraId="0720B606" w14:textId="77777777" w:rsidR="00B251DB" w:rsidRDefault="00EB11F9" w:rsidP="00B251DB">
      <w:pPr>
        <w:pStyle w:val="Heading2"/>
      </w:pPr>
      <w:r>
        <w:t>Background</w:t>
      </w:r>
    </w:p>
    <w:p w14:paraId="0CF3C8E4" w14:textId="77777777" w:rsidR="00EB11F9" w:rsidRPr="00E25F59" w:rsidRDefault="00EB11F9" w:rsidP="00EB11F9">
      <w:r w:rsidRPr="00E25F59">
        <w:t xml:space="preserve">Reforms to Australia’s </w:t>
      </w:r>
      <w:proofErr w:type="spellStart"/>
      <w:r w:rsidRPr="00E25F59">
        <w:t>CoOL</w:t>
      </w:r>
      <w:proofErr w:type="spellEnd"/>
      <w:r w:rsidRPr="00E25F59">
        <w:t xml:space="preserve"> regulations were passed by Parliament in 2016 and came into full-effect in July 2018. The reforms are enabled by the </w:t>
      </w:r>
      <w:r w:rsidRPr="00E25F59">
        <w:rPr>
          <w:i/>
        </w:rPr>
        <w:t>Competition and Consumer Amendment (Country of Origin) Act 2016</w:t>
      </w:r>
      <w:r w:rsidRPr="00E25F59">
        <w:t xml:space="preserve">, and the </w:t>
      </w:r>
      <w:r w:rsidRPr="00E25F59">
        <w:rPr>
          <w:i/>
        </w:rPr>
        <w:t xml:space="preserve">Country of Origin Food Labelling Information Standard 2016 </w:t>
      </w:r>
      <w:r w:rsidRPr="00E25F59">
        <w:t xml:space="preserve">(the Information </w:t>
      </w:r>
      <w:proofErr w:type="spellStart"/>
      <w:r w:rsidRPr="00E25F59">
        <w:t>Standand</w:t>
      </w:r>
      <w:proofErr w:type="spellEnd"/>
      <w:r w:rsidRPr="00E25F59">
        <w:t>).</w:t>
      </w:r>
    </w:p>
    <w:p w14:paraId="7F6E9BF4" w14:textId="77777777" w:rsidR="00EB11F9" w:rsidRPr="00E25F59" w:rsidRDefault="00EB11F9" w:rsidP="00EB11F9">
      <w:r w:rsidRPr="00E25F59">
        <w:t xml:space="preserve">The </w:t>
      </w:r>
      <w:proofErr w:type="spellStart"/>
      <w:r w:rsidRPr="00E25F59">
        <w:t>CoOL</w:t>
      </w:r>
      <w:proofErr w:type="spellEnd"/>
      <w:r w:rsidRPr="00E25F59">
        <w:t xml:space="preserve"> reforms were implemented in response to feedback from consumers that previous origin labelling claims on food were hard to find, confusing or did not provide enough information. The reforms were implemented to provide clear, consistent, informative and easy to find country of origin labels for food so consumers can make more informed choices about the food they buy, in line with their personal preferences. The reforms also changed the definition of ‘substantial transformation’, which provides criteria for determining whether products may or may not claim to have been made in a particular location, and has implications for both food and non-food products. </w:t>
      </w:r>
    </w:p>
    <w:p w14:paraId="5161EAA2" w14:textId="77777777" w:rsidR="00EB11F9" w:rsidRPr="00E25F59" w:rsidRDefault="00EB11F9" w:rsidP="00EB11F9">
      <w:r w:rsidRPr="00E25F59">
        <w:t xml:space="preserve">The most significant impact of the reforms was on </w:t>
      </w:r>
      <w:proofErr w:type="spellStart"/>
      <w:r w:rsidRPr="00E25F59">
        <w:t>CoOL</w:t>
      </w:r>
      <w:proofErr w:type="spellEnd"/>
      <w:r w:rsidRPr="00E25F59">
        <w:t xml:space="preserve"> requirements for food, as they introduced a new Information Standard for food sold through retail channels. The Information Standard aims to provide businesses with greater certainty and clarity about the claims they can make about the origin of the food they supply, without imposing excessive costs on those businesses. The Information Standard provides clear guidance to businesses about how to apply the new labelling scheme, which includes the use of the Australian Made logo for products grown, produced or made in Australia, a bar chart indicating the proportion of Australian content and a text statement explaining the origin of the goods. </w:t>
      </w:r>
    </w:p>
    <w:p w14:paraId="34732098" w14:textId="77777777" w:rsidR="00EB11F9" w:rsidRPr="00E25F59" w:rsidRDefault="00EB11F9" w:rsidP="00EB11F9">
      <w:r w:rsidRPr="00E25F59">
        <w:t xml:space="preserve">Under the Administrative Arrangement Orders of 5 December 2019 that took effect from 1 February 2020, the department has policy responsibility for </w:t>
      </w:r>
      <w:proofErr w:type="spellStart"/>
      <w:r w:rsidRPr="00E25F59">
        <w:t>CoOL</w:t>
      </w:r>
      <w:proofErr w:type="spellEnd"/>
      <w:r w:rsidRPr="00E25F59">
        <w:t xml:space="preserve">. The </w:t>
      </w:r>
      <w:proofErr w:type="spellStart"/>
      <w:r w:rsidRPr="00E25F59">
        <w:t>CoOL</w:t>
      </w:r>
      <w:proofErr w:type="spellEnd"/>
      <w:r w:rsidRPr="00E25F59">
        <w:t xml:space="preserve"> provisions are </w:t>
      </w:r>
      <w:r w:rsidRPr="00E25F59">
        <w:lastRenderedPageBreak/>
        <w:t xml:space="preserve">contained in the Australian Consumer Law (Schedule 2 to the </w:t>
      </w:r>
      <w:r w:rsidRPr="00E25F59">
        <w:rPr>
          <w:i/>
          <w:iCs/>
        </w:rPr>
        <w:t>Competition and Consumer Act 2010)</w:t>
      </w:r>
      <w:r w:rsidRPr="00E25F59">
        <w:t xml:space="preserve">. As such, any changes to the Australian Consumer Law require agreement from states and territories through the Legislative and Governance Forum on Consumer Affairs. The Australian Competition and Consumer Commission (ACCC), an independent Commonwealth statutory authority, has joint responsibility with state and territory consumer regulators to enforce the Australian Consumer Law, which includes the </w:t>
      </w:r>
      <w:proofErr w:type="spellStart"/>
      <w:r w:rsidRPr="00E25F59">
        <w:t>CoOL</w:t>
      </w:r>
      <w:proofErr w:type="spellEnd"/>
      <w:r w:rsidRPr="00E25F59">
        <w:t xml:space="preserve"> requirements.  </w:t>
      </w:r>
    </w:p>
    <w:p w14:paraId="3FB63598" w14:textId="77777777" w:rsidR="00EB11F9" w:rsidRPr="00E25F59" w:rsidRDefault="00EB11F9" w:rsidP="00EB11F9">
      <w:r w:rsidRPr="00E25F59">
        <w:t xml:space="preserve">The Australian Government supported the implementation of the </w:t>
      </w:r>
      <w:proofErr w:type="spellStart"/>
      <w:r w:rsidRPr="00E25F59">
        <w:t>CoOL</w:t>
      </w:r>
      <w:proofErr w:type="spellEnd"/>
      <w:r w:rsidRPr="00E25F59">
        <w:t xml:space="preserve"> reforms through public information and awareness campaigns targeted at business and consumers, including an online tool for business to generate the appropriate label for their product.</w:t>
      </w:r>
    </w:p>
    <w:p w14:paraId="4C32E1E8" w14:textId="77777777" w:rsidR="00EB11F9" w:rsidRPr="00E25F59" w:rsidRDefault="00EB11F9" w:rsidP="00EB11F9">
      <w:pPr>
        <w:pStyle w:val="Heading2"/>
      </w:pPr>
      <w:r w:rsidRPr="00E25F59">
        <w:t>Authority for the Evaluation</w:t>
      </w:r>
    </w:p>
    <w:p w14:paraId="57116B61" w14:textId="77777777" w:rsidR="00EB11F9" w:rsidRPr="00E25F59" w:rsidRDefault="00EB11F9" w:rsidP="00EB11F9">
      <w:r w:rsidRPr="00E25F59">
        <w:t xml:space="preserve">The 2016 Decision Regulation Impact Statement (RIS) for </w:t>
      </w:r>
      <w:proofErr w:type="spellStart"/>
      <w:r w:rsidRPr="00E25F59">
        <w:t>CoOL</w:t>
      </w:r>
      <w:proofErr w:type="spellEnd"/>
      <w:r w:rsidRPr="00E25F59">
        <w:t xml:space="preserve"> committed to reviewing the reforms two years after the end of the transition period in June 2018. The department’s </w:t>
      </w:r>
      <w:r w:rsidRPr="00E25F59">
        <w:rPr>
          <w:i/>
        </w:rPr>
        <w:t>Evaluation Plan 2018-22</w:t>
      </w:r>
      <w:r w:rsidRPr="00E25F59">
        <w:t xml:space="preserve"> has scheduled an impact evaluation for </w:t>
      </w:r>
      <w:proofErr w:type="spellStart"/>
      <w:r w:rsidRPr="00E25F59">
        <w:t>CoOL</w:t>
      </w:r>
      <w:proofErr w:type="spellEnd"/>
      <w:r w:rsidRPr="00E25F59">
        <w:t xml:space="preserve"> reforms for the 2020-21 financial year.</w:t>
      </w:r>
    </w:p>
    <w:p w14:paraId="525149DE" w14:textId="77777777" w:rsidR="00EB11F9" w:rsidRPr="00E25F59" w:rsidRDefault="00EB11F9" w:rsidP="00EB11F9">
      <w:r w:rsidRPr="00E25F59">
        <w:t xml:space="preserve">In line with the department’s </w:t>
      </w:r>
      <w:r w:rsidRPr="00E25F59">
        <w:rPr>
          <w:i/>
        </w:rPr>
        <w:t xml:space="preserve">Evaluation Strategy 2017-2021, </w:t>
      </w:r>
      <w:r w:rsidRPr="00E25F59">
        <w:t xml:space="preserve">the evaluation of the </w:t>
      </w:r>
      <w:proofErr w:type="spellStart"/>
      <w:r w:rsidRPr="00E25F59">
        <w:t>CoOL</w:t>
      </w:r>
      <w:proofErr w:type="spellEnd"/>
      <w:r w:rsidRPr="00E25F59">
        <w:t xml:space="preserve"> reforms has been identified as a tier one evaluation due to the reforms’ high public profile and significant implications for government, the private sector and the Australian public. Categorisation as a tier one evaluation corresponds with the allocation of department resources to ensure it meets the expectations of these stakeholders.</w:t>
      </w:r>
    </w:p>
    <w:p w14:paraId="72F13734" w14:textId="351FAADF" w:rsidR="00EB11F9" w:rsidRDefault="00EB11F9" w:rsidP="00CA3DD0">
      <w:r w:rsidRPr="00E25F59">
        <w:t>The reforms have been reviewed previously, as detailed in the following table:</w:t>
      </w:r>
    </w:p>
    <w:tbl>
      <w:tblPr>
        <w:tblStyle w:val="TableGrid"/>
        <w:tblW w:w="0" w:type="auto"/>
        <w:tblLook w:val="04A0" w:firstRow="1" w:lastRow="0" w:firstColumn="1" w:lastColumn="0" w:noHBand="0" w:noVBand="1"/>
        <w:tblCaption w:val="Previous Review"/>
        <w:tblDescription w:val="This table provides information about the previous review of the reforms. The table includes information on the Review Title, the scope of the review, and date and author. "/>
      </w:tblPr>
      <w:tblGrid>
        <w:gridCol w:w="2979"/>
        <w:gridCol w:w="2979"/>
        <w:gridCol w:w="2979"/>
      </w:tblGrid>
      <w:tr w:rsidR="00EB11F9" w14:paraId="0044CC44" w14:textId="77777777" w:rsidTr="00EB11F9">
        <w:trPr>
          <w:trHeight w:val="305"/>
          <w:tblHeader/>
        </w:trPr>
        <w:tc>
          <w:tcPr>
            <w:tcW w:w="2979" w:type="dxa"/>
          </w:tcPr>
          <w:p w14:paraId="2ADFBB15" w14:textId="77777777" w:rsidR="00EB11F9" w:rsidRDefault="00EB11F9" w:rsidP="00225C7D">
            <w:r>
              <w:t>Review Title</w:t>
            </w:r>
          </w:p>
        </w:tc>
        <w:tc>
          <w:tcPr>
            <w:tcW w:w="2979" w:type="dxa"/>
          </w:tcPr>
          <w:p w14:paraId="6418CB66" w14:textId="77777777" w:rsidR="00EB11F9" w:rsidRDefault="00EB11F9" w:rsidP="00225C7D">
            <w:r>
              <w:t>Scope</w:t>
            </w:r>
          </w:p>
        </w:tc>
        <w:tc>
          <w:tcPr>
            <w:tcW w:w="2979" w:type="dxa"/>
          </w:tcPr>
          <w:p w14:paraId="263FFFCB" w14:textId="77777777" w:rsidR="00EB11F9" w:rsidRDefault="00EB11F9" w:rsidP="00225C7D">
            <w:r>
              <w:t>Date, Author</w:t>
            </w:r>
          </w:p>
        </w:tc>
      </w:tr>
      <w:tr w:rsidR="00EB11F9" w14:paraId="31BA103F" w14:textId="77777777" w:rsidTr="00E85FA7">
        <w:trPr>
          <w:trHeight w:val="286"/>
        </w:trPr>
        <w:tc>
          <w:tcPr>
            <w:tcW w:w="2979" w:type="dxa"/>
          </w:tcPr>
          <w:p w14:paraId="6A5D050C" w14:textId="77777777" w:rsidR="00EB11F9" w:rsidRDefault="00EB11F9" w:rsidP="00225C7D">
            <w:proofErr w:type="spellStart"/>
            <w:r w:rsidRPr="00E25F59">
              <w:t>CoOL</w:t>
            </w:r>
            <w:proofErr w:type="spellEnd"/>
            <w:r w:rsidRPr="00E25F59">
              <w:t xml:space="preserve"> Performance Management Health Check</w:t>
            </w:r>
          </w:p>
        </w:tc>
        <w:tc>
          <w:tcPr>
            <w:tcW w:w="2979" w:type="dxa"/>
            <w:vAlign w:val="center"/>
          </w:tcPr>
          <w:p w14:paraId="0D978DFB" w14:textId="77777777" w:rsidR="00EB11F9" w:rsidRPr="00E25F59" w:rsidRDefault="00EB11F9" w:rsidP="00225C7D">
            <w:pPr>
              <w:spacing w:before="60" w:after="60"/>
            </w:pPr>
            <w:r w:rsidRPr="00E25F59">
              <w:t>Data requirements, existing data collection arrangements, record keeping systems</w:t>
            </w:r>
          </w:p>
        </w:tc>
        <w:tc>
          <w:tcPr>
            <w:tcW w:w="2979" w:type="dxa"/>
          </w:tcPr>
          <w:p w14:paraId="0A2E9846" w14:textId="77777777" w:rsidR="00EB11F9" w:rsidRPr="00E25F59" w:rsidRDefault="00EB11F9" w:rsidP="00225C7D">
            <w:pPr>
              <w:spacing w:before="60" w:after="60"/>
            </w:pPr>
            <w:r w:rsidRPr="00E25F59">
              <w:t xml:space="preserve">March 2018, Internal </w:t>
            </w:r>
          </w:p>
          <w:p w14:paraId="389470D9" w14:textId="77777777" w:rsidR="00EB11F9" w:rsidRPr="00E25F59" w:rsidRDefault="00EB11F9" w:rsidP="00225C7D">
            <w:pPr>
              <w:spacing w:before="60" w:after="60"/>
            </w:pPr>
            <w:r w:rsidRPr="00E25F59">
              <w:t xml:space="preserve"> </w:t>
            </w:r>
          </w:p>
        </w:tc>
      </w:tr>
    </w:tbl>
    <w:p w14:paraId="4A0E0B71" w14:textId="77777777" w:rsidR="00EB11F9" w:rsidRDefault="00EB11F9" w:rsidP="00EB11F9"/>
    <w:p w14:paraId="17D9BDA1" w14:textId="77777777" w:rsidR="00EB11F9" w:rsidRPr="00E25F59" w:rsidRDefault="00EB11F9" w:rsidP="00EB11F9">
      <w:pPr>
        <w:pStyle w:val="Heading2"/>
      </w:pPr>
      <w:r w:rsidRPr="00E25F59">
        <w:t>Evaluation Timing and Scope</w:t>
      </w:r>
    </w:p>
    <w:p w14:paraId="174C7938" w14:textId="77777777" w:rsidR="00EB11F9" w:rsidRPr="00E25F59" w:rsidRDefault="00EB11F9" w:rsidP="00EB11F9">
      <w:r w:rsidRPr="00E25F59">
        <w:t xml:space="preserve">Commencing in 2020-21, this evaluation will cover the scope of the reforms and their effectiveness in meeting their intended objectives, including a consideration of the impact and unintended consequences of the reforms which may have arisen from their implementation. </w:t>
      </w:r>
    </w:p>
    <w:p w14:paraId="6BD327DE" w14:textId="77777777" w:rsidR="00EB11F9" w:rsidRPr="00E25F59" w:rsidRDefault="00EB11F9" w:rsidP="00EB11F9">
      <w:pPr>
        <w:spacing w:after="0"/>
      </w:pPr>
      <w:r w:rsidRPr="00E25F59">
        <w:t xml:space="preserve">Changes to origin labelling arrangements for complementary medicines are underway, in parallel with the Evaluation of </w:t>
      </w:r>
      <w:proofErr w:type="spellStart"/>
      <w:r w:rsidRPr="00E25F59">
        <w:t>CoOL</w:t>
      </w:r>
      <w:proofErr w:type="spellEnd"/>
      <w:r w:rsidRPr="00E25F59">
        <w:t xml:space="preserve"> for Food. As a result, and in light of previous consideration of this issue, </w:t>
      </w:r>
      <w:proofErr w:type="spellStart"/>
      <w:r w:rsidRPr="00E25F59">
        <w:t>CoOL</w:t>
      </w:r>
      <w:proofErr w:type="spellEnd"/>
      <w:r w:rsidRPr="00E25F59">
        <w:t xml:space="preserve"> on complementary medicines is outside the scope of this evaluation. </w:t>
      </w:r>
    </w:p>
    <w:p w14:paraId="1EAD5747" w14:textId="77777777" w:rsidR="00EB11F9" w:rsidRPr="00E25F59" w:rsidRDefault="00EB11F9" w:rsidP="00EB11F9">
      <w:pPr>
        <w:spacing w:after="0"/>
        <w:rPr>
          <w:b/>
        </w:rPr>
      </w:pPr>
    </w:p>
    <w:p w14:paraId="7AF9FA5C" w14:textId="77777777" w:rsidR="00EB11F9" w:rsidRDefault="00EB11F9" w:rsidP="00AA740C">
      <w:r w:rsidRPr="00E25F59">
        <w:t xml:space="preserve">The evaluation will aim to conclude by June 2021. </w:t>
      </w:r>
    </w:p>
    <w:p w14:paraId="630684C5" w14:textId="77777777" w:rsidR="00EB11F9" w:rsidRDefault="00EB11F9" w:rsidP="00EB11F9">
      <w:r>
        <w:br w:type="page"/>
      </w:r>
    </w:p>
    <w:p w14:paraId="0C206265" w14:textId="77777777" w:rsidR="00EB11F9" w:rsidRPr="00E25F59" w:rsidRDefault="00EB11F9" w:rsidP="00EB11F9">
      <w:pPr>
        <w:pStyle w:val="Heading2"/>
      </w:pPr>
      <w:r w:rsidRPr="00E25F59">
        <w:lastRenderedPageBreak/>
        <w:t>Evaluation Questions</w:t>
      </w:r>
    </w:p>
    <w:p w14:paraId="516B7496" w14:textId="77777777" w:rsidR="00EB11F9" w:rsidRPr="00E25F59" w:rsidRDefault="00EB11F9" w:rsidP="00EB11F9">
      <w:r w:rsidRPr="00E25F59">
        <w:t xml:space="preserve">The evaluation seeks to answer the overarching question: </w:t>
      </w:r>
    </w:p>
    <w:p w14:paraId="22648BAA" w14:textId="77777777" w:rsidR="00EB11F9" w:rsidRPr="00E25F59" w:rsidRDefault="00EB11F9" w:rsidP="00EB11F9">
      <w:pPr>
        <w:ind w:left="426"/>
        <w:rPr>
          <w:i/>
        </w:rPr>
      </w:pPr>
      <w:r w:rsidRPr="00E25F59">
        <w:rPr>
          <w:i/>
        </w:rPr>
        <w:t>Have the Country of Origin Labelling reforms improved consumer access to information about the origin of food, and clarified the origin claims businesses can make about their products, without imposing excessive costs on those businesses?</w:t>
      </w:r>
    </w:p>
    <w:p w14:paraId="064EC530" w14:textId="77777777" w:rsidR="00EB11F9" w:rsidRPr="00E25F59" w:rsidRDefault="00EB11F9" w:rsidP="00EB11F9">
      <w:r w:rsidRPr="00E25F59">
        <w:t xml:space="preserve">In answering this question, the evaluation will undertake public consultation to collect evidence from consumers and businesses to evaluate the impact and appropriateness of the current </w:t>
      </w:r>
      <w:proofErr w:type="spellStart"/>
      <w:r w:rsidRPr="00E25F59">
        <w:t>CoOL</w:t>
      </w:r>
      <w:proofErr w:type="spellEnd"/>
      <w:r w:rsidRPr="00E25F59">
        <w:t xml:space="preserve"> requirements. To answer this overarching question, this evaluation will seek to answer the sub-questions below which are grouped into three focus areas: </w:t>
      </w:r>
      <w:r w:rsidRPr="00E25F59">
        <w:rPr>
          <w:i/>
        </w:rPr>
        <w:t>Design and Implementation</w:t>
      </w:r>
      <w:r w:rsidRPr="00E25F59">
        <w:t xml:space="preserve">, </w:t>
      </w:r>
      <w:r w:rsidRPr="00E25F59">
        <w:rPr>
          <w:i/>
        </w:rPr>
        <w:t>Outcomes</w:t>
      </w:r>
      <w:r w:rsidRPr="00E25F59">
        <w:t xml:space="preserve">, and </w:t>
      </w:r>
      <w:r w:rsidRPr="00E25F59">
        <w:rPr>
          <w:i/>
        </w:rPr>
        <w:t>Lessons Learned</w:t>
      </w:r>
      <w:r w:rsidRPr="00E25F59">
        <w:t xml:space="preserve">. Some areas will be further stratified by focusing on </w:t>
      </w:r>
      <w:r w:rsidRPr="00E25F59">
        <w:rPr>
          <w:i/>
        </w:rPr>
        <w:t>Consumers</w:t>
      </w:r>
      <w:r w:rsidRPr="00E25F59">
        <w:t xml:space="preserve"> or </w:t>
      </w:r>
      <w:r w:rsidRPr="00E25F59">
        <w:rPr>
          <w:i/>
        </w:rPr>
        <w:t>Businesses</w:t>
      </w:r>
      <w:r w:rsidRPr="00E25F59">
        <w:t>.</w:t>
      </w:r>
    </w:p>
    <w:p w14:paraId="16EF8068" w14:textId="77777777" w:rsidR="00EB11F9" w:rsidRPr="00E25F59" w:rsidRDefault="00EB11F9" w:rsidP="00EB11F9">
      <w:pPr>
        <w:rPr>
          <w:i/>
        </w:rPr>
      </w:pPr>
      <w:r w:rsidRPr="00E25F59">
        <w:t xml:space="preserve">The </w:t>
      </w:r>
      <w:r w:rsidRPr="005D614B">
        <w:rPr>
          <w:i/>
        </w:rPr>
        <w:t>Consumers</w:t>
      </w:r>
      <w:r w:rsidRPr="00E25F59">
        <w:t xml:space="preserve"> and </w:t>
      </w:r>
      <w:r w:rsidRPr="005D614B">
        <w:rPr>
          <w:i/>
        </w:rPr>
        <w:t>Businesses</w:t>
      </w:r>
      <w:r w:rsidRPr="00E25F59">
        <w:t xml:space="preserve"> questions will feature in a discussion paper which will be released as part of a public submissions process. The </w:t>
      </w:r>
      <w:r w:rsidRPr="005D614B">
        <w:rPr>
          <w:i/>
        </w:rPr>
        <w:t>Design and Implementation</w:t>
      </w:r>
      <w:r w:rsidRPr="00E25F59">
        <w:t xml:space="preserve"> focus area questions will not be included in the discussion paper as they concern issues internal to the department and government, and instead will be addressed by interviews with government stakeholders.</w:t>
      </w:r>
    </w:p>
    <w:p w14:paraId="7D1DD192" w14:textId="77777777" w:rsidR="00EB11F9" w:rsidRPr="00E25F59" w:rsidRDefault="00EB11F9" w:rsidP="00EB11F9">
      <w:pPr>
        <w:pStyle w:val="Heading3"/>
      </w:pPr>
      <w:r w:rsidRPr="00E25F59">
        <w:t>Design and Implementation</w:t>
      </w:r>
    </w:p>
    <w:p w14:paraId="7BFDCC4A"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 xml:space="preserve">What were the problems that the </w:t>
      </w:r>
      <w:proofErr w:type="spellStart"/>
      <w:r w:rsidRPr="00EB11F9">
        <w:rPr>
          <w:rFonts w:cstheme="minorHAnsi"/>
          <w:color w:val="auto"/>
          <w:sz w:val="22"/>
        </w:rPr>
        <w:t>CoOL</w:t>
      </w:r>
      <w:proofErr w:type="spellEnd"/>
      <w:r w:rsidRPr="00EB11F9">
        <w:rPr>
          <w:rFonts w:cstheme="minorHAnsi"/>
          <w:color w:val="auto"/>
          <w:sz w:val="22"/>
        </w:rPr>
        <w:t xml:space="preserve"> reforms were designed to address? </w:t>
      </w:r>
    </w:p>
    <w:p w14:paraId="529335A2"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 xml:space="preserve">Did clear, evidence-based links exist between the </w:t>
      </w:r>
      <w:proofErr w:type="spellStart"/>
      <w:r w:rsidRPr="00EB11F9">
        <w:rPr>
          <w:rFonts w:cstheme="minorHAnsi"/>
          <w:color w:val="auto"/>
          <w:sz w:val="22"/>
        </w:rPr>
        <w:t>CoOL</w:t>
      </w:r>
      <w:proofErr w:type="spellEnd"/>
      <w:r w:rsidRPr="00EB11F9">
        <w:rPr>
          <w:rFonts w:cstheme="minorHAnsi"/>
          <w:color w:val="auto"/>
          <w:sz w:val="22"/>
        </w:rPr>
        <w:t xml:space="preserve"> reforms and the expected outcomes?</w:t>
      </w:r>
    </w:p>
    <w:p w14:paraId="747D6057"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 xml:space="preserve">Were there alternative labelling models which could have more effectively addressed the issues? </w:t>
      </w:r>
    </w:p>
    <w:p w14:paraId="08E5D74E"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Have the reforms been flexible enough to accommodate new consumer, industry and technology developments?</w:t>
      </w:r>
    </w:p>
    <w:p w14:paraId="74817BD0"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 xml:space="preserve">How cost-effective was the provision of information to consumers and businesses? </w:t>
      </w:r>
    </w:p>
    <w:p w14:paraId="2677C869"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 xml:space="preserve">Were the </w:t>
      </w:r>
      <w:proofErr w:type="spellStart"/>
      <w:r w:rsidRPr="00EB11F9">
        <w:rPr>
          <w:rFonts w:cstheme="minorHAnsi"/>
          <w:color w:val="auto"/>
          <w:sz w:val="22"/>
        </w:rPr>
        <w:t>CoOL</w:t>
      </w:r>
      <w:proofErr w:type="spellEnd"/>
      <w:r w:rsidRPr="00EB11F9">
        <w:rPr>
          <w:rFonts w:cstheme="minorHAnsi"/>
          <w:color w:val="auto"/>
          <w:sz w:val="22"/>
        </w:rPr>
        <w:t xml:space="preserve"> reforms delivered within their original scope, budget and timeframe?</w:t>
      </w:r>
    </w:p>
    <w:p w14:paraId="5C5022B5" w14:textId="77777777" w:rsidR="00EB11F9" w:rsidRPr="00E25F59" w:rsidRDefault="00EB11F9" w:rsidP="00EB11F9">
      <w:pPr>
        <w:pStyle w:val="Heading3"/>
      </w:pPr>
      <w:r w:rsidRPr="00E25F59">
        <w:t>Outcomes</w:t>
      </w:r>
    </w:p>
    <w:p w14:paraId="09506D4C" w14:textId="77777777" w:rsidR="00EB11F9" w:rsidRPr="00E25F59" w:rsidRDefault="00EB11F9" w:rsidP="00EB11F9">
      <w:pPr>
        <w:pStyle w:val="Heading4"/>
        <w:rPr>
          <w:b/>
        </w:rPr>
      </w:pPr>
      <w:r w:rsidRPr="00E25F59">
        <w:t>Consumer access to origin information</w:t>
      </w:r>
    </w:p>
    <w:p w14:paraId="6D7DB388"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szCs w:val="24"/>
        </w:rPr>
        <w:t xml:space="preserve">Did </w:t>
      </w:r>
      <w:r w:rsidRPr="00EB11F9">
        <w:rPr>
          <w:rFonts w:cstheme="minorHAnsi"/>
          <w:color w:val="auto"/>
          <w:sz w:val="22"/>
        </w:rPr>
        <w:t xml:space="preserve">the </w:t>
      </w:r>
      <w:proofErr w:type="spellStart"/>
      <w:r w:rsidRPr="00EB11F9">
        <w:rPr>
          <w:rFonts w:cstheme="minorHAnsi"/>
          <w:color w:val="auto"/>
          <w:sz w:val="22"/>
        </w:rPr>
        <w:t>CoOL</w:t>
      </w:r>
      <w:proofErr w:type="spellEnd"/>
      <w:r w:rsidRPr="00EB11F9">
        <w:rPr>
          <w:rFonts w:cstheme="minorHAnsi"/>
          <w:color w:val="auto"/>
          <w:sz w:val="22"/>
        </w:rPr>
        <w:t xml:space="preserve"> reforms achieve the objective of improving consumer understanding about the origins of their food? </w:t>
      </w:r>
    </w:p>
    <w:p w14:paraId="0A5D47B8"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 xml:space="preserve">Does the differentiation between priority and non-priority foods continue to meet consumer expectations? </w:t>
      </w:r>
    </w:p>
    <w:p w14:paraId="3795131E"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 xml:space="preserve">Is the current scope of mandatory </w:t>
      </w:r>
      <w:proofErr w:type="spellStart"/>
      <w:r w:rsidRPr="00EB11F9">
        <w:rPr>
          <w:rFonts w:cstheme="minorHAnsi"/>
          <w:color w:val="auto"/>
          <w:sz w:val="22"/>
        </w:rPr>
        <w:t>CoOL</w:t>
      </w:r>
      <w:proofErr w:type="spellEnd"/>
      <w:r w:rsidRPr="00EB11F9">
        <w:rPr>
          <w:rFonts w:cstheme="minorHAnsi"/>
          <w:color w:val="auto"/>
          <w:sz w:val="22"/>
        </w:rPr>
        <w:t xml:space="preserve"> appropriate? Should the exemption for foodservice be maintained?</w:t>
      </w:r>
    </w:p>
    <w:p w14:paraId="6D0B455B"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 xml:space="preserve">Do the criteria for making a ‘Made in’ claim reflect consumer perceptions and expectations? </w:t>
      </w:r>
    </w:p>
    <w:p w14:paraId="64709DA1"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 xml:space="preserve">Does use of the Australian Made logo and bar chart reflect consumer perceptions and expectations?  </w:t>
      </w:r>
    </w:p>
    <w:p w14:paraId="4F5C2724"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 xml:space="preserve">Do the </w:t>
      </w:r>
      <w:proofErr w:type="spellStart"/>
      <w:r w:rsidRPr="00EB11F9">
        <w:rPr>
          <w:rFonts w:cstheme="minorHAnsi"/>
          <w:color w:val="auto"/>
          <w:sz w:val="22"/>
        </w:rPr>
        <w:t>CoOL</w:t>
      </w:r>
      <w:proofErr w:type="spellEnd"/>
      <w:r w:rsidRPr="00EB11F9">
        <w:rPr>
          <w:rFonts w:cstheme="minorHAnsi"/>
          <w:color w:val="auto"/>
          <w:sz w:val="22"/>
        </w:rPr>
        <w:t xml:space="preserve"> requirements for online sales provide consumers with adequate origin information about products prior to making their purchase?</w:t>
      </w:r>
    </w:p>
    <w:p w14:paraId="1D56815F"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lastRenderedPageBreak/>
        <w:t xml:space="preserve">Have communication activities and online resources been effective in raising consumer awareness of the </w:t>
      </w:r>
      <w:proofErr w:type="spellStart"/>
      <w:r w:rsidRPr="00EB11F9">
        <w:rPr>
          <w:rFonts w:cstheme="minorHAnsi"/>
          <w:color w:val="auto"/>
          <w:sz w:val="22"/>
        </w:rPr>
        <w:t>CoOL</w:t>
      </w:r>
      <w:proofErr w:type="spellEnd"/>
      <w:r w:rsidRPr="00EB11F9">
        <w:rPr>
          <w:rFonts w:cstheme="minorHAnsi"/>
          <w:color w:val="auto"/>
          <w:sz w:val="22"/>
        </w:rPr>
        <w:t xml:space="preserve"> reforms and helping consumers to understand </w:t>
      </w:r>
      <w:proofErr w:type="spellStart"/>
      <w:r w:rsidRPr="00EB11F9">
        <w:rPr>
          <w:rFonts w:cstheme="minorHAnsi"/>
          <w:color w:val="auto"/>
          <w:sz w:val="22"/>
        </w:rPr>
        <w:t>CoOL</w:t>
      </w:r>
      <w:proofErr w:type="spellEnd"/>
      <w:r w:rsidRPr="00EB11F9">
        <w:rPr>
          <w:rFonts w:cstheme="minorHAnsi"/>
          <w:color w:val="auto"/>
          <w:sz w:val="22"/>
        </w:rPr>
        <w:t xml:space="preserve"> information?</w:t>
      </w:r>
    </w:p>
    <w:p w14:paraId="1AADE591"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Are there any other product types for which consumers seek greater access to origin information?</w:t>
      </w:r>
    </w:p>
    <w:p w14:paraId="1C4CAD2A"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 xml:space="preserve">Has consumer demand for origin information changed since the introduction of the reforms? </w:t>
      </w:r>
    </w:p>
    <w:p w14:paraId="449BF4A8" w14:textId="77777777" w:rsidR="00EB11F9" w:rsidRPr="00E25F59" w:rsidRDefault="00EB11F9" w:rsidP="00EB11F9">
      <w:pPr>
        <w:pStyle w:val="Heading4"/>
        <w:rPr>
          <w:b/>
        </w:rPr>
      </w:pPr>
      <w:r w:rsidRPr="00E25F59">
        <w:t>Clarifying business’ ability to make origin claims</w:t>
      </w:r>
    </w:p>
    <w:p w14:paraId="2E05A70D"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 xml:space="preserve">Has the introduction of safe-harbour defences clarified business’ ability to securely make origin claims? </w:t>
      </w:r>
    </w:p>
    <w:p w14:paraId="29E66548"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 xml:space="preserve">How well have businesses complied with </w:t>
      </w:r>
      <w:proofErr w:type="spellStart"/>
      <w:r w:rsidRPr="00EB11F9">
        <w:rPr>
          <w:rFonts w:cstheme="minorHAnsi"/>
          <w:color w:val="auto"/>
          <w:sz w:val="22"/>
        </w:rPr>
        <w:t>CoOL</w:t>
      </w:r>
      <w:proofErr w:type="spellEnd"/>
      <w:r w:rsidRPr="00EB11F9">
        <w:rPr>
          <w:rFonts w:cstheme="minorHAnsi"/>
          <w:color w:val="auto"/>
          <w:sz w:val="22"/>
        </w:rPr>
        <w:t xml:space="preserve"> requirements?</w:t>
      </w:r>
    </w:p>
    <w:p w14:paraId="06C8408B"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 xml:space="preserve">Do the current </w:t>
      </w:r>
      <w:proofErr w:type="spellStart"/>
      <w:r w:rsidRPr="00EB11F9">
        <w:rPr>
          <w:rFonts w:cstheme="minorHAnsi"/>
          <w:color w:val="auto"/>
          <w:sz w:val="22"/>
        </w:rPr>
        <w:t>CoOL</w:t>
      </w:r>
      <w:proofErr w:type="spellEnd"/>
      <w:r w:rsidRPr="00EB11F9">
        <w:rPr>
          <w:rFonts w:cstheme="minorHAnsi"/>
          <w:color w:val="auto"/>
          <w:sz w:val="22"/>
        </w:rPr>
        <w:t xml:space="preserve"> requirements provide adequate flexibility for food and beverage producers to manage variations in the supply of ingredients?</w:t>
      </w:r>
    </w:p>
    <w:p w14:paraId="4B60CF9D"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 xml:space="preserve">Did the </w:t>
      </w:r>
      <w:proofErr w:type="spellStart"/>
      <w:r w:rsidRPr="00EB11F9">
        <w:rPr>
          <w:rFonts w:cstheme="minorHAnsi"/>
          <w:color w:val="auto"/>
          <w:sz w:val="22"/>
        </w:rPr>
        <w:t>CoOL</w:t>
      </w:r>
      <w:proofErr w:type="spellEnd"/>
      <w:r w:rsidRPr="00EB11F9">
        <w:rPr>
          <w:rFonts w:cstheme="minorHAnsi"/>
          <w:color w:val="auto"/>
          <w:sz w:val="22"/>
        </w:rPr>
        <w:t xml:space="preserve"> reforms have any unintended consequences on businesses for particular products, including non-food products? What action, if any, was taken to address the impacts of the </w:t>
      </w:r>
      <w:proofErr w:type="spellStart"/>
      <w:r w:rsidRPr="00EB11F9">
        <w:rPr>
          <w:rFonts w:cstheme="minorHAnsi"/>
          <w:color w:val="auto"/>
          <w:sz w:val="22"/>
        </w:rPr>
        <w:t>CoOL</w:t>
      </w:r>
      <w:proofErr w:type="spellEnd"/>
      <w:r w:rsidRPr="00EB11F9">
        <w:rPr>
          <w:rFonts w:cstheme="minorHAnsi"/>
          <w:color w:val="auto"/>
          <w:sz w:val="22"/>
        </w:rPr>
        <w:t xml:space="preserve"> reforms on those businesses that were negatively affected? </w:t>
      </w:r>
    </w:p>
    <w:p w14:paraId="5C099FF0" w14:textId="77777777" w:rsidR="00EB11F9" w:rsidRPr="00E25F59" w:rsidRDefault="00EB11F9" w:rsidP="00EB11F9">
      <w:pPr>
        <w:pStyle w:val="Heading4"/>
        <w:rPr>
          <w:b/>
        </w:rPr>
      </w:pPr>
      <w:r w:rsidRPr="00E25F59">
        <w:t>Impact on business</w:t>
      </w:r>
    </w:p>
    <w:p w14:paraId="78499539"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 xml:space="preserve">Have communication activities and online resources been effective in supporting businesses to understand, implement and manage </w:t>
      </w:r>
      <w:proofErr w:type="spellStart"/>
      <w:r w:rsidRPr="00EB11F9">
        <w:rPr>
          <w:rFonts w:cstheme="minorHAnsi"/>
          <w:color w:val="auto"/>
          <w:sz w:val="22"/>
        </w:rPr>
        <w:t>CoOL</w:t>
      </w:r>
      <w:proofErr w:type="spellEnd"/>
      <w:r w:rsidRPr="00EB11F9">
        <w:rPr>
          <w:rFonts w:cstheme="minorHAnsi"/>
          <w:color w:val="auto"/>
          <w:sz w:val="22"/>
        </w:rPr>
        <w:t xml:space="preserve"> requirements?</w:t>
      </w:r>
    </w:p>
    <w:p w14:paraId="39EEA025"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Did the transition period enable businesses to implement the reforms in an efficient manner, and minimise implementation costs?</w:t>
      </w:r>
    </w:p>
    <w:p w14:paraId="12828FC6"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 xml:space="preserve">What were the realised costs to business associated with meeting the new </w:t>
      </w:r>
      <w:proofErr w:type="spellStart"/>
      <w:r w:rsidRPr="00EB11F9">
        <w:rPr>
          <w:rFonts w:cstheme="minorHAnsi"/>
          <w:color w:val="auto"/>
          <w:sz w:val="22"/>
        </w:rPr>
        <w:t>CoOL</w:t>
      </w:r>
      <w:proofErr w:type="spellEnd"/>
      <w:r w:rsidRPr="00EB11F9">
        <w:rPr>
          <w:rFonts w:cstheme="minorHAnsi"/>
          <w:color w:val="auto"/>
          <w:sz w:val="22"/>
        </w:rPr>
        <w:t xml:space="preserve"> requirements? </w:t>
      </w:r>
    </w:p>
    <w:p w14:paraId="35D25AB9"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Have food and beverage producers benefited from the increased provision of information to consumers?</w:t>
      </w:r>
      <w:r w:rsidRPr="00EB11F9" w:rsidDel="00496ACC">
        <w:rPr>
          <w:rFonts w:cstheme="minorHAnsi"/>
          <w:color w:val="auto"/>
          <w:sz w:val="22"/>
        </w:rPr>
        <w:t xml:space="preserve"> </w:t>
      </w:r>
    </w:p>
    <w:p w14:paraId="61EF4319" w14:textId="77777777" w:rsidR="00EB11F9" w:rsidRPr="00E25F59" w:rsidRDefault="00EB11F9" w:rsidP="00EB11F9">
      <w:pPr>
        <w:pStyle w:val="Heading4"/>
      </w:pPr>
      <w:r w:rsidRPr="00E25F59">
        <w:t>Lessons learned</w:t>
      </w:r>
    </w:p>
    <w:p w14:paraId="32EDF265" w14:textId="77777777" w:rsidR="00EB11F9" w:rsidRPr="00EB11F9" w:rsidRDefault="00EB11F9" w:rsidP="00EB11F9">
      <w:pPr>
        <w:pStyle w:val="ListBullet2"/>
        <w:numPr>
          <w:ilvl w:val="0"/>
          <w:numId w:val="17"/>
        </w:numPr>
        <w:spacing w:after="200" w:line="240" w:lineRule="auto"/>
        <w:ind w:left="425" w:hanging="425"/>
        <w:jc w:val="left"/>
        <w:rPr>
          <w:rFonts w:cstheme="minorHAnsi"/>
          <w:color w:val="auto"/>
          <w:sz w:val="22"/>
        </w:rPr>
      </w:pPr>
      <w:r w:rsidRPr="00EB11F9">
        <w:rPr>
          <w:rFonts w:cstheme="minorHAnsi"/>
          <w:color w:val="auto"/>
          <w:sz w:val="22"/>
        </w:rPr>
        <w:t xml:space="preserve">What lessons can be drawn from the program to improve the efficiency or effectiveness of future initiatives? </w:t>
      </w:r>
    </w:p>
    <w:p w14:paraId="6D78DE23" w14:textId="77777777" w:rsidR="00EB11F9" w:rsidRPr="00E25F59" w:rsidRDefault="00EB11F9" w:rsidP="00EB11F9">
      <w:pPr>
        <w:pStyle w:val="Heading2"/>
      </w:pPr>
      <w:r w:rsidRPr="00E25F59">
        <w:t>Methodology</w:t>
      </w:r>
    </w:p>
    <w:p w14:paraId="50EECF90" w14:textId="77777777" w:rsidR="00EB11F9" w:rsidRPr="00E25F59" w:rsidRDefault="00EB11F9" w:rsidP="00EB11F9">
      <w:r w:rsidRPr="00E25F59">
        <w:t>To answer the evaluation questions, this evaluation will use a mixed methods approach relying on both quantitative and qualitative data sources. As such, several approaches will be undertaken to collect the information required to respond to the evaluation questions, including:</w:t>
      </w:r>
    </w:p>
    <w:p w14:paraId="749DA20C" w14:textId="77777777" w:rsidR="00EB11F9" w:rsidRPr="00EB11F9" w:rsidRDefault="00EB11F9" w:rsidP="00EB11F9">
      <w:pPr>
        <w:pStyle w:val="ListParagraph"/>
        <w:numPr>
          <w:ilvl w:val="0"/>
          <w:numId w:val="18"/>
        </w:numPr>
        <w:spacing w:after="240" w:line="240" w:lineRule="auto"/>
        <w:rPr>
          <w:rFonts w:cstheme="minorHAnsi"/>
        </w:rPr>
      </w:pPr>
      <w:r w:rsidRPr="00EB11F9">
        <w:rPr>
          <w:rFonts w:cstheme="minorHAnsi"/>
        </w:rPr>
        <w:t>Consumer survey</w:t>
      </w:r>
    </w:p>
    <w:p w14:paraId="5E5EA549" w14:textId="77777777" w:rsidR="00EB11F9" w:rsidRPr="00EB11F9" w:rsidRDefault="00EB11F9" w:rsidP="00EB11F9">
      <w:pPr>
        <w:pStyle w:val="ListParagraph"/>
        <w:numPr>
          <w:ilvl w:val="0"/>
          <w:numId w:val="18"/>
        </w:numPr>
        <w:spacing w:after="240" w:line="240" w:lineRule="auto"/>
        <w:rPr>
          <w:rFonts w:cstheme="minorHAnsi"/>
        </w:rPr>
      </w:pPr>
      <w:r w:rsidRPr="00EB11F9">
        <w:rPr>
          <w:rFonts w:cstheme="minorHAnsi"/>
        </w:rPr>
        <w:t>Consumer focus groups</w:t>
      </w:r>
    </w:p>
    <w:p w14:paraId="6FF7D655" w14:textId="77777777" w:rsidR="00EB11F9" w:rsidRPr="00EB11F9" w:rsidRDefault="00EB11F9" w:rsidP="00EB11F9">
      <w:pPr>
        <w:pStyle w:val="ListParagraph"/>
        <w:numPr>
          <w:ilvl w:val="0"/>
          <w:numId w:val="18"/>
        </w:numPr>
        <w:spacing w:after="240" w:line="240" w:lineRule="auto"/>
        <w:rPr>
          <w:rFonts w:cstheme="minorHAnsi"/>
        </w:rPr>
      </w:pPr>
      <w:r w:rsidRPr="00EB11F9">
        <w:rPr>
          <w:rFonts w:cstheme="minorHAnsi"/>
        </w:rPr>
        <w:t>Business survey</w:t>
      </w:r>
    </w:p>
    <w:p w14:paraId="11E65B8A" w14:textId="77777777" w:rsidR="00EB11F9" w:rsidRPr="00EB11F9" w:rsidRDefault="00EB11F9" w:rsidP="00EB11F9">
      <w:pPr>
        <w:pStyle w:val="ListParagraph"/>
        <w:numPr>
          <w:ilvl w:val="0"/>
          <w:numId w:val="18"/>
        </w:numPr>
        <w:spacing w:after="240" w:line="240" w:lineRule="auto"/>
        <w:rPr>
          <w:rFonts w:cstheme="minorHAnsi"/>
        </w:rPr>
      </w:pPr>
      <w:r w:rsidRPr="00EB11F9">
        <w:rPr>
          <w:rFonts w:cstheme="minorHAnsi"/>
        </w:rPr>
        <w:t>Business interviews</w:t>
      </w:r>
    </w:p>
    <w:p w14:paraId="4D527CE5" w14:textId="77777777" w:rsidR="00EB11F9" w:rsidRPr="00EB11F9" w:rsidRDefault="00EB11F9" w:rsidP="00EB11F9">
      <w:pPr>
        <w:pStyle w:val="ListParagraph"/>
        <w:numPr>
          <w:ilvl w:val="0"/>
          <w:numId w:val="18"/>
        </w:numPr>
        <w:spacing w:after="240" w:line="240" w:lineRule="auto"/>
        <w:rPr>
          <w:rFonts w:cstheme="minorHAnsi"/>
        </w:rPr>
      </w:pPr>
      <w:r w:rsidRPr="00EB11F9">
        <w:rPr>
          <w:rFonts w:cstheme="minorHAnsi"/>
        </w:rPr>
        <w:t>Government stakeholder interviews</w:t>
      </w:r>
    </w:p>
    <w:p w14:paraId="708E4D22" w14:textId="77777777" w:rsidR="00EB11F9" w:rsidRPr="00EB11F9" w:rsidRDefault="00EB11F9" w:rsidP="00EB11F9">
      <w:pPr>
        <w:pStyle w:val="ListParagraph"/>
        <w:numPr>
          <w:ilvl w:val="0"/>
          <w:numId w:val="18"/>
        </w:numPr>
        <w:spacing w:after="240" w:line="240" w:lineRule="auto"/>
        <w:rPr>
          <w:rFonts w:cstheme="minorHAnsi"/>
        </w:rPr>
      </w:pPr>
      <w:r w:rsidRPr="00EB11F9">
        <w:rPr>
          <w:rFonts w:cstheme="minorHAnsi"/>
        </w:rPr>
        <w:t>Public submissions process</w:t>
      </w:r>
    </w:p>
    <w:p w14:paraId="1E31F96E" w14:textId="77777777" w:rsidR="00EB11F9" w:rsidRPr="00EB11F9" w:rsidRDefault="00EB11F9" w:rsidP="00EB11F9">
      <w:pPr>
        <w:pStyle w:val="ListParagraph"/>
        <w:numPr>
          <w:ilvl w:val="0"/>
          <w:numId w:val="18"/>
        </w:numPr>
        <w:spacing w:after="240" w:line="240" w:lineRule="auto"/>
        <w:rPr>
          <w:rFonts w:cstheme="minorHAnsi"/>
        </w:rPr>
      </w:pPr>
      <w:r w:rsidRPr="00EB11F9">
        <w:rPr>
          <w:rFonts w:cstheme="minorHAnsi"/>
        </w:rPr>
        <w:t>Research and analysis of appropriate data, including Cost benefit analysis</w:t>
      </w:r>
    </w:p>
    <w:p w14:paraId="7E3AAFF9" w14:textId="77777777" w:rsidR="00EB11F9" w:rsidRPr="00E25F59" w:rsidRDefault="00EB11F9" w:rsidP="00EB11F9">
      <w:pPr>
        <w:pStyle w:val="Heading2"/>
      </w:pPr>
      <w:r w:rsidRPr="00E25F59">
        <w:lastRenderedPageBreak/>
        <w:t>Governance</w:t>
      </w:r>
    </w:p>
    <w:p w14:paraId="2C7DDA72" w14:textId="77777777" w:rsidR="00EB11F9" w:rsidRPr="00E25F59" w:rsidRDefault="00EB11F9" w:rsidP="00EB11F9">
      <w:pPr>
        <w:pStyle w:val="Heading3"/>
      </w:pPr>
      <w:r w:rsidRPr="00E25F59">
        <w:t>Reference Group</w:t>
      </w:r>
    </w:p>
    <w:p w14:paraId="73320BF8" w14:textId="77777777" w:rsidR="00EB11F9" w:rsidRPr="00E25F59" w:rsidRDefault="00EB11F9" w:rsidP="00EB11F9">
      <w:r w:rsidRPr="00E25F59">
        <w:t>A Reference Group will be established to provide strategic guidance and direction to the evaluation. The Reference Group will be responsible for providing strategic guidance and direction to the evaluation’s Working Group (described below) for the duration of the project.</w:t>
      </w:r>
    </w:p>
    <w:p w14:paraId="62023103" w14:textId="77777777" w:rsidR="00EB11F9" w:rsidRPr="00E25F59" w:rsidRDefault="00EB11F9" w:rsidP="00EB11F9">
      <w:r w:rsidRPr="00E25F59">
        <w:t xml:space="preserve">The Reference Group will agree to the Terms of Reference and review preliminary findings and recommendations as well as the final report. </w:t>
      </w:r>
    </w:p>
    <w:p w14:paraId="091F2D1D" w14:textId="77777777" w:rsidR="00EB11F9" w:rsidRPr="00EB11F9" w:rsidRDefault="00EB11F9" w:rsidP="00EB11F9">
      <w:pPr>
        <w:rPr>
          <w:rFonts w:cstheme="minorHAnsi"/>
        </w:rPr>
      </w:pPr>
      <w:r w:rsidRPr="00E25F59">
        <w:t xml:space="preserve">Acknowledging the importance of the evaluation within the department and across government, the following officials will be invited to attend the Reference Group, noting that participation reflects the role </w:t>
      </w:r>
      <w:r w:rsidRPr="00EB11F9">
        <w:rPr>
          <w:rFonts w:cstheme="minorHAnsi"/>
        </w:rPr>
        <w:t xml:space="preserve">rather than the individual: </w:t>
      </w:r>
    </w:p>
    <w:p w14:paraId="0C127007" w14:textId="77777777" w:rsidR="00EB11F9" w:rsidRPr="00EB11F9" w:rsidRDefault="00EB11F9" w:rsidP="00EB11F9">
      <w:pPr>
        <w:pStyle w:val="ListParagraph"/>
        <w:numPr>
          <w:ilvl w:val="0"/>
          <w:numId w:val="18"/>
        </w:numPr>
        <w:spacing w:after="240" w:line="240" w:lineRule="auto"/>
        <w:rPr>
          <w:rFonts w:cstheme="minorHAnsi"/>
        </w:rPr>
      </w:pPr>
      <w:r w:rsidRPr="00EB11F9">
        <w:rPr>
          <w:rFonts w:cstheme="minorHAnsi"/>
        </w:rPr>
        <w:t>SES Band 1, Evaluation and Research Branch (Chair).</w:t>
      </w:r>
    </w:p>
    <w:p w14:paraId="3A6082C0" w14:textId="77777777" w:rsidR="00EB11F9" w:rsidRPr="00EB11F9" w:rsidRDefault="00EB11F9" w:rsidP="00EB11F9">
      <w:pPr>
        <w:pStyle w:val="ListParagraph"/>
        <w:numPr>
          <w:ilvl w:val="0"/>
          <w:numId w:val="18"/>
        </w:numPr>
        <w:spacing w:after="240" w:line="240" w:lineRule="auto"/>
        <w:rPr>
          <w:rFonts w:cstheme="minorHAnsi"/>
        </w:rPr>
      </w:pPr>
      <w:r w:rsidRPr="00EB11F9">
        <w:rPr>
          <w:rFonts w:cstheme="minorHAnsi"/>
        </w:rPr>
        <w:t xml:space="preserve">SES Band 1, Business Facilitation and Food Policy Branch, Industry Growth Division – as the policy owner of </w:t>
      </w:r>
      <w:proofErr w:type="spellStart"/>
      <w:r w:rsidRPr="00EB11F9">
        <w:rPr>
          <w:rFonts w:cstheme="minorHAnsi"/>
        </w:rPr>
        <w:t>CoOL</w:t>
      </w:r>
      <w:proofErr w:type="spellEnd"/>
      <w:r w:rsidRPr="00EB11F9">
        <w:rPr>
          <w:rFonts w:cstheme="minorHAnsi"/>
        </w:rPr>
        <w:t xml:space="preserve"> for food.</w:t>
      </w:r>
    </w:p>
    <w:p w14:paraId="2384E129" w14:textId="77777777" w:rsidR="00EB11F9" w:rsidRPr="00EB11F9" w:rsidRDefault="00EB11F9" w:rsidP="00EB11F9">
      <w:pPr>
        <w:pStyle w:val="ListParagraph"/>
        <w:numPr>
          <w:ilvl w:val="0"/>
          <w:numId w:val="18"/>
        </w:numPr>
        <w:spacing w:after="240" w:line="240" w:lineRule="auto"/>
        <w:rPr>
          <w:rFonts w:cstheme="minorHAnsi"/>
        </w:rPr>
      </w:pPr>
      <w:r w:rsidRPr="00EB11F9">
        <w:rPr>
          <w:rFonts w:cstheme="minorHAnsi"/>
        </w:rPr>
        <w:t xml:space="preserve">SES Band 1, Trade and International Branch, DISER – as the policy owner of </w:t>
      </w:r>
      <w:proofErr w:type="spellStart"/>
      <w:r w:rsidRPr="00EB11F9">
        <w:rPr>
          <w:rFonts w:cstheme="minorHAnsi"/>
        </w:rPr>
        <w:t>CoOL</w:t>
      </w:r>
      <w:proofErr w:type="spellEnd"/>
      <w:r w:rsidRPr="00EB11F9">
        <w:rPr>
          <w:rFonts w:cstheme="minorHAnsi"/>
        </w:rPr>
        <w:t xml:space="preserve"> for non-food products.</w:t>
      </w:r>
    </w:p>
    <w:p w14:paraId="3BBE9A77" w14:textId="77777777" w:rsidR="00EB11F9" w:rsidRPr="00EB11F9" w:rsidRDefault="00EB11F9" w:rsidP="00EB11F9">
      <w:pPr>
        <w:pStyle w:val="ListParagraph"/>
        <w:numPr>
          <w:ilvl w:val="0"/>
          <w:numId w:val="18"/>
        </w:numPr>
        <w:spacing w:after="240" w:line="240" w:lineRule="auto"/>
        <w:rPr>
          <w:rFonts w:cstheme="minorHAnsi"/>
        </w:rPr>
      </w:pPr>
      <w:r w:rsidRPr="00EB11F9">
        <w:rPr>
          <w:rFonts w:cstheme="minorHAnsi"/>
        </w:rPr>
        <w:t xml:space="preserve">SES Band 1 within the Australian Competition and Consumer Commission – as the responsible regulator of </w:t>
      </w:r>
      <w:proofErr w:type="spellStart"/>
      <w:r w:rsidRPr="00EB11F9">
        <w:rPr>
          <w:rFonts w:cstheme="minorHAnsi"/>
        </w:rPr>
        <w:t>CoOL</w:t>
      </w:r>
      <w:proofErr w:type="spellEnd"/>
      <w:r w:rsidRPr="00EB11F9">
        <w:rPr>
          <w:rFonts w:cstheme="minorHAnsi"/>
        </w:rPr>
        <w:t>.</w:t>
      </w:r>
    </w:p>
    <w:p w14:paraId="1A38A664" w14:textId="77777777" w:rsidR="00EB11F9" w:rsidRPr="00EB11F9" w:rsidRDefault="00EB11F9" w:rsidP="00EB11F9">
      <w:pPr>
        <w:pStyle w:val="ListParagraph"/>
        <w:numPr>
          <w:ilvl w:val="0"/>
          <w:numId w:val="18"/>
        </w:numPr>
        <w:spacing w:after="240" w:line="240" w:lineRule="auto"/>
        <w:rPr>
          <w:rFonts w:cstheme="minorHAnsi"/>
        </w:rPr>
      </w:pPr>
      <w:r w:rsidRPr="00EB11F9">
        <w:rPr>
          <w:rFonts w:cstheme="minorHAnsi"/>
        </w:rPr>
        <w:t>SES Band 1 from Treasury – as the policy owners of Australian consumer law.</w:t>
      </w:r>
    </w:p>
    <w:p w14:paraId="0A541808" w14:textId="77777777" w:rsidR="00EB11F9" w:rsidRPr="00EB11F9" w:rsidRDefault="00EB11F9" w:rsidP="00EB11F9">
      <w:pPr>
        <w:pStyle w:val="ListParagraph"/>
        <w:numPr>
          <w:ilvl w:val="0"/>
          <w:numId w:val="18"/>
        </w:numPr>
        <w:spacing w:after="240" w:line="240" w:lineRule="auto"/>
        <w:rPr>
          <w:rFonts w:cstheme="minorHAnsi"/>
        </w:rPr>
      </w:pPr>
      <w:r w:rsidRPr="00EB11F9">
        <w:rPr>
          <w:rFonts w:cstheme="minorHAnsi"/>
        </w:rPr>
        <w:t xml:space="preserve">SES Band 1 from Department of Agriculture, Water and the Environment – noting the impact of </w:t>
      </w:r>
      <w:proofErr w:type="spellStart"/>
      <w:r w:rsidRPr="00EB11F9">
        <w:rPr>
          <w:rFonts w:cstheme="minorHAnsi"/>
        </w:rPr>
        <w:t>CoOL</w:t>
      </w:r>
      <w:proofErr w:type="spellEnd"/>
      <w:r w:rsidRPr="00EB11F9">
        <w:rPr>
          <w:rFonts w:cstheme="minorHAnsi"/>
        </w:rPr>
        <w:t xml:space="preserve"> across the food supply chain.</w:t>
      </w:r>
    </w:p>
    <w:p w14:paraId="572AAC3E" w14:textId="77777777" w:rsidR="00EB11F9" w:rsidRPr="00EB11F9" w:rsidRDefault="00EB11F9" w:rsidP="00EB11F9">
      <w:pPr>
        <w:pStyle w:val="ListParagraph"/>
        <w:numPr>
          <w:ilvl w:val="0"/>
          <w:numId w:val="18"/>
        </w:numPr>
        <w:spacing w:after="240" w:line="240" w:lineRule="auto"/>
        <w:rPr>
          <w:rFonts w:cstheme="minorHAnsi"/>
        </w:rPr>
      </w:pPr>
      <w:r w:rsidRPr="00EB11F9">
        <w:rPr>
          <w:rFonts w:cstheme="minorHAnsi"/>
        </w:rPr>
        <w:t>SES Band 1 from Department of Health – as the policy owners of food standards.</w:t>
      </w:r>
    </w:p>
    <w:p w14:paraId="1B1EAF5A" w14:textId="77777777" w:rsidR="00EB11F9" w:rsidRPr="00E25F59" w:rsidRDefault="00EB11F9" w:rsidP="00EB11F9">
      <w:r w:rsidRPr="00EB11F9">
        <w:rPr>
          <w:rFonts w:cstheme="minorHAnsi"/>
        </w:rPr>
        <w:t>Officials from the National Measurement Institute and the department’s Communications team will</w:t>
      </w:r>
      <w:r w:rsidRPr="00E25F59">
        <w:t xml:space="preserve"> also be invited to attend the Reference Group meetings, given their roles in providing support to the ACCC in monitoring compliance with the </w:t>
      </w:r>
      <w:proofErr w:type="spellStart"/>
      <w:proofErr w:type="gramStart"/>
      <w:r w:rsidRPr="00E25F59">
        <w:t>CoOL</w:t>
      </w:r>
      <w:proofErr w:type="spellEnd"/>
      <w:proofErr w:type="gramEnd"/>
      <w:r w:rsidRPr="00E25F59">
        <w:t xml:space="preserve"> requirements and undertaking the communications campaign for the </w:t>
      </w:r>
      <w:proofErr w:type="spellStart"/>
      <w:r w:rsidRPr="00E25F59">
        <w:t>CoOL</w:t>
      </w:r>
      <w:proofErr w:type="spellEnd"/>
      <w:r w:rsidRPr="00E25F59">
        <w:t xml:space="preserve"> reforms, respectively. </w:t>
      </w:r>
    </w:p>
    <w:p w14:paraId="0339C799" w14:textId="77777777" w:rsidR="00EB11F9" w:rsidRPr="00E25F59" w:rsidRDefault="00EB11F9" w:rsidP="00EB11F9">
      <w:r w:rsidRPr="00E25F59">
        <w:t>The Reference Group will meet four times:</w:t>
      </w:r>
    </w:p>
    <w:tbl>
      <w:tblPr>
        <w:tblStyle w:val="TableGrid"/>
        <w:tblW w:w="0" w:type="auto"/>
        <w:tblLook w:val="04A0" w:firstRow="1" w:lastRow="0" w:firstColumn="1" w:lastColumn="0" w:noHBand="0" w:noVBand="1"/>
        <w:tblCaption w:val="Reference Group Meetings "/>
        <w:tblDescription w:val="This table provides information under the heading Task, which addresses what each meeting will address. and Date which tells you when the reference group will meet."/>
      </w:tblPr>
      <w:tblGrid>
        <w:gridCol w:w="4041"/>
        <w:gridCol w:w="4041"/>
      </w:tblGrid>
      <w:tr w:rsidR="00EB11F9" w14:paraId="36A2FE6D" w14:textId="77777777" w:rsidTr="00413D92">
        <w:trPr>
          <w:trHeight w:val="317"/>
          <w:tblHeader/>
        </w:trPr>
        <w:tc>
          <w:tcPr>
            <w:tcW w:w="4041" w:type="dxa"/>
            <w:vAlign w:val="center"/>
          </w:tcPr>
          <w:p w14:paraId="5AAAD906" w14:textId="77777777" w:rsidR="00EB11F9" w:rsidRPr="00E25F59" w:rsidRDefault="00EB11F9" w:rsidP="00EB11F9">
            <w:pPr>
              <w:spacing w:before="60" w:after="60"/>
            </w:pPr>
            <w:r w:rsidRPr="00E25F59">
              <w:t>Task</w:t>
            </w:r>
          </w:p>
        </w:tc>
        <w:tc>
          <w:tcPr>
            <w:tcW w:w="4041" w:type="dxa"/>
            <w:vAlign w:val="center"/>
          </w:tcPr>
          <w:p w14:paraId="6754ADF8" w14:textId="77777777" w:rsidR="00EB11F9" w:rsidRPr="00E25F59" w:rsidRDefault="00EB11F9" w:rsidP="00EB11F9">
            <w:pPr>
              <w:spacing w:before="60" w:after="60"/>
            </w:pPr>
            <w:r w:rsidRPr="00E25F59">
              <w:t>Date</w:t>
            </w:r>
          </w:p>
        </w:tc>
      </w:tr>
      <w:tr w:rsidR="00EB11F9" w14:paraId="33334EE8" w14:textId="77777777" w:rsidTr="00413D92">
        <w:trPr>
          <w:trHeight w:val="297"/>
        </w:trPr>
        <w:tc>
          <w:tcPr>
            <w:tcW w:w="4041" w:type="dxa"/>
            <w:vAlign w:val="center"/>
          </w:tcPr>
          <w:p w14:paraId="260774B0" w14:textId="77777777" w:rsidR="00EB11F9" w:rsidRPr="00E25F59" w:rsidRDefault="00EB11F9" w:rsidP="00EB11F9">
            <w:pPr>
              <w:spacing w:before="60" w:after="60"/>
            </w:pPr>
            <w:r w:rsidRPr="00E25F59">
              <w:t>Meeting one: Discuss and approve Terms of Reference</w:t>
            </w:r>
          </w:p>
        </w:tc>
        <w:tc>
          <w:tcPr>
            <w:tcW w:w="4041" w:type="dxa"/>
            <w:vAlign w:val="center"/>
          </w:tcPr>
          <w:p w14:paraId="07145CA8" w14:textId="77777777" w:rsidR="00EB11F9" w:rsidRPr="00E25F59" w:rsidRDefault="00EB11F9" w:rsidP="00EB11F9">
            <w:pPr>
              <w:spacing w:before="60" w:after="60"/>
            </w:pPr>
            <w:r w:rsidRPr="00E25F59">
              <w:t>May 2020</w:t>
            </w:r>
          </w:p>
        </w:tc>
      </w:tr>
      <w:tr w:rsidR="00EB11F9" w14:paraId="7AA350A0" w14:textId="77777777" w:rsidTr="00413D92">
        <w:trPr>
          <w:trHeight w:val="297"/>
        </w:trPr>
        <w:tc>
          <w:tcPr>
            <w:tcW w:w="4041" w:type="dxa"/>
            <w:vAlign w:val="center"/>
          </w:tcPr>
          <w:p w14:paraId="5266E4C2" w14:textId="77777777" w:rsidR="00EB11F9" w:rsidRPr="00E25F59" w:rsidRDefault="00EB11F9" w:rsidP="00EB11F9">
            <w:pPr>
              <w:spacing w:before="60" w:after="60"/>
            </w:pPr>
            <w:r w:rsidRPr="00E25F59">
              <w:t>Meeting two: Progress update</w:t>
            </w:r>
          </w:p>
        </w:tc>
        <w:tc>
          <w:tcPr>
            <w:tcW w:w="4041" w:type="dxa"/>
            <w:vAlign w:val="center"/>
          </w:tcPr>
          <w:p w14:paraId="5062D572" w14:textId="77777777" w:rsidR="00EB11F9" w:rsidRPr="00E25F59" w:rsidRDefault="00EB11F9" w:rsidP="00EB11F9">
            <w:pPr>
              <w:spacing w:before="60" w:after="60"/>
            </w:pPr>
            <w:r w:rsidRPr="00E25F59">
              <w:t>November 2020</w:t>
            </w:r>
          </w:p>
        </w:tc>
      </w:tr>
      <w:tr w:rsidR="00EB11F9" w14:paraId="142405C2" w14:textId="77777777" w:rsidTr="00413D92">
        <w:trPr>
          <w:trHeight w:val="297"/>
        </w:trPr>
        <w:tc>
          <w:tcPr>
            <w:tcW w:w="4041" w:type="dxa"/>
            <w:vAlign w:val="center"/>
          </w:tcPr>
          <w:p w14:paraId="6658FEA3" w14:textId="77777777" w:rsidR="00EB11F9" w:rsidRPr="00E25F59" w:rsidRDefault="00EB11F9" w:rsidP="00EB11F9">
            <w:pPr>
              <w:spacing w:before="60" w:after="60"/>
            </w:pPr>
            <w:r w:rsidRPr="00E25F59">
              <w:t>Meeting three: Discuss preliminary findings and recommendations</w:t>
            </w:r>
          </w:p>
        </w:tc>
        <w:tc>
          <w:tcPr>
            <w:tcW w:w="4041" w:type="dxa"/>
            <w:vAlign w:val="center"/>
          </w:tcPr>
          <w:p w14:paraId="7F2D9E6F" w14:textId="77777777" w:rsidR="00EB11F9" w:rsidRPr="00E25F59" w:rsidRDefault="00EB11F9" w:rsidP="00EB11F9">
            <w:pPr>
              <w:spacing w:before="60" w:after="60"/>
            </w:pPr>
            <w:r w:rsidRPr="00E25F59">
              <w:t>January 2021</w:t>
            </w:r>
          </w:p>
        </w:tc>
      </w:tr>
      <w:tr w:rsidR="00EB11F9" w14:paraId="1F551A85" w14:textId="77777777" w:rsidTr="00413D92">
        <w:trPr>
          <w:trHeight w:val="297"/>
        </w:trPr>
        <w:tc>
          <w:tcPr>
            <w:tcW w:w="4041" w:type="dxa"/>
            <w:vAlign w:val="center"/>
          </w:tcPr>
          <w:p w14:paraId="44FD99A6" w14:textId="77777777" w:rsidR="00EB11F9" w:rsidRPr="00E25F59" w:rsidRDefault="00EB11F9" w:rsidP="00EB11F9">
            <w:pPr>
              <w:spacing w:before="60" w:after="60"/>
            </w:pPr>
            <w:r w:rsidRPr="00E25F59">
              <w:t>Meeting four: Provide feedback on draft report</w:t>
            </w:r>
          </w:p>
        </w:tc>
        <w:tc>
          <w:tcPr>
            <w:tcW w:w="4041" w:type="dxa"/>
            <w:vAlign w:val="center"/>
          </w:tcPr>
          <w:p w14:paraId="4FFC5BA8" w14:textId="77777777" w:rsidR="00EB11F9" w:rsidRPr="00E25F59" w:rsidRDefault="00EB11F9" w:rsidP="00EB11F9">
            <w:pPr>
              <w:spacing w:before="60" w:after="60"/>
            </w:pPr>
            <w:r w:rsidRPr="00E25F59">
              <w:t>February 2021</w:t>
            </w:r>
          </w:p>
        </w:tc>
      </w:tr>
    </w:tbl>
    <w:p w14:paraId="1EE715AB" w14:textId="77777777" w:rsidR="00EB11F9" w:rsidRDefault="00EB11F9" w:rsidP="00AA740C"/>
    <w:p w14:paraId="22370130" w14:textId="77777777" w:rsidR="00EB11F9" w:rsidRPr="00E25F59" w:rsidRDefault="00EB11F9" w:rsidP="00EB11F9">
      <w:pPr>
        <w:pStyle w:val="Heading3"/>
      </w:pPr>
      <w:r w:rsidRPr="00E25F59">
        <w:t>Working Group</w:t>
      </w:r>
    </w:p>
    <w:p w14:paraId="33354D87" w14:textId="77777777" w:rsidR="00EB11F9" w:rsidRPr="00E25F59" w:rsidRDefault="00EB11F9" w:rsidP="00EB11F9">
      <w:r w:rsidRPr="00E25F59">
        <w:t xml:space="preserve">The department will convene an officer-level Working Group to support the Reference Group, which will include officers from each area represented on the reference group. Following commencement of the evaluation, the Working Group will meet at least monthly to provide an update on progress, share information and seek input from members as necessary. </w:t>
      </w:r>
    </w:p>
    <w:p w14:paraId="1EEC0BA3" w14:textId="77777777" w:rsidR="00EB11F9" w:rsidRPr="00E25F59" w:rsidRDefault="00EB11F9" w:rsidP="00EB11F9">
      <w:pPr>
        <w:pStyle w:val="Heading2"/>
      </w:pPr>
      <w:r w:rsidRPr="00E25F59">
        <w:lastRenderedPageBreak/>
        <w:t>Report Approval</w:t>
      </w:r>
    </w:p>
    <w:p w14:paraId="60872CA7" w14:textId="77777777" w:rsidR="00EB11F9" w:rsidRPr="00E25F59" w:rsidRDefault="00EB11F9" w:rsidP="00EB11F9">
      <w:r w:rsidRPr="00E25F59">
        <w:t>The final report will be reviewed by the Reference Group and approved by the Chair, before endorsement by the Departmental Program Performance Committee and Executive Board. The department will then seek approval to publish the report from the Minister for Industry, Science and Technology. The Minister for Industry, Science and Technology will also provide the report to the Minister for Housing and Assistant Treasurer, the Minister for Agriculture, Drought and Emergency Management, and the Minister for Health, for their information.</w:t>
      </w:r>
    </w:p>
    <w:p w14:paraId="3CC8E49A" w14:textId="77777777" w:rsidR="00EB11F9" w:rsidRPr="00E25F59" w:rsidRDefault="00EB11F9" w:rsidP="00EB11F9">
      <w:pPr>
        <w:pStyle w:val="Heading2"/>
      </w:pPr>
      <w:r w:rsidRPr="00E25F59">
        <w:t>Information Release</w:t>
      </w:r>
    </w:p>
    <w:p w14:paraId="01F6AAEF" w14:textId="77777777" w:rsidR="00EB11F9" w:rsidRPr="00E25F59" w:rsidRDefault="00EB11F9" w:rsidP="00EB11F9">
      <w:r w:rsidRPr="00E25F59">
        <w:t xml:space="preserve">The evaluation will produce a report documenting the outcomes and findings of the evaluation. In addition to the 2016 Decision RIS commitment to reviewing the reforms, the Government has also made public commitments to evaluate the effectiveness of the </w:t>
      </w:r>
      <w:proofErr w:type="spellStart"/>
      <w:r w:rsidRPr="00E25F59">
        <w:t>CoOL</w:t>
      </w:r>
      <w:proofErr w:type="spellEnd"/>
      <w:r w:rsidRPr="00E25F59">
        <w:t xml:space="preserve"> reforms in correspondence with interested stakeholders. As there is significant public interest associated with </w:t>
      </w:r>
      <w:proofErr w:type="spellStart"/>
      <w:r w:rsidRPr="00E25F59">
        <w:t>CoOL</w:t>
      </w:r>
      <w:proofErr w:type="spellEnd"/>
      <w:r w:rsidRPr="00E25F59">
        <w:t xml:space="preserve">, the evaluation report will be prepared with the intention to publicly release the document in full. </w:t>
      </w:r>
    </w:p>
    <w:p w14:paraId="6F085522" w14:textId="77777777" w:rsidR="00EB11F9" w:rsidRPr="00AA740C" w:rsidRDefault="00EB11F9" w:rsidP="00AA740C">
      <w:r w:rsidRPr="00E25F59">
        <w:t xml:space="preserve">There may be information or outcomes produced through the evaluation that are sensitive or confidential. This may include material produced from consumer and business research, surveys, interviews, and other commercially and legally sensitive information. While this information may not be suitable for inclusion in a publicly-facing document, it may be documented as an appendix to the report and shared through a limited distribution to relevant stakeholders. </w:t>
      </w:r>
    </w:p>
    <w:sectPr w:rsidR="00EB11F9" w:rsidRPr="00AA740C" w:rsidSect="00EB11F9">
      <w:footerReference w:type="default" r:id="rId12"/>
      <w:headerReference w:type="first" r:id="rId13"/>
      <w:footerReference w:type="first" r:id="rId14"/>
      <w:pgSz w:w="11906" w:h="16838"/>
      <w:pgMar w:top="1276" w:right="1440" w:bottom="1440" w:left="1440" w:header="851"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131FF" w14:textId="77777777" w:rsidR="00EB11F9" w:rsidRDefault="00EB11F9" w:rsidP="00B251DB">
      <w:pPr>
        <w:spacing w:after="0" w:line="240" w:lineRule="auto"/>
      </w:pPr>
      <w:r>
        <w:separator/>
      </w:r>
    </w:p>
  </w:endnote>
  <w:endnote w:type="continuationSeparator" w:id="0">
    <w:p w14:paraId="6E25DE64" w14:textId="77777777" w:rsidR="00EB11F9" w:rsidRDefault="00EB11F9" w:rsidP="00B2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6885E" w14:textId="77777777" w:rsidR="00EB11F9" w:rsidRPr="00EB11F9" w:rsidRDefault="00EB11F9" w:rsidP="00EB11F9">
    <w:pPr>
      <w:pStyle w:val="Header"/>
      <w:rPr>
        <w:b/>
        <w:color w:val="C00000"/>
      </w:rPr>
    </w:pPr>
    <w:r>
      <w:rPr>
        <w:sz w:val="20"/>
      </w:rPr>
      <w:t xml:space="preserve">Evaluation of </w:t>
    </w:r>
    <w:r w:rsidRPr="0004355E">
      <w:rPr>
        <w:sz w:val="20"/>
      </w:rPr>
      <w:t>Country of Origin Labelling (</w:t>
    </w:r>
    <w:proofErr w:type="spellStart"/>
    <w:r w:rsidRPr="0004355E">
      <w:rPr>
        <w:sz w:val="20"/>
      </w:rPr>
      <w:t>CoOL</w:t>
    </w:r>
    <w:proofErr w:type="spellEnd"/>
    <w:r w:rsidRPr="0004355E">
      <w:rPr>
        <w:sz w:val="20"/>
      </w:rPr>
      <w:t xml:space="preserve">) </w:t>
    </w:r>
    <w:r>
      <w:rPr>
        <w:sz w:val="20"/>
      </w:rPr>
      <w:t>for Food</w:t>
    </w:r>
    <w:r>
      <w:rPr>
        <w:sz w:val="20"/>
      </w:rPr>
      <w:tab/>
      <w:t>July 2020</w:t>
    </w:r>
  </w:p>
  <w:p w14:paraId="2BDA4ABA" w14:textId="77777777" w:rsidR="00EA7496" w:rsidRPr="00E17117" w:rsidRDefault="00EB11F9" w:rsidP="00E17117">
    <w:pPr>
      <w:pStyle w:val="Footer"/>
      <w:rPr>
        <w:noProof/>
      </w:rPr>
    </w:pPr>
    <w:r w:rsidRPr="0004355E">
      <w:rPr>
        <w:sz w:val="20"/>
      </w:rPr>
      <w:t>Terms of Reference</w:t>
    </w:r>
    <w:r w:rsidR="00BD0F8A">
      <w:tab/>
    </w:r>
    <w:sdt>
      <w:sdtPr>
        <w:id w:val="-1026176566"/>
        <w:docPartObj>
          <w:docPartGallery w:val="Page Numbers (Bottom of Page)"/>
          <w:docPartUnique/>
        </w:docPartObj>
      </w:sdtPr>
      <w:sdtEndPr>
        <w:rPr>
          <w:noProof/>
        </w:rPr>
      </w:sdtEndPr>
      <w:sdtContent>
        <w:r>
          <w:tab/>
        </w:r>
        <w:r w:rsidR="00BD0F8A">
          <w:fldChar w:fldCharType="begin"/>
        </w:r>
        <w:r w:rsidR="00BD0F8A">
          <w:instrText xml:space="preserve"> PAGE   \* MERGEFORMAT </w:instrText>
        </w:r>
        <w:r w:rsidR="00BD0F8A">
          <w:fldChar w:fldCharType="separate"/>
        </w:r>
        <w:r w:rsidR="00FB45ED">
          <w:rPr>
            <w:noProof/>
          </w:rPr>
          <w:t>6</w:t>
        </w:r>
        <w:r w:rsidR="00BD0F8A">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806EF" w14:textId="77777777" w:rsidR="00225C7D" w:rsidRPr="00225C7D" w:rsidRDefault="00225C7D" w:rsidP="00225C7D">
    <w:pPr>
      <w:pStyle w:val="Header"/>
      <w:jc w:val="center"/>
      <w:rPr>
        <w:b/>
        <w:color w:val="FF0000"/>
        <w:sz w:val="28"/>
        <w:szCs w:val="28"/>
      </w:rPr>
    </w:pPr>
    <w:r>
      <w:rPr>
        <w:sz w:val="20"/>
      </w:rPr>
      <w:t xml:space="preserve">Evaluation of </w:t>
    </w:r>
    <w:r w:rsidRPr="0004355E">
      <w:rPr>
        <w:sz w:val="20"/>
      </w:rPr>
      <w:t>Country of Origin Labelling (</w:t>
    </w:r>
    <w:proofErr w:type="spellStart"/>
    <w:r w:rsidRPr="0004355E">
      <w:rPr>
        <w:sz w:val="20"/>
      </w:rPr>
      <w:t>CoOL</w:t>
    </w:r>
    <w:proofErr w:type="spellEnd"/>
    <w:r w:rsidRPr="0004355E">
      <w:rPr>
        <w:sz w:val="20"/>
      </w:rPr>
      <w:t xml:space="preserve">) </w:t>
    </w:r>
    <w:r>
      <w:rPr>
        <w:sz w:val="20"/>
      </w:rPr>
      <w:t>for Food</w:t>
    </w:r>
    <w:r>
      <w:rPr>
        <w:sz w:val="20"/>
      </w:rPr>
      <w:tab/>
      <w:t>July 2020</w:t>
    </w:r>
  </w:p>
  <w:p w14:paraId="4B5EF3C9" w14:textId="77777777" w:rsidR="00EA7496" w:rsidRPr="00E17117" w:rsidRDefault="00225C7D" w:rsidP="00E17117">
    <w:pPr>
      <w:pStyle w:val="Footer"/>
      <w:rPr>
        <w:noProof/>
      </w:rPr>
    </w:pPr>
    <w:r w:rsidRPr="0004355E">
      <w:rPr>
        <w:sz w:val="20"/>
      </w:rPr>
      <w:t>Terms of Reference</w:t>
    </w:r>
    <w:r>
      <w:tab/>
    </w:r>
    <w:sdt>
      <w:sdtPr>
        <w:id w:val="-1873303961"/>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FB45ED">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395C2" w14:textId="77777777" w:rsidR="00EB11F9" w:rsidRDefault="00EB11F9" w:rsidP="00B251DB">
      <w:pPr>
        <w:spacing w:after="0" w:line="240" w:lineRule="auto"/>
      </w:pPr>
      <w:r>
        <w:separator/>
      </w:r>
    </w:p>
  </w:footnote>
  <w:footnote w:type="continuationSeparator" w:id="0">
    <w:p w14:paraId="0F9CA7F3" w14:textId="77777777" w:rsidR="00EB11F9" w:rsidRDefault="00EB11F9" w:rsidP="00B25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D34DF" w14:textId="77777777" w:rsidR="00806473" w:rsidRDefault="00EA7496">
    <w:pPr>
      <w:pStyle w:val="Header"/>
    </w:pPr>
    <w:r>
      <w:rPr>
        <w:noProof/>
        <w:lang w:eastAsia="en-AU"/>
      </w:rPr>
      <w:drawing>
        <wp:inline distT="0" distB="0" distL="0" distR="0" wp14:anchorId="1E53B053" wp14:editId="0BA02337">
          <wp:extent cx="2678430" cy="694055"/>
          <wp:effectExtent l="0" t="0" r="7620" b="0"/>
          <wp:docPr id="3" name="Picture 3" descr="Australian Government | Department of Industry, Science, Energy and Resources logo" title="Australian Government | Department of Industry, Science, Energy and Resources"/>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Energy and Resources logo" title="Australian Government | Department of Industry, Science, Energy and Resources"/>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1605" cy="69469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94390E"/>
    <w:multiLevelType w:val="multilevel"/>
    <w:tmpl w:val="A3F68728"/>
    <w:styleLink w:val="OCEBulletedList"/>
    <w:lvl w:ilvl="0">
      <w:start w:val="1"/>
      <w:numFmt w:val="bullet"/>
      <w:pStyle w:val="ListBullet"/>
      <w:lvlText w:val=""/>
      <w:lvlJc w:val="left"/>
      <w:pPr>
        <w:ind w:left="2552" w:hanging="392"/>
      </w:pPr>
      <w:rPr>
        <w:rFonts w:ascii="Wingdings" w:hAnsi="Wingdings" w:hint="default"/>
      </w:rPr>
    </w:lvl>
    <w:lvl w:ilvl="1">
      <w:start w:val="1"/>
      <w:numFmt w:val="bullet"/>
      <w:pStyle w:val="ListBullet2"/>
      <w:lvlText w:val="-"/>
      <w:lvlJc w:val="left"/>
      <w:pPr>
        <w:ind w:left="2835" w:hanging="283"/>
      </w:pPr>
      <w:rPr>
        <w:rFonts w:ascii="Courier New" w:hAnsi="Courier New" w:hint="default"/>
      </w:rPr>
    </w:lvl>
    <w:lvl w:ilvl="2">
      <w:start w:val="1"/>
      <w:numFmt w:val="bullet"/>
      <w:pStyle w:val="ListBullet3"/>
      <w:lvlText w:val=""/>
      <w:lvlJc w:val="left"/>
      <w:pPr>
        <w:ind w:left="3062" w:hanging="227"/>
      </w:pPr>
      <w:rPr>
        <w:rFonts w:ascii="Wingdings" w:hAnsi="Wingdings" w:hint="default"/>
      </w:rPr>
    </w:lvl>
    <w:lvl w:ilvl="3">
      <w:start w:val="1"/>
      <w:numFmt w:val="none"/>
      <w:pStyle w:val="ListBullet4"/>
      <w:suff w:val="nothing"/>
      <w:lvlText w:val=""/>
      <w:lvlJc w:val="left"/>
      <w:pPr>
        <w:ind w:left="3062"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0D02EF4"/>
    <w:multiLevelType w:val="hybridMultilevel"/>
    <w:tmpl w:val="1F401B32"/>
    <w:lvl w:ilvl="0" w:tplc="0C09000F">
      <w:start w:val="1"/>
      <w:numFmt w:val="decimal"/>
      <w:lvlText w:val="%1."/>
      <w:lvlJc w:val="left"/>
      <w:pPr>
        <w:ind w:left="360" w:hanging="360"/>
      </w:pPr>
    </w:lvl>
    <w:lvl w:ilvl="1" w:tplc="0C090019">
      <w:start w:val="1"/>
      <w:numFmt w:val="lowerLetter"/>
      <w:lvlText w:val="%2."/>
      <w:lvlJc w:val="left"/>
      <w:pPr>
        <w:ind w:left="3992" w:hanging="360"/>
      </w:pPr>
    </w:lvl>
    <w:lvl w:ilvl="2" w:tplc="0C09001B" w:tentative="1">
      <w:start w:val="1"/>
      <w:numFmt w:val="lowerRoman"/>
      <w:lvlText w:val="%3."/>
      <w:lvlJc w:val="right"/>
      <w:pPr>
        <w:ind w:left="4712" w:hanging="180"/>
      </w:pPr>
    </w:lvl>
    <w:lvl w:ilvl="3" w:tplc="0C09000F" w:tentative="1">
      <w:start w:val="1"/>
      <w:numFmt w:val="decimal"/>
      <w:lvlText w:val="%4."/>
      <w:lvlJc w:val="left"/>
      <w:pPr>
        <w:ind w:left="5432" w:hanging="360"/>
      </w:pPr>
    </w:lvl>
    <w:lvl w:ilvl="4" w:tplc="0C090019" w:tentative="1">
      <w:start w:val="1"/>
      <w:numFmt w:val="lowerLetter"/>
      <w:lvlText w:val="%5."/>
      <w:lvlJc w:val="left"/>
      <w:pPr>
        <w:ind w:left="6152" w:hanging="360"/>
      </w:pPr>
    </w:lvl>
    <w:lvl w:ilvl="5" w:tplc="0C09001B" w:tentative="1">
      <w:start w:val="1"/>
      <w:numFmt w:val="lowerRoman"/>
      <w:lvlText w:val="%6."/>
      <w:lvlJc w:val="right"/>
      <w:pPr>
        <w:ind w:left="6872" w:hanging="180"/>
      </w:pPr>
    </w:lvl>
    <w:lvl w:ilvl="6" w:tplc="0C09000F" w:tentative="1">
      <w:start w:val="1"/>
      <w:numFmt w:val="decimal"/>
      <w:lvlText w:val="%7."/>
      <w:lvlJc w:val="left"/>
      <w:pPr>
        <w:ind w:left="7592" w:hanging="360"/>
      </w:pPr>
    </w:lvl>
    <w:lvl w:ilvl="7" w:tplc="0C090019" w:tentative="1">
      <w:start w:val="1"/>
      <w:numFmt w:val="lowerLetter"/>
      <w:lvlText w:val="%8."/>
      <w:lvlJc w:val="left"/>
      <w:pPr>
        <w:ind w:left="8312" w:hanging="360"/>
      </w:pPr>
    </w:lvl>
    <w:lvl w:ilvl="8" w:tplc="0C09001B" w:tentative="1">
      <w:start w:val="1"/>
      <w:numFmt w:val="lowerRoman"/>
      <w:lvlText w:val="%9."/>
      <w:lvlJc w:val="right"/>
      <w:pPr>
        <w:ind w:left="9032" w:hanging="180"/>
      </w:pPr>
    </w:lvl>
  </w:abstractNum>
  <w:abstractNum w:abstractNumId="16" w15:restartNumberingAfterBreak="0">
    <w:nsid w:val="76C537B1"/>
    <w:multiLevelType w:val="hybridMultilevel"/>
    <w:tmpl w:val="A37A1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5"/>
  </w:num>
  <w:num w:numId="2">
    <w:abstractNumId w:val="4"/>
  </w:num>
  <w:num w:numId="3">
    <w:abstractNumId w:val="10"/>
  </w:num>
  <w:num w:numId="4">
    <w:abstractNumId w:val="7"/>
  </w:num>
  <w:num w:numId="5">
    <w:abstractNumId w:val="12"/>
  </w:num>
  <w:num w:numId="6">
    <w:abstractNumId w:val="2"/>
  </w:num>
  <w:num w:numId="7">
    <w:abstractNumId w:val="0"/>
  </w:num>
  <w:num w:numId="8">
    <w:abstractNumId w:val="1"/>
  </w:num>
  <w:num w:numId="9">
    <w:abstractNumId w:val="8"/>
  </w:num>
  <w:num w:numId="10">
    <w:abstractNumId w:val="11"/>
  </w:num>
  <w:num w:numId="11">
    <w:abstractNumId w:val="3"/>
  </w:num>
  <w:num w:numId="12">
    <w:abstractNumId w:val="17"/>
  </w:num>
  <w:num w:numId="13">
    <w:abstractNumId w:val="13"/>
  </w:num>
  <w:num w:numId="14">
    <w:abstractNumId w:val="6"/>
  </w:num>
  <w:num w:numId="15">
    <w:abstractNumId w:val="14"/>
  </w:num>
  <w:num w:numId="16">
    <w:abstractNumId w:val="9"/>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removePersonalInformation/>
  <w:removeDateAndTime/>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F9"/>
    <w:rsid w:val="00032995"/>
    <w:rsid w:val="00046C20"/>
    <w:rsid w:val="000552B3"/>
    <w:rsid w:val="0007067B"/>
    <w:rsid w:val="00081D07"/>
    <w:rsid w:val="000C3494"/>
    <w:rsid w:val="000E599A"/>
    <w:rsid w:val="000F2564"/>
    <w:rsid w:val="00153C15"/>
    <w:rsid w:val="001D216A"/>
    <w:rsid w:val="001D2E82"/>
    <w:rsid w:val="001F5AB1"/>
    <w:rsid w:val="00205DF3"/>
    <w:rsid w:val="0022083E"/>
    <w:rsid w:val="00222D0B"/>
    <w:rsid w:val="00225C7D"/>
    <w:rsid w:val="00241D3D"/>
    <w:rsid w:val="0025218F"/>
    <w:rsid w:val="00254DA8"/>
    <w:rsid w:val="00272B04"/>
    <w:rsid w:val="002B5C69"/>
    <w:rsid w:val="002D230B"/>
    <w:rsid w:val="003D38ED"/>
    <w:rsid w:val="004632E9"/>
    <w:rsid w:val="0046678C"/>
    <w:rsid w:val="004B4254"/>
    <w:rsid w:val="004C05FA"/>
    <w:rsid w:val="004D3B0F"/>
    <w:rsid w:val="00516B0E"/>
    <w:rsid w:val="00584B74"/>
    <w:rsid w:val="005D614B"/>
    <w:rsid w:val="00603DDF"/>
    <w:rsid w:val="00607188"/>
    <w:rsid w:val="00671D1D"/>
    <w:rsid w:val="0068286F"/>
    <w:rsid w:val="006C4C9C"/>
    <w:rsid w:val="006C5288"/>
    <w:rsid w:val="006D2221"/>
    <w:rsid w:val="006E1E6A"/>
    <w:rsid w:val="006E4001"/>
    <w:rsid w:val="006F58A5"/>
    <w:rsid w:val="00711349"/>
    <w:rsid w:val="00723C5D"/>
    <w:rsid w:val="00731011"/>
    <w:rsid w:val="007833EE"/>
    <w:rsid w:val="007B553F"/>
    <w:rsid w:val="007B5AED"/>
    <w:rsid w:val="00806473"/>
    <w:rsid w:val="0083762A"/>
    <w:rsid w:val="00853A7A"/>
    <w:rsid w:val="00892B6E"/>
    <w:rsid w:val="009A549D"/>
    <w:rsid w:val="00A52F3D"/>
    <w:rsid w:val="00A5772C"/>
    <w:rsid w:val="00A731BB"/>
    <w:rsid w:val="00AA740C"/>
    <w:rsid w:val="00B24586"/>
    <w:rsid w:val="00B251DB"/>
    <w:rsid w:val="00B26C25"/>
    <w:rsid w:val="00B35C0C"/>
    <w:rsid w:val="00B37BE9"/>
    <w:rsid w:val="00BD0F8A"/>
    <w:rsid w:val="00BE6EEA"/>
    <w:rsid w:val="00CA3DD0"/>
    <w:rsid w:val="00D220CF"/>
    <w:rsid w:val="00D26D45"/>
    <w:rsid w:val="00D841E9"/>
    <w:rsid w:val="00DF4B83"/>
    <w:rsid w:val="00E01D7D"/>
    <w:rsid w:val="00E17117"/>
    <w:rsid w:val="00E3027E"/>
    <w:rsid w:val="00EA7496"/>
    <w:rsid w:val="00EB11F9"/>
    <w:rsid w:val="00EC00A2"/>
    <w:rsid w:val="00F22BB9"/>
    <w:rsid w:val="00F95EC5"/>
    <w:rsid w:val="00FB45ED"/>
    <w:rsid w:val="00FD17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856DC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EC00A2"/>
    <w:pPr>
      <w:pBdr>
        <w:bottom w:val="single" w:sz="8" w:space="1" w:color="005677" w:themeColor="text2"/>
      </w:pBdr>
      <w:spacing w:before="360" w:after="120" w:line="240" w:lineRule="auto"/>
      <w:contextualSpacing/>
      <w:outlineLvl w:val="0"/>
    </w:pPr>
    <w:rPr>
      <w:rFonts w:asciiTheme="majorHAnsi" w:eastAsiaTheme="majorEastAsia" w:hAnsiTheme="majorHAnsi" w:cstheme="majorBidi"/>
      <w:color w:val="005677"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05677" w:themeColor="text2"/>
      <w:spacing w:val="-10"/>
      <w:kern w:val="28"/>
      <w:sz w:val="56"/>
      <w:szCs w:val="72"/>
    </w:rPr>
  </w:style>
  <w:style w:type="paragraph" w:styleId="Subtitle">
    <w:name w:val="Subtitle"/>
    <w:basedOn w:val="Normal"/>
    <w:next w:val="Normal"/>
    <w:link w:val="SubtitleChar"/>
    <w:uiPriority w:val="11"/>
    <w:qFormat/>
    <w:rsid w:val="00EC00A2"/>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EC00A2"/>
    <w:rPr>
      <w:rFonts w:eastAsiaTheme="minorEastAsia"/>
      <w:color w:val="58595B" w:themeColor="background2"/>
      <w:sz w:val="32"/>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List Paragraph1,Recommendation,List Paragraph11,L,bullet point list,Bulletr List Paragraph,FooterText,List Paragraph2,List Paragraph21,Listeafsnit1,NFP GP Bulleted List,Paragraphe de liste1,Parágrafo da Lista1,Párrafo de lista1,b,numbered"/>
    <w:basedOn w:val="Normal"/>
    <w:link w:val="ListParagraphChar"/>
    <w:uiPriority w:val="34"/>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numbering" w:customStyle="1" w:styleId="OCEBulletedList">
    <w:name w:val="OCE Bulleted List"/>
    <w:uiPriority w:val="99"/>
    <w:rsid w:val="00EB11F9"/>
    <w:pPr>
      <w:numPr>
        <w:numId w:val="16"/>
      </w:numPr>
    </w:pPr>
  </w:style>
  <w:style w:type="paragraph" w:styleId="ListBullet">
    <w:name w:val="List Bullet"/>
    <w:basedOn w:val="BodyText"/>
    <w:uiPriority w:val="4"/>
    <w:qFormat/>
    <w:rsid w:val="00EB11F9"/>
    <w:pPr>
      <w:numPr>
        <w:numId w:val="16"/>
      </w:numPr>
      <w:spacing w:line="270" w:lineRule="exact"/>
      <w:ind w:left="720" w:hanging="360"/>
      <w:jc w:val="both"/>
    </w:pPr>
    <w:rPr>
      <w:color w:val="595A5B"/>
      <w:sz w:val="20"/>
    </w:rPr>
  </w:style>
  <w:style w:type="paragraph" w:styleId="ListBullet2">
    <w:name w:val="List Bullet 2"/>
    <w:basedOn w:val="ListBullet"/>
    <w:uiPriority w:val="4"/>
    <w:qFormat/>
    <w:rsid w:val="00EB11F9"/>
    <w:pPr>
      <w:numPr>
        <w:ilvl w:val="1"/>
      </w:numPr>
      <w:ind w:left="1440" w:hanging="360"/>
    </w:pPr>
  </w:style>
  <w:style w:type="paragraph" w:styleId="ListBullet4">
    <w:name w:val="List Bullet 4"/>
    <w:basedOn w:val="ListBullet3"/>
    <w:rsid w:val="00EB11F9"/>
    <w:pPr>
      <w:numPr>
        <w:ilvl w:val="3"/>
      </w:numPr>
      <w:ind w:left="2880" w:hanging="360"/>
    </w:pPr>
  </w:style>
  <w:style w:type="paragraph" w:styleId="ListBullet3">
    <w:name w:val="List Bullet 3"/>
    <w:basedOn w:val="ListBullet2"/>
    <w:uiPriority w:val="4"/>
    <w:qFormat/>
    <w:rsid w:val="00EB11F9"/>
    <w:pPr>
      <w:numPr>
        <w:ilvl w:val="2"/>
      </w:numPr>
      <w:ind w:left="2160" w:hanging="360"/>
    </w:pPr>
  </w:style>
  <w:style w:type="paragraph" w:styleId="BodyText">
    <w:name w:val="Body Text"/>
    <w:basedOn w:val="Normal"/>
    <w:link w:val="BodyTextChar"/>
    <w:uiPriority w:val="99"/>
    <w:semiHidden/>
    <w:unhideWhenUsed/>
    <w:rsid w:val="00EB11F9"/>
    <w:pPr>
      <w:spacing w:after="120"/>
    </w:pPr>
  </w:style>
  <w:style w:type="character" w:customStyle="1" w:styleId="BodyTextChar">
    <w:name w:val="Body Text Char"/>
    <w:basedOn w:val="DefaultParagraphFont"/>
    <w:link w:val="BodyText"/>
    <w:uiPriority w:val="99"/>
    <w:semiHidden/>
    <w:rsid w:val="00EB11F9"/>
  </w:style>
  <w:style w:type="character" w:customStyle="1" w:styleId="ListParagraphChar">
    <w:name w:val="List Paragraph Char"/>
    <w:aliases w:val="List Paragraph1 Char,Recommendation Char,List Paragraph11 Char,L Char,bullet point list Char,Bulletr List Paragraph Char,FooterText Char,List Paragraph2 Char,List Paragraph21 Char,Listeafsnit1 Char,NFP GP Bulleted List Char,b Char"/>
    <w:basedOn w:val="DefaultParagraphFont"/>
    <w:link w:val="ListParagraph"/>
    <w:uiPriority w:val="34"/>
    <w:rsid w:val="00EB11F9"/>
  </w:style>
  <w:style w:type="table" w:customStyle="1" w:styleId="TableGrid1">
    <w:name w:val="Table Grid1"/>
    <w:basedOn w:val="TableNormal"/>
    <w:rsid w:val="00EB11F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45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398936377">
      <w:bodyDiv w:val="1"/>
      <w:marLeft w:val="0"/>
      <w:marRight w:val="0"/>
      <w:marTop w:val="0"/>
      <w:marBottom w:val="0"/>
      <w:divBdr>
        <w:top w:val="none" w:sz="0" w:space="0" w:color="auto"/>
        <w:left w:val="none" w:sz="0" w:space="0" w:color="auto"/>
        <w:bottom w:val="none" w:sz="0" w:space="0" w:color="auto"/>
        <w:right w:val="none" w:sz="0" w:space="0" w:color="auto"/>
      </w:divBdr>
    </w:div>
    <w:div w:id="19355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DISER%20Document.dotx" TargetMode="External"/></Relationship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70E319C3659614D9D3A7838998B6215" ma:contentTypeVersion="32" ma:contentTypeDescription="Create a new document." ma:contentTypeScope="" ma:versionID="ed666112b72219c6a28921c1b20c6d0a">
  <xsd:schema xmlns:xsd="http://www.w3.org/2001/XMLSchema" xmlns:xs="http://www.w3.org/2001/XMLSchema" xmlns:p="http://schemas.microsoft.com/office/2006/metadata/properties" xmlns:ns1="http://schemas.microsoft.com/sharepoint/v3" xmlns:ns2="cdd73b99-b600-467d-8b05-41f33179978b" xmlns:ns3="http://schemas.microsoft.com/sharepoint/v4" targetNamespace="http://schemas.microsoft.com/office/2006/metadata/properties" ma:root="true" ma:fieldsID="689579c48c1b64a7f5cb19a2b3b569f4" ns1:_="" ns2:_="" ns3:_="">
    <xsd:import namespace="http://schemas.microsoft.com/sharepoint/v3"/>
    <xsd:import namespace="cdd73b99-b600-467d-8b05-41f33179978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p898e9e56b7a40628655d7751ee56360" minOccurs="0"/>
                <xsd:element ref="ns2:ob0a415d961d4345a6f140d686bf0e13" minOccurs="0"/>
                <xsd:element ref="ns2:g7cee4c3f49f4a8d957fe196d6fcc5b5" minOccurs="0"/>
                <xsd:element ref="ns2:ff10252cae0c48628d4e46b8f2b8e2eb" minOccurs="0"/>
                <xsd:element ref="ns2:k04be0aca0e44206a6d1057fb760c8f9" minOccurs="0"/>
                <xsd:element ref="ns2:b35e8420b37c40999219b5188df41f0a" minOccurs="0"/>
                <xsd:element ref="ns2:i72d49f021e64a418c6ba91d320c0f81" minOccurs="0"/>
                <xsd:element ref="ns2:DocHub_PDMSNumber" minOccurs="0"/>
                <xsd:element ref="ns2:a98a7a81caf24f4691bb5111bdc7ce8e"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73b99-b600-467d-8b05-41f3317997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948bbdd-aea7-4500-bcec-9d90307b1195}" ma:internalName="TaxCatchAll" ma:showField="CatchAllData" ma:web="cdd73b99-b600-467d-8b05-41f33179978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6d3d30-c4fe-4058-8dc3-a710e5fd0727"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p898e9e56b7a40628655d7751ee56360" ma:index="24" nillable="true" ma:taxonomy="true" ma:internalName="p898e9e56b7a40628655d7751ee56360" ma:taxonomyFieldName="DocHub_PortfolioPerspective" ma:displayName="Portfolio Perspective" ma:default="" ma:fieldId="{9898e9e5-6b7a-4062-8655-d7751ee56360}" ma:taxonomyMulti="true" ma:sspId="fb0313f7-9433-48c0-866e-9e0bbee59a50" ma:termSetId="56888205-f02f-4878-8332-d883e44f1d5d" ma:anchorId="00000000-0000-0000-0000-000000000000" ma:open="true" ma:isKeyword="false">
      <xsd:complexType>
        <xsd:sequence>
          <xsd:element ref="pc:Terms" minOccurs="0" maxOccurs="1"/>
        </xsd:sequence>
      </xsd:complexType>
    </xsd:element>
    <xsd:element name="ob0a415d961d4345a6f140d686bf0e13" ma:index="26" nillable="true" ma:taxonomy="true" ma:internalName="ob0a415d961d4345a6f140d686bf0e13" ma:taxonomyFieldName="DocHub_DepartmentalDivisions" ma:displayName="Departmental Divisions" ma:indexed="true" ma:fieldId="{8b0a415d-961d-4345-a6f1-40d686bf0e13}" ma:sspId="fb0313f7-9433-48c0-866e-9e0bbee59a50" ma:termSetId="98748e69-3989-4ecc-b86e-0913e7910482" ma:anchorId="00000000-0000-0000-0000-000000000000" ma:open="false" ma:isKeyword="false">
      <xsd:complexType>
        <xsd:sequence>
          <xsd:element ref="pc:Terms" minOccurs="0" maxOccurs="1"/>
        </xsd:sequence>
      </xsd:complexType>
    </xsd:element>
    <xsd:element name="g7cee4c3f49f4a8d957fe196d6fcc5b5" ma:index="28"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ff10252cae0c48628d4e46b8f2b8e2eb" ma:index="30" nillable="true" ma:taxonomy="true" ma:internalName="ff10252cae0c48628d4e46b8f2b8e2eb" ma:taxonomyFieldName="DocHub_Policy" ma:displayName="Policy" ma:indexed="true" ma:default="" ma:fieldId="{ff10252c-ae0c-4862-8d4e-46b8f2b8e2eb}" ma:sspId="fb0313f7-9433-48c0-866e-9e0bbee59a50" ma:termSetId="16d81eea-d265-4e7a-b88b-b2f1e70d5d9c" ma:anchorId="00000000-0000-0000-0000-000000000000" ma:open="false" ma:isKeyword="false">
      <xsd:complexType>
        <xsd:sequence>
          <xsd:element ref="pc:Terms" minOccurs="0" maxOccurs="1"/>
        </xsd:sequence>
      </xsd:complexType>
    </xsd:element>
    <xsd:element name="k04be0aca0e44206a6d1057fb760c8f9" ma:index="32" nillable="true" ma:taxonomy="true" ma:internalName="k04be0aca0e44206a6d1057fb760c8f9" ma:taxonomyFieldName="DocHub_PolicyScope" ma:displayName="Policy Scope" ma:indexed="true" ma:default="" ma:fieldId="{404be0ac-a0e4-4206-a6d1-057fb760c8f9}" ma:sspId="fb0313f7-9433-48c0-866e-9e0bbee59a50" ma:termSetId="fa2379d6-0d0d-4dcd-bb9d-a2184aa9771d" ma:anchorId="00000000-0000-0000-0000-000000000000" ma:open="false" ma:isKeyword="false">
      <xsd:complexType>
        <xsd:sequence>
          <xsd:element ref="pc:Terms" minOccurs="0" maxOccurs="1"/>
        </xsd:sequence>
      </xsd:complexType>
    </xsd:element>
    <xsd:element name="b35e8420b37c40999219b5188df41f0a" ma:index="34" nillable="true" ma:taxonomy="true" ma:internalName="b35e8420b37c40999219b5188df41f0a" ma:taxonomyFieldName="DocHub_Theme" ma:displayName="Theme" ma:indexed="true" ma:default="" ma:fieldId="{b35e8420-b37c-4099-9219-b5188df41f0a}" ma:sspId="fb0313f7-9433-48c0-866e-9e0bbee59a50" ma:termSetId="c8a5f374-b12e-4c4a-80d8-51f175841fa2" ma:anchorId="00000000-0000-0000-0000-000000000000" ma:open="false" ma:isKeyword="false">
      <xsd:complexType>
        <xsd:sequence>
          <xsd:element ref="pc:Terms" minOccurs="0" maxOccurs="1"/>
        </xsd:sequence>
      </xsd:complexType>
    </xsd:element>
    <xsd:element name="i72d49f021e64a418c6ba91d320c0f81" ma:index="36" nillable="true" ma:taxonomy="true" ma:internalName="i72d49f021e64a418c6ba91d320c0f81" ma:taxonomyFieldName="DocHub_EconomicTheme" ma:displayName="Economic Theme" ma:indexed="true" ma:default="" ma:fieldId="{272d49f0-21e6-4a41-8c6b-a91d320c0f81}" ma:sspId="fb0313f7-9433-48c0-866e-9e0bbee59a50" ma:termSetId="00a30843-6c47-45d8-b7eb-9fb4be73f751" ma:anchorId="00000000-0000-0000-0000-000000000000" ma:open="false" ma:isKeyword="false">
      <xsd:complexType>
        <xsd:sequence>
          <xsd:element ref="pc:Terms" minOccurs="0" maxOccurs="1"/>
        </xsd:sequence>
      </xsd:complexType>
    </xsd:element>
    <xsd:element name="DocHub_PDMSNumber" ma:index="37" nillable="true" ma:displayName="PDMS Number" ma:description="Parliamentary Document Management System (PDMS) Reference Number" ma:indexed="true" ma:internalName="DocHub_PDMSNumber">
      <xsd:simpleType>
        <xsd:restriction base="dms:Text"/>
      </xsd:simpleType>
    </xsd:element>
    <xsd:element name="a98a7a81caf24f4691bb5111bdc7ce8e" ma:index="40" nillable="true" ma:taxonomy="true" ma:internalName="a98a7a81caf24f4691bb5111bdc7ce8e" ma:taxonomyFieldName="DocHub_CoOLSubCategory" ma:displayName="CoOL SubCategory" ma:default="" ma:fieldId="{a98a7a81-caf2-4f46-91bb-5111bdc7ce8e}" ma:sspId="fb0313f7-9433-48c0-866e-9e0bbee59a50" ma:termSetId="907f6529-a48f-41f9-9a3e-635c47ee0d38"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72d49f021e64a418c6ba91d320c0f81 xmlns="cdd73b99-b600-467d-8b05-41f33179978b">
      <Terms xmlns="http://schemas.microsoft.com/office/infopath/2007/PartnerControls"/>
    </i72d49f021e64a418c6ba91d320c0f81>
    <a98a7a81caf24f4691bb5111bdc7ce8e xmlns="cdd73b99-b600-467d-8b05-41f33179978b">
      <Terms xmlns="http://schemas.microsoft.com/office/infopath/2007/PartnerControls"/>
    </a98a7a81caf24f4691bb5111bdc7ce8e>
    <ob0a415d961d4345a6f140d686bf0e13 xmlns="cdd73b99-b600-467d-8b05-41f33179978b">
      <Terms xmlns="http://schemas.microsoft.com/office/infopath/2007/PartnerControls"/>
    </ob0a415d961d4345a6f140d686bf0e13>
    <pe2555c81638466f9eb614edb9ecde52 xmlns="cdd73b99-b600-467d-8b05-41f33179978b">
      <Terms xmlns="http://schemas.microsoft.com/office/infopath/2007/PartnerControls">
        <TermInfo xmlns="http://schemas.microsoft.com/office/infopath/2007/PartnerControls">
          <TermName>Terms of Reference</TermName>
          <TermId>eeba3d5f-ad86-4535-a09e-e86907e8c434</TermId>
        </TermInfo>
      </Terms>
    </pe2555c81638466f9eb614edb9ecde52>
    <n99e4c9942c6404eb103464a00e6097b xmlns="cdd73b99-b600-467d-8b05-41f33179978b">
      <Terms xmlns="http://schemas.microsoft.com/office/infopath/2007/PartnerControls"/>
    </n99e4c9942c6404eb103464a00e6097b>
    <IconOverlay xmlns="http://schemas.microsoft.com/sharepoint/v4" xsi:nil="true"/>
    <adb9bed2e36e4a93af574aeb444da63e xmlns="cdd73b99-b600-467d-8b05-41f33179978b">
      <Terms xmlns="http://schemas.microsoft.com/office/infopath/2007/PartnerControls"/>
    </adb9bed2e36e4a93af574aeb444da63e>
    <TaxCatchAll xmlns="cdd73b99-b600-467d-8b05-41f33179978b">
      <Value>23</Value>
      <Value>30</Value>
    </TaxCatchAll>
    <aa25a1a23adf4c92a153145de6afe324 xmlns="cdd73b99-b600-467d-8b05-41f33179978b">
      <Terms xmlns="http://schemas.microsoft.com/office/infopath/2007/PartnerControls">
        <TermInfo xmlns="http://schemas.microsoft.com/office/infopath/2007/PartnerControls">
          <TermName>UNCLASSIFIED</TermName>
          <TermId>6106d03b-a1a0-4e30-9d91-d5e9fb4314f9</TermId>
        </TermInfo>
      </Terms>
    </aa25a1a23adf4c92a153145de6afe324>
    <p898e9e56b7a40628655d7751ee56360 xmlns="cdd73b99-b600-467d-8b05-41f33179978b">
      <Terms xmlns="http://schemas.microsoft.com/office/infopath/2007/PartnerControls"/>
    </p898e9e56b7a40628655d7751ee56360>
    <DocHub_PDMSNumber xmlns="cdd73b99-b600-467d-8b05-41f33179978b" xsi:nil="true"/>
    <ff10252cae0c48628d4e46b8f2b8e2eb xmlns="cdd73b99-b600-467d-8b05-41f33179978b">
      <Terms xmlns="http://schemas.microsoft.com/office/infopath/2007/PartnerControls"/>
    </ff10252cae0c48628d4e46b8f2b8e2eb>
    <b35e8420b37c40999219b5188df41f0a xmlns="cdd73b99-b600-467d-8b05-41f33179978b">
      <Terms xmlns="http://schemas.microsoft.com/office/infopath/2007/PartnerControls"/>
    </b35e8420b37c40999219b5188df41f0a>
    <g7bcb40ba23249a78edca7d43a67c1c9 xmlns="cdd73b99-b600-467d-8b05-41f33179978b">
      <Terms xmlns="http://schemas.microsoft.com/office/infopath/2007/PartnerControls"/>
    </g7bcb40ba23249a78edca7d43a67c1c9>
    <Comments xmlns="http://schemas.microsoft.com/sharepoint/v3" xsi:nil="true"/>
    <g7cee4c3f49f4a8d957fe196d6fcc5b5 xmlns="cdd73b99-b600-467d-8b05-41f33179978b">
      <Terms xmlns="http://schemas.microsoft.com/office/infopath/2007/PartnerControls"/>
    </g7cee4c3f49f4a8d957fe196d6fcc5b5>
    <k04be0aca0e44206a6d1057fb760c8f9 xmlns="cdd73b99-b600-467d-8b05-41f33179978b">
      <Terms xmlns="http://schemas.microsoft.com/office/infopath/2007/PartnerControls"/>
    </k04be0aca0e44206a6d1057fb760c8f9>
    <_dlc_DocId xmlns="cdd73b99-b600-467d-8b05-41f33179978b">2P6QMCT253UY-1908455618-1266</_dlc_DocId>
    <_dlc_DocIdUrl xmlns="cdd73b99-b600-467d-8b05-41f33179978b">
      <Url>https://dochub/div/portfoliostrategicpolicy/businessfunctions/policydevelopimplement/coolpolicy/_layouts/15/DocIdRedir.aspx?ID=2P6QMCT253UY-1908455618-1266</Url>
      <Description>2P6QMCT253UY-1908455618-1266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83D90-F258-4D6F-9AF0-46E961BE29D6}">
  <ds:schemaRefs>
    <ds:schemaRef ds:uri="http://schemas.microsoft.com/sharepoint/v3/contenttype/forms"/>
  </ds:schemaRefs>
</ds:datastoreItem>
</file>

<file path=customXml/itemProps2.xml><?xml version="1.0" encoding="utf-8"?>
<ds:datastoreItem xmlns:ds="http://schemas.openxmlformats.org/officeDocument/2006/customXml" ds:itemID="{55F82AE0-DC6A-4C55-96FF-5E61FB2B2342}">
  <ds:schemaRefs>
    <ds:schemaRef ds:uri="http://schemas.microsoft.com/sharepoint/events"/>
  </ds:schemaRefs>
</ds:datastoreItem>
</file>

<file path=customXml/itemProps3.xml><?xml version="1.0" encoding="utf-8"?>
<ds:datastoreItem xmlns:ds="http://schemas.openxmlformats.org/officeDocument/2006/customXml" ds:itemID="{07D5B0CE-497A-402B-AFCD-9BD6F3DF4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d73b99-b600-467d-8b05-41f3317997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48B8F-C952-4048-A9EE-D30F0FC60432}">
  <ds:schemaRefs>
    <ds:schemaRef ds:uri="http://schemas.microsoft.com/sharepoint/v3"/>
    <ds:schemaRef ds:uri="cdd73b99-b600-467d-8b05-41f3317997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6889D974-08D6-485D-8381-6C5E6EDF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DISER Document.dotx</Template>
  <TotalTime>0</TotalTime>
  <Pages>6</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Evaluation of Country of Origin Labelling for Food Terms of Reference</vt:lpstr>
    </vt:vector>
  </TitlesOfParts>
  <Manager/>
  <Company/>
  <LinksUpToDate>false</LinksUpToDate>
  <CharactersWithSpaces>13418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Country of Origin Labelling for Food Terms of Reference</dc:title>
  <dc:subject/>
  <dc:creator/>
  <cp:keywords/>
  <dc:description/>
  <cp:lastModifiedBy/>
  <cp:revision>1</cp:revision>
  <dcterms:created xsi:type="dcterms:W3CDTF">2020-07-30T02:36:00Z</dcterms:created>
  <dcterms:modified xsi:type="dcterms:W3CDTF">2020-07-30T23:58:00Z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0x010100C70E319C3659614D9D3A7838998B6215</vt:lpwstr>
  </property>
  <property fmtid="{D5CDD505-2E9C-101B-9397-08002B2CF9AE}" pid="3" name="DocHub_PortfolioPerspective">
    <vt:lpwstr/>
  </property>
  <property fmtid="{D5CDD505-2E9C-101B-9397-08002B2CF9AE}" pid="4" name="DocHub_Year">
    <vt:lpwstr/>
  </property>
  <property fmtid="{D5CDD505-2E9C-101B-9397-08002B2CF9AE}" pid="5" name="DocHub_WorkActivity">
    <vt:lpwstr/>
  </property>
  <property fmtid="{D5CDD505-2E9C-101B-9397-08002B2CF9AE}" pid="6" name="DocHub_CoOLSubCategory">
    <vt:lpwstr/>
  </property>
  <property fmtid="{D5CDD505-2E9C-101B-9397-08002B2CF9AE}" pid="7" name="DocHub_DocumentType">
    <vt:lpwstr>23;#Terms of Reference|eeba3d5f-ad86-4535-a09e-e86907e8c434</vt:lpwstr>
  </property>
  <property fmtid="{D5CDD505-2E9C-101B-9397-08002B2CF9AE}" pid="8" name="DocHub_DepartmentalDivisions">
    <vt:lpwstr/>
  </property>
  <property fmtid="{D5CDD505-2E9C-101B-9397-08002B2CF9AE}" pid="9" name="DocHub_SecurityClassification">
    <vt:lpwstr>30;#UNCLASSIFIED|6106d03b-a1a0-4e30-9d91-d5e9fb4314f9</vt:lpwstr>
  </property>
  <property fmtid="{D5CDD505-2E9C-101B-9397-08002B2CF9AE}" pid="10" name="DocHub_GovernmentEntities">
    <vt:lpwstr/>
  </property>
  <property fmtid="{D5CDD505-2E9C-101B-9397-08002B2CF9AE}" pid="11" name="DocHub_EconomicTheme">
    <vt:lpwstr/>
  </property>
  <property fmtid="{D5CDD505-2E9C-101B-9397-08002B2CF9AE}" pid="12" name="DocHub_Policy">
    <vt:lpwstr/>
  </property>
  <property fmtid="{D5CDD505-2E9C-101B-9397-08002B2CF9AE}" pid="13" name="DocHub_Keywords">
    <vt:lpwstr/>
  </property>
  <property fmtid="{D5CDD505-2E9C-101B-9397-08002B2CF9AE}" pid="14" name="DocHub_Theme">
    <vt:lpwstr/>
  </property>
  <property fmtid="{D5CDD505-2E9C-101B-9397-08002B2CF9AE}" pid="15" name="DocHub_PolicyScope">
    <vt:lpwstr/>
  </property>
  <property fmtid="{D5CDD505-2E9C-101B-9397-08002B2CF9AE}" pid="16" name="_dlc_DocIdItemGuid">
    <vt:lpwstr>f84b3b1b-237b-4033-b698-25ecbe99d926</vt:lpwstr>
  </property>
</Properties>
</file>