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F2FD18C" w14:textId="77777777" w:rsidR="00FB1822" w:rsidRPr="00CA1E2C" w:rsidRDefault="00FB1822" w:rsidP="00454F9F">
      <w:pPr>
        <w:pStyle w:val="CoverTitle"/>
      </w:pPr>
      <w:r w:rsidRPr="00CA1E2C">
        <w:fldChar w:fldCharType="begin"/>
      </w:r>
      <w:r w:rsidRPr="00CA1E2C">
        <w:instrText xml:space="preserve"> DOCPROPERTY  CoverHeading </w:instrText>
      </w:r>
      <w:r w:rsidRPr="00CA1E2C">
        <w:fldChar w:fldCharType="separate"/>
      </w:r>
      <w:bookmarkStart w:id="0" w:name="_Toc535397567"/>
      <w:r w:rsidR="00A74A78" w:rsidRPr="00CA1E2C">
        <w:t>State of Space</w:t>
      </w:r>
      <w:bookmarkEnd w:id="0"/>
      <w:r w:rsidRPr="00CA1E2C">
        <w:fldChar w:fldCharType="end"/>
      </w:r>
      <w:r w:rsidR="00CD05D7" w:rsidRPr="00CA1E2C">
        <w:t xml:space="preserve"> Report</w:t>
      </w:r>
      <w:r w:rsidRPr="00CA1E2C">
        <w:t xml:space="preserve"> </w:t>
      </w:r>
    </w:p>
    <w:p w14:paraId="279D8E61" w14:textId="77777777" w:rsidR="00454F9F" w:rsidRPr="00CA1E2C" w:rsidRDefault="00CD05D7" w:rsidP="00454F9F">
      <w:pPr>
        <w:pStyle w:val="CoverSubtitle"/>
      </w:pPr>
      <w:r w:rsidRPr="00CA1E2C">
        <w:t>A report by the</w:t>
      </w:r>
      <w:r w:rsidR="00454F9F" w:rsidRPr="00CA1E2C">
        <w:t xml:space="preserve"> Australian Government Space Coordination Committee</w:t>
      </w:r>
      <w:r w:rsidRPr="00CA1E2C">
        <w:t xml:space="preserve"> </w:t>
      </w:r>
    </w:p>
    <w:p w14:paraId="5E87FC41" w14:textId="77777777" w:rsidR="00454F9F" w:rsidRPr="00CA1E2C" w:rsidRDefault="00454F9F" w:rsidP="00454F9F">
      <w:pPr>
        <w:pStyle w:val="CoverSubtitle"/>
      </w:pPr>
    </w:p>
    <w:p w14:paraId="63E46BA8" w14:textId="77777777" w:rsidR="00CD05D7" w:rsidRPr="00CA1E2C" w:rsidRDefault="00CD05D7" w:rsidP="00454F9F">
      <w:pPr>
        <w:pStyle w:val="CoverSubtitle"/>
      </w:pPr>
      <w:r w:rsidRPr="00CA1E2C">
        <w:t>1 January 2018 – 30 June 2019</w:t>
      </w:r>
    </w:p>
    <w:p w14:paraId="4D02EFE9" w14:textId="77777777" w:rsidR="00FB1822" w:rsidRPr="00CA1E2C" w:rsidRDefault="00FB1822" w:rsidP="00454F9F">
      <w:pPr>
        <w:pStyle w:val="CoverURL"/>
      </w:pPr>
      <w:r w:rsidRPr="00CA1E2C">
        <w:t>space.gov.au</w:t>
      </w:r>
    </w:p>
    <w:p w14:paraId="04BA9C5C" w14:textId="77777777" w:rsidR="00FB2099" w:rsidRPr="00CA1E2C" w:rsidRDefault="00FB2099" w:rsidP="00454F9F">
      <w:r w:rsidRPr="00CA1E2C">
        <w:br w:type="page"/>
      </w:r>
    </w:p>
    <w:p w14:paraId="060D1951" w14:textId="2E50ECE9" w:rsidR="00CD05D7" w:rsidRPr="00CA1E2C" w:rsidRDefault="00CD05D7" w:rsidP="00454F9F">
      <w:pPr>
        <w:rPr>
          <w:sz w:val="20"/>
        </w:rPr>
      </w:pPr>
      <w:r w:rsidRPr="00CA1E2C">
        <w:rPr>
          <w:color w:val="000000"/>
          <w:sz w:val="20"/>
        </w:rPr>
        <w:lastRenderedPageBreak/>
        <w:t xml:space="preserve">© </w:t>
      </w:r>
      <w:r w:rsidR="00454F9F" w:rsidRPr="00CA1E2C">
        <w:rPr>
          <w:sz w:val="20"/>
        </w:rPr>
        <w:t>Commonwealth of Australia 2020</w:t>
      </w:r>
    </w:p>
    <w:p w14:paraId="3F90EC20" w14:textId="77777777" w:rsidR="00CD05D7" w:rsidRPr="00CA1E2C" w:rsidRDefault="00CD05D7" w:rsidP="00454F9F">
      <w:pPr>
        <w:rPr>
          <w:sz w:val="20"/>
        </w:rPr>
      </w:pPr>
      <w:r w:rsidRPr="00CA1E2C">
        <w:rPr>
          <w:sz w:val="20"/>
        </w:rPr>
        <w:t>Ownership of intellectual property rights</w:t>
      </w:r>
    </w:p>
    <w:p w14:paraId="35BF6E34" w14:textId="77777777" w:rsidR="00CD05D7" w:rsidRPr="00CA1E2C" w:rsidRDefault="00CD05D7" w:rsidP="00454F9F">
      <w:pPr>
        <w:rPr>
          <w:sz w:val="20"/>
        </w:rPr>
      </w:pPr>
      <w:r w:rsidRPr="00CA1E2C">
        <w:rPr>
          <w:sz w:val="20"/>
        </w:rPr>
        <w:t>Unless otherwise noted, copyright (and any other intellectual property rights, if any) in this publication is owned by the Commonwealth of Australia.</w:t>
      </w:r>
    </w:p>
    <w:p w14:paraId="0BF38DEC" w14:textId="77777777" w:rsidR="00CD05D7" w:rsidRPr="00CA1E2C" w:rsidRDefault="00CD05D7" w:rsidP="00454F9F">
      <w:pPr>
        <w:rPr>
          <w:sz w:val="20"/>
        </w:rPr>
      </w:pPr>
      <w:r w:rsidRPr="00CA1E2C">
        <w:rPr>
          <w:rFonts w:ascii="Times New Roman" w:hAnsi="Times New Roman"/>
          <w:noProof/>
          <w:sz w:val="20"/>
        </w:rPr>
        <w:drawing>
          <wp:inline distT="0" distB="0" distL="0" distR="0" wp14:anchorId="0E339261" wp14:editId="4E0A4F77">
            <wp:extent cx="1057275" cy="371475"/>
            <wp:effectExtent l="0" t="0" r="9525" b="9525"/>
            <wp:docPr id="12" name="Picture 12" title="Creative Commons lic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57275" cy="371475"/>
                    </a:xfrm>
                    <a:prstGeom prst="rect">
                      <a:avLst/>
                    </a:prstGeom>
                    <a:noFill/>
                    <a:ln>
                      <a:noFill/>
                    </a:ln>
                  </pic:spPr>
                </pic:pic>
              </a:graphicData>
            </a:graphic>
          </wp:inline>
        </w:drawing>
      </w:r>
      <w:r w:rsidRPr="00CA1E2C">
        <w:rPr>
          <w:rFonts w:ascii="Times New Roman" w:hAnsi="Times New Roman"/>
          <w:sz w:val="20"/>
        </w:rPr>
        <w:t xml:space="preserve"> </w:t>
      </w:r>
      <w:proofErr w:type="gramStart"/>
      <w:r w:rsidRPr="00D70433">
        <w:rPr>
          <w:b/>
          <w:sz w:val="20"/>
        </w:rPr>
        <w:t>Creative Commons</w:t>
      </w:r>
      <w:proofErr w:type="gramEnd"/>
      <w:r w:rsidRPr="00D70433">
        <w:rPr>
          <w:b/>
          <w:sz w:val="20"/>
        </w:rPr>
        <w:t xml:space="preserve"> licence</w:t>
      </w:r>
    </w:p>
    <w:p w14:paraId="0E6C9C22" w14:textId="77777777" w:rsidR="00F840BC" w:rsidRPr="00F840BC" w:rsidRDefault="00F840BC" w:rsidP="00F840BC">
      <w:pPr>
        <w:rPr>
          <w:sz w:val="20"/>
        </w:rPr>
      </w:pPr>
      <w:r w:rsidRPr="00F840BC">
        <w:rPr>
          <w:sz w:val="20"/>
        </w:rPr>
        <w:t>The material in this publication is licensed under a Creative Commons Attribution - 4.0 International licence, with the exception of:</w:t>
      </w:r>
    </w:p>
    <w:p w14:paraId="77AE7235" w14:textId="77777777" w:rsidR="00F840BC" w:rsidRPr="00F840BC" w:rsidRDefault="00F840BC" w:rsidP="006D7C88">
      <w:pPr>
        <w:spacing w:after="0"/>
        <w:rPr>
          <w:sz w:val="20"/>
        </w:rPr>
      </w:pPr>
      <w:r w:rsidRPr="00F840BC">
        <w:rPr>
          <w:sz w:val="20"/>
        </w:rPr>
        <w:t xml:space="preserve">• </w:t>
      </w:r>
      <w:proofErr w:type="gramStart"/>
      <w:r w:rsidRPr="00F840BC">
        <w:rPr>
          <w:sz w:val="20"/>
        </w:rPr>
        <w:t>the</w:t>
      </w:r>
      <w:proofErr w:type="gramEnd"/>
      <w:r w:rsidRPr="00F840BC">
        <w:rPr>
          <w:sz w:val="20"/>
        </w:rPr>
        <w:t xml:space="preserve"> Commonwealth Coat of Arms</w:t>
      </w:r>
    </w:p>
    <w:p w14:paraId="7A605263" w14:textId="77777777" w:rsidR="00F840BC" w:rsidRPr="00F840BC" w:rsidRDefault="00F840BC" w:rsidP="006D7C88">
      <w:pPr>
        <w:spacing w:after="0"/>
        <w:rPr>
          <w:sz w:val="20"/>
        </w:rPr>
      </w:pPr>
      <w:r w:rsidRPr="00F840BC">
        <w:rPr>
          <w:sz w:val="20"/>
        </w:rPr>
        <w:t xml:space="preserve">• </w:t>
      </w:r>
      <w:proofErr w:type="gramStart"/>
      <w:r w:rsidRPr="00F840BC">
        <w:rPr>
          <w:sz w:val="20"/>
        </w:rPr>
        <w:t>any</w:t>
      </w:r>
      <w:proofErr w:type="gramEnd"/>
      <w:r w:rsidRPr="00F840BC">
        <w:rPr>
          <w:sz w:val="20"/>
        </w:rPr>
        <w:t xml:space="preserve"> third party material</w:t>
      </w:r>
    </w:p>
    <w:p w14:paraId="5C4598F9" w14:textId="77777777" w:rsidR="00F840BC" w:rsidRPr="00F840BC" w:rsidRDefault="00F840BC" w:rsidP="006D7C88">
      <w:pPr>
        <w:spacing w:after="0"/>
        <w:rPr>
          <w:sz w:val="20"/>
        </w:rPr>
      </w:pPr>
      <w:r w:rsidRPr="00F840BC">
        <w:rPr>
          <w:sz w:val="20"/>
        </w:rPr>
        <w:t xml:space="preserve">• </w:t>
      </w:r>
      <w:proofErr w:type="gramStart"/>
      <w:r w:rsidRPr="00F840BC">
        <w:rPr>
          <w:sz w:val="20"/>
        </w:rPr>
        <w:t>any</w:t>
      </w:r>
      <w:proofErr w:type="gramEnd"/>
      <w:r w:rsidRPr="00F840BC">
        <w:rPr>
          <w:sz w:val="20"/>
        </w:rPr>
        <w:t xml:space="preserve"> trademarks, and</w:t>
      </w:r>
    </w:p>
    <w:p w14:paraId="750A6FC8" w14:textId="77777777" w:rsidR="00F840BC" w:rsidRPr="00F840BC" w:rsidRDefault="00F840BC" w:rsidP="006D7C88">
      <w:pPr>
        <w:spacing w:after="0"/>
        <w:rPr>
          <w:sz w:val="20"/>
        </w:rPr>
      </w:pPr>
      <w:r w:rsidRPr="00F840BC">
        <w:rPr>
          <w:sz w:val="20"/>
        </w:rPr>
        <w:t xml:space="preserve">• </w:t>
      </w:r>
      <w:proofErr w:type="gramStart"/>
      <w:r w:rsidRPr="00F840BC">
        <w:rPr>
          <w:sz w:val="20"/>
        </w:rPr>
        <w:t>any</w:t>
      </w:r>
      <w:proofErr w:type="gramEnd"/>
      <w:r w:rsidRPr="00F840BC">
        <w:rPr>
          <w:sz w:val="20"/>
        </w:rPr>
        <w:t xml:space="preserve"> images or photographs.</w:t>
      </w:r>
    </w:p>
    <w:p w14:paraId="060EC4BA" w14:textId="77777777" w:rsidR="006D7C88" w:rsidRDefault="006D7C88" w:rsidP="00A87DDE">
      <w:pPr>
        <w:spacing w:after="0"/>
        <w:rPr>
          <w:sz w:val="20"/>
        </w:rPr>
      </w:pPr>
    </w:p>
    <w:p w14:paraId="2C6F3801" w14:textId="77777777" w:rsidR="00F840BC" w:rsidRPr="00F840BC" w:rsidRDefault="00F840BC" w:rsidP="00A87DDE">
      <w:pPr>
        <w:spacing w:after="0"/>
        <w:rPr>
          <w:sz w:val="20"/>
        </w:rPr>
      </w:pPr>
      <w:r w:rsidRPr="00F840BC">
        <w:rPr>
          <w:sz w:val="20"/>
        </w:rPr>
        <w:t>The terms under which the Coat of Arms can be used are detailed on the following website:</w:t>
      </w:r>
    </w:p>
    <w:p w14:paraId="50E8985C" w14:textId="3948E0EE" w:rsidR="00D70433" w:rsidRPr="00F840BC" w:rsidRDefault="00F840BC" w:rsidP="00F840BC">
      <w:pPr>
        <w:rPr>
          <w:sz w:val="20"/>
        </w:rPr>
      </w:pPr>
      <w:r w:rsidRPr="00F840BC">
        <w:rPr>
          <w:sz w:val="20"/>
        </w:rPr>
        <w:t>pmc.gov.au/government/its-honour</w:t>
      </w:r>
    </w:p>
    <w:p w14:paraId="707F64F1" w14:textId="055DA462" w:rsidR="00F840BC" w:rsidRPr="00F840BC" w:rsidRDefault="00F840BC" w:rsidP="00F840BC">
      <w:pPr>
        <w:rPr>
          <w:sz w:val="20"/>
        </w:rPr>
      </w:pPr>
      <w:r w:rsidRPr="00F840BC">
        <w:rPr>
          <w:sz w:val="20"/>
        </w:rPr>
        <w:t>Wherever a third party holds copyright in this material, the copyright remains with that party. Their pe</w:t>
      </w:r>
      <w:r>
        <w:rPr>
          <w:sz w:val="20"/>
        </w:rPr>
        <w:t xml:space="preserve">rmission may be required to use </w:t>
      </w:r>
      <w:r w:rsidRPr="00F840BC">
        <w:rPr>
          <w:sz w:val="20"/>
        </w:rPr>
        <w:t>the material. Please contact them directly.</w:t>
      </w:r>
    </w:p>
    <w:p w14:paraId="625070ED" w14:textId="77777777" w:rsidR="00F840BC" w:rsidRPr="00F840BC" w:rsidRDefault="00F840BC" w:rsidP="00A87DDE">
      <w:pPr>
        <w:spacing w:after="0"/>
        <w:rPr>
          <w:sz w:val="20"/>
        </w:rPr>
      </w:pPr>
      <w:r w:rsidRPr="00F840BC">
        <w:rPr>
          <w:sz w:val="20"/>
        </w:rPr>
        <w:t>More information on this CC BY license is set out at the Creative Commons Website. Enquiries about this publication can be sent to:</w:t>
      </w:r>
    </w:p>
    <w:p w14:paraId="43092C35" w14:textId="77777777" w:rsidR="00F840BC" w:rsidRPr="00F840BC" w:rsidRDefault="00F840BC" w:rsidP="00A87DDE">
      <w:pPr>
        <w:spacing w:after="0"/>
        <w:rPr>
          <w:sz w:val="20"/>
        </w:rPr>
      </w:pPr>
      <w:r w:rsidRPr="00F840BC">
        <w:rPr>
          <w:sz w:val="20"/>
        </w:rPr>
        <w:t>Australian Space Agency</w:t>
      </w:r>
    </w:p>
    <w:p w14:paraId="51F1CD9C" w14:textId="77777777" w:rsidR="00F840BC" w:rsidRPr="00F840BC" w:rsidRDefault="00F840BC" w:rsidP="00A87DDE">
      <w:pPr>
        <w:spacing w:after="0"/>
        <w:rPr>
          <w:sz w:val="20"/>
        </w:rPr>
      </w:pPr>
      <w:r w:rsidRPr="00F840BC">
        <w:rPr>
          <w:sz w:val="20"/>
        </w:rPr>
        <w:t>GPO Box 2013</w:t>
      </w:r>
    </w:p>
    <w:p w14:paraId="4469CA24" w14:textId="77777777" w:rsidR="00F840BC" w:rsidRPr="00F840BC" w:rsidRDefault="00F840BC" w:rsidP="00A87DDE">
      <w:pPr>
        <w:spacing w:after="0"/>
        <w:rPr>
          <w:sz w:val="20"/>
        </w:rPr>
      </w:pPr>
      <w:r w:rsidRPr="00F840BC">
        <w:rPr>
          <w:sz w:val="20"/>
        </w:rPr>
        <w:t>CANBERRA ACT 2601</w:t>
      </w:r>
    </w:p>
    <w:p w14:paraId="297C9335" w14:textId="77777777" w:rsidR="00F840BC" w:rsidRPr="00F840BC" w:rsidRDefault="00F840BC" w:rsidP="00A87DDE">
      <w:pPr>
        <w:spacing w:after="0"/>
        <w:rPr>
          <w:sz w:val="20"/>
        </w:rPr>
      </w:pPr>
      <w:r w:rsidRPr="00F840BC">
        <w:rPr>
          <w:sz w:val="20"/>
        </w:rPr>
        <w:t>Phone: +61 2 6276 1166</w:t>
      </w:r>
    </w:p>
    <w:p w14:paraId="2B2820B6" w14:textId="77777777" w:rsidR="00F840BC" w:rsidRPr="00F840BC" w:rsidRDefault="00F840BC" w:rsidP="00A87DDE">
      <w:pPr>
        <w:spacing w:after="0"/>
        <w:rPr>
          <w:sz w:val="20"/>
        </w:rPr>
      </w:pPr>
      <w:r w:rsidRPr="00F840BC">
        <w:rPr>
          <w:sz w:val="20"/>
        </w:rPr>
        <w:t>Email: enquiries@space.gov.au</w:t>
      </w:r>
    </w:p>
    <w:p w14:paraId="3D7BB265" w14:textId="77777777" w:rsidR="00F840BC" w:rsidRPr="00F840BC" w:rsidRDefault="00F840BC" w:rsidP="00D771D0">
      <w:pPr>
        <w:rPr>
          <w:sz w:val="20"/>
        </w:rPr>
      </w:pPr>
      <w:r w:rsidRPr="00F840BC">
        <w:rPr>
          <w:sz w:val="20"/>
        </w:rPr>
        <w:t>space.gov.au</w:t>
      </w:r>
    </w:p>
    <w:p w14:paraId="4D77A315" w14:textId="77777777" w:rsidR="00F840BC" w:rsidRPr="006D7C88" w:rsidRDefault="00F840BC" w:rsidP="00A87DDE">
      <w:pPr>
        <w:spacing w:after="0"/>
        <w:rPr>
          <w:i/>
          <w:sz w:val="20"/>
        </w:rPr>
      </w:pPr>
      <w:r w:rsidRPr="006D7C88">
        <w:rPr>
          <w:i/>
          <w:sz w:val="20"/>
        </w:rPr>
        <w:t>Attribution</w:t>
      </w:r>
    </w:p>
    <w:p w14:paraId="01B84708" w14:textId="77777777" w:rsidR="00F840BC" w:rsidRPr="00F840BC" w:rsidRDefault="00F840BC" w:rsidP="00A87DDE">
      <w:pPr>
        <w:spacing w:after="0"/>
        <w:rPr>
          <w:sz w:val="20"/>
        </w:rPr>
      </w:pPr>
      <w:r w:rsidRPr="00F840BC">
        <w:rPr>
          <w:sz w:val="20"/>
        </w:rPr>
        <w:t>Use of all or part of this publication must include the following attribution:</w:t>
      </w:r>
    </w:p>
    <w:p w14:paraId="1589AEB0" w14:textId="4E55DA1B" w:rsidR="00F840BC" w:rsidRPr="00F840BC" w:rsidRDefault="00F840BC" w:rsidP="00F840BC">
      <w:pPr>
        <w:rPr>
          <w:sz w:val="20"/>
        </w:rPr>
      </w:pPr>
      <w:r w:rsidRPr="00F840BC">
        <w:rPr>
          <w:sz w:val="20"/>
        </w:rPr>
        <w:t>© Commonwealth of Australia 20</w:t>
      </w:r>
      <w:r>
        <w:rPr>
          <w:sz w:val="20"/>
        </w:rPr>
        <w:t>20</w:t>
      </w:r>
      <w:r w:rsidRPr="00F840BC">
        <w:rPr>
          <w:sz w:val="20"/>
        </w:rPr>
        <w:t>, published by the Australian Space Agency.</w:t>
      </w:r>
    </w:p>
    <w:p w14:paraId="5DFF52EE" w14:textId="77777777" w:rsidR="00F840BC" w:rsidRPr="006D7C88" w:rsidRDefault="00F840BC" w:rsidP="00A87DDE">
      <w:pPr>
        <w:spacing w:after="0"/>
        <w:rPr>
          <w:i/>
          <w:sz w:val="20"/>
        </w:rPr>
      </w:pPr>
      <w:r w:rsidRPr="006D7C88">
        <w:rPr>
          <w:i/>
          <w:sz w:val="20"/>
        </w:rPr>
        <w:t>Citation</w:t>
      </w:r>
    </w:p>
    <w:p w14:paraId="271D5FC3" w14:textId="4408B835" w:rsidR="00F840BC" w:rsidRPr="00F840BC" w:rsidRDefault="00F840BC" w:rsidP="00A87DDE">
      <w:pPr>
        <w:spacing w:after="0"/>
        <w:rPr>
          <w:sz w:val="20"/>
        </w:rPr>
      </w:pPr>
      <w:r w:rsidRPr="00F840BC">
        <w:rPr>
          <w:sz w:val="20"/>
        </w:rPr>
        <w:t>Australian Space Agency (20</w:t>
      </w:r>
      <w:r>
        <w:rPr>
          <w:sz w:val="20"/>
        </w:rPr>
        <w:t>20</w:t>
      </w:r>
      <w:r w:rsidRPr="00F840BC">
        <w:rPr>
          <w:sz w:val="20"/>
        </w:rPr>
        <w:t xml:space="preserve">), </w:t>
      </w:r>
      <w:r>
        <w:rPr>
          <w:sz w:val="20"/>
        </w:rPr>
        <w:t>State of Space Report</w:t>
      </w:r>
      <w:r w:rsidRPr="00F840BC">
        <w:rPr>
          <w:sz w:val="20"/>
        </w:rPr>
        <w:t>,</w:t>
      </w:r>
    </w:p>
    <w:p w14:paraId="2CEF7383" w14:textId="77777777" w:rsidR="00F840BC" w:rsidRPr="00F840BC" w:rsidRDefault="00F840BC" w:rsidP="00F840BC">
      <w:pPr>
        <w:rPr>
          <w:sz w:val="20"/>
        </w:rPr>
      </w:pPr>
      <w:r w:rsidRPr="00F840BC">
        <w:rPr>
          <w:sz w:val="20"/>
        </w:rPr>
        <w:t>Canberra: Commonwealth of Australia, April; available at: https://www.space.gov.au</w:t>
      </w:r>
    </w:p>
    <w:p w14:paraId="792F40DA" w14:textId="77777777" w:rsidR="00F840BC" w:rsidRPr="006D7C88" w:rsidRDefault="00F840BC" w:rsidP="00A87DDE">
      <w:pPr>
        <w:spacing w:after="0"/>
        <w:rPr>
          <w:i/>
          <w:sz w:val="20"/>
        </w:rPr>
      </w:pPr>
      <w:r w:rsidRPr="006D7C88">
        <w:rPr>
          <w:i/>
          <w:sz w:val="20"/>
        </w:rPr>
        <w:t>Disclaimer</w:t>
      </w:r>
    </w:p>
    <w:p w14:paraId="24D7EA5A" w14:textId="77777777" w:rsidR="00F840BC" w:rsidRPr="00F840BC" w:rsidRDefault="00F840BC" w:rsidP="00A87DDE">
      <w:pPr>
        <w:spacing w:after="0"/>
        <w:rPr>
          <w:sz w:val="20"/>
        </w:rPr>
      </w:pPr>
      <w:r w:rsidRPr="00F840BC">
        <w:rPr>
          <w:sz w:val="20"/>
        </w:rPr>
        <w:t>By accessing or using this publication, you agree to the following:</w:t>
      </w:r>
    </w:p>
    <w:p w14:paraId="3AEBE34A" w14:textId="677E7047" w:rsidR="00D771D0" w:rsidRDefault="00F840BC" w:rsidP="00F840BC">
      <w:pPr>
        <w:rPr>
          <w:sz w:val="20"/>
        </w:rPr>
      </w:pPr>
      <w:r w:rsidRPr="00F840BC">
        <w:rPr>
          <w:sz w:val="20"/>
        </w:rPr>
        <w:t xml:space="preserve">This publication is not legal or professional advice. Persons rely upon this publication entirely </w:t>
      </w:r>
      <w:r w:rsidR="00D771D0">
        <w:rPr>
          <w:sz w:val="20"/>
        </w:rPr>
        <w:t xml:space="preserve">at their own risk and must take </w:t>
      </w:r>
      <w:r w:rsidRPr="00F840BC">
        <w:rPr>
          <w:sz w:val="20"/>
        </w:rPr>
        <w:t>responsibility for assessing the relevance and accuracy of the information in relation to their particular circumstances.</w:t>
      </w:r>
    </w:p>
    <w:p w14:paraId="324E381E" w14:textId="77777777" w:rsidR="00FB2099" w:rsidRPr="00CA1E2C" w:rsidRDefault="00FB2099" w:rsidP="00454F9F"/>
    <w:p w14:paraId="51D02F7B" w14:textId="77777777" w:rsidR="00A5333D" w:rsidRPr="00CA1E2C" w:rsidRDefault="00A5333D" w:rsidP="00454F9F">
      <w:pPr>
        <w:pStyle w:val="TOCHeading"/>
      </w:pPr>
    </w:p>
    <w:p w14:paraId="0603C57B" w14:textId="77777777" w:rsidR="00CD05D7" w:rsidRPr="00CA1E2C" w:rsidRDefault="00CD05D7" w:rsidP="00454F9F">
      <w:pPr>
        <w:pStyle w:val="TOCHeading"/>
      </w:pPr>
      <w:r w:rsidRPr="00CA1E2C">
        <w:t>Acknowledgements</w:t>
      </w:r>
    </w:p>
    <w:p w14:paraId="0FC109FC" w14:textId="284AF878" w:rsidR="00CD05D7" w:rsidRPr="00CA1E2C" w:rsidRDefault="00CD05D7" w:rsidP="00454F9F">
      <w:r w:rsidRPr="00CA1E2C">
        <w:t>The Australian Space Agency would like to thank the following Commonwealth agencies and organisations for their contribution in producing this report</w:t>
      </w:r>
      <w:r w:rsidR="00454F9F" w:rsidRPr="00CA1E2C">
        <w:t xml:space="preserve"> (</w:t>
      </w:r>
      <w:r w:rsidR="002E093B" w:rsidRPr="00CA1E2C">
        <w:t>for historical accuracy, the organisation name used</w:t>
      </w:r>
      <w:r w:rsidR="00B95AB8">
        <w:t xml:space="preserve"> is</w:t>
      </w:r>
      <w:r w:rsidR="002E093B" w:rsidRPr="00CA1E2C">
        <w:t xml:space="preserve"> </w:t>
      </w:r>
      <w:r w:rsidR="0085716A">
        <w:t>that</w:t>
      </w:r>
      <w:r w:rsidR="002E093B" w:rsidRPr="00CA1E2C">
        <w:t xml:space="preserve"> </w:t>
      </w:r>
      <w:r w:rsidR="00B95AB8">
        <w:t xml:space="preserve">which </w:t>
      </w:r>
      <w:r w:rsidR="002E093B" w:rsidRPr="00CA1E2C">
        <w:t>covered the majority of the period of reporting</w:t>
      </w:r>
      <w:r w:rsidR="00454F9F" w:rsidRPr="00CA1E2C">
        <w:t>)</w:t>
      </w:r>
      <w:r w:rsidRPr="00CA1E2C">
        <w:t>:</w:t>
      </w:r>
    </w:p>
    <w:p w14:paraId="7BA8C78F" w14:textId="501E0F37" w:rsidR="00CD05D7" w:rsidRPr="00CA1E2C" w:rsidRDefault="00CD05D7" w:rsidP="00454F9F">
      <w:pPr>
        <w:pStyle w:val="ListBullet"/>
      </w:pPr>
      <w:r w:rsidRPr="00CA1E2C">
        <w:t>Attorney-General’s Department</w:t>
      </w:r>
    </w:p>
    <w:p w14:paraId="14FCAFF0" w14:textId="2C3A99BB" w:rsidR="00CD05D7" w:rsidRPr="00CA1E2C" w:rsidRDefault="00CD05D7" w:rsidP="00454F9F">
      <w:pPr>
        <w:pStyle w:val="ListBullet"/>
      </w:pPr>
      <w:r w:rsidRPr="00CA1E2C">
        <w:t>Australian Communications and Media Authority</w:t>
      </w:r>
    </w:p>
    <w:p w14:paraId="3CF64EBF" w14:textId="2BAE93EB" w:rsidR="00CD05D7" w:rsidRPr="00CA1E2C" w:rsidRDefault="00CD05D7" w:rsidP="00454F9F">
      <w:pPr>
        <w:pStyle w:val="ListBullet"/>
      </w:pPr>
      <w:r w:rsidRPr="00CA1E2C">
        <w:t>Australian Trade and Investment Commission</w:t>
      </w:r>
      <w:r w:rsidR="00B0317E">
        <w:t xml:space="preserve"> (Austrade)</w:t>
      </w:r>
    </w:p>
    <w:p w14:paraId="5037D6F1" w14:textId="2DB2E600" w:rsidR="00CD05D7" w:rsidRPr="00CA1E2C" w:rsidRDefault="00CD05D7" w:rsidP="00454F9F">
      <w:pPr>
        <w:pStyle w:val="ListBullet"/>
      </w:pPr>
      <w:r w:rsidRPr="00CA1E2C">
        <w:t>Bureau of Meteorology</w:t>
      </w:r>
    </w:p>
    <w:p w14:paraId="093DC86D" w14:textId="794CB955" w:rsidR="00CD05D7" w:rsidRPr="00CA1E2C" w:rsidRDefault="00CD05D7" w:rsidP="00454F9F">
      <w:pPr>
        <w:pStyle w:val="ListBullet"/>
      </w:pPr>
      <w:r w:rsidRPr="00CA1E2C">
        <w:t>Commonwealth Scientific and Industrial Research Organisation</w:t>
      </w:r>
      <w:r w:rsidR="00B95AB8">
        <w:t xml:space="preserve"> (CSIRO)</w:t>
      </w:r>
    </w:p>
    <w:p w14:paraId="223EAE27" w14:textId="0E86DDCA" w:rsidR="00CD05D7" w:rsidRPr="00CA1E2C" w:rsidRDefault="00CD05D7" w:rsidP="00454F9F">
      <w:pPr>
        <w:pStyle w:val="ListBullet"/>
      </w:pPr>
      <w:r w:rsidRPr="00CA1E2C">
        <w:t>Department of Communications and the Arts</w:t>
      </w:r>
      <w:r w:rsidR="00000E6B">
        <w:rPr>
          <w:rStyle w:val="FootnoteReference"/>
        </w:rPr>
        <w:footnoteReference w:id="2"/>
      </w:r>
    </w:p>
    <w:p w14:paraId="59ABDC9E" w14:textId="41BAB3CD" w:rsidR="00CD05D7" w:rsidRPr="00CA1E2C" w:rsidRDefault="00CD05D7" w:rsidP="00454F9F">
      <w:pPr>
        <w:pStyle w:val="ListBullet"/>
      </w:pPr>
      <w:r w:rsidRPr="00CA1E2C">
        <w:t>Department of Defence</w:t>
      </w:r>
    </w:p>
    <w:p w14:paraId="313B7A0F" w14:textId="3290957E" w:rsidR="00CD05D7" w:rsidRPr="00CA1E2C" w:rsidRDefault="00CD05D7" w:rsidP="00454F9F">
      <w:pPr>
        <w:pStyle w:val="ListBullet"/>
      </w:pPr>
      <w:r w:rsidRPr="00CA1E2C">
        <w:t>Department of Foreign Affairs and Trade</w:t>
      </w:r>
    </w:p>
    <w:p w14:paraId="51C65110" w14:textId="6FC3CA54" w:rsidR="00CD05D7" w:rsidRPr="00CA1E2C" w:rsidRDefault="00CD05D7" w:rsidP="00454F9F">
      <w:pPr>
        <w:pStyle w:val="ListBullet"/>
      </w:pPr>
      <w:r w:rsidRPr="00CA1E2C">
        <w:t>Department of Home Affairs</w:t>
      </w:r>
    </w:p>
    <w:p w14:paraId="4020B4D2" w14:textId="4535E443" w:rsidR="00CD05D7" w:rsidRPr="00CA1E2C" w:rsidRDefault="00CD05D7" w:rsidP="00454F9F">
      <w:pPr>
        <w:pStyle w:val="ListBullet"/>
      </w:pPr>
      <w:r w:rsidRPr="00CA1E2C">
        <w:t>Department of Industry, Innovation and Science</w:t>
      </w:r>
    </w:p>
    <w:p w14:paraId="41C5A63E" w14:textId="47BC771B" w:rsidR="00CD05D7" w:rsidRPr="00CA1E2C" w:rsidRDefault="008D2727" w:rsidP="00454F9F">
      <w:pPr>
        <w:pStyle w:val="ListBullet"/>
        <w:rPr>
          <w:color w:val="auto"/>
        </w:rPr>
      </w:pPr>
      <w:r w:rsidRPr="00CA1E2C">
        <w:rPr>
          <w:color w:val="auto"/>
        </w:rPr>
        <w:t>Department of Infrastructure, Transport, Cities and Regional Development</w:t>
      </w:r>
    </w:p>
    <w:p w14:paraId="56877D13" w14:textId="160B80F0" w:rsidR="00CD05D7" w:rsidRPr="00CA1E2C" w:rsidRDefault="00CD05D7" w:rsidP="00454F9F">
      <w:pPr>
        <w:pStyle w:val="ListBullet"/>
      </w:pPr>
      <w:r w:rsidRPr="00CA1E2C">
        <w:t>Geoscience Australia</w:t>
      </w:r>
    </w:p>
    <w:p w14:paraId="26D638F7" w14:textId="389BABB7" w:rsidR="0040245C" w:rsidRDefault="0040245C">
      <w:pPr>
        <w:spacing w:after="0"/>
      </w:pPr>
      <w:r>
        <w:br w:type="page"/>
      </w:r>
    </w:p>
    <w:p w14:paraId="083E45EA" w14:textId="77777777" w:rsidR="007B41CF" w:rsidRPr="00CA1E2C" w:rsidRDefault="007B41CF" w:rsidP="00454F9F">
      <w:pPr>
        <w:pStyle w:val="TOCHeading"/>
      </w:pPr>
      <w:bookmarkStart w:id="1" w:name="StartTOC"/>
      <w:bookmarkEnd w:id="1"/>
      <w:r w:rsidRPr="00CA1E2C">
        <w:lastRenderedPageBreak/>
        <w:t>Contents</w:t>
      </w:r>
    </w:p>
    <w:p w14:paraId="1ABCA3A4" w14:textId="77777777" w:rsidR="00277112" w:rsidRDefault="007B41CF">
      <w:pPr>
        <w:pStyle w:val="TOC2"/>
        <w:rPr>
          <w:rFonts w:asciiTheme="minorHAnsi" w:eastAsiaTheme="minorEastAsia" w:hAnsiTheme="minorHAnsi" w:cstheme="minorBidi"/>
          <w:noProof/>
          <w:color w:val="auto"/>
          <w:sz w:val="22"/>
          <w:szCs w:val="22"/>
        </w:rPr>
      </w:pPr>
      <w:r w:rsidRPr="00CA1E2C">
        <w:rPr>
          <w:b/>
        </w:rPr>
        <w:fldChar w:fldCharType="begin"/>
      </w:r>
      <w:r w:rsidRPr="00CA1E2C">
        <w:instrText xml:space="preserve"> TOC \t "Heading 1,2,Divider Title,1" </w:instrText>
      </w:r>
      <w:r w:rsidRPr="00CA1E2C">
        <w:rPr>
          <w:b/>
        </w:rPr>
        <w:fldChar w:fldCharType="separate"/>
      </w:r>
      <w:r w:rsidR="00277112">
        <w:rPr>
          <w:noProof/>
        </w:rPr>
        <w:t>Foreword</w:t>
      </w:r>
      <w:r w:rsidR="00277112">
        <w:rPr>
          <w:noProof/>
        </w:rPr>
        <w:tab/>
      </w:r>
      <w:r w:rsidR="00277112">
        <w:rPr>
          <w:noProof/>
        </w:rPr>
        <w:fldChar w:fldCharType="begin"/>
      </w:r>
      <w:r w:rsidR="00277112">
        <w:rPr>
          <w:noProof/>
        </w:rPr>
        <w:instrText xml:space="preserve"> PAGEREF _Toc40946039 \h </w:instrText>
      </w:r>
      <w:r w:rsidR="00277112">
        <w:rPr>
          <w:noProof/>
        </w:rPr>
      </w:r>
      <w:r w:rsidR="00277112">
        <w:rPr>
          <w:noProof/>
        </w:rPr>
        <w:fldChar w:fldCharType="separate"/>
      </w:r>
      <w:r w:rsidR="00C35904">
        <w:rPr>
          <w:noProof/>
        </w:rPr>
        <w:t>5</w:t>
      </w:r>
      <w:r w:rsidR="00277112">
        <w:rPr>
          <w:noProof/>
        </w:rPr>
        <w:fldChar w:fldCharType="end"/>
      </w:r>
    </w:p>
    <w:p w14:paraId="51DE9787" w14:textId="77777777" w:rsidR="00277112" w:rsidRDefault="00277112">
      <w:pPr>
        <w:pStyle w:val="TOC2"/>
        <w:rPr>
          <w:rFonts w:asciiTheme="minorHAnsi" w:eastAsiaTheme="minorEastAsia" w:hAnsiTheme="minorHAnsi" w:cstheme="minorBidi"/>
          <w:noProof/>
          <w:color w:val="auto"/>
          <w:sz w:val="22"/>
          <w:szCs w:val="22"/>
        </w:rPr>
      </w:pPr>
      <w:r>
        <w:rPr>
          <w:noProof/>
        </w:rPr>
        <w:t>Introduction</w:t>
      </w:r>
      <w:r>
        <w:rPr>
          <w:noProof/>
        </w:rPr>
        <w:tab/>
      </w:r>
      <w:r>
        <w:rPr>
          <w:noProof/>
        </w:rPr>
        <w:fldChar w:fldCharType="begin"/>
      </w:r>
      <w:r>
        <w:rPr>
          <w:noProof/>
        </w:rPr>
        <w:instrText xml:space="preserve"> PAGEREF _Toc40946040 \h </w:instrText>
      </w:r>
      <w:r>
        <w:rPr>
          <w:noProof/>
        </w:rPr>
      </w:r>
      <w:r>
        <w:rPr>
          <w:noProof/>
        </w:rPr>
        <w:fldChar w:fldCharType="separate"/>
      </w:r>
      <w:r w:rsidR="00C35904">
        <w:rPr>
          <w:noProof/>
        </w:rPr>
        <w:t>6</w:t>
      </w:r>
      <w:r>
        <w:rPr>
          <w:noProof/>
        </w:rPr>
        <w:fldChar w:fldCharType="end"/>
      </w:r>
    </w:p>
    <w:p w14:paraId="636804C9" w14:textId="77777777" w:rsidR="00277112" w:rsidRDefault="00277112">
      <w:pPr>
        <w:pStyle w:val="TOC2"/>
        <w:rPr>
          <w:rFonts w:asciiTheme="minorHAnsi" w:eastAsiaTheme="minorEastAsia" w:hAnsiTheme="minorHAnsi" w:cstheme="minorBidi"/>
          <w:noProof/>
          <w:color w:val="auto"/>
          <w:sz w:val="22"/>
          <w:szCs w:val="22"/>
        </w:rPr>
      </w:pPr>
      <w:r>
        <w:rPr>
          <w:noProof/>
        </w:rPr>
        <w:t>Australian Space Agency Establishment</w:t>
      </w:r>
      <w:r>
        <w:rPr>
          <w:noProof/>
        </w:rPr>
        <w:tab/>
      </w:r>
      <w:r>
        <w:rPr>
          <w:noProof/>
        </w:rPr>
        <w:fldChar w:fldCharType="begin"/>
      </w:r>
      <w:r>
        <w:rPr>
          <w:noProof/>
        </w:rPr>
        <w:instrText xml:space="preserve"> PAGEREF _Toc40946041 \h </w:instrText>
      </w:r>
      <w:r>
        <w:rPr>
          <w:noProof/>
        </w:rPr>
      </w:r>
      <w:r>
        <w:rPr>
          <w:noProof/>
        </w:rPr>
        <w:fldChar w:fldCharType="separate"/>
      </w:r>
      <w:r w:rsidR="00C35904">
        <w:rPr>
          <w:noProof/>
        </w:rPr>
        <w:t>8</w:t>
      </w:r>
      <w:r>
        <w:rPr>
          <w:noProof/>
        </w:rPr>
        <w:fldChar w:fldCharType="end"/>
      </w:r>
    </w:p>
    <w:p w14:paraId="288C7EB1" w14:textId="77777777" w:rsidR="00277112" w:rsidRDefault="00277112">
      <w:pPr>
        <w:pStyle w:val="TOC2"/>
        <w:rPr>
          <w:rFonts w:asciiTheme="minorHAnsi" w:eastAsiaTheme="minorEastAsia" w:hAnsiTheme="minorHAnsi" w:cstheme="minorBidi"/>
          <w:noProof/>
          <w:color w:val="auto"/>
          <w:sz w:val="22"/>
          <w:szCs w:val="22"/>
        </w:rPr>
      </w:pPr>
      <w:r>
        <w:rPr>
          <w:noProof/>
        </w:rPr>
        <w:t>Measuring Success</w:t>
      </w:r>
      <w:r>
        <w:rPr>
          <w:noProof/>
        </w:rPr>
        <w:tab/>
      </w:r>
      <w:r>
        <w:rPr>
          <w:noProof/>
        </w:rPr>
        <w:fldChar w:fldCharType="begin"/>
      </w:r>
      <w:r>
        <w:rPr>
          <w:noProof/>
        </w:rPr>
        <w:instrText xml:space="preserve"> PAGEREF _Toc40946042 \h </w:instrText>
      </w:r>
      <w:r>
        <w:rPr>
          <w:noProof/>
        </w:rPr>
      </w:r>
      <w:r>
        <w:rPr>
          <w:noProof/>
        </w:rPr>
        <w:fldChar w:fldCharType="separate"/>
      </w:r>
      <w:r w:rsidR="00C35904">
        <w:rPr>
          <w:noProof/>
        </w:rPr>
        <w:t>12</w:t>
      </w:r>
      <w:r>
        <w:rPr>
          <w:noProof/>
        </w:rPr>
        <w:fldChar w:fldCharType="end"/>
      </w:r>
    </w:p>
    <w:p w14:paraId="30E526D1" w14:textId="77777777" w:rsidR="00277112" w:rsidRDefault="00277112">
      <w:pPr>
        <w:pStyle w:val="TOC2"/>
        <w:rPr>
          <w:rFonts w:asciiTheme="minorHAnsi" w:eastAsiaTheme="minorEastAsia" w:hAnsiTheme="minorHAnsi" w:cstheme="minorBidi"/>
          <w:noProof/>
          <w:color w:val="auto"/>
          <w:sz w:val="22"/>
          <w:szCs w:val="22"/>
        </w:rPr>
      </w:pPr>
      <w:r>
        <w:rPr>
          <w:noProof/>
        </w:rPr>
        <w:t>Civil Space Coordination</w:t>
      </w:r>
      <w:r>
        <w:rPr>
          <w:noProof/>
        </w:rPr>
        <w:tab/>
      </w:r>
      <w:r>
        <w:rPr>
          <w:noProof/>
        </w:rPr>
        <w:fldChar w:fldCharType="begin"/>
      </w:r>
      <w:r>
        <w:rPr>
          <w:noProof/>
        </w:rPr>
        <w:instrText xml:space="preserve"> PAGEREF _Toc40946043 \h </w:instrText>
      </w:r>
      <w:r>
        <w:rPr>
          <w:noProof/>
        </w:rPr>
      </w:r>
      <w:r>
        <w:rPr>
          <w:noProof/>
        </w:rPr>
        <w:fldChar w:fldCharType="separate"/>
      </w:r>
      <w:r w:rsidR="00C35904">
        <w:rPr>
          <w:noProof/>
        </w:rPr>
        <w:t>14</w:t>
      </w:r>
      <w:r>
        <w:rPr>
          <w:noProof/>
        </w:rPr>
        <w:fldChar w:fldCharType="end"/>
      </w:r>
    </w:p>
    <w:p w14:paraId="620EE396" w14:textId="77777777" w:rsidR="00277112" w:rsidRDefault="00277112">
      <w:pPr>
        <w:pStyle w:val="TOC2"/>
        <w:rPr>
          <w:rFonts w:asciiTheme="minorHAnsi" w:eastAsiaTheme="minorEastAsia" w:hAnsiTheme="minorHAnsi" w:cstheme="minorBidi"/>
          <w:noProof/>
          <w:color w:val="auto"/>
          <w:sz w:val="22"/>
          <w:szCs w:val="22"/>
        </w:rPr>
      </w:pPr>
      <w:r>
        <w:rPr>
          <w:noProof/>
        </w:rPr>
        <w:t>International</w:t>
      </w:r>
      <w:r>
        <w:rPr>
          <w:noProof/>
        </w:rPr>
        <w:tab/>
      </w:r>
      <w:r>
        <w:rPr>
          <w:noProof/>
        </w:rPr>
        <w:fldChar w:fldCharType="begin"/>
      </w:r>
      <w:r>
        <w:rPr>
          <w:noProof/>
        </w:rPr>
        <w:instrText xml:space="preserve"> PAGEREF _Toc40946044 \h </w:instrText>
      </w:r>
      <w:r>
        <w:rPr>
          <w:noProof/>
        </w:rPr>
      </w:r>
      <w:r>
        <w:rPr>
          <w:noProof/>
        </w:rPr>
        <w:fldChar w:fldCharType="separate"/>
      </w:r>
      <w:r w:rsidR="00C35904">
        <w:rPr>
          <w:noProof/>
        </w:rPr>
        <w:t>16</w:t>
      </w:r>
      <w:r>
        <w:rPr>
          <w:noProof/>
        </w:rPr>
        <w:fldChar w:fldCharType="end"/>
      </w:r>
    </w:p>
    <w:p w14:paraId="703DCC27" w14:textId="77777777" w:rsidR="00277112" w:rsidRDefault="00277112">
      <w:pPr>
        <w:pStyle w:val="TOC2"/>
        <w:rPr>
          <w:rFonts w:asciiTheme="minorHAnsi" w:eastAsiaTheme="minorEastAsia" w:hAnsiTheme="minorHAnsi" w:cstheme="minorBidi"/>
          <w:noProof/>
          <w:color w:val="auto"/>
          <w:sz w:val="22"/>
          <w:szCs w:val="22"/>
        </w:rPr>
      </w:pPr>
      <w:r>
        <w:rPr>
          <w:noProof/>
        </w:rPr>
        <w:t>National</w:t>
      </w:r>
      <w:r>
        <w:rPr>
          <w:noProof/>
        </w:rPr>
        <w:tab/>
      </w:r>
      <w:r>
        <w:rPr>
          <w:noProof/>
        </w:rPr>
        <w:fldChar w:fldCharType="begin"/>
      </w:r>
      <w:r>
        <w:rPr>
          <w:noProof/>
        </w:rPr>
        <w:instrText xml:space="preserve"> PAGEREF _Toc40946045 \h </w:instrText>
      </w:r>
      <w:r>
        <w:rPr>
          <w:noProof/>
        </w:rPr>
      </w:r>
      <w:r>
        <w:rPr>
          <w:noProof/>
        </w:rPr>
        <w:fldChar w:fldCharType="separate"/>
      </w:r>
      <w:r w:rsidR="00C35904">
        <w:rPr>
          <w:noProof/>
        </w:rPr>
        <w:t>22</w:t>
      </w:r>
      <w:r>
        <w:rPr>
          <w:noProof/>
        </w:rPr>
        <w:fldChar w:fldCharType="end"/>
      </w:r>
    </w:p>
    <w:p w14:paraId="0DCDEC22" w14:textId="77777777" w:rsidR="00277112" w:rsidRDefault="00277112">
      <w:pPr>
        <w:pStyle w:val="TOC2"/>
        <w:rPr>
          <w:rFonts w:asciiTheme="minorHAnsi" w:eastAsiaTheme="minorEastAsia" w:hAnsiTheme="minorHAnsi" w:cstheme="minorBidi"/>
          <w:noProof/>
          <w:color w:val="auto"/>
          <w:sz w:val="22"/>
          <w:szCs w:val="22"/>
        </w:rPr>
      </w:pPr>
      <w:r>
        <w:rPr>
          <w:noProof/>
        </w:rPr>
        <w:t>Responsible</w:t>
      </w:r>
      <w:r>
        <w:rPr>
          <w:noProof/>
        </w:rPr>
        <w:tab/>
      </w:r>
      <w:r>
        <w:rPr>
          <w:noProof/>
        </w:rPr>
        <w:fldChar w:fldCharType="begin"/>
      </w:r>
      <w:r>
        <w:rPr>
          <w:noProof/>
        </w:rPr>
        <w:instrText xml:space="preserve"> PAGEREF _Toc40946046 \h </w:instrText>
      </w:r>
      <w:r>
        <w:rPr>
          <w:noProof/>
        </w:rPr>
      </w:r>
      <w:r>
        <w:rPr>
          <w:noProof/>
        </w:rPr>
        <w:fldChar w:fldCharType="separate"/>
      </w:r>
      <w:r w:rsidR="00C35904">
        <w:rPr>
          <w:noProof/>
        </w:rPr>
        <w:t>44</w:t>
      </w:r>
      <w:r>
        <w:rPr>
          <w:noProof/>
        </w:rPr>
        <w:fldChar w:fldCharType="end"/>
      </w:r>
    </w:p>
    <w:p w14:paraId="2FE8807C" w14:textId="77777777" w:rsidR="00277112" w:rsidRDefault="00277112">
      <w:pPr>
        <w:pStyle w:val="TOC2"/>
        <w:rPr>
          <w:rFonts w:asciiTheme="minorHAnsi" w:eastAsiaTheme="minorEastAsia" w:hAnsiTheme="minorHAnsi" w:cstheme="minorBidi"/>
          <w:noProof/>
          <w:color w:val="auto"/>
          <w:sz w:val="22"/>
          <w:szCs w:val="22"/>
        </w:rPr>
      </w:pPr>
      <w:r>
        <w:rPr>
          <w:noProof/>
        </w:rPr>
        <w:t>Inspire</w:t>
      </w:r>
      <w:r>
        <w:rPr>
          <w:noProof/>
        </w:rPr>
        <w:tab/>
      </w:r>
      <w:r>
        <w:rPr>
          <w:noProof/>
        </w:rPr>
        <w:fldChar w:fldCharType="begin"/>
      </w:r>
      <w:r>
        <w:rPr>
          <w:noProof/>
        </w:rPr>
        <w:instrText xml:space="preserve"> PAGEREF _Toc40946047 \h </w:instrText>
      </w:r>
      <w:r>
        <w:rPr>
          <w:noProof/>
        </w:rPr>
      </w:r>
      <w:r>
        <w:rPr>
          <w:noProof/>
        </w:rPr>
        <w:fldChar w:fldCharType="separate"/>
      </w:r>
      <w:r w:rsidR="00C35904">
        <w:rPr>
          <w:noProof/>
        </w:rPr>
        <w:t>47</w:t>
      </w:r>
      <w:r>
        <w:rPr>
          <w:noProof/>
        </w:rPr>
        <w:fldChar w:fldCharType="end"/>
      </w:r>
    </w:p>
    <w:p w14:paraId="0595EE5E" w14:textId="77777777" w:rsidR="00277112" w:rsidRDefault="00277112">
      <w:pPr>
        <w:pStyle w:val="TOC2"/>
        <w:rPr>
          <w:rFonts w:asciiTheme="minorHAnsi" w:eastAsiaTheme="minorEastAsia" w:hAnsiTheme="minorHAnsi" w:cstheme="minorBidi"/>
          <w:noProof/>
          <w:color w:val="auto"/>
          <w:sz w:val="22"/>
          <w:szCs w:val="22"/>
        </w:rPr>
      </w:pPr>
      <w:r>
        <w:rPr>
          <w:noProof/>
        </w:rPr>
        <w:t>Appendices</w:t>
      </w:r>
      <w:r>
        <w:rPr>
          <w:noProof/>
        </w:rPr>
        <w:tab/>
      </w:r>
      <w:r>
        <w:rPr>
          <w:noProof/>
        </w:rPr>
        <w:fldChar w:fldCharType="begin"/>
      </w:r>
      <w:r>
        <w:rPr>
          <w:noProof/>
        </w:rPr>
        <w:instrText xml:space="preserve"> PAGEREF _Toc40946048 \h </w:instrText>
      </w:r>
      <w:r>
        <w:rPr>
          <w:noProof/>
        </w:rPr>
      </w:r>
      <w:r>
        <w:rPr>
          <w:noProof/>
        </w:rPr>
        <w:fldChar w:fldCharType="separate"/>
      </w:r>
      <w:r w:rsidR="00C35904">
        <w:rPr>
          <w:noProof/>
        </w:rPr>
        <w:t>49</w:t>
      </w:r>
      <w:r>
        <w:rPr>
          <w:noProof/>
        </w:rPr>
        <w:fldChar w:fldCharType="end"/>
      </w:r>
    </w:p>
    <w:p w14:paraId="10ED89CC" w14:textId="7E4FF443" w:rsidR="00C12B71" w:rsidRPr="00CA1E2C" w:rsidRDefault="007B41CF" w:rsidP="00454F9F">
      <w:r w:rsidRPr="00CA1E2C">
        <w:rPr>
          <w:rFonts w:asciiTheme="majorHAnsi" w:hAnsiTheme="majorHAnsi"/>
          <w:caps/>
          <w:color w:val="004976" w:themeColor="accent1"/>
          <w:sz w:val="24"/>
        </w:rPr>
        <w:fldChar w:fldCharType="end"/>
      </w:r>
      <w:r w:rsidR="00C12B71" w:rsidRPr="00CA1E2C">
        <w:br w:type="page"/>
      </w:r>
    </w:p>
    <w:p w14:paraId="5E6A15FD" w14:textId="71F6A485" w:rsidR="00C12B71" w:rsidRPr="00CA1E2C" w:rsidRDefault="00C12B71" w:rsidP="00454F9F">
      <w:pPr>
        <w:pStyle w:val="Heading1"/>
      </w:pPr>
      <w:bookmarkStart w:id="2" w:name="_Toc19265758"/>
      <w:bookmarkStart w:id="3" w:name="_Toc40946039"/>
      <w:r w:rsidRPr="00CA1E2C">
        <w:lastRenderedPageBreak/>
        <w:t>Foreword</w:t>
      </w:r>
      <w:bookmarkEnd w:id="2"/>
      <w:bookmarkEnd w:id="3"/>
    </w:p>
    <w:p w14:paraId="051E9424" w14:textId="1E1268D2" w:rsidR="009017FB" w:rsidRDefault="00CC334E" w:rsidP="002E093B">
      <w:r w:rsidRPr="00CA1E2C">
        <w:rPr>
          <w:noProof/>
        </w:rPr>
        <w:drawing>
          <wp:anchor distT="0" distB="0" distL="114300" distR="114300" simplePos="0" relativeHeight="251658240" behindDoc="1" locked="0" layoutInCell="1" allowOverlap="1" wp14:anchorId="38691837" wp14:editId="68BF29A8">
            <wp:simplePos x="0" y="0"/>
            <wp:positionH relativeFrom="margin">
              <wp:align>left</wp:align>
            </wp:positionH>
            <wp:positionV relativeFrom="paragraph">
              <wp:posOffset>5715</wp:posOffset>
            </wp:positionV>
            <wp:extent cx="2179955" cy="2179955"/>
            <wp:effectExtent l="0" t="0" r="0" b="0"/>
            <wp:wrapSquare wrapText="bothSides"/>
            <wp:docPr id="6" name="Picture 6" descr="C:\Users\KeysS\AppData\Local\Microsoft\Windows\INetCache\Content.Word\ASA-Newsletter_Megan.png" title="Dr Megan Clark A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KeysS\AppData\Local\Microsoft\Windows\INetCache\Content.Word\ASA-Newsletter_Megan.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79955" cy="21799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12B71" w:rsidRPr="00CA1E2C">
        <w:t xml:space="preserve">Welcome to the </w:t>
      </w:r>
      <w:r w:rsidR="00C12B71" w:rsidRPr="00396B3F">
        <w:rPr>
          <w:i/>
        </w:rPr>
        <w:t>State of Space</w:t>
      </w:r>
      <w:r w:rsidR="00C12B71" w:rsidRPr="00CA1E2C">
        <w:t xml:space="preserve"> report produced by the Australian Space Agency</w:t>
      </w:r>
      <w:r w:rsidR="00454F9F" w:rsidRPr="00CA1E2C">
        <w:t xml:space="preserve"> with the support of the Australian Government Space Coordination Committee. </w:t>
      </w:r>
    </w:p>
    <w:p w14:paraId="184E5B4C" w14:textId="6D1A4B99" w:rsidR="009017FB" w:rsidRDefault="00454F9F" w:rsidP="002E093B">
      <w:r w:rsidRPr="00CA1E2C">
        <w:t>Announced by Government on 25 September</w:t>
      </w:r>
      <w:r w:rsidR="00C12B71" w:rsidRPr="00CA1E2C">
        <w:t xml:space="preserve"> 2017, the Agency commenced operations on 1 July 2018. </w:t>
      </w:r>
      <w:r w:rsidR="009017FB">
        <w:t>In order to bring the State of Space report into alignment with the future reporting intentions of the National Civil Space Strategy, this report covers a period of 18 months, encompassing the six months prior to the Agency commencing operations and the activities of its first full year</w:t>
      </w:r>
      <w:r w:rsidR="00CC334E">
        <w:t>.</w:t>
      </w:r>
      <w:r w:rsidR="009017FB">
        <w:t xml:space="preserve"> </w:t>
      </w:r>
    </w:p>
    <w:p w14:paraId="53AB4780" w14:textId="1A4E46CA" w:rsidR="00454F9F" w:rsidRPr="00CA1E2C" w:rsidRDefault="00C12B71" w:rsidP="002E093B">
      <w:r w:rsidRPr="00CA1E2C">
        <w:t>The international community responded very positively to the establishment of the Agency, which generated momentum in the Australian space sector and garnered an enthusiastic community buy-in</w:t>
      </w:r>
      <w:r w:rsidR="009017FB">
        <w:t>: by the end of June 2019, our cumulat</w:t>
      </w:r>
      <w:r w:rsidRPr="00CA1E2C">
        <w:t xml:space="preserve">ive reach </w:t>
      </w:r>
      <w:r w:rsidR="00872E36" w:rsidRPr="00CA1E2C">
        <w:t xml:space="preserve">in the media </w:t>
      </w:r>
      <w:r w:rsidR="009017FB">
        <w:t xml:space="preserve">was </w:t>
      </w:r>
      <w:r w:rsidRPr="00CA1E2C">
        <w:t>71 million</w:t>
      </w:r>
      <w:r w:rsidR="00E06EC8">
        <w:t>, and this has continued to grow.</w:t>
      </w:r>
    </w:p>
    <w:p w14:paraId="15642B9A" w14:textId="500562FC" w:rsidR="00C12B71" w:rsidRPr="00CA1E2C" w:rsidRDefault="00C12B71" w:rsidP="002E093B">
      <w:r w:rsidRPr="00CA1E2C">
        <w:t>The existence of the Agency opened doors internationally to Australian participation in the global space economy. Within its first year of operation, the Agency secured fou</w:t>
      </w:r>
      <w:r w:rsidR="00454F9F" w:rsidRPr="00CA1E2C">
        <w:t>r Memoranda of Understanding (Mo</w:t>
      </w:r>
      <w:r w:rsidRPr="00CA1E2C">
        <w:t xml:space="preserve">U) with international space agencies and seven Statements of Strategic Intent and Cooperation with businesses that are investing in the domestic Australian space industry and growing the economy. The Agency </w:t>
      </w:r>
      <w:r w:rsidR="00384409">
        <w:t>also</w:t>
      </w:r>
      <w:r w:rsidR="00384409" w:rsidRPr="00CA1E2C">
        <w:t xml:space="preserve"> </w:t>
      </w:r>
      <w:r w:rsidRPr="00CA1E2C">
        <w:t>progressed MoUs with the states and territories with the aim of securing more in the near future.</w:t>
      </w:r>
    </w:p>
    <w:p w14:paraId="1EB144E1" w14:textId="79E1072B" w:rsidR="00C12B71" w:rsidRDefault="00C12B71" w:rsidP="002E093B">
      <w:r w:rsidRPr="00CA1E2C">
        <w:t xml:space="preserve">Over </w:t>
      </w:r>
      <w:r w:rsidR="005A3589">
        <w:t>the</w:t>
      </w:r>
      <w:r w:rsidR="005A3589" w:rsidRPr="00CA1E2C">
        <w:t xml:space="preserve"> </w:t>
      </w:r>
      <w:r w:rsidRPr="00CA1E2C">
        <w:t xml:space="preserve">first six months we listened to the Australian space sector on its opportunities and challenges so we </w:t>
      </w:r>
      <w:r w:rsidR="005A3589">
        <w:t>could</w:t>
      </w:r>
      <w:r w:rsidR="005A3589" w:rsidRPr="00CA1E2C">
        <w:t xml:space="preserve"> </w:t>
      </w:r>
      <w:r w:rsidRPr="00CA1E2C">
        <w:t xml:space="preserve">work with the sector to help it grow domestically and internationally. The results of that consultation </w:t>
      </w:r>
      <w:r w:rsidR="005A3589">
        <w:t>were</w:t>
      </w:r>
      <w:r w:rsidR="005A3589" w:rsidRPr="00CA1E2C">
        <w:t xml:space="preserve"> </w:t>
      </w:r>
      <w:r w:rsidRPr="00CA1E2C">
        <w:t xml:space="preserve">reflected in </w:t>
      </w:r>
      <w:r w:rsidR="005A3589">
        <w:t>the Australian Government’s</w:t>
      </w:r>
      <w:r w:rsidR="005A3589" w:rsidRPr="00CA1E2C">
        <w:t xml:space="preserve"> </w:t>
      </w:r>
      <w:r w:rsidRPr="00CA1E2C">
        <w:rPr>
          <w:i/>
        </w:rPr>
        <w:t xml:space="preserve">Advancing Space: Australian Civil Space Strategy 2019-2028 </w:t>
      </w:r>
      <w:r w:rsidRPr="00CA1E2C">
        <w:rPr>
          <w:color w:val="auto"/>
        </w:rPr>
        <w:t>released in April 2019</w:t>
      </w:r>
      <w:r w:rsidR="00CF4270" w:rsidRPr="00CA1E2C">
        <w:t>. This S</w:t>
      </w:r>
      <w:r w:rsidRPr="00CA1E2C">
        <w:t>trategy outlines a high level plan to achieve a tripling of the Australian space sector and 20,000 new jobs over the coming decade.</w:t>
      </w:r>
    </w:p>
    <w:p w14:paraId="27B05960" w14:textId="6683FCCB" w:rsidR="00C12B71" w:rsidRPr="00CA1E2C" w:rsidRDefault="00C12B71" w:rsidP="002E093B">
      <w:r w:rsidRPr="00862A92">
        <w:t>The Government</w:t>
      </w:r>
      <w:r w:rsidR="00CF4270" w:rsidRPr="00862A92">
        <w:t>’s</w:t>
      </w:r>
      <w:r w:rsidRPr="00862A92">
        <w:t xml:space="preserve"> civil space activities outlined in this report encompass the transition to a new phase in</w:t>
      </w:r>
      <w:r w:rsidRPr="00CA1E2C">
        <w:t xml:space="preserve"> Australia’s space engagement, enabled by the creation of the Agency. The Agency looks forward to working with the Australian space sector</w:t>
      </w:r>
      <w:r w:rsidR="00872E36" w:rsidRPr="00CA1E2C">
        <w:t xml:space="preserve"> —</w:t>
      </w:r>
      <w:r w:rsidRPr="00CA1E2C">
        <w:t xml:space="preserve"> government</w:t>
      </w:r>
      <w:r w:rsidR="00872E36" w:rsidRPr="00CA1E2C">
        <w:t>, industry and researchers</w:t>
      </w:r>
      <w:r w:rsidRPr="00CA1E2C">
        <w:t xml:space="preserve"> </w:t>
      </w:r>
      <w:r w:rsidR="00872E36" w:rsidRPr="00CA1E2C">
        <w:t>—</w:t>
      </w:r>
      <w:r w:rsidRPr="00CA1E2C">
        <w:t xml:space="preserve"> to grow Australia’s involvement in the global space economy.</w:t>
      </w:r>
    </w:p>
    <w:p w14:paraId="07091515" w14:textId="77777777" w:rsidR="00CD05D7" w:rsidRPr="00CA1E2C" w:rsidRDefault="00CD05D7" w:rsidP="00454F9F"/>
    <w:p w14:paraId="027A729E" w14:textId="613445C4" w:rsidR="00CD05D7" w:rsidRPr="00CA1E2C" w:rsidRDefault="0062180E" w:rsidP="00454F9F">
      <w:r>
        <w:t>30 December 2019</w:t>
      </w:r>
    </w:p>
    <w:p w14:paraId="2E8BBC6A" w14:textId="77777777" w:rsidR="00CD05D7" w:rsidRPr="00CA1E2C" w:rsidRDefault="00CD05D7" w:rsidP="00454F9F">
      <w:pPr>
        <w:sectPr w:rsidR="00CD05D7" w:rsidRPr="00CA1E2C" w:rsidSect="006323E8">
          <w:headerReference w:type="default" r:id="rId14"/>
          <w:footerReference w:type="default" r:id="rId15"/>
          <w:headerReference w:type="first" r:id="rId16"/>
          <w:pgSz w:w="11906" w:h="16838" w:code="9"/>
          <w:pgMar w:top="3969" w:right="1021" w:bottom="1701" w:left="1021" w:header="284" w:footer="539" w:gutter="0"/>
          <w:cols w:space="708"/>
          <w:titlePg/>
          <w:docGrid w:linePitch="360"/>
        </w:sectPr>
      </w:pPr>
    </w:p>
    <w:p w14:paraId="009A6B38" w14:textId="77777777" w:rsidR="002952D2" w:rsidRPr="00CA1E2C" w:rsidRDefault="002952D2" w:rsidP="00454F9F">
      <w:pPr>
        <w:pStyle w:val="Heading1"/>
      </w:pPr>
      <w:bookmarkStart w:id="5" w:name="_Toc19265759"/>
      <w:bookmarkStart w:id="6" w:name="_Toc40946040"/>
      <w:bookmarkStart w:id="7" w:name="_Toc499638630"/>
      <w:bookmarkStart w:id="8" w:name="_Toc499643281"/>
      <w:bookmarkStart w:id="9" w:name="_Toc499643285"/>
      <w:bookmarkStart w:id="10" w:name="_Toc535397506"/>
      <w:bookmarkStart w:id="11" w:name="_Toc535397568"/>
      <w:bookmarkStart w:id="12" w:name="_Toc535397605"/>
      <w:bookmarkStart w:id="13" w:name="_Toc535398665"/>
      <w:bookmarkStart w:id="14" w:name="_Toc535398669"/>
      <w:bookmarkStart w:id="15" w:name="_Toc535398998"/>
      <w:bookmarkStart w:id="16" w:name="_Toc535494473"/>
      <w:bookmarkStart w:id="17" w:name="_Toc535503308"/>
      <w:bookmarkStart w:id="18" w:name="_Toc499648834"/>
      <w:bookmarkStart w:id="19" w:name="_Toc505777356"/>
      <w:bookmarkStart w:id="20" w:name="_Toc505777367"/>
      <w:bookmarkStart w:id="21" w:name="_Toc505777406"/>
      <w:r w:rsidRPr="00CA1E2C">
        <w:lastRenderedPageBreak/>
        <w:t>Introduction</w:t>
      </w:r>
      <w:bookmarkEnd w:id="5"/>
      <w:bookmarkEnd w:id="6"/>
      <w:r w:rsidRPr="00CA1E2C">
        <w:t xml:space="preserve"> </w:t>
      </w:r>
    </w:p>
    <w:p w14:paraId="7704047F" w14:textId="1EC188BA" w:rsidR="002952D2" w:rsidRPr="00CA1E2C" w:rsidRDefault="002952D2" w:rsidP="002E093B">
      <w:r w:rsidRPr="00CA1E2C">
        <w:t>In 2018, the Australian space sector entered into a new phase of activity, with the establishment of Australia’s first national space agency</w:t>
      </w:r>
      <w:r w:rsidR="005D2CF3">
        <w:t>. The Australian Space Agency</w:t>
      </w:r>
      <w:r w:rsidR="00C05C47">
        <w:t>’s</w:t>
      </w:r>
      <w:r w:rsidR="005D2CF3">
        <w:t xml:space="preserve"> (the Agency)</w:t>
      </w:r>
      <w:r w:rsidR="00872E36" w:rsidRPr="00CA1E2C">
        <w:t xml:space="preserve"> purpose is </w:t>
      </w:r>
      <w:r w:rsidRPr="00CA1E2C">
        <w:t>to effect long-term transformation and growth of Australia’s space industry, with the aim of achieving a space sector worth $12</w:t>
      </w:r>
      <w:r w:rsidR="00B269CC">
        <w:t> </w:t>
      </w:r>
      <w:r w:rsidRPr="00CA1E2C">
        <w:t xml:space="preserve">billion per annum, supporting </w:t>
      </w:r>
      <w:r w:rsidR="00164B15">
        <w:t>another</w:t>
      </w:r>
      <w:r w:rsidRPr="00CA1E2C">
        <w:t xml:space="preserve"> 20,000 space industry jobs by 2030.</w:t>
      </w:r>
    </w:p>
    <w:p w14:paraId="1D275A6C" w14:textId="01A71892" w:rsidR="002952D2" w:rsidRPr="00CA1E2C" w:rsidRDefault="002952D2" w:rsidP="002E093B">
      <w:pPr>
        <w:rPr>
          <w:b/>
        </w:rPr>
      </w:pPr>
      <w:r w:rsidRPr="00CA1E2C">
        <w:t xml:space="preserve">Space-based applications underpin a wide range of civilian and national security capabilities and the Australian Government </w:t>
      </w:r>
      <w:r w:rsidR="00E372DD">
        <w:t>recognises the importance of</w:t>
      </w:r>
      <w:r w:rsidRPr="00CA1E2C">
        <w:t xml:space="preserve"> on-going and cost effective access to the space capabilities on which the nation relies. </w:t>
      </w:r>
      <w:r w:rsidR="00E372DD">
        <w:t>In support of this</w:t>
      </w:r>
      <w:r w:rsidRPr="00CA1E2C">
        <w:t xml:space="preserve">, the Government invests in a wide range of activities administered by a number of agencies. Since becoming operational on 1 July 2018, the Agency assumed the national civil-space coordination role previously undertaken by the Department of Industry, Innovation and Science and now acts as the front door for Australia’s international engagement on civil space. </w:t>
      </w:r>
    </w:p>
    <w:p w14:paraId="58023F56" w14:textId="3CA02E22" w:rsidR="002952D2" w:rsidRPr="00CA1E2C" w:rsidRDefault="002952D2" w:rsidP="002E093B">
      <w:r w:rsidRPr="00CA1E2C">
        <w:t>In addition to the establishment of the Agency, the 2018-2019 budget included major investment in civil space, with the allocation of $224.9 million over four years to Geoscience Australia</w:t>
      </w:r>
      <w:r w:rsidR="00C05C47">
        <w:t xml:space="preserve"> (GA)</w:t>
      </w:r>
      <w:r w:rsidRPr="00CA1E2C">
        <w:t xml:space="preserve"> </w:t>
      </w:r>
      <w:r w:rsidRPr="00CA1E2C">
        <w:rPr>
          <w:shd w:val="clear" w:color="auto" w:fill="FFFFFF"/>
        </w:rPr>
        <w:t xml:space="preserve">to make reliable positioning data, accurate to 10 centimetres, available </w:t>
      </w:r>
      <w:r w:rsidRPr="00CA1E2C">
        <w:t>on land, air and sea across Australia. A further $36.9</w:t>
      </w:r>
      <w:r w:rsidR="00B269CC">
        <w:t> </w:t>
      </w:r>
      <w:r w:rsidRPr="00CA1E2C">
        <w:t xml:space="preserve">million was provided to extend GA’s Digital Earth Australia </w:t>
      </w:r>
      <w:r w:rsidRPr="00CA1E2C">
        <w:rPr>
          <w:shd w:val="clear" w:color="auto" w:fill="FFFFFF"/>
        </w:rPr>
        <w:t xml:space="preserve">(DEA), a world-class digital infrastructure that uses satellite data to detect physical changes across Australia in unprecedented detail. </w:t>
      </w:r>
    </w:p>
    <w:p w14:paraId="0AC93FC4" w14:textId="3CAAB74A" w:rsidR="002952D2" w:rsidRPr="00E43DEC" w:rsidRDefault="002952D2" w:rsidP="002E093B">
      <w:r w:rsidRPr="00CA1E2C">
        <w:t xml:space="preserve">Previous </w:t>
      </w:r>
      <w:r w:rsidRPr="00CA1E2C">
        <w:rPr>
          <w:i/>
        </w:rPr>
        <w:t>State of Space</w:t>
      </w:r>
      <w:r w:rsidRPr="00CA1E2C">
        <w:t xml:space="preserve"> reports have reviewed Australian Government space activities across calendar-year periods. However,</w:t>
      </w:r>
      <w:r w:rsidR="00AA088A">
        <w:t xml:space="preserve"> in preparation for a shift to</w:t>
      </w:r>
      <w:r w:rsidRPr="00CA1E2C">
        <w:t xml:space="preserve"> reporting</w:t>
      </w:r>
      <w:r w:rsidR="00AA088A">
        <w:t xml:space="preserve"> every two years</w:t>
      </w:r>
      <w:r w:rsidRPr="00CA1E2C">
        <w:t xml:space="preserve"> </w:t>
      </w:r>
      <w:r w:rsidR="00AA088A">
        <w:t xml:space="preserve">and a reporting </w:t>
      </w:r>
      <w:r w:rsidRPr="00CA1E2C">
        <w:t xml:space="preserve">period based on financial years, commencing with the 2019-2020 financial year, this edition of the </w:t>
      </w:r>
      <w:r w:rsidRPr="00CA1E2C">
        <w:rPr>
          <w:i/>
        </w:rPr>
        <w:t>State of Space</w:t>
      </w:r>
      <w:r w:rsidRPr="00CA1E2C">
        <w:t xml:space="preserve"> covers an eighteen-month period, from January 2018 to end June 2019. This extended period not only brings the report into line with future financial-year reporting, but also encompasses the Agency’s first full year of operation. This report therefore represents a hybrid period, with the first six months of 2018 operating under the previous administrative arrangements for Australian </w:t>
      </w:r>
      <w:r w:rsidRPr="00E43DEC">
        <w:t xml:space="preserve">Government civil space activities, prior to the Agency commencing operations on 1 July 2018. </w:t>
      </w:r>
    </w:p>
    <w:p w14:paraId="4724C8EA" w14:textId="782C27EE" w:rsidR="002952D2" w:rsidRPr="00E43DEC" w:rsidRDefault="002952D2" w:rsidP="002E093B">
      <w:r w:rsidRPr="00E43DEC">
        <w:t xml:space="preserve">The format of this report has also been re-organised from previous editions. </w:t>
      </w:r>
      <w:r w:rsidR="004B4A38" w:rsidRPr="00E43DEC">
        <w:rPr>
          <w:rFonts w:eastAsia="GothamNarrow-Light"/>
          <w:i/>
          <w:lang w:bidi="en-US"/>
        </w:rPr>
        <w:t>Advancing Space: Australian Civil Space Strategy 2019-2028</w:t>
      </w:r>
      <w:r w:rsidRPr="00E43DEC">
        <w:t>, released in April 2019</w:t>
      </w:r>
      <w:r w:rsidR="009239A5" w:rsidRPr="00E43DEC">
        <w:t xml:space="preserve"> (summar</w:t>
      </w:r>
      <w:r w:rsidR="008D3964">
        <w:t>ised in</w:t>
      </w:r>
      <w:r w:rsidR="009239A5" w:rsidRPr="00E43DEC">
        <w:t xml:space="preserve"> </w:t>
      </w:r>
      <w:r w:rsidR="009239A5" w:rsidRPr="00E43DEC">
        <w:fldChar w:fldCharType="begin"/>
      </w:r>
      <w:r w:rsidR="009239A5" w:rsidRPr="00E43DEC">
        <w:instrText xml:space="preserve"> REF _Ref19266115 \h </w:instrText>
      </w:r>
      <w:r w:rsidR="00C17BA1" w:rsidRPr="00E43DEC">
        <w:instrText xml:space="preserve"> \* MERGEFORMAT </w:instrText>
      </w:r>
      <w:r w:rsidR="009239A5" w:rsidRPr="00E43DEC">
        <w:fldChar w:fldCharType="separate"/>
      </w:r>
      <w:r w:rsidR="00C35904" w:rsidRPr="00CA1E2C">
        <w:t xml:space="preserve">Figure </w:t>
      </w:r>
      <w:r w:rsidR="00C35904">
        <w:rPr>
          <w:noProof/>
        </w:rPr>
        <w:t>1</w:t>
      </w:r>
      <w:r w:rsidR="009239A5" w:rsidRPr="00E43DEC">
        <w:fldChar w:fldCharType="end"/>
      </w:r>
      <w:r w:rsidR="009239A5" w:rsidRPr="00E43DEC">
        <w:t>)</w:t>
      </w:r>
      <w:r w:rsidRPr="00E43DEC">
        <w:t xml:space="preserve">, established four ‘Strategic Space Pillars’: International, National, Responsible and Inspire. Through these pillars, the Agency will work to achieve its purpose of transforming and growing a globally respected space industry. The </w:t>
      </w:r>
      <w:r w:rsidR="004B4A38" w:rsidRPr="00E43DEC">
        <w:t xml:space="preserve">Strategy also outlines seven </w:t>
      </w:r>
      <w:r w:rsidR="00694B2E" w:rsidRPr="00E43DEC">
        <w:t>National Civil Space Priority Areas</w:t>
      </w:r>
      <w:r w:rsidRPr="00E43DEC">
        <w:t xml:space="preserve">, which were </w:t>
      </w:r>
      <w:r w:rsidR="004B4A38" w:rsidRPr="00E43DEC">
        <w:t>informed by the E</w:t>
      </w:r>
      <w:r w:rsidR="0034731B">
        <w:t xml:space="preserve">xpert </w:t>
      </w:r>
      <w:r w:rsidR="004B4A38" w:rsidRPr="00E43DEC">
        <w:t>R</w:t>
      </w:r>
      <w:r w:rsidR="0034731B">
        <w:t xml:space="preserve">eview </w:t>
      </w:r>
      <w:r w:rsidR="004B4A38" w:rsidRPr="00E43DEC">
        <w:t>G</w:t>
      </w:r>
      <w:r w:rsidR="0034731B">
        <w:t>roup</w:t>
      </w:r>
      <w:r w:rsidR="004B4A38" w:rsidRPr="00E43DEC">
        <w:t xml:space="preserve"> </w:t>
      </w:r>
      <w:r w:rsidR="00710885">
        <w:t xml:space="preserve">(ERG) </w:t>
      </w:r>
      <w:r w:rsidR="004B4A38" w:rsidRPr="00E43DEC">
        <w:t>report as well as consu</w:t>
      </w:r>
      <w:r w:rsidR="005E7F23" w:rsidRPr="00E43DEC">
        <w:t>l</w:t>
      </w:r>
      <w:r w:rsidR="004B4A38" w:rsidRPr="00E43DEC">
        <w:t xml:space="preserve">tation by the Agency after its establishment. </w:t>
      </w:r>
      <w:r w:rsidRPr="00E43DEC">
        <w:t>These priorities are: Positioning, Navigation and Timing; Earth Observation; Communications Technologies and Services; Space Situational Awareness and Debris Monitoring; Leapfrog R&amp;D; Robotics and Automation and Access to Space. In this report, for the first time, the civil space activities of Australian Government departments and agencies are categorised under the four Strategic Space Pillars and the</w:t>
      </w:r>
      <w:r w:rsidR="00694B2E" w:rsidRPr="00E43DEC">
        <w:t xml:space="preserve"> National Civil Space Priority Areas</w:t>
      </w:r>
      <w:r w:rsidRPr="00E43DEC">
        <w:t xml:space="preserve">. </w:t>
      </w:r>
    </w:p>
    <w:p w14:paraId="0B266156" w14:textId="2ACCD79C" w:rsidR="006B7D27" w:rsidRPr="00CA1E2C" w:rsidRDefault="002952D2" w:rsidP="002E093B">
      <w:r w:rsidRPr="00E43DEC">
        <w:t xml:space="preserve">Previous editions of the </w:t>
      </w:r>
      <w:r w:rsidRPr="009E6F74">
        <w:rPr>
          <w:i/>
        </w:rPr>
        <w:t>State of Space</w:t>
      </w:r>
      <w:r w:rsidRPr="00E43DEC">
        <w:t xml:space="preserve"> report have not included </w:t>
      </w:r>
      <w:r w:rsidR="004B4A38" w:rsidRPr="00E43DEC">
        <w:t xml:space="preserve">economic baseline data, </w:t>
      </w:r>
      <w:r w:rsidRPr="00E43DEC">
        <w:t>enabling the measure</w:t>
      </w:r>
      <w:r w:rsidR="004B4A38" w:rsidRPr="00E43DEC">
        <w:t xml:space="preserve">ment of the </w:t>
      </w:r>
      <w:r w:rsidRPr="00E43DEC">
        <w:t>future growth of the Australian space industry — the purpose for which the Agency</w:t>
      </w:r>
      <w:r w:rsidRPr="00CA1E2C">
        <w:t xml:space="preserve"> was established. Research is currently being undertaken to establish this baseline data and future editions of the report, commencing with the 2019-2020 financial year, will include the necessary </w:t>
      </w:r>
      <w:r w:rsidR="004B4A38" w:rsidRPr="00CA1E2C">
        <w:t>economic data.</w:t>
      </w:r>
      <w:r w:rsidR="00AA0466" w:rsidRPr="00CA1E2C">
        <w:t xml:space="preserve"> </w:t>
      </w:r>
    </w:p>
    <w:p w14:paraId="64313F38" w14:textId="6816B407" w:rsidR="00D63302" w:rsidRPr="00CA1E2C" w:rsidRDefault="00454F9F" w:rsidP="002E093B">
      <w:r w:rsidRPr="00CA1E2C">
        <w:t xml:space="preserve">It is noted that a number of the Government departmental contributors have had name changes. </w:t>
      </w:r>
      <w:r w:rsidR="00D72BD5" w:rsidRPr="00CA1E2C">
        <w:t>For historical accuracy</w:t>
      </w:r>
      <w:r w:rsidR="0034731B">
        <w:t>,</w:t>
      </w:r>
      <w:r w:rsidR="00D72BD5" w:rsidRPr="00CA1E2C">
        <w:t xml:space="preserve"> </w:t>
      </w:r>
      <w:r w:rsidR="00B269CC">
        <w:t>each</w:t>
      </w:r>
      <w:r w:rsidR="00B269CC" w:rsidRPr="00CA1E2C">
        <w:t xml:space="preserve"> </w:t>
      </w:r>
      <w:r w:rsidR="00D72BD5" w:rsidRPr="00CA1E2C">
        <w:t xml:space="preserve">Department will be referred to by the title it held across </w:t>
      </w:r>
      <w:r w:rsidR="0034731B">
        <w:t xml:space="preserve">the majority of the </w:t>
      </w:r>
      <w:r w:rsidR="00D72BD5" w:rsidRPr="00CA1E2C">
        <w:t>period covered</w:t>
      </w:r>
      <w:r w:rsidR="00AA0466" w:rsidRPr="00CA1E2C">
        <w:t xml:space="preserve"> </w:t>
      </w:r>
      <w:r w:rsidR="00D72BD5" w:rsidRPr="00CA1E2C">
        <w:t>in this report.</w:t>
      </w:r>
    </w:p>
    <w:p w14:paraId="454F4B11" w14:textId="46559BFD" w:rsidR="00D72BD5" w:rsidRPr="00CA1E2C" w:rsidRDefault="00D72BD5" w:rsidP="00454F9F">
      <w:r w:rsidRPr="00CA1E2C">
        <w:br w:type="page"/>
      </w:r>
    </w:p>
    <w:p w14:paraId="73B59960" w14:textId="09FF9579" w:rsidR="00D63302" w:rsidRDefault="00C462FF" w:rsidP="00454F9F">
      <w:r w:rsidRPr="00CA1E2C">
        <w:rPr>
          <w:noProof/>
        </w:rPr>
        <w:lastRenderedPageBreak/>
        <w:drawing>
          <wp:inline distT="0" distB="0" distL="0" distR="0" wp14:anchorId="19A0655B" wp14:editId="0A992C2B">
            <wp:extent cx="6152737" cy="8534400"/>
            <wp:effectExtent l="0" t="0" r="635" b="0"/>
            <wp:docPr id="10" name="Picture 10" title="Australian Civil Space Strategy implemen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extLst>
                        <a:ext uri="{28A0092B-C50C-407E-A947-70E740481C1C}">
                          <a14:useLocalDpi xmlns:a14="http://schemas.microsoft.com/office/drawing/2010/main" val="0"/>
                        </a:ext>
                      </a:extLst>
                    </a:blip>
                    <a:srcRect l="2970" t="2431" r="2772" b="5100"/>
                    <a:stretch/>
                  </pic:blipFill>
                  <pic:spPr bwMode="auto">
                    <a:xfrm>
                      <a:off x="0" y="0"/>
                      <a:ext cx="6154438" cy="8536760"/>
                    </a:xfrm>
                    <a:prstGeom prst="rect">
                      <a:avLst/>
                    </a:prstGeom>
                    <a:ln>
                      <a:noFill/>
                    </a:ln>
                    <a:extLst>
                      <a:ext uri="{53640926-AAD7-44D8-BBD7-CCE9431645EC}">
                        <a14:shadowObscured xmlns:a14="http://schemas.microsoft.com/office/drawing/2010/main"/>
                      </a:ex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7C94002E" w14:textId="77777777" w:rsidR="00DC62BD" w:rsidRPr="00CA1E2C" w:rsidRDefault="00DC62BD" w:rsidP="00DC62BD">
      <w:pPr>
        <w:pStyle w:val="Caption"/>
      </w:pPr>
      <w:bookmarkStart w:id="22" w:name="_Ref19266115"/>
      <w:bookmarkStart w:id="23" w:name="_Toc41464104"/>
      <w:r w:rsidRPr="00CA1E2C">
        <w:t xml:space="preserve">Figure </w:t>
      </w:r>
      <w:r w:rsidRPr="00CA1E2C">
        <w:fldChar w:fldCharType="begin"/>
      </w:r>
      <w:r w:rsidRPr="00CA1E2C">
        <w:instrText xml:space="preserve"> SEQ Figure \* ARABIC </w:instrText>
      </w:r>
      <w:r w:rsidRPr="00CA1E2C">
        <w:fldChar w:fldCharType="separate"/>
      </w:r>
      <w:r w:rsidR="00C35904">
        <w:rPr>
          <w:noProof/>
        </w:rPr>
        <w:t>1</w:t>
      </w:r>
      <w:r w:rsidRPr="00CA1E2C">
        <w:fldChar w:fldCharType="end"/>
      </w:r>
      <w:bookmarkEnd w:id="22"/>
      <w:r>
        <w:t xml:space="preserve"> – </w:t>
      </w:r>
      <w:r w:rsidRPr="00CA1E2C">
        <w:t>Summary of the Australian Civil Space Strategy</w:t>
      </w:r>
      <w:bookmarkEnd w:id="23"/>
    </w:p>
    <w:p w14:paraId="4072AA64" w14:textId="77777777" w:rsidR="00DC62BD" w:rsidRPr="00CA1E2C" w:rsidRDefault="00DC62BD" w:rsidP="00454F9F">
      <w:pPr>
        <w:sectPr w:rsidR="00DC62BD" w:rsidRPr="00CA1E2C" w:rsidSect="00D63302">
          <w:headerReference w:type="default" r:id="rId18"/>
          <w:footerReference w:type="default" r:id="rId19"/>
          <w:headerReference w:type="first" r:id="rId20"/>
          <w:footerReference w:type="first" r:id="rId21"/>
          <w:pgSz w:w="11906" w:h="16838" w:code="9"/>
          <w:pgMar w:top="709" w:right="1021" w:bottom="1701" w:left="1021" w:header="454" w:footer="539" w:gutter="0"/>
          <w:cols w:space="708"/>
          <w:docGrid w:linePitch="360"/>
        </w:sectPr>
      </w:pPr>
    </w:p>
    <w:p w14:paraId="143D48E9" w14:textId="66048364" w:rsidR="00453FE0" w:rsidRPr="00CA1E2C" w:rsidRDefault="00453FE0" w:rsidP="00454F9F">
      <w:pPr>
        <w:pStyle w:val="Heading1"/>
      </w:pPr>
      <w:bookmarkStart w:id="24" w:name="_Toc19265760"/>
      <w:bookmarkStart w:id="25" w:name="_Toc40946041"/>
      <w:r w:rsidRPr="00CA1E2C">
        <w:lastRenderedPageBreak/>
        <w:t>Australian Space Agency</w:t>
      </w:r>
      <w:bookmarkEnd w:id="24"/>
      <w:r w:rsidR="00AF674B">
        <w:t xml:space="preserve"> Establishment</w:t>
      </w:r>
      <w:bookmarkEnd w:id="25"/>
    </w:p>
    <w:p w14:paraId="68C0D1CB" w14:textId="77777777" w:rsidR="00453FE0" w:rsidRPr="00CA1E2C" w:rsidRDefault="00453FE0" w:rsidP="00454F9F">
      <w:pPr>
        <w:pStyle w:val="Heading2"/>
      </w:pPr>
      <w:r w:rsidRPr="00CA1E2C">
        <w:t>Background</w:t>
      </w:r>
    </w:p>
    <w:p w14:paraId="6F4EB036" w14:textId="0D191F89" w:rsidR="00453FE0" w:rsidRPr="00CA1E2C" w:rsidRDefault="00453FE0" w:rsidP="002E093B">
      <w:pPr>
        <w:rPr>
          <w:color w:val="333333"/>
        </w:rPr>
      </w:pPr>
      <w:r w:rsidRPr="00CA1E2C">
        <w:t>The intent to establish a national space agency, to ensure that Australia has a long-term plan to grow its domestic space industry and support the development and application of space technologies, was announced on 25 September 2017 at the 68</w:t>
      </w:r>
      <w:r w:rsidRPr="00CA1E2C">
        <w:rPr>
          <w:vertAlign w:val="superscript"/>
        </w:rPr>
        <w:t>th</w:t>
      </w:r>
      <w:r w:rsidRPr="00CA1E2C">
        <w:t xml:space="preserve"> International </w:t>
      </w:r>
      <w:proofErr w:type="spellStart"/>
      <w:r w:rsidRPr="00CA1E2C">
        <w:t>Astronautical</w:t>
      </w:r>
      <w:proofErr w:type="spellEnd"/>
      <w:r w:rsidRPr="00CA1E2C">
        <w:t xml:space="preserve"> Congress </w:t>
      </w:r>
      <w:r w:rsidR="00323B15" w:rsidRPr="00CA1E2C">
        <w:t xml:space="preserve">(IAC) </w:t>
      </w:r>
      <w:r w:rsidRPr="00CA1E2C">
        <w:t xml:space="preserve">in Adelaide. </w:t>
      </w:r>
    </w:p>
    <w:p w14:paraId="38CB099E" w14:textId="3D2A3AA8" w:rsidR="00453FE0" w:rsidRPr="00CA1E2C" w:rsidRDefault="00453FE0" w:rsidP="002E093B">
      <w:r w:rsidRPr="00CA1E2C">
        <w:t xml:space="preserve">Feedback from the extensive consultation process conducted by the ERG, appointed in July 2017 to review Australia’s space industry capability, overwhelmingly established the need for the creation of a national space agency to anchor the coordination of Australia’s domestic space activity and provide a front door for international collaborations on space projects. Following the announcement that a space agency would be established, the </w:t>
      </w:r>
      <w:r w:rsidR="00710885">
        <w:t>ERG</w:t>
      </w:r>
      <w:r w:rsidRPr="00CA1E2C">
        <w:t xml:space="preserve">, chaired by Dr Megan Clark AC, was tasked with developing a charter for the new agency. </w:t>
      </w:r>
    </w:p>
    <w:p w14:paraId="47235788" w14:textId="181912E1" w:rsidR="00483B89" w:rsidRPr="00CA1E2C" w:rsidRDefault="00453FE0" w:rsidP="002E093B">
      <w:r w:rsidRPr="00CA1E2C">
        <w:t xml:space="preserve">The </w:t>
      </w:r>
      <w:r w:rsidRPr="00CA1E2C">
        <w:rPr>
          <w:i/>
        </w:rPr>
        <w:t xml:space="preserve">Review of Australia’s Space Industry Capability </w:t>
      </w:r>
      <w:r w:rsidRPr="00CA1E2C">
        <w:t>produced by the ERG was delivered to Government on 29</w:t>
      </w:r>
      <w:r w:rsidR="009F7DD9" w:rsidRPr="00CA1E2C">
        <w:t> </w:t>
      </w:r>
      <w:r w:rsidRPr="00CA1E2C">
        <w:t xml:space="preserve">March 2018. The report put forward nine recommendations for the establishment of an Agency, to which the Government responded in conjunction with the 2018-2019 Budget, in May 2018. The ERG’s recommendations and the Government response are summarised in </w:t>
      </w:r>
      <w:r w:rsidR="005F1D07" w:rsidRPr="00CA1E2C">
        <w:t>Appendix 1</w:t>
      </w:r>
      <w:r w:rsidRPr="00CA1E2C">
        <w:t>.</w:t>
      </w:r>
      <w:r w:rsidR="005F1D07" w:rsidRPr="00CA1E2C">
        <w:t xml:space="preserve"> The majority of the recommendations have now been completed or are ongoing as part of the operations of the Agency, as detailed in Appendix 1.</w:t>
      </w:r>
    </w:p>
    <w:p w14:paraId="59C6AEEA" w14:textId="3C459FB6" w:rsidR="00994861" w:rsidRPr="00CA1E2C" w:rsidRDefault="00994861" w:rsidP="002E093B">
      <w:pPr>
        <w:rPr>
          <w:rFonts w:eastAsia="Calibri"/>
          <w:lang w:eastAsia="en-US"/>
        </w:rPr>
      </w:pPr>
      <w:r w:rsidRPr="00CA1E2C">
        <w:t xml:space="preserve">In </w:t>
      </w:r>
      <w:r w:rsidR="002A5B93">
        <w:t xml:space="preserve">support of the findings in the ERG report, </w:t>
      </w:r>
      <w:r w:rsidRPr="00CA1E2C">
        <w:t>the Government allocated $4</w:t>
      </w:r>
      <w:r w:rsidR="00D07A46" w:rsidRPr="00CA1E2C">
        <w:t xml:space="preserve">1 </w:t>
      </w:r>
      <w:r w:rsidRPr="00CA1E2C">
        <w:t>million</w:t>
      </w:r>
      <w:r w:rsidR="002A5B93">
        <w:t xml:space="preserve"> in </w:t>
      </w:r>
      <w:r w:rsidR="002A5B93" w:rsidRPr="00CA1E2C">
        <w:t>the 2018-2019 Budget</w:t>
      </w:r>
      <w:r w:rsidRPr="00CA1E2C">
        <w:t xml:space="preserve"> over four years to support the operation of the Agency, which would commence operation on 1 July 2018. This funding included $15 million for the </w:t>
      </w:r>
      <w:r w:rsidRPr="00CA1E2C">
        <w:rPr>
          <w:rFonts w:cstheme="minorHAnsi"/>
          <w:bCs/>
        </w:rPr>
        <w:t>International Space Investment (ISI) initiative</w:t>
      </w:r>
      <w:r w:rsidRPr="00CA1E2C">
        <w:t xml:space="preserve"> specifically to </w:t>
      </w:r>
      <w:r w:rsidRPr="00CA1E2C">
        <w:rPr>
          <w:rFonts w:eastAsia="Calibri"/>
          <w:lang w:eastAsia="en-US"/>
        </w:rPr>
        <w:t xml:space="preserve">foster international partnerships and increase the competitiveness of Australian businesses within the global space economy. The ISI </w:t>
      </w:r>
      <w:r w:rsidR="002A5B93">
        <w:rPr>
          <w:rFonts w:eastAsia="Calibri"/>
          <w:lang w:eastAsia="en-US"/>
        </w:rPr>
        <w:t xml:space="preserve">initiative </w:t>
      </w:r>
      <w:r w:rsidRPr="00CA1E2C">
        <w:rPr>
          <w:rFonts w:eastAsia="Calibri"/>
          <w:lang w:eastAsia="en-US"/>
        </w:rPr>
        <w:t xml:space="preserve">is </w:t>
      </w:r>
      <w:r w:rsidRPr="00CA1E2C">
        <w:rPr>
          <w:rFonts w:cstheme="minorHAnsi"/>
        </w:rPr>
        <w:t xml:space="preserve">funded for three years from 2019-20. The </w:t>
      </w:r>
      <w:r w:rsidRPr="00CA1E2C">
        <w:rPr>
          <w:rFonts w:eastAsia="Calibri"/>
          <w:lang w:eastAsia="en-US"/>
        </w:rPr>
        <w:t>2019-2020 budget also included an additional $19.5 million for the Space Infrastructure Fund to support Australia’s e</w:t>
      </w:r>
      <w:r w:rsidR="00511916" w:rsidRPr="00CA1E2C">
        <w:rPr>
          <w:rFonts w:eastAsia="Calibri"/>
          <w:lang w:eastAsia="en-US"/>
        </w:rPr>
        <w:t>merging domestic space industry. Through the Adelaide City Deal, funding of $6 million was also announced for the Australian Space Discovery Centre.</w:t>
      </w:r>
    </w:p>
    <w:p w14:paraId="7ED98C81" w14:textId="3D18BD47" w:rsidR="00953ABF" w:rsidRPr="00CA1E2C" w:rsidRDefault="00953ABF" w:rsidP="00DC62BD">
      <w:pPr>
        <w:pStyle w:val="Heading2"/>
        <w:spacing w:before="240"/>
      </w:pPr>
      <w:r w:rsidRPr="00CA1E2C">
        <w:t>About the Agency</w:t>
      </w:r>
    </w:p>
    <w:p w14:paraId="1A63615B" w14:textId="0F7901ED" w:rsidR="00994861" w:rsidRPr="00CA1E2C" w:rsidRDefault="006B7D27" w:rsidP="00454F9F">
      <w:pPr>
        <w:pStyle w:val="Heading3"/>
        <w:rPr>
          <w:rFonts w:cs="Times New Roman"/>
        </w:rPr>
      </w:pPr>
      <w:r w:rsidRPr="00CA1E2C">
        <w:t>Purpose</w:t>
      </w:r>
      <w:r w:rsidR="00994861" w:rsidRPr="00CA1E2C">
        <w:t xml:space="preserve"> and Responsibilities</w:t>
      </w:r>
    </w:p>
    <w:p w14:paraId="512C2B2D" w14:textId="07814C99" w:rsidR="00994861" w:rsidRPr="00733220" w:rsidRDefault="00994861" w:rsidP="009F7DD9">
      <w:r w:rsidRPr="00CA1E2C">
        <w:t xml:space="preserve">The Agency is a non-statutory, whole-of-government entity located within the Department of Industry, Innovation and Science </w:t>
      </w:r>
      <w:r w:rsidR="009E61DB">
        <w:t xml:space="preserve">(now the Department of Industry, Science, Energy and Resources) </w:t>
      </w:r>
      <w:r w:rsidRPr="00CA1E2C">
        <w:t xml:space="preserve">as a separately branded function. The Agency is the front door for Australia’s </w:t>
      </w:r>
      <w:r w:rsidRPr="00733220">
        <w:t>international engagement on civil space and operates as the national priority</w:t>
      </w:r>
      <w:r w:rsidR="00AF7F5A">
        <w:t>-</w:t>
      </w:r>
      <w:r w:rsidRPr="00733220">
        <w:t xml:space="preserve">setting mechanism for the civil space sector. </w:t>
      </w:r>
    </w:p>
    <w:p w14:paraId="0489AC6B" w14:textId="77777777" w:rsidR="00890185" w:rsidRPr="00733220" w:rsidRDefault="00994861" w:rsidP="009F7DD9">
      <w:r w:rsidRPr="00733220">
        <w:t xml:space="preserve">The Agency’s purpose is to transform and grow a globally respected Australian space industry that lifts the broader economy, inspires and improves the lives of Australians, underpinned by strong international and national engagement. </w:t>
      </w:r>
    </w:p>
    <w:p w14:paraId="66A376CF" w14:textId="30A8326E" w:rsidR="00994861" w:rsidRPr="00733220" w:rsidRDefault="00994861" w:rsidP="009F7DD9">
      <w:r w:rsidRPr="00733220">
        <w:t>The Agency’s role is to provide whole-of-government coordination of civil space matters. It is the primary source of advice to the Australian Government on civil space policy. Under this broad mandate, the Agency has six primary responsibilities:</w:t>
      </w:r>
    </w:p>
    <w:p w14:paraId="2811C5CE" w14:textId="77777777" w:rsidR="00994861" w:rsidRPr="00CA1E2C" w:rsidRDefault="00994861" w:rsidP="0098245E">
      <w:pPr>
        <w:pStyle w:val="ListBullet"/>
        <w:spacing w:before="0"/>
        <w:contextualSpacing/>
      </w:pPr>
      <w:r w:rsidRPr="00CA1E2C">
        <w:t>Providing national policy and strategic advice on the civil space sector.</w:t>
      </w:r>
    </w:p>
    <w:p w14:paraId="4CDE4B2C" w14:textId="77777777" w:rsidR="00994861" w:rsidRPr="00CA1E2C" w:rsidRDefault="00994861" w:rsidP="0098245E">
      <w:pPr>
        <w:pStyle w:val="ListBullet"/>
        <w:spacing w:before="0"/>
        <w:contextualSpacing/>
      </w:pPr>
      <w:r w:rsidRPr="00CA1E2C">
        <w:t>Coordinating Australia’s domestic civil space sector activities.</w:t>
      </w:r>
    </w:p>
    <w:p w14:paraId="06F6C0F0" w14:textId="77777777" w:rsidR="00994861" w:rsidRPr="00CA1E2C" w:rsidRDefault="00994861" w:rsidP="0098245E">
      <w:pPr>
        <w:pStyle w:val="ListBullet"/>
        <w:spacing w:before="0"/>
        <w:contextualSpacing/>
      </w:pPr>
      <w:r w:rsidRPr="00CA1E2C">
        <w:t>Supporting the growth of Australia’s space industry and the use of space across the broader economy.</w:t>
      </w:r>
    </w:p>
    <w:p w14:paraId="43546485" w14:textId="77777777" w:rsidR="00994861" w:rsidRPr="00CA1E2C" w:rsidRDefault="00994861" w:rsidP="0098245E">
      <w:pPr>
        <w:pStyle w:val="ListBullet"/>
        <w:spacing w:before="0"/>
        <w:contextualSpacing/>
      </w:pPr>
      <w:r w:rsidRPr="00CA1E2C">
        <w:t>Leading international civil space engagement.</w:t>
      </w:r>
    </w:p>
    <w:p w14:paraId="17A1180A" w14:textId="77777777" w:rsidR="00994861" w:rsidRPr="00CA1E2C" w:rsidRDefault="00994861" w:rsidP="0098245E">
      <w:pPr>
        <w:pStyle w:val="ListBullet"/>
        <w:spacing w:before="0"/>
        <w:contextualSpacing/>
      </w:pPr>
      <w:r w:rsidRPr="00CA1E2C">
        <w:t>Administering space activities legislation and delivering on our international obligations.</w:t>
      </w:r>
    </w:p>
    <w:p w14:paraId="09E4CD3C" w14:textId="6EB09E3F" w:rsidR="00994861" w:rsidRPr="00CA1E2C" w:rsidRDefault="00994861" w:rsidP="0098245E">
      <w:pPr>
        <w:pStyle w:val="ListBullet"/>
        <w:spacing w:before="0"/>
        <w:contextualSpacing/>
      </w:pPr>
      <w:r w:rsidRPr="00CA1E2C">
        <w:t>Inspiring the Australian community and the next generation of space entrepreneurs.</w:t>
      </w:r>
    </w:p>
    <w:p w14:paraId="08B3CF13" w14:textId="77777777" w:rsidR="006B7D27" w:rsidRPr="00CA1E2C" w:rsidRDefault="006B7D27" w:rsidP="00454F9F">
      <w:pPr>
        <w:pStyle w:val="ListBullet"/>
        <w:numPr>
          <w:ilvl w:val="0"/>
          <w:numId w:val="0"/>
        </w:numPr>
      </w:pPr>
    </w:p>
    <w:p w14:paraId="29A21E23" w14:textId="7D71D28D" w:rsidR="00994861" w:rsidRPr="00CA1E2C" w:rsidRDefault="00D07A46" w:rsidP="00454F9F">
      <w:pPr>
        <w:pStyle w:val="Heading3"/>
      </w:pPr>
      <w:r w:rsidRPr="00CA1E2C">
        <w:t>Governance</w:t>
      </w:r>
    </w:p>
    <w:p w14:paraId="60C5FE1E" w14:textId="02EE0B7B" w:rsidR="00994861" w:rsidRPr="00733220" w:rsidRDefault="00994861" w:rsidP="00325D60">
      <w:pPr>
        <w:spacing w:before="120"/>
      </w:pPr>
      <w:r w:rsidRPr="00CA1E2C">
        <w:t xml:space="preserve">The Agency’s governance structure is </w:t>
      </w:r>
      <w:r w:rsidR="006B7D27" w:rsidRPr="00CA1E2C">
        <w:t>outlined in its Charter which was approved</w:t>
      </w:r>
      <w:r w:rsidR="00C17BA1" w:rsidRPr="00CA1E2C">
        <w:t xml:space="preserve"> by the Prime Minister </w:t>
      </w:r>
      <w:r w:rsidR="006B7D27" w:rsidRPr="00CA1E2C">
        <w:t xml:space="preserve">in </w:t>
      </w:r>
      <w:r w:rsidR="0020177F" w:rsidRPr="00733220">
        <w:t>October</w:t>
      </w:r>
      <w:r w:rsidR="006B7D27" w:rsidRPr="00733220">
        <w:t xml:space="preserve"> 2018</w:t>
      </w:r>
      <w:r w:rsidR="00D07A46" w:rsidRPr="00733220">
        <w:t xml:space="preserve">. Agency governance </w:t>
      </w:r>
      <w:r w:rsidR="006B7D27" w:rsidRPr="00733220">
        <w:t xml:space="preserve">is </w:t>
      </w:r>
      <w:r w:rsidRPr="00733220">
        <w:t xml:space="preserve">centred on the roles of the Agency Head, Deputy Head and the Advisory </w:t>
      </w:r>
      <w:r w:rsidR="006C08BB" w:rsidRPr="00733220">
        <w:t>Board</w:t>
      </w:r>
      <w:r w:rsidR="006B7D27" w:rsidRPr="00733220">
        <w:t xml:space="preserve">.  </w:t>
      </w:r>
    </w:p>
    <w:p w14:paraId="285DD19B" w14:textId="17857E2D" w:rsidR="00994861" w:rsidRPr="00733220" w:rsidRDefault="00994861" w:rsidP="00325D60">
      <w:pPr>
        <w:spacing w:before="120"/>
      </w:pPr>
      <w:r w:rsidRPr="00733220">
        <w:t xml:space="preserve">The Agency Head is appointed by, is accountable and reports to, the Minister. The Agency Head is responsible for overall governance and performance, management, policy leadership and strategic direction of the Agency. The Deputy Head has oversight of strategy, policy and day-to-day operations of the Agency, and supports the Agency Head in monitoring the performance </w:t>
      </w:r>
      <w:r w:rsidR="006B7D27" w:rsidRPr="00733220">
        <w:t xml:space="preserve">of the Agency.  </w:t>
      </w:r>
    </w:p>
    <w:p w14:paraId="0B2DE94A" w14:textId="6F4D46E5" w:rsidR="00CA0038" w:rsidRPr="00733220" w:rsidRDefault="00994861" w:rsidP="00325D60">
      <w:pPr>
        <w:spacing w:before="120"/>
      </w:pPr>
      <w:r w:rsidRPr="00733220">
        <w:t xml:space="preserve">The Advisory </w:t>
      </w:r>
      <w:r w:rsidR="00001381" w:rsidRPr="00733220">
        <w:t>Board</w:t>
      </w:r>
      <w:r w:rsidRPr="00733220">
        <w:t xml:space="preserve"> is a non-statutory, independent, skills-based panel that provides advice to the Agency Head. The Advisory </w:t>
      </w:r>
      <w:r w:rsidR="006C08BB" w:rsidRPr="00733220">
        <w:t>Board’s</w:t>
      </w:r>
      <w:r w:rsidRPr="00733220">
        <w:t xml:space="preserve"> purpose is to review and advise on the strategic direction and performance of the Agency, and to support the Agency to achieve its purpose. It is not a decision-making body, and has no governing legislation. Appointments to the Advisory </w:t>
      </w:r>
      <w:r w:rsidR="006C08BB" w:rsidRPr="00733220">
        <w:t>Board</w:t>
      </w:r>
      <w:r w:rsidRPr="00733220">
        <w:t xml:space="preserve"> </w:t>
      </w:r>
      <w:r w:rsidR="00325D60" w:rsidRPr="00733220">
        <w:t>are</w:t>
      </w:r>
      <w:r w:rsidRPr="00733220">
        <w:t xml:space="preserve"> for</w:t>
      </w:r>
      <w:r w:rsidR="00325D60" w:rsidRPr="00733220">
        <w:t xml:space="preserve"> a period of up to three years.</w:t>
      </w:r>
    </w:p>
    <w:p w14:paraId="39F921B1" w14:textId="67DCE4BB" w:rsidR="00994861" w:rsidRPr="00CA1E2C" w:rsidRDefault="00994861" w:rsidP="00325D60">
      <w:pPr>
        <w:spacing w:before="120"/>
      </w:pPr>
      <w:r w:rsidRPr="00733220">
        <w:t>The Agency works in partnership with government agencies involved in space activities to ensure a whole-of-</w:t>
      </w:r>
      <w:r w:rsidRPr="00CA1E2C">
        <w:t xml:space="preserve">government approach is taken in respect of civil space activities. To meet its responsibilities, the Agency also works with a wide range of stakeholders, including industry, state and territory governments, Australian Government departments, researchers and international organisations. </w:t>
      </w:r>
    </w:p>
    <w:p w14:paraId="258E60D0" w14:textId="77777777" w:rsidR="00994861" w:rsidRPr="00CA1E2C" w:rsidRDefault="00994861" w:rsidP="00325D60">
      <w:pPr>
        <w:spacing w:before="120"/>
      </w:pPr>
      <w:r w:rsidRPr="00CA1E2C">
        <w:t>Engagement mechanisms include:</w:t>
      </w:r>
    </w:p>
    <w:p w14:paraId="6224D969" w14:textId="7C239147" w:rsidR="00994861" w:rsidRPr="00CA1E2C" w:rsidRDefault="00994861" w:rsidP="00325D60">
      <w:pPr>
        <w:pStyle w:val="ListNumber"/>
        <w:spacing w:before="120"/>
        <w:contextualSpacing w:val="0"/>
      </w:pPr>
      <w:r w:rsidRPr="00CA1E2C">
        <w:rPr>
          <w:b/>
        </w:rPr>
        <w:t xml:space="preserve">Australian Government Space Coordination Committee </w:t>
      </w:r>
      <w:r w:rsidRPr="00CA1E2C">
        <w:t xml:space="preserve">(SCC). The Agency Chairs the SCC, the purpose of which is to coordinate and discuss whole-of-government policy settings on civil space activities. It is open to all relevant Australian Government departments </w:t>
      </w:r>
      <w:r w:rsidR="00B95AB8">
        <w:t>and agencies</w:t>
      </w:r>
      <w:r w:rsidRPr="00CA1E2C">
        <w:t xml:space="preserve"> functions as an inter</w:t>
      </w:r>
      <w:r w:rsidR="00C17BA1" w:rsidRPr="00CA1E2C">
        <w:t>-</w:t>
      </w:r>
      <w:r w:rsidRPr="00CA1E2C">
        <w:t xml:space="preserve">departmental committee comprising senior official representation from across Government. </w:t>
      </w:r>
    </w:p>
    <w:p w14:paraId="0BBD0AAB" w14:textId="77777777" w:rsidR="00FB31D5" w:rsidRDefault="00994861" w:rsidP="00FB31D5">
      <w:pPr>
        <w:pStyle w:val="ListNumber"/>
        <w:spacing w:before="120"/>
        <w:contextualSpacing w:val="0"/>
      </w:pPr>
      <w:r w:rsidRPr="00CA1E2C">
        <w:rPr>
          <w:b/>
        </w:rPr>
        <w:t>Space Industry Leaders Forum</w:t>
      </w:r>
      <w:r w:rsidR="001F5940" w:rsidRPr="00CA1E2C">
        <w:rPr>
          <w:b/>
        </w:rPr>
        <w:t xml:space="preserve"> </w:t>
      </w:r>
      <w:r w:rsidR="001F5940" w:rsidRPr="00CA1E2C">
        <w:t>(The Forum)</w:t>
      </w:r>
      <w:r w:rsidRPr="00CA1E2C">
        <w:rPr>
          <w:b/>
        </w:rPr>
        <w:t>.</w:t>
      </w:r>
      <w:r w:rsidRPr="00CA1E2C">
        <w:t xml:space="preserve"> The Forum is the primary mechanism for engagement and coordination with the Australian space industry. The Forum will be established in the latter half of 2019 and include industry representatives, academia, relevant industry associations and other non-government space organisations within Australia</w:t>
      </w:r>
      <w:r w:rsidR="00794929" w:rsidRPr="00CA1E2C">
        <w:t>.</w:t>
      </w:r>
    </w:p>
    <w:p w14:paraId="607284BF" w14:textId="6E4F0421" w:rsidR="00FD52AF" w:rsidRPr="00CA1E2C" w:rsidRDefault="00FD52AF" w:rsidP="00FB31D5">
      <w:pPr>
        <w:pStyle w:val="ListNumber"/>
        <w:spacing w:before="120"/>
        <w:contextualSpacing w:val="0"/>
      </w:pPr>
      <w:r w:rsidRPr="00FB31D5">
        <w:rPr>
          <w:b/>
        </w:rPr>
        <w:t xml:space="preserve">State and Territory Space Coordination </w:t>
      </w:r>
      <w:r w:rsidRPr="00CA1E2C">
        <w:t>(ST</w:t>
      </w:r>
      <w:r w:rsidR="00794929" w:rsidRPr="00CA1E2C">
        <w:t>S</w:t>
      </w:r>
      <w:r w:rsidRPr="00CA1E2C">
        <w:t>C</w:t>
      </w:r>
      <w:r w:rsidR="005F1D07" w:rsidRPr="00CA1E2C">
        <w:t>)</w:t>
      </w:r>
      <w:r w:rsidRPr="00CA1E2C">
        <w:t xml:space="preserve">. The states and territories play a key role in the national space enterprise. The Agency engages closely with states and territories to support national space policy and strategy, coordinate activities and provide one voice for Australia’s civil space sector. </w:t>
      </w:r>
    </w:p>
    <w:p w14:paraId="36F034C3" w14:textId="77777777" w:rsidR="00325D60" w:rsidRPr="00CA1E2C" w:rsidRDefault="00325D60" w:rsidP="00325D60">
      <w:pPr>
        <w:pStyle w:val="ListNumber"/>
        <w:numPr>
          <w:ilvl w:val="0"/>
          <w:numId w:val="0"/>
        </w:numPr>
        <w:spacing w:before="120"/>
        <w:ind w:left="340" w:hanging="340"/>
        <w:contextualSpacing w:val="0"/>
      </w:pPr>
    </w:p>
    <w:p w14:paraId="3A200CA5" w14:textId="3002C088" w:rsidR="00994861" w:rsidRPr="00CA1E2C" w:rsidRDefault="001F5940" w:rsidP="00454F9F">
      <w:pPr>
        <w:pStyle w:val="Heading3"/>
      </w:pPr>
      <w:r w:rsidRPr="00CA1E2C">
        <w:t>B</w:t>
      </w:r>
      <w:r w:rsidR="00994861" w:rsidRPr="00CA1E2C">
        <w:t xml:space="preserve">rand </w:t>
      </w:r>
      <w:r w:rsidR="00D25C21" w:rsidRPr="00CA1E2C">
        <w:t>identity</w:t>
      </w:r>
    </w:p>
    <w:p w14:paraId="732F0BA3" w14:textId="560CDFBC" w:rsidR="00994861" w:rsidRPr="00CA1E2C" w:rsidRDefault="00994861" w:rsidP="00454F9F">
      <w:r w:rsidRPr="00CA1E2C">
        <w:t>The Agency released its brand identity in December 2018</w:t>
      </w:r>
      <w:r w:rsidR="00C207FE" w:rsidRPr="00CA1E2C">
        <w:t>, with a new logo</w:t>
      </w:r>
      <w:r w:rsidR="007E6413">
        <w:t xml:space="preserve"> (</w:t>
      </w:r>
      <w:r w:rsidR="00C207FE" w:rsidRPr="00CA1E2C">
        <w:t xml:space="preserve">refer to </w:t>
      </w:r>
      <w:r w:rsidR="00C207FE" w:rsidRPr="00CA1E2C">
        <w:fldChar w:fldCharType="begin"/>
      </w:r>
      <w:r w:rsidR="00C207FE" w:rsidRPr="00CA1E2C">
        <w:instrText xml:space="preserve"> REF _Ref19268255 \h </w:instrText>
      </w:r>
      <w:r w:rsidR="00C17BA1" w:rsidRPr="00CA1E2C">
        <w:instrText xml:space="preserve"> \* MERGEFORMAT </w:instrText>
      </w:r>
      <w:r w:rsidR="00C207FE" w:rsidRPr="00CA1E2C">
        <w:fldChar w:fldCharType="separate"/>
      </w:r>
      <w:r w:rsidR="00C35904" w:rsidRPr="00CA1E2C">
        <w:t xml:space="preserve">Figure </w:t>
      </w:r>
      <w:r w:rsidR="00C35904">
        <w:rPr>
          <w:noProof/>
        </w:rPr>
        <w:t>2</w:t>
      </w:r>
      <w:r w:rsidR="00C207FE" w:rsidRPr="00CA1E2C">
        <w:fldChar w:fldCharType="end"/>
      </w:r>
      <w:r w:rsidR="007E6413">
        <w:t>)</w:t>
      </w:r>
      <w:r w:rsidRPr="00CA1E2C">
        <w:t xml:space="preserve">. The identity captures the past, present and future of the Australian space sector. It is undoubtedly Australian, highlighting </w:t>
      </w:r>
      <w:r w:rsidR="00325D60" w:rsidRPr="00CA1E2C">
        <w:t>the</w:t>
      </w:r>
      <w:r w:rsidRPr="00CA1E2C">
        <w:t xml:space="preserve"> unique geographical position and the strong link between space and our Indigenous people, who are </w:t>
      </w:r>
      <w:r w:rsidR="007E6413">
        <w:t xml:space="preserve">considered </w:t>
      </w:r>
      <w:r w:rsidR="00325D60" w:rsidRPr="00CA1E2C">
        <w:t>the</w:t>
      </w:r>
      <w:r w:rsidRPr="00CA1E2C">
        <w:t xml:space="preserve"> world’s oldest astronomers.</w:t>
      </w:r>
    </w:p>
    <w:p w14:paraId="50BED9A2" w14:textId="2C59AB4A" w:rsidR="00C207FE" w:rsidRPr="00CA1E2C" w:rsidRDefault="00C207FE" w:rsidP="00454F9F"/>
    <w:p w14:paraId="43EB138C" w14:textId="43A5895C" w:rsidR="00C207FE" w:rsidRPr="00CA1E2C" w:rsidRDefault="00C207FE" w:rsidP="00454F9F">
      <w:r w:rsidRPr="00CA1E2C">
        <w:rPr>
          <w:noProof/>
        </w:rPr>
        <w:drawing>
          <wp:inline distT="0" distB="0" distL="0" distR="0" wp14:anchorId="46566AE6" wp14:editId="2584E3DD">
            <wp:extent cx="6263640" cy="1292860"/>
            <wp:effectExtent l="0" t="0" r="3810" b="2540"/>
            <wp:docPr id="1" name="Picture 1" title="Australian Government and Australian Space Agency log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ustralian_Space_Agency_RGB_[blue]Government_Lockup.jpg"/>
                    <pic:cNvPicPr/>
                  </pic:nvPicPr>
                  <pic:blipFill>
                    <a:blip r:embed="rId22">
                      <a:extLst>
                        <a:ext uri="{28A0092B-C50C-407E-A947-70E740481C1C}">
                          <a14:useLocalDpi xmlns:a14="http://schemas.microsoft.com/office/drawing/2010/main" val="0"/>
                        </a:ext>
                      </a:extLst>
                    </a:blip>
                    <a:stretch>
                      <a:fillRect/>
                    </a:stretch>
                  </pic:blipFill>
                  <pic:spPr>
                    <a:xfrm>
                      <a:off x="0" y="0"/>
                      <a:ext cx="6263640" cy="1292860"/>
                    </a:xfrm>
                    <a:prstGeom prst="rect">
                      <a:avLst/>
                    </a:prstGeom>
                  </pic:spPr>
                </pic:pic>
              </a:graphicData>
            </a:graphic>
          </wp:inline>
        </w:drawing>
      </w:r>
    </w:p>
    <w:p w14:paraId="0B246D1D" w14:textId="1356C233" w:rsidR="00C207FE" w:rsidRPr="00CA1E2C" w:rsidRDefault="00C207FE" w:rsidP="00454F9F">
      <w:pPr>
        <w:pStyle w:val="Caption"/>
        <w:rPr>
          <w:rFonts w:cstheme="minorHAnsi"/>
        </w:rPr>
      </w:pPr>
      <w:bookmarkStart w:id="26" w:name="_Ref19268255"/>
      <w:bookmarkStart w:id="27" w:name="_Toc41464105"/>
      <w:r w:rsidRPr="00CA1E2C">
        <w:t xml:space="preserve">Figure </w:t>
      </w:r>
      <w:r w:rsidRPr="00CA1E2C">
        <w:fldChar w:fldCharType="begin"/>
      </w:r>
      <w:r w:rsidRPr="00CA1E2C">
        <w:instrText xml:space="preserve"> SEQ Figure \* ARABIC </w:instrText>
      </w:r>
      <w:r w:rsidRPr="00CA1E2C">
        <w:fldChar w:fldCharType="separate"/>
      </w:r>
      <w:r w:rsidR="00C35904">
        <w:rPr>
          <w:noProof/>
        </w:rPr>
        <w:t>2</w:t>
      </w:r>
      <w:r w:rsidRPr="00CA1E2C">
        <w:fldChar w:fldCharType="end"/>
      </w:r>
      <w:bookmarkEnd w:id="26"/>
      <w:r w:rsidRPr="00CA1E2C">
        <w:t xml:space="preserve"> – </w:t>
      </w:r>
      <w:r w:rsidR="00D2504D">
        <w:t>Logo</w:t>
      </w:r>
      <w:r w:rsidRPr="00CA1E2C">
        <w:t xml:space="preserve"> of the Agency</w:t>
      </w:r>
      <w:bookmarkEnd w:id="27"/>
    </w:p>
    <w:p w14:paraId="3824EA64" w14:textId="77777777" w:rsidR="00325D60" w:rsidRPr="00CA1E2C" w:rsidRDefault="00325D60" w:rsidP="00454F9F"/>
    <w:p w14:paraId="2DB62E68" w14:textId="77777777" w:rsidR="00325D60" w:rsidRPr="00CA1E2C" w:rsidRDefault="00325D60" w:rsidP="00454F9F">
      <w:pPr>
        <w:rPr>
          <w:b/>
        </w:rPr>
      </w:pPr>
      <w:r w:rsidRPr="00CA1E2C">
        <w:rPr>
          <w:b/>
        </w:rPr>
        <w:t>An explanation of the brand:</w:t>
      </w:r>
    </w:p>
    <w:p w14:paraId="62DB9A1B" w14:textId="6971E820" w:rsidR="00994861" w:rsidRPr="00CA1E2C" w:rsidRDefault="00994861" w:rsidP="00890185">
      <w:r w:rsidRPr="00CA1E2C">
        <w:t xml:space="preserve">The abstract view of </w:t>
      </w:r>
      <w:r w:rsidR="00325D60" w:rsidRPr="00CA1E2C">
        <w:t>the</w:t>
      </w:r>
      <w:r w:rsidRPr="00CA1E2C">
        <w:t xml:space="preserve"> vast continent conjures up images of Australia as seen from space: the dots allude to the light </w:t>
      </w:r>
      <w:r w:rsidR="00CA2DA9">
        <w:t xml:space="preserve">provided by </w:t>
      </w:r>
      <w:r w:rsidRPr="00CA1E2C">
        <w:t>industry and technological advances such as GPS and global monitoring. But the abstract view is also what Australians can see when they look to space. The image of the continent is actually made up of eight Aboriginal constellations and star maps, with each cluster capturing Australia’s powerful cultural heritage and the spirit of the Agency – one that looks to space to provide real improvements for life on earth</w:t>
      </w:r>
      <w:r w:rsidR="00325D60" w:rsidRPr="00CA1E2C">
        <w:t xml:space="preserve"> (refer to </w:t>
      </w:r>
      <w:r w:rsidR="002B3696">
        <w:rPr>
          <w:highlight w:val="yellow"/>
        </w:rPr>
        <w:fldChar w:fldCharType="begin"/>
      </w:r>
      <w:r w:rsidR="002B3696">
        <w:instrText xml:space="preserve"> REF _Ref36377027 \h </w:instrText>
      </w:r>
      <w:r w:rsidR="002B3696">
        <w:rPr>
          <w:highlight w:val="yellow"/>
        </w:rPr>
      </w:r>
      <w:r w:rsidR="002B3696">
        <w:rPr>
          <w:highlight w:val="yellow"/>
        </w:rPr>
        <w:fldChar w:fldCharType="separate"/>
      </w:r>
      <w:r w:rsidR="00C35904" w:rsidRPr="002B3696">
        <w:t xml:space="preserve">Figure </w:t>
      </w:r>
      <w:r w:rsidR="00C35904">
        <w:rPr>
          <w:noProof/>
        </w:rPr>
        <w:t>3</w:t>
      </w:r>
      <w:r w:rsidR="002B3696">
        <w:rPr>
          <w:highlight w:val="yellow"/>
        </w:rPr>
        <w:fldChar w:fldCharType="end"/>
      </w:r>
      <w:r w:rsidR="00325D60" w:rsidRPr="00CA1E2C">
        <w:t>)</w:t>
      </w:r>
      <w:r w:rsidRPr="00CA1E2C">
        <w:t>.</w:t>
      </w:r>
    </w:p>
    <w:p w14:paraId="1A72A9CD" w14:textId="52EB51E1" w:rsidR="00994861" w:rsidRPr="00CA1E2C" w:rsidRDefault="001D3D7B" w:rsidP="00454F9F">
      <w:r w:rsidRPr="00CA1E2C">
        <w:rPr>
          <w:noProof/>
        </w:rPr>
        <w:drawing>
          <wp:inline distT="0" distB="0" distL="0" distR="0" wp14:anchorId="2A485AAA" wp14:editId="04BD9E9B">
            <wp:extent cx="6263640" cy="2971800"/>
            <wp:effectExtent l="0" t="0" r="3810" b="0"/>
            <wp:docPr id="7" name="Picture 1" title="Hidden in the stars constel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rotWithShape="1">
                    <a:blip r:embed="rId23">
                      <a:extLst>
                        <a:ext uri="{28A0092B-C50C-407E-A947-70E740481C1C}">
                          <a14:useLocalDpi xmlns:a14="http://schemas.microsoft.com/office/drawing/2010/main" val="0"/>
                        </a:ext>
                      </a:extLst>
                    </a:blip>
                    <a:srcRect t="6487" b="9173"/>
                    <a:stretch/>
                  </pic:blipFill>
                  <pic:spPr bwMode="auto">
                    <a:xfrm>
                      <a:off x="0" y="0"/>
                      <a:ext cx="6263640" cy="2971800"/>
                    </a:xfrm>
                    <a:prstGeom prst="rect">
                      <a:avLst/>
                    </a:prstGeom>
                    <a:ln>
                      <a:noFill/>
                    </a:ln>
                    <a:extLst>
                      <a:ext uri="{53640926-AAD7-44D8-BBD7-CCE9431645EC}">
                        <a14:shadowObscured xmlns:a14="http://schemas.microsoft.com/office/drawing/2010/main"/>
                      </a:ext>
                    </a:extLst>
                  </pic:spPr>
                </pic:pic>
              </a:graphicData>
            </a:graphic>
          </wp:inline>
        </w:drawing>
      </w:r>
    </w:p>
    <w:p w14:paraId="65D483F3" w14:textId="522B9C68" w:rsidR="00FA4AF3" w:rsidRPr="00CA1E2C" w:rsidRDefault="00FA4AF3" w:rsidP="00FA4AF3">
      <w:pPr>
        <w:pStyle w:val="Caption"/>
        <w:rPr>
          <w:rFonts w:cstheme="minorHAnsi"/>
        </w:rPr>
      </w:pPr>
      <w:bookmarkStart w:id="28" w:name="_Ref36377027"/>
      <w:bookmarkStart w:id="29" w:name="_Toc41464106"/>
      <w:r w:rsidRPr="002B3696">
        <w:t xml:space="preserve">Figure </w:t>
      </w:r>
      <w:r w:rsidRPr="002B3696">
        <w:fldChar w:fldCharType="begin"/>
      </w:r>
      <w:r w:rsidRPr="002B3696">
        <w:instrText xml:space="preserve"> SEQ Figure \* ARABIC </w:instrText>
      </w:r>
      <w:r w:rsidRPr="002B3696">
        <w:fldChar w:fldCharType="separate"/>
      </w:r>
      <w:r w:rsidR="00C35904">
        <w:rPr>
          <w:noProof/>
        </w:rPr>
        <w:t>3</w:t>
      </w:r>
      <w:r w:rsidRPr="002B3696">
        <w:fldChar w:fldCharType="end"/>
      </w:r>
      <w:bookmarkEnd w:id="28"/>
      <w:r w:rsidRPr="002B3696">
        <w:t xml:space="preserve"> – </w:t>
      </w:r>
      <w:r w:rsidR="00D2504D">
        <w:t>Story of the b</w:t>
      </w:r>
      <w:r w:rsidRPr="002B3696">
        <w:t>rand of the Agency</w:t>
      </w:r>
      <w:bookmarkEnd w:id="29"/>
    </w:p>
    <w:p w14:paraId="4FD97E71" w14:textId="77777777" w:rsidR="00FA4AF3" w:rsidRPr="00CA1E2C" w:rsidRDefault="00FA4AF3" w:rsidP="00454F9F"/>
    <w:p w14:paraId="3BE8EE79" w14:textId="41D1B3F7" w:rsidR="00994861" w:rsidRPr="00CA1E2C" w:rsidRDefault="00994861" w:rsidP="00454F9F">
      <w:pPr>
        <w:pStyle w:val="Heading3"/>
      </w:pPr>
      <w:r w:rsidRPr="00CA1E2C">
        <w:t xml:space="preserve">Accomplishments of First Year </w:t>
      </w:r>
      <w:r w:rsidR="005B2F1F" w:rsidRPr="00CA1E2C">
        <w:t>(1 July 2018 – 30 June 2019)</w:t>
      </w:r>
      <w:r w:rsidRPr="00CA1E2C">
        <w:t xml:space="preserve"> </w:t>
      </w:r>
    </w:p>
    <w:p w14:paraId="52CFED09" w14:textId="0D2D01D3" w:rsidR="00994861" w:rsidRPr="00CA1E2C" w:rsidRDefault="00994861" w:rsidP="0098245E">
      <w:r w:rsidRPr="00CA1E2C">
        <w:t xml:space="preserve">The Agency was formally established on 1 </w:t>
      </w:r>
      <w:r w:rsidR="006B7D27" w:rsidRPr="00CA1E2C">
        <w:t>July</w:t>
      </w:r>
      <w:r w:rsidRPr="00CA1E2C">
        <w:t xml:space="preserve"> 2018 and immediately undertook an intense period of activity which included wide-ranging consultation with industry and meetings with state and territory representatives to understand their current and future commitments into the space economy. International promotion of the Agency and Australian space capability was also an early priority.</w:t>
      </w:r>
      <w:r w:rsidR="00BC385C">
        <w:t xml:space="preserve"> </w:t>
      </w:r>
      <w:r w:rsidRPr="00CA1E2C">
        <w:t>The Agency</w:t>
      </w:r>
      <w:r w:rsidR="00BC385C">
        <w:t>’s</w:t>
      </w:r>
      <w:r w:rsidRPr="00CA1E2C">
        <w:t xml:space="preserve"> Charter </w:t>
      </w:r>
      <w:r w:rsidR="00D30E7C" w:rsidRPr="00CA1E2C">
        <w:t xml:space="preserve">was </w:t>
      </w:r>
      <w:r w:rsidR="005D7667">
        <w:t xml:space="preserve">established and </w:t>
      </w:r>
      <w:r w:rsidRPr="00CA1E2C">
        <w:t>approved</w:t>
      </w:r>
      <w:r w:rsidR="0098245E" w:rsidRPr="00CA1E2C">
        <w:t xml:space="preserve"> by the Prime Minister</w:t>
      </w:r>
      <w:r w:rsidR="005D7667">
        <w:t>.</w:t>
      </w:r>
    </w:p>
    <w:p w14:paraId="0DC5496A" w14:textId="32B2799F" w:rsidR="00994861" w:rsidRPr="00CA1E2C" w:rsidRDefault="00994861" w:rsidP="0098245E">
      <w:pPr>
        <w:rPr>
          <w:bCs/>
          <w:szCs w:val="22"/>
        </w:rPr>
      </w:pPr>
      <w:r w:rsidRPr="00CA1E2C">
        <w:t>The Agency signed its first Memorandum of Understanding (MoU) with an international space agency (France</w:t>
      </w:r>
      <w:r w:rsidR="00CA2DA9">
        <w:t>’s CNES</w:t>
      </w:r>
      <w:r w:rsidRPr="00CA1E2C">
        <w:t xml:space="preserve">) in September 2018. At the </w:t>
      </w:r>
      <w:r w:rsidR="001C2B84" w:rsidRPr="00CA1E2C">
        <w:t>IAC</w:t>
      </w:r>
      <w:r w:rsidRPr="00CA1E2C">
        <w:t xml:space="preserve"> in Bremen, in October 2018, two further MoUs were signed with </w:t>
      </w:r>
      <w:r w:rsidR="00F41ED4" w:rsidRPr="00CA1E2C">
        <w:t xml:space="preserve">the </w:t>
      </w:r>
      <w:r w:rsidRPr="00CA1E2C">
        <w:t>space agencies of Canada and the United Kingdom</w:t>
      </w:r>
      <w:r w:rsidR="00E67E34" w:rsidRPr="00CA1E2C">
        <w:t xml:space="preserve"> (UK)</w:t>
      </w:r>
      <w:r w:rsidRPr="00CA1E2C">
        <w:t xml:space="preserve">. An additional MoU with the United Arab Emirates Space Agency was signed in February 2019. </w:t>
      </w:r>
      <w:r w:rsidRPr="00CA1E2C">
        <w:rPr>
          <w:bCs/>
          <w:szCs w:val="22"/>
        </w:rPr>
        <w:t xml:space="preserve">The Agency </w:t>
      </w:r>
      <w:r w:rsidR="0098245E" w:rsidRPr="00CA1E2C">
        <w:rPr>
          <w:bCs/>
          <w:szCs w:val="22"/>
        </w:rPr>
        <w:t>continues to engage with other international space agencies to secure MoUs</w:t>
      </w:r>
      <w:r w:rsidRPr="00CA1E2C">
        <w:rPr>
          <w:bCs/>
          <w:szCs w:val="22"/>
        </w:rPr>
        <w:t>.</w:t>
      </w:r>
    </w:p>
    <w:p w14:paraId="21EB16CC" w14:textId="78BB9E2C" w:rsidR="00994861" w:rsidRPr="00CA1E2C" w:rsidRDefault="007B3819" w:rsidP="0098245E">
      <w:r w:rsidRPr="00CA1E2C">
        <w:t xml:space="preserve">In September 2018, </w:t>
      </w:r>
      <w:r w:rsidR="00994861" w:rsidRPr="00CA1E2C">
        <w:t>the Agency signed its first Statement of Strategic Intent</w:t>
      </w:r>
      <w:r w:rsidR="006B7D27" w:rsidRPr="00CA1E2C">
        <w:t xml:space="preserve"> and Cooperation</w:t>
      </w:r>
      <w:r w:rsidR="00994861" w:rsidRPr="00CA1E2C">
        <w:t xml:space="preserve"> (SSI) with European aerospace manufacturer Airbus Defence and Space SAS</w:t>
      </w:r>
      <w:r w:rsidRPr="00CA1E2C">
        <w:t xml:space="preserve">. Another five SSIs were signed by June 2019: </w:t>
      </w:r>
      <w:r w:rsidR="00994861" w:rsidRPr="00CA1E2C">
        <w:t xml:space="preserve">Italian satellite company </w:t>
      </w:r>
      <w:proofErr w:type="spellStart"/>
      <w:r w:rsidR="00994861" w:rsidRPr="00CA1E2C">
        <w:t>Sitael</w:t>
      </w:r>
      <w:proofErr w:type="spellEnd"/>
      <w:r w:rsidRPr="00CA1E2C">
        <w:t xml:space="preserve"> (October 2018);</w:t>
      </w:r>
      <w:r w:rsidR="00994861" w:rsidRPr="00CA1E2C">
        <w:t xml:space="preserve"> Australian space and defence company Nova Systems (December 2018); </w:t>
      </w:r>
      <w:r w:rsidR="0098245E" w:rsidRPr="00CA1E2C">
        <w:t>United States</w:t>
      </w:r>
      <w:r w:rsidR="0035704D" w:rsidRPr="00CA1E2C">
        <w:t xml:space="preserve"> (US)</w:t>
      </w:r>
      <w:r w:rsidR="00994861" w:rsidRPr="00CA1E2C">
        <w:t xml:space="preserve"> aerospace companies Lockheed Martin (January 2019) and Boeing (March 2019); space communications company </w:t>
      </w:r>
      <w:proofErr w:type="spellStart"/>
      <w:r w:rsidR="00994861" w:rsidRPr="00CA1E2C">
        <w:t>Goonhilly</w:t>
      </w:r>
      <w:proofErr w:type="spellEnd"/>
      <w:r w:rsidR="00994861" w:rsidRPr="00CA1E2C">
        <w:t xml:space="preserve"> Earth Station (Feb</w:t>
      </w:r>
      <w:r w:rsidR="0098245E" w:rsidRPr="00CA1E2C">
        <w:t>ruary</w:t>
      </w:r>
      <w:r w:rsidR="00994861" w:rsidRPr="00CA1E2C">
        <w:t xml:space="preserve"> 2019) and Australian oil and gas company Woodside Energy (March 2019)</w:t>
      </w:r>
      <w:r w:rsidR="0098245E" w:rsidRPr="00CA1E2C">
        <w:t>.</w:t>
      </w:r>
    </w:p>
    <w:p w14:paraId="52D650D9" w14:textId="7DD413B1" w:rsidR="00994861" w:rsidRPr="00CA1E2C" w:rsidRDefault="005C3804" w:rsidP="0098245E">
      <w:r w:rsidRPr="00CA1E2C">
        <w:lastRenderedPageBreak/>
        <w:t xml:space="preserve">To advance the Agency’s national engagement role, </w:t>
      </w:r>
      <w:r w:rsidR="00994861" w:rsidRPr="00CA1E2C">
        <w:t>MoUs were signed with New South Wales and the Australian Capital Territory in March 2019. Further</w:t>
      </w:r>
      <w:r w:rsidR="007B3819" w:rsidRPr="00CA1E2C">
        <w:t xml:space="preserve"> </w:t>
      </w:r>
      <w:r w:rsidR="00D30E7C" w:rsidRPr="00CA1E2C">
        <w:t>s</w:t>
      </w:r>
      <w:r w:rsidR="007B3819" w:rsidRPr="00CA1E2C">
        <w:t xml:space="preserve">tate and </w:t>
      </w:r>
      <w:r w:rsidR="00D30E7C" w:rsidRPr="00CA1E2C">
        <w:t>t</w:t>
      </w:r>
      <w:r w:rsidR="007B3819" w:rsidRPr="00CA1E2C">
        <w:t>erritory</w:t>
      </w:r>
      <w:r w:rsidR="00994861" w:rsidRPr="00CA1E2C">
        <w:t xml:space="preserve"> MoUs are expected to be signed </w:t>
      </w:r>
      <w:r w:rsidR="0098245E" w:rsidRPr="00CA1E2C">
        <w:t>in the next year.</w:t>
      </w:r>
    </w:p>
    <w:p w14:paraId="298E924C" w14:textId="4C04784B" w:rsidR="00994861" w:rsidRPr="00CA1E2C" w:rsidRDefault="00994861" w:rsidP="0098245E">
      <w:r w:rsidRPr="00CA1E2C">
        <w:t xml:space="preserve">The </w:t>
      </w:r>
      <w:r w:rsidR="007318E9" w:rsidRPr="00CA1E2C">
        <w:rPr>
          <w:i/>
        </w:rPr>
        <w:t>Australian</w:t>
      </w:r>
      <w:r w:rsidRPr="00CA1E2C">
        <w:rPr>
          <w:i/>
        </w:rPr>
        <w:t xml:space="preserve"> Civil Space Strategy</w:t>
      </w:r>
      <w:r w:rsidRPr="00CA1E2C">
        <w:t xml:space="preserve"> for the decade 2019-2028 was released in April 2019. Building on the work of the Expert Reference Group, released in 2018, it presents a pathway for the Agency to achieve the Government’s goal of growing the Australian space industry to $12 billion per annum and creating</w:t>
      </w:r>
      <w:r w:rsidR="0098245E" w:rsidRPr="00CA1E2C">
        <w:t xml:space="preserve"> up to</w:t>
      </w:r>
      <w:r w:rsidRPr="00CA1E2C">
        <w:t xml:space="preserve"> 20,000 new space sector jobs by 2030. </w:t>
      </w:r>
    </w:p>
    <w:p w14:paraId="5D8F316C" w14:textId="55DC0138" w:rsidR="00994861" w:rsidRPr="00CA1E2C" w:rsidRDefault="00994861" w:rsidP="0098245E">
      <w:pPr>
        <w:rPr>
          <w:color w:val="auto"/>
        </w:rPr>
      </w:pPr>
      <w:r w:rsidRPr="00CA1E2C">
        <w:t xml:space="preserve">The Agency facilitated three Priority Area workshops, in the fields of Space Situational Awareness, Robotics &amp; </w:t>
      </w:r>
      <w:r w:rsidRPr="00CA1E2C">
        <w:rPr>
          <w:color w:val="auto"/>
        </w:rPr>
        <w:t xml:space="preserve">Automation and Communications Technologies. Over 750 participants registered for these events. </w:t>
      </w:r>
    </w:p>
    <w:p w14:paraId="15897862" w14:textId="1ED486E3" w:rsidR="00776FF3" w:rsidRPr="00CA1E2C" w:rsidRDefault="005C3804" w:rsidP="0098245E">
      <w:pPr>
        <w:rPr>
          <w:color w:val="auto"/>
        </w:rPr>
      </w:pPr>
      <w:r w:rsidRPr="00CA1E2C">
        <w:rPr>
          <w:color w:val="auto"/>
        </w:rPr>
        <w:t xml:space="preserve">In advance of the commencement of </w:t>
      </w:r>
      <w:r w:rsidR="00BC385C">
        <w:rPr>
          <w:color w:val="auto"/>
        </w:rPr>
        <w:t xml:space="preserve">the </w:t>
      </w:r>
      <w:r w:rsidR="0098245E" w:rsidRPr="00CA1E2C">
        <w:rPr>
          <w:color w:val="auto"/>
        </w:rPr>
        <w:t>ISI</w:t>
      </w:r>
      <w:r w:rsidRPr="00CA1E2C">
        <w:rPr>
          <w:color w:val="auto"/>
        </w:rPr>
        <w:t xml:space="preserve"> </w:t>
      </w:r>
      <w:r w:rsidR="00BC385C">
        <w:rPr>
          <w:color w:val="auto"/>
        </w:rPr>
        <w:t>initiative</w:t>
      </w:r>
      <w:r w:rsidRPr="00CA1E2C">
        <w:rPr>
          <w:color w:val="auto"/>
        </w:rPr>
        <w:t>, eight consultation sessions were held, one in each state and territory, in June 2019.</w:t>
      </w:r>
    </w:p>
    <w:p w14:paraId="5967D579" w14:textId="715870BB" w:rsidR="00994861" w:rsidRPr="00CA1E2C" w:rsidRDefault="00994861" w:rsidP="0098245E">
      <w:r w:rsidRPr="00CA1E2C">
        <w:t>Significant excitement about the Agency was evident across Australia, with an estimated cumulative media reach of 71 million</w:t>
      </w:r>
      <w:r w:rsidR="0098245E" w:rsidRPr="00CA1E2C">
        <w:t>, to 30 June</w:t>
      </w:r>
      <w:r w:rsidR="00977EE4" w:rsidRPr="00CA1E2C">
        <w:t xml:space="preserve"> 2019,</w:t>
      </w:r>
      <w:r w:rsidRPr="00CA1E2C">
        <w:t xml:space="preserve"> meaning the majority of Australians heard or saw news on the Agency in its first year of operation</w:t>
      </w:r>
      <w:r w:rsidR="008471AE">
        <w:t>, many multiple times</w:t>
      </w:r>
      <w:r w:rsidRPr="00CA1E2C">
        <w:t>. In September 2018, the Agency established its social media presence with Twitter (9</w:t>
      </w:r>
      <w:r w:rsidR="008471AE">
        <w:t>,</w:t>
      </w:r>
      <w:r w:rsidRPr="00CA1E2C">
        <w:t>890 followers by end June 2019) and LinkedIn (8</w:t>
      </w:r>
      <w:r w:rsidR="008471AE">
        <w:t>,</w:t>
      </w:r>
      <w:r w:rsidRPr="00CA1E2C">
        <w:t xml:space="preserve">469 followers) accounts. A fortnightly </w:t>
      </w:r>
      <w:r w:rsidR="006B7D27" w:rsidRPr="00CA1E2C">
        <w:t>Agency n</w:t>
      </w:r>
      <w:r w:rsidRPr="00CA1E2C">
        <w:t>ewsletter commenced on 5 September</w:t>
      </w:r>
      <w:r w:rsidR="0098245E" w:rsidRPr="00CA1E2C">
        <w:t xml:space="preserve"> 2018</w:t>
      </w:r>
      <w:r w:rsidRPr="00CA1E2C">
        <w:t xml:space="preserve">, with a steadily growing number of subscribers (2,823 by end June 2019). A public document </w:t>
      </w:r>
      <w:r w:rsidRPr="00CA1E2C">
        <w:rPr>
          <w:i/>
        </w:rPr>
        <w:t>Welcome to the Australian Space Agency</w:t>
      </w:r>
      <w:r w:rsidRPr="00CA1E2C">
        <w:t xml:space="preserve"> was also produced to share the Agency’s roles and priorities. An additional public document </w:t>
      </w:r>
      <w:r w:rsidRPr="00CA1E2C">
        <w:rPr>
          <w:i/>
        </w:rPr>
        <w:t>About the Agency</w:t>
      </w:r>
      <w:r w:rsidRPr="00CA1E2C">
        <w:t xml:space="preserve"> was produced following the release of the </w:t>
      </w:r>
      <w:r w:rsidRPr="00694B2E">
        <w:rPr>
          <w:i/>
        </w:rPr>
        <w:t>Australian Civil Space Strategy</w:t>
      </w:r>
      <w:r w:rsidRPr="00CA1E2C">
        <w:t>. The Agency brand was released in November 2018.</w:t>
      </w:r>
    </w:p>
    <w:p w14:paraId="3BDC28B8" w14:textId="6C4FC01F" w:rsidR="00240AAA" w:rsidRDefault="00EF2EFA" w:rsidP="0098245E">
      <w:r w:rsidRPr="00CA1E2C">
        <w:t xml:space="preserve">The </w:t>
      </w:r>
      <w:r w:rsidR="00994861" w:rsidRPr="00CA1E2C">
        <w:t xml:space="preserve">Agency </w:t>
      </w:r>
      <w:r w:rsidR="001F5940" w:rsidRPr="00CA1E2C">
        <w:t>also engaged with s</w:t>
      </w:r>
      <w:r w:rsidRPr="00CA1E2C">
        <w:t xml:space="preserve">tates and </w:t>
      </w:r>
      <w:r w:rsidR="001F5940" w:rsidRPr="00CA1E2C">
        <w:t>t</w:t>
      </w:r>
      <w:r w:rsidRPr="00CA1E2C">
        <w:t xml:space="preserve">erritories </w:t>
      </w:r>
      <w:r w:rsidR="00994861" w:rsidRPr="00CA1E2C">
        <w:t xml:space="preserve">regarding its permanent location arrangements. This elicited active interest and on 12 December 2018 the Prime Minister announced that the </w:t>
      </w:r>
      <w:r w:rsidRPr="00CA1E2C">
        <w:t xml:space="preserve">headquarters of the </w:t>
      </w:r>
      <w:r w:rsidR="00994861" w:rsidRPr="00CA1E2C">
        <w:t xml:space="preserve">Agency would be located in Adelaide. Staff were progressively </w:t>
      </w:r>
      <w:r w:rsidR="0098245E" w:rsidRPr="00CA1E2C">
        <w:t>recruited</w:t>
      </w:r>
      <w:r w:rsidR="00994861" w:rsidRPr="00CA1E2C">
        <w:t xml:space="preserve"> in Adelaide from January 2019.</w:t>
      </w:r>
    </w:p>
    <w:p w14:paraId="25961A18" w14:textId="1FDA3651" w:rsidR="00BC385C" w:rsidRPr="00CA1E2C" w:rsidRDefault="00651BE1" w:rsidP="00BC385C">
      <w:r w:rsidRPr="00CA1E2C">
        <w:t xml:space="preserve">On its establishment, the Agency </w:t>
      </w:r>
      <w:r>
        <w:t xml:space="preserve">also </w:t>
      </w:r>
      <w:r w:rsidRPr="00CA1E2C">
        <w:t>assumed responsibility for administering space activities legislation</w:t>
      </w:r>
      <w:r>
        <w:t xml:space="preserve">. </w:t>
      </w:r>
      <w:r w:rsidR="00D17324">
        <w:t>In light of the Agency’s regulatory activities, t</w:t>
      </w:r>
      <w:r w:rsidR="00BC385C" w:rsidRPr="00CA1E2C">
        <w:t xml:space="preserve">he </w:t>
      </w:r>
      <w:r w:rsidR="00BC385C" w:rsidRPr="00CA1E2C">
        <w:rPr>
          <w:i/>
        </w:rPr>
        <w:t>Space Activities Amendment (Launches and Returns) Act 2018</w:t>
      </w:r>
      <w:r w:rsidR="00BC385C" w:rsidRPr="00CA1E2C">
        <w:t xml:space="preserve"> passed both Houses of Parliament and received Royal Assent on 31 August 2018</w:t>
      </w:r>
      <w:r w:rsidR="00F45156">
        <w:t xml:space="preserve">, coming </w:t>
      </w:r>
      <w:r w:rsidR="00BC385C" w:rsidRPr="00CA1E2C">
        <w:t xml:space="preserve">into force in August 2019. The amended Act ensures that Australia's space regulation supports the growth of our space capabilities while ensuring safe and responsible activities. </w:t>
      </w:r>
    </w:p>
    <w:p w14:paraId="29B68B2F" w14:textId="79FCBD4A" w:rsidR="00BC385C" w:rsidRDefault="00BC385C" w:rsidP="0098245E">
      <w:r w:rsidRPr="00CA1E2C">
        <w:t xml:space="preserve">Following the passage of the Act, work commenced on the development of the associated Rules. </w:t>
      </w:r>
      <w:r w:rsidRPr="00CA1E2C">
        <w:rPr>
          <w:color w:val="auto"/>
        </w:rPr>
        <w:t xml:space="preserve">During </w:t>
      </w:r>
      <w:r w:rsidRPr="00CA1E2C">
        <w:t xml:space="preserve">May and June 2019, eight stakeholder consultations (one in each state and territory) were held to inform the framing of these Rules, two of which will come into force with the Act in August 2019. </w:t>
      </w:r>
      <w:r w:rsidRPr="00CA1E2C">
        <w:rPr>
          <w:color w:val="auto"/>
          <w:lang w:eastAsia="en-US"/>
        </w:rPr>
        <w:t>The Agency consulted on a draft Cost Recovery Implementation Statement in November and December 2018.</w:t>
      </w:r>
    </w:p>
    <w:p w14:paraId="45DAA284" w14:textId="2ED2F63A" w:rsidR="00113422" w:rsidRDefault="00113422" w:rsidP="00531ABF">
      <w:pPr>
        <w:jc w:val="center"/>
      </w:pPr>
      <w:r>
        <w:rPr>
          <w:noProof/>
        </w:rPr>
        <w:drawing>
          <wp:inline distT="0" distB="0" distL="0" distR="0" wp14:anchorId="6E3CDCC5" wp14:editId="3EC9B817">
            <wp:extent cx="5127266" cy="2549598"/>
            <wp:effectExtent l="0" t="0" r="0" b="3175"/>
            <wp:docPr id="8" name="Picture 8" title="Agency team at the first anniversary of the Agency establish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Australian Space Agency 1st Anniverary team.jpg"/>
                    <pic:cNvPicPr/>
                  </pic:nvPicPr>
                  <pic:blipFill rotWithShape="1">
                    <a:blip r:embed="rId24">
                      <a:extLst>
                        <a:ext uri="{28A0092B-C50C-407E-A947-70E740481C1C}">
                          <a14:useLocalDpi xmlns:a14="http://schemas.microsoft.com/office/drawing/2010/main" val="0"/>
                        </a:ext>
                      </a:extLst>
                    </a:blip>
                    <a:srcRect t="7136" b="26562"/>
                    <a:stretch/>
                  </pic:blipFill>
                  <pic:spPr bwMode="auto">
                    <a:xfrm rot="10800000">
                      <a:off x="0" y="0"/>
                      <a:ext cx="5149621" cy="2560714"/>
                    </a:xfrm>
                    <a:prstGeom prst="rect">
                      <a:avLst/>
                    </a:prstGeom>
                    <a:ln>
                      <a:noFill/>
                    </a:ln>
                    <a:extLst>
                      <a:ext uri="{53640926-AAD7-44D8-BBD7-CCE9431645EC}">
                        <a14:shadowObscured xmlns:a14="http://schemas.microsoft.com/office/drawing/2010/main"/>
                      </a:ext>
                    </a:extLst>
                  </pic:spPr>
                </pic:pic>
              </a:graphicData>
            </a:graphic>
          </wp:inline>
        </w:drawing>
      </w:r>
    </w:p>
    <w:p w14:paraId="08130060" w14:textId="6B89E568" w:rsidR="00240AAA" w:rsidRDefault="00240AAA" w:rsidP="00240AAA">
      <w:pPr>
        <w:pStyle w:val="Caption"/>
      </w:pPr>
      <w:bookmarkStart w:id="30" w:name="_Toc41464107"/>
      <w:r>
        <w:t xml:space="preserve">Figure </w:t>
      </w:r>
      <w:r>
        <w:fldChar w:fldCharType="begin"/>
      </w:r>
      <w:r>
        <w:instrText xml:space="preserve"> SEQ Figure \* ARABIC </w:instrText>
      </w:r>
      <w:r>
        <w:fldChar w:fldCharType="separate"/>
      </w:r>
      <w:r w:rsidR="00C35904">
        <w:rPr>
          <w:noProof/>
        </w:rPr>
        <w:t>4</w:t>
      </w:r>
      <w:r>
        <w:fldChar w:fldCharType="end"/>
      </w:r>
      <w:r>
        <w:t xml:space="preserve"> – First anniversary of Agency establishmen</w:t>
      </w:r>
      <w:r w:rsidR="007E3254">
        <w:t>t</w:t>
      </w:r>
      <w:bookmarkEnd w:id="30"/>
    </w:p>
    <w:p w14:paraId="48C69D14" w14:textId="17B2CAEE" w:rsidR="00F85B0F" w:rsidRDefault="00F85B0F" w:rsidP="00F85B0F">
      <w:pPr>
        <w:pStyle w:val="Heading1"/>
      </w:pPr>
      <w:bookmarkStart w:id="31" w:name="_Toc40946042"/>
      <w:bookmarkStart w:id="32" w:name="_Toc19265761"/>
      <w:r>
        <w:lastRenderedPageBreak/>
        <w:t>Measuring Success</w:t>
      </w:r>
      <w:bookmarkEnd w:id="31"/>
    </w:p>
    <w:p w14:paraId="336451A9" w14:textId="6FF6AF60" w:rsidR="00F85B0F" w:rsidRPr="003C71D1" w:rsidRDefault="00780260" w:rsidP="003C71D1">
      <w:pPr>
        <w:adjustRightInd w:val="0"/>
        <w:snapToGrid w:val="0"/>
        <w:spacing w:before="340" w:after="360" w:line="400" w:lineRule="atLeast"/>
        <w:rPr>
          <w:rFonts w:ascii="Calibri" w:hAnsi="Calibri"/>
          <w:i/>
          <w:color w:val="004976"/>
          <w:sz w:val="32"/>
        </w:rPr>
      </w:pPr>
      <w:r w:rsidRPr="003C71D1">
        <w:rPr>
          <w:rFonts w:ascii="Calibri" w:hAnsi="Calibri"/>
          <w:i/>
          <w:color w:val="004976"/>
          <w:sz w:val="32"/>
        </w:rPr>
        <w:t>Activities</w:t>
      </w:r>
      <w:r w:rsidR="008720D8" w:rsidRPr="003C71D1">
        <w:rPr>
          <w:rFonts w:ascii="Calibri" w:hAnsi="Calibri"/>
          <w:i/>
          <w:color w:val="004976"/>
          <w:sz w:val="32"/>
        </w:rPr>
        <w:t xml:space="preserve"> under the four Strategic Space Pillars will grow and transform Australia’s space industry and position Australia to triple the space sector’s contribution to GDP to over $12 billion per annum and create an additional 20,000 jobs by 2030. </w:t>
      </w:r>
    </w:p>
    <w:p w14:paraId="7287BE78" w14:textId="6A4FEB28" w:rsidR="00780260" w:rsidRDefault="003C71D1">
      <w:pPr>
        <w:spacing w:after="0"/>
      </w:pPr>
      <w:r>
        <w:t xml:space="preserve">The </w:t>
      </w:r>
      <w:r w:rsidR="00E92230" w:rsidRPr="005D7667">
        <w:rPr>
          <w:i/>
        </w:rPr>
        <w:t xml:space="preserve">Australian Civil Space </w:t>
      </w:r>
      <w:r w:rsidRPr="005D7667">
        <w:rPr>
          <w:i/>
        </w:rPr>
        <w:t>Strategy</w:t>
      </w:r>
      <w:r>
        <w:t xml:space="preserve"> outlines the ta</w:t>
      </w:r>
      <w:r w:rsidR="00E92230">
        <w:t>rgets for measuring the success:</w:t>
      </w:r>
    </w:p>
    <w:p w14:paraId="5CA2FCA0" w14:textId="29A93AEA" w:rsidR="00780260" w:rsidRDefault="00780260" w:rsidP="00780260">
      <w:pPr>
        <w:pStyle w:val="ListNumber"/>
        <w:numPr>
          <w:ilvl w:val="0"/>
          <w:numId w:val="21"/>
        </w:numPr>
      </w:pPr>
      <w:r>
        <w:t>Stimulate at least $1 billion pipeline in inward capital investment in Australia’s space industry between 2019 and 2025, including R&amp;D investment and infrastructure investment.</w:t>
      </w:r>
    </w:p>
    <w:p w14:paraId="407CE8D7" w14:textId="5AB0C1FA" w:rsidR="00780260" w:rsidRDefault="00780260" w:rsidP="00780260">
      <w:pPr>
        <w:pStyle w:val="ListNumber"/>
      </w:pPr>
      <w:r>
        <w:t>Achieve year-on-year growth of the Australian space industry that exceeds 8.5 per cent per annum.</w:t>
      </w:r>
    </w:p>
    <w:p w14:paraId="3404F000" w14:textId="21F54DA7" w:rsidR="00780260" w:rsidRDefault="00780260" w:rsidP="00780260">
      <w:pPr>
        <w:pStyle w:val="ListNumber"/>
      </w:pPr>
      <w:r>
        <w:t>Achieve year-on-year growth of direct and indirect jobs that would meet a target of 20,000 additional jobs by 2030.</w:t>
      </w:r>
    </w:p>
    <w:p w14:paraId="69625DE9" w14:textId="59AB76B1" w:rsidR="00780260" w:rsidRDefault="00780260" w:rsidP="00780260">
      <w:pPr>
        <w:pStyle w:val="ListNumber"/>
      </w:pPr>
      <w:r>
        <w:t>Create a regulatory framework that ensures effective, efficient, and safe space activities.</w:t>
      </w:r>
    </w:p>
    <w:p w14:paraId="4A0E8A82" w14:textId="2AE46C47" w:rsidR="00780260" w:rsidRDefault="00780260" w:rsidP="00780260">
      <w:pPr>
        <w:pStyle w:val="ListNumber"/>
      </w:pPr>
      <w:r>
        <w:t>Increase awareness of space activities and the impact on the Australian economy, cumulatively reaching at least 10 million Australians per year.</w:t>
      </w:r>
    </w:p>
    <w:p w14:paraId="232138FB" w14:textId="77777777" w:rsidR="00780260" w:rsidRDefault="00780260">
      <w:pPr>
        <w:spacing w:after="0"/>
      </w:pPr>
    </w:p>
    <w:p w14:paraId="2A9DA028" w14:textId="12DA2D93" w:rsidR="00F85B0F" w:rsidRDefault="003C71D1" w:rsidP="003C71D1">
      <w:pPr>
        <w:pStyle w:val="Heading2"/>
      </w:pPr>
      <w:r>
        <w:t>Progress against measures</w:t>
      </w:r>
    </w:p>
    <w:p w14:paraId="12E5A54B" w14:textId="29AE4039" w:rsidR="003C71D1" w:rsidRDefault="002E56C7" w:rsidP="00284CA5">
      <w:r>
        <w:t xml:space="preserve">The Agency has commenced a project to baseline </w:t>
      </w:r>
      <w:r w:rsidR="00CF02C6">
        <w:t>the economic performance of</w:t>
      </w:r>
      <w:r>
        <w:t xml:space="preserve"> </w:t>
      </w:r>
      <w:r w:rsidR="009A7990">
        <w:t xml:space="preserve">the </w:t>
      </w:r>
      <w:r>
        <w:t xml:space="preserve">space sector in order to measure and report against the targets outlined. It is intended that an economic report is undertaken every two years to report on progress. Future </w:t>
      </w:r>
      <w:r w:rsidRPr="009E6F74">
        <w:rPr>
          <w:i/>
        </w:rPr>
        <w:t>State of Space</w:t>
      </w:r>
      <w:r w:rsidR="009E6F74">
        <w:t xml:space="preserve"> r</w:t>
      </w:r>
      <w:r>
        <w:t xml:space="preserve">eports will include </w:t>
      </w:r>
      <w:r w:rsidR="00284CA5">
        <w:t xml:space="preserve">an </w:t>
      </w:r>
      <w:r>
        <w:t>economic assessment.</w:t>
      </w:r>
    </w:p>
    <w:p w14:paraId="4D9319AF" w14:textId="690D6C7A" w:rsidR="00C64243" w:rsidRDefault="00C64243" w:rsidP="00284CA5">
      <w:r>
        <w:t xml:space="preserve">It is clear that the space sector is growing rapidly. The </w:t>
      </w:r>
      <w:r w:rsidR="00CA2DA9">
        <w:t xml:space="preserve">global </w:t>
      </w:r>
      <w:r>
        <w:t>space industry is worth US$350 billion in 2018-19 and is forecast to grow over US$1.1 trillion by 2040</w:t>
      </w:r>
      <w:r>
        <w:rPr>
          <w:rStyle w:val="FootnoteReference"/>
        </w:rPr>
        <w:footnoteReference w:id="3"/>
      </w:r>
      <w:r>
        <w:t>.</w:t>
      </w:r>
    </w:p>
    <w:p w14:paraId="62095D14" w14:textId="0FC6E288" w:rsidR="00E92230" w:rsidRDefault="00E92230" w:rsidP="00284CA5">
      <w:r>
        <w:t xml:space="preserve">Whilst the Agency is developing a baseline for analysis, </w:t>
      </w:r>
      <w:r w:rsidR="009A7990">
        <w:t xml:space="preserve">the </w:t>
      </w:r>
      <w:r w:rsidRPr="00284CA5">
        <w:t>IBIS World</w:t>
      </w:r>
      <w:r w:rsidR="009A7990">
        <w:t xml:space="preserve"> Satellite Communications and Astronautics in Australia industry report</w:t>
      </w:r>
      <w:r w:rsidR="00FA3342">
        <w:rPr>
          <w:rStyle w:val="FootnoteReference"/>
        </w:rPr>
        <w:footnoteReference w:id="4"/>
      </w:r>
      <w:r w:rsidRPr="00284CA5">
        <w:t xml:space="preserve"> provides a snapshot of the Australian space sector </w:t>
      </w:r>
      <w:r w:rsidR="007334AD">
        <w:t>which is outlined below to show preliminary outcomes.</w:t>
      </w:r>
    </w:p>
    <w:p w14:paraId="2A855175" w14:textId="57138C36" w:rsidR="00DC62BD" w:rsidRDefault="00DC62BD" w:rsidP="00DC62BD">
      <w:pPr>
        <w:pStyle w:val="Caption"/>
      </w:pPr>
      <w:bookmarkStart w:id="33" w:name="_Toc40946019"/>
      <w:r>
        <w:t xml:space="preserve">Table </w:t>
      </w:r>
      <w:r>
        <w:fldChar w:fldCharType="begin"/>
      </w:r>
      <w:r>
        <w:instrText xml:space="preserve"> SEQ Table \* ARABIC </w:instrText>
      </w:r>
      <w:r>
        <w:fldChar w:fldCharType="separate"/>
      </w:r>
      <w:r w:rsidR="00C35904">
        <w:rPr>
          <w:noProof/>
        </w:rPr>
        <w:t>1</w:t>
      </w:r>
      <w:r>
        <w:fldChar w:fldCharType="end"/>
      </w:r>
      <w:r>
        <w:t xml:space="preserve"> – Progress against measures of success</w:t>
      </w:r>
      <w:r w:rsidR="00841028">
        <w:t xml:space="preserve"> (using the IBIS World report)</w:t>
      </w:r>
      <w:bookmarkEnd w:id="33"/>
      <w:r w:rsidR="00AA088A">
        <w:t xml:space="preserve"> </w:t>
      </w:r>
    </w:p>
    <w:tbl>
      <w:tblPr>
        <w:tblStyle w:val="ASATable"/>
        <w:tblW w:w="4958" w:type="pct"/>
        <w:tblInd w:w="2" w:type="dxa"/>
        <w:tblLook w:val="04A0" w:firstRow="1" w:lastRow="0" w:firstColumn="1" w:lastColumn="0" w:noHBand="0" w:noVBand="1"/>
        <w:tblCaption w:val="Table 1 – Progress against measures of success (using the IBIS World report) "/>
      </w:tblPr>
      <w:tblGrid>
        <w:gridCol w:w="2547"/>
        <w:gridCol w:w="7228"/>
      </w:tblGrid>
      <w:tr w:rsidR="00E92230" w:rsidRPr="00CA1E2C" w14:paraId="0D945759" w14:textId="77777777" w:rsidTr="0085716A">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303" w:type="pct"/>
          </w:tcPr>
          <w:p w14:paraId="14FC7E94" w14:textId="4293120D" w:rsidR="00E92230" w:rsidRPr="00CA1E2C" w:rsidRDefault="00E92230" w:rsidP="0085716A">
            <w:pPr>
              <w:pStyle w:val="TableHeading"/>
              <w:rPr>
                <w:b/>
                <w:color w:val="FFFFFF" w:themeColor="background1"/>
                <w:szCs w:val="22"/>
              </w:rPr>
            </w:pPr>
            <w:r>
              <w:rPr>
                <w:b/>
                <w:color w:val="FFFFFF" w:themeColor="background1"/>
                <w:szCs w:val="22"/>
              </w:rPr>
              <w:t>Target</w:t>
            </w:r>
          </w:p>
        </w:tc>
        <w:tc>
          <w:tcPr>
            <w:tcW w:w="3697" w:type="pct"/>
          </w:tcPr>
          <w:p w14:paraId="3590C2F7" w14:textId="1F284362" w:rsidR="00E92230" w:rsidRPr="00CA1E2C" w:rsidRDefault="00E92230" w:rsidP="00E92230">
            <w:pPr>
              <w:pStyle w:val="TableHeading"/>
              <w:jc w:val="left"/>
              <w:cnfStyle w:val="100000000000" w:firstRow="1" w:lastRow="0" w:firstColumn="0" w:lastColumn="0" w:oddVBand="0" w:evenVBand="0" w:oddHBand="0" w:evenHBand="0" w:firstRowFirstColumn="0" w:firstRowLastColumn="0" w:lastRowFirstColumn="0" w:lastRowLastColumn="0"/>
            </w:pPr>
            <w:r>
              <w:t>Status</w:t>
            </w:r>
          </w:p>
        </w:tc>
      </w:tr>
      <w:tr w:rsidR="00E92230" w:rsidRPr="00CA1E2C" w14:paraId="3D0904C9" w14:textId="77777777" w:rsidTr="0085716A">
        <w:tc>
          <w:tcPr>
            <w:cnfStyle w:val="001000000000" w:firstRow="0" w:lastRow="0" w:firstColumn="1" w:lastColumn="0" w:oddVBand="0" w:evenVBand="0" w:oddHBand="0" w:evenHBand="0" w:firstRowFirstColumn="0" w:firstRowLastColumn="0" w:lastRowFirstColumn="0" w:lastRowLastColumn="0"/>
            <w:tcW w:w="1303" w:type="pct"/>
          </w:tcPr>
          <w:p w14:paraId="0EE7AE1A" w14:textId="59732B58" w:rsidR="00E92230" w:rsidRPr="00E92230" w:rsidRDefault="00E92230" w:rsidP="007A7197">
            <w:pPr>
              <w:pStyle w:val="TableText"/>
              <w:rPr>
                <w:b w:val="0"/>
                <w:color w:val="FFFFFF" w:themeColor="background1"/>
                <w:szCs w:val="22"/>
              </w:rPr>
            </w:pPr>
            <w:r w:rsidRPr="00E92230">
              <w:rPr>
                <w:b w:val="0"/>
                <w:color w:val="FFFFFF" w:themeColor="background1"/>
                <w:szCs w:val="22"/>
              </w:rPr>
              <w:t xml:space="preserve">$1 billion pipeline of </w:t>
            </w:r>
            <w:r w:rsidR="00F679B7">
              <w:rPr>
                <w:b w:val="0"/>
                <w:color w:val="FFFFFF" w:themeColor="background1"/>
                <w:szCs w:val="22"/>
              </w:rPr>
              <w:t xml:space="preserve">inward </w:t>
            </w:r>
            <w:r w:rsidR="007969FB">
              <w:rPr>
                <w:b w:val="0"/>
                <w:color w:val="FFFFFF" w:themeColor="background1"/>
                <w:szCs w:val="22"/>
              </w:rPr>
              <w:t>i</w:t>
            </w:r>
            <w:r w:rsidRPr="00E92230">
              <w:rPr>
                <w:b w:val="0"/>
                <w:color w:val="FFFFFF" w:themeColor="background1"/>
                <w:szCs w:val="22"/>
              </w:rPr>
              <w:t>nvestment</w:t>
            </w:r>
          </w:p>
        </w:tc>
        <w:tc>
          <w:tcPr>
            <w:tcW w:w="3697" w:type="pct"/>
          </w:tcPr>
          <w:p w14:paraId="714F4914" w14:textId="08A1DB0F" w:rsidR="00AA088A" w:rsidRPr="00747219" w:rsidRDefault="00AA088A" w:rsidP="00AA088A">
            <w:pPr>
              <w:jc w:val="left"/>
              <w:cnfStyle w:val="000000000000" w:firstRow="0" w:lastRow="0" w:firstColumn="0" w:lastColumn="0" w:oddVBand="0" w:evenVBand="0" w:oddHBand="0" w:evenHBand="0" w:firstRowFirstColumn="0" w:firstRowLastColumn="0" w:lastRowFirstColumn="0" w:lastRowLastColumn="0"/>
            </w:pPr>
            <w:r w:rsidRPr="00747219">
              <w:t xml:space="preserve">The Australian Space Agency, through its engagement with industry and the states and territories has been tracking a strong civil space capital pipeline of activity. </w:t>
            </w:r>
            <w:r w:rsidR="00CE1AF1">
              <w:t>T</w:t>
            </w:r>
            <w:r w:rsidRPr="00747219">
              <w:t>he observed pipeline includes:</w:t>
            </w:r>
          </w:p>
          <w:p w14:paraId="09B37543" w14:textId="2602CCFC" w:rsidR="00AA088A" w:rsidRPr="00747219" w:rsidRDefault="00AA088A" w:rsidP="00AA088A">
            <w:pPr>
              <w:pStyle w:val="ListBullet"/>
              <w:numPr>
                <w:ilvl w:val="0"/>
                <w:numId w:val="5"/>
              </w:numPr>
              <w:jc w:val="left"/>
              <w:cnfStyle w:val="000000000000" w:firstRow="0" w:lastRow="0" w:firstColumn="0" w:lastColumn="0" w:oddVBand="0" w:evenVBand="0" w:oddHBand="0" w:evenHBand="0" w:firstRowFirstColumn="0" w:firstRowLastColumn="0" w:lastRowFirstColumn="0" w:lastRowLastColumn="0"/>
            </w:pPr>
            <w:r w:rsidRPr="00747219">
              <w:t>$</w:t>
            </w:r>
            <w:r w:rsidR="00436E38" w:rsidRPr="00747219">
              <w:t>2.001</w:t>
            </w:r>
            <w:r w:rsidRPr="00747219">
              <w:t xml:space="preserve"> billion pipeline of capital projects including R&amp;D </w:t>
            </w:r>
            <w:r w:rsidR="00436E38" w:rsidRPr="00747219">
              <w:t>in all states and territories FY20</w:t>
            </w:r>
            <w:r w:rsidRPr="00747219">
              <w:t>18</w:t>
            </w:r>
            <w:r w:rsidR="00436E38" w:rsidRPr="00747219">
              <w:t>/19</w:t>
            </w:r>
            <w:r w:rsidRPr="00747219">
              <w:t>-</w:t>
            </w:r>
            <w:r w:rsidR="00436E38" w:rsidRPr="00747219">
              <w:t>FY2027/</w:t>
            </w:r>
            <w:r w:rsidRPr="00747219">
              <w:t xml:space="preserve">28. </w:t>
            </w:r>
          </w:p>
          <w:p w14:paraId="44A63B85" w14:textId="6D2EAA3E" w:rsidR="00AA088A" w:rsidRPr="00747219" w:rsidRDefault="00436E38" w:rsidP="00AA088A">
            <w:pPr>
              <w:pStyle w:val="ListBullet2"/>
              <w:numPr>
                <w:ilvl w:val="1"/>
                <w:numId w:val="5"/>
              </w:numPr>
              <w:jc w:val="left"/>
              <w:cnfStyle w:val="000000000000" w:firstRow="0" w:lastRow="0" w:firstColumn="0" w:lastColumn="0" w:oddVBand="0" w:evenVBand="0" w:oddHBand="0" w:evenHBand="0" w:firstRowFirstColumn="0" w:firstRowLastColumn="0" w:lastRowFirstColumn="0" w:lastRowLastColumn="0"/>
            </w:pPr>
            <w:r w:rsidRPr="00747219">
              <w:t>Over $729</w:t>
            </w:r>
            <w:r w:rsidR="00AA088A" w:rsidRPr="00747219">
              <w:t xml:space="preserve"> million of this </w:t>
            </w:r>
            <w:r w:rsidR="00F679B7">
              <w:t xml:space="preserve">is </w:t>
            </w:r>
            <w:r w:rsidR="00AA088A" w:rsidRPr="00747219">
              <w:t>inbound</w:t>
            </w:r>
            <w:r w:rsidRPr="00747219">
              <w:t xml:space="preserve"> investment from industry, private foundations </w:t>
            </w:r>
            <w:r w:rsidR="00AA088A" w:rsidRPr="00747219">
              <w:t>and international space agencies.</w:t>
            </w:r>
          </w:p>
          <w:p w14:paraId="79EE10D7" w14:textId="72059DF5" w:rsidR="00E92230" w:rsidRPr="00CA1E2C" w:rsidRDefault="00436E38" w:rsidP="0065421D">
            <w:pPr>
              <w:jc w:val="left"/>
              <w:cnfStyle w:val="000000000000" w:firstRow="0" w:lastRow="0" w:firstColumn="0" w:lastColumn="0" w:oddVBand="0" w:evenVBand="0" w:oddHBand="0" w:evenHBand="0" w:firstRowFirstColumn="0" w:firstRowLastColumn="0" w:lastRowFirstColumn="0" w:lastRowLastColumn="0"/>
            </w:pPr>
            <w:r w:rsidRPr="00747219">
              <w:t>88 projects</w:t>
            </w:r>
            <w:r w:rsidR="00AA088A" w:rsidRPr="00747219">
              <w:t xml:space="preserve"> </w:t>
            </w:r>
            <w:r w:rsidR="0065421D" w:rsidRPr="00747219">
              <w:t xml:space="preserve">are </w:t>
            </w:r>
            <w:r w:rsidRPr="00747219">
              <w:t>being tracked</w:t>
            </w:r>
            <w:r w:rsidR="00AA088A" w:rsidRPr="00747219">
              <w:t xml:space="preserve"> across all states and territories.</w:t>
            </w:r>
          </w:p>
        </w:tc>
      </w:tr>
      <w:tr w:rsidR="00E92230" w:rsidRPr="00CA1E2C" w14:paraId="78E455EC" w14:textId="77777777" w:rsidTr="008571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1E097674" w14:textId="7392B74B" w:rsidR="00E92230" w:rsidRPr="008A7D08" w:rsidRDefault="00E92230" w:rsidP="005C2223">
            <w:pPr>
              <w:pStyle w:val="TableText"/>
              <w:rPr>
                <w:rFonts w:ascii="Calibri" w:hAnsi="Calibri"/>
                <w:b w:val="0"/>
                <w:color w:val="FFFFFF" w:themeColor="background1"/>
                <w:szCs w:val="22"/>
              </w:rPr>
            </w:pPr>
            <w:r>
              <w:rPr>
                <w:rFonts w:ascii="Calibri" w:hAnsi="Calibri"/>
                <w:b w:val="0"/>
                <w:color w:val="FFFFFF" w:themeColor="background1"/>
                <w:szCs w:val="22"/>
              </w:rPr>
              <w:lastRenderedPageBreak/>
              <w:t>Growth rate exceeds 8.5</w:t>
            </w:r>
            <w:r w:rsidR="005C2223">
              <w:rPr>
                <w:rFonts w:ascii="Calibri" w:hAnsi="Calibri"/>
                <w:b w:val="0"/>
                <w:color w:val="FFFFFF" w:themeColor="background1"/>
                <w:szCs w:val="22"/>
              </w:rPr>
              <w:t> </w:t>
            </w:r>
            <w:r>
              <w:rPr>
                <w:rFonts w:ascii="Calibri" w:hAnsi="Calibri"/>
                <w:b w:val="0"/>
                <w:color w:val="FFFFFF" w:themeColor="background1"/>
                <w:szCs w:val="22"/>
              </w:rPr>
              <w:t>per cent</w:t>
            </w:r>
          </w:p>
        </w:tc>
        <w:tc>
          <w:tcPr>
            <w:tcW w:w="3697" w:type="pct"/>
          </w:tcPr>
          <w:p w14:paraId="07F2639E" w14:textId="010A4E98" w:rsidR="00E92230" w:rsidRPr="008A7D08" w:rsidRDefault="00AA088A" w:rsidP="00AA088A">
            <w:pPr>
              <w:jc w:val="left"/>
              <w:cnfStyle w:val="000000010000" w:firstRow="0" w:lastRow="0" w:firstColumn="0" w:lastColumn="0" w:oddVBand="0" w:evenVBand="0" w:oddHBand="0" w:evenHBand="1" w:firstRowFirstColumn="0" w:firstRowLastColumn="0" w:lastRowFirstColumn="0" w:lastRowLastColumn="0"/>
            </w:pPr>
            <w:r w:rsidRPr="00284CA5">
              <w:t>The Australian space sector continues to show strong sustain</w:t>
            </w:r>
            <w:r>
              <w:t xml:space="preserve">ed growth (15.6 per cent from </w:t>
            </w:r>
            <w:r w:rsidRPr="00284CA5">
              <w:t>16-</w:t>
            </w:r>
            <w:r>
              <w:t xml:space="preserve">17 to </w:t>
            </w:r>
            <w:r w:rsidRPr="00284CA5">
              <w:t>18-19) when compared against other international space sectors, such as Canada (1.2 per cent from 2016-17) and the United Kingdom (3.3 per cent from 2016-17)</w:t>
            </w:r>
            <w:r>
              <w:rPr>
                <w:rStyle w:val="FootnoteReference"/>
              </w:rPr>
              <w:footnoteReference w:id="5"/>
            </w:r>
            <w:r w:rsidRPr="00284CA5">
              <w:t>.</w:t>
            </w:r>
            <w:r>
              <w:rPr>
                <w:rStyle w:val="FootnoteReference"/>
              </w:rPr>
              <w:t xml:space="preserve"> </w:t>
            </w:r>
            <w:r>
              <w:t xml:space="preserve"> </w:t>
            </w:r>
          </w:p>
        </w:tc>
      </w:tr>
      <w:tr w:rsidR="00E92230" w:rsidRPr="00CA1E2C" w14:paraId="71C54CFA" w14:textId="77777777" w:rsidTr="0085716A">
        <w:tc>
          <w:tcPr>
            <w:cnfStyle w:val="001000000000" w:firstRow="0" w:lastRow="0" w:firstColumn="1" w:lastColumn="0" w:oddVBand="0" w:evenVBand="0" w:oddHBand="0" w:evenHBand="0" w:firstRowFirstColumn="0" w:firstRowLastColumn="0" w:lastRowFirstColumn="0" w:lastRowLastColumn="0"/>
            <w:tcW w:w="1303" w:type="pct"/>
          </w:tcPr>
          <w:p w14:paraId="6AC14168" w14:textId="212854C5" w:rsidR="00E92230" w:rsidRPr="008A7D08" w:rsidRDefault="00E92230" w:rsidP="0085716A">
            <w:pPr>
              <w:pStyle w:val="TableText"/>
              <w:rPr>
                <w:rFonts w:ascii="Calibri" w:hAnsi="Calibri"/>
                <w:b w:val="0"/>
                <w:color w:val="FFFFFF" w:themeColor="background1"/>
                <w:szCs w:val="22"/>
              </w:rPr>
            </w:pPr>
            <w:r>
              <w:rPr>
                <w:rFonts w:ascii="Calibri" w:hAnsi="Calibri"/>
                <w:b w:val="0"/>
                <w:color w:val="FFFFFF" w:themeColor="background1"/>
                <w:szCs w:val="22"/>
              </w:rPr>
              <w:t>20,000 additional jobs</w:t>
            </w:r>
          </w:p>
        </w:tc>
        <w:tc>
          <w:tcPr>
            <w:tcW w:w="3697" w:type="pct"/>
          </w:tcPr>
          <w:p w14:paraId="07C98FE4" w14:textId="6477A318" w:rsidR="00E92230" w:rsidRDefault="00E92230" w:rsidP="00E92230">
            <w:pPr>
              <w:jc w:val="left"/>
              <w:cnfStyle w:val="000000000000" w:firstRow="0" w:lastRow="0" w:firstColumn="0" w:lastColumn="0" w:oddVBand="0" w:evenVBand="0" w:oddHBand="0" w:evenHBand="0" w:firstRowFirstColumn="0" w:firstRowLastColumn="0" w:lastRowFirstColumn="0" w:lastRowLastColumn="0"/>
            </w:pPr>
            <w:r>
              <w:t xml:space="preserve">In </w:t>
            </w:r>
            <w:r w:rsidR="005C2223">
              <w:t>20</w:t>
            </w:r>
            <w:r>
              <w:t>18-19 the</w:t>
            </w:r>
            <w:r w:rsidRPr="00284CA5">
              <w:t xml:space="preserve"> A</w:t>
            </w:r>
            <w:r>
              <w:t>ustralian space sector employed</w:t>
            </w:r>
            <w:r w:rsidRPr="00284CA5">
              <w:t xml:space="preserve"> app</w:t>
            </w:r>
            <w:r w:rsidR="007334AD">
              <w:t>roximately 13,200 people, representing an e</w:t>
            </w:r>
            <w:r w:rsidR="007334AD" w:rsidRPr="00284CA5">
              <w:t xml:space="preserve">mployment </w:t>
            </w:r>
            <w:r w:rsidR="007334AD">
              <w:t xml:space="preserve">growth of </w:t>
            </w:r>
            <w:r w:rsidR="007334AD" w:rsidRPr="00284CA5">
              <w:t>14 per cent</w:t>
            </w:r>
            <w:r w:rsidR="007334AD">
              <w:t xml:space="preserve"> from </w:t>
            </w:r>
            <w:r w:rsidR="005C2223">
              <w:t>20</w:t>
            </w:r>
            <w:r w:rsidR="007334AD" w:rsidRPr="00284CA5">
              <w:t>16-</w:t>
            </w:r>
            <w:r w:rsidR="007334AD">
              <w:t xml:space="preserve">17 to </w:t>
            </w:r>
            <w:r w:rsidR="005C2223">
              <w:t>20</w:t>
            </w:r>
            <w:r w:rsidR="00AA088A">
              <w:t>18-19</w:t>
            </w:r>
            <w:r w:rsidR="00AA088A">
              <w:rPr>
                <w:rStyle w:val="FootnoteReference"/>
              </w:rPr>
              <w:footnoteReference w:id="6"/>
            </w:r>
            <w:r w:rsidR="00AA088A">
              <w:t>.</w:t>
            </w:r>
          </w:p>
          <w:p w14:paraId="2F29CDB4" w14:textId="67EF1593" w:rsidR="00E92230" w:rsidRPr="00CA1E2C" w:rsidRDefault="00E92230" w:rsidP="00E92230">
            <w:pPr>
              <w:jc w:val="left"/>
              <w:cnfStyle w:val="000000000000" w:firstRow="0" w:lastRow="0" w:firstColumn="0" w:lastColumn="0" w:oddVBand="0" w:evenVBand="0" w:oddHBand="0" w:evenHBand="0" w:firstRowFirstColumn="0" w:firstRowLastColumn="0" w:lastRowFirstColumn="0" w:lastRowLastColumn="0"/>
            </w:pPr>
            <w:r w:rsidRPr="00284CA5">
              <w:t xml:space="preserve">Over the two years </w:t>
            </w:r>
            <w:r>
              <w:t xml:space="preserve">from </w:t>
            </w:r>
            <w:r w:rsidR="005C2223">
              <w:t>20</w:t>
            </w:r>
            <w:r w:rsidRPr="00284CA5">
              <w:t>16-</w:t>
            </w:r>
            <w:r>
              <w:t xml:space="preserve">17 to </w:t>
            </w:r>
            <w:r w:rsidR="005C2223">
              <w:t>20</w:t>
            </w:r>
            <w:r w:rsidRPr="00284CA5">
              <w:t>18-19, the total number of businesses in the industry increased by almos</w:t>
            </w:r>
            <w:r>
              <w:t>t 10 per cent, from 698 to 766</w:t>
            </w:r>
            <w:r w:rsidR="00AA088A">
              <w:rPr>
                <w:rStyle w:val="FootnoteReference"/>
              </w:rPr>
              <w:footnoteReference w:id="7"/>
            </w:r>
            <w:r>
              <w:t>.</w:t>
            </w:r>
          </w:p>
        </w:tc>
      </w:tr>
      <w:tr w:rsidR="00E92230" w:rsidRPr="00CA1E2C" w14:paraId="3C2DBDD0" w14:textId="77777777" w:rsidTr="008571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28CA191B" w14:textId="2348CAE8" w:rsidR="00E92230" w:rsidRPr="008A7D08" w:rsidRDefault="00E92230" w:rsidP="0085716A">
            <w:pPr>
              <w:pStyle w:val="TableText"/>
              <w:rPr>
                <w:rFonts w:ascii="Calibri" w:hAnsi="Calibri"/>
                <w:b w:val="0"/>
                <w:color w:val="FFFFFF" w:themeColor="background1"/>
                <w:szCs w:val="22"/>
              </w:rPr>
            </w:pPr>
            <w:r>
              <w:rPr>
                <w:rFonts w:ascii="Calibri" w:hAnsi="Calibri"/>
                <w:b w:val="0"/>
                <w:color w:val="FFFFFF" w:themeColor="background1"/>
                <w:szCs w:val="22"/>
              </w:rPr>
              <w:t>Regulatory framework</w:t>
            </w:r>
          </w:p>
        </w:tc>
        <w:tc>
          <w:tcPr>
            <w:tcW w:w="3697" w:type="pct"/>
          </w:tcPr>
          <w:p w14:paraId="2AABD49B" w14:textId="03061B63" w:rsidR="00E92230" w:rsidRDefault="00B348CC" w:rsidP="00B348CC">
            <w:pPr>
              <w:jc w:val="left"/>
              <w:cnfStyle w:val="000000010000" w:firstRow="0" w:lastRow="0" w:firstColumn="0" w:lastColumn="0" w:oddVBand="0" w:evenVBand="0" w:oddHBand="0" w:evenHBand="1" w:firstRowFirstColumn="0" w:firstRowLastColumn="0" w:lastRowFirstColumn="0" w:lastRowLastColumn="0"/>
            </w:pPr>
            <w:r w:rsidRPr="00CA1E2C">
              <w:t xml:space="preserve">On its establishment, the Agency assumed responsibility for administering space activities legislation, including carriage of the amendments to the </w:t>
            </w:r>
            <w:r w:rsidRPr="00CA1E2C">
              <w:rPr>
                <w:i/>
              </w:rPr>
              <w:t>Space Activities Act 1998</w:t>
            </w:r>
            <w:r w:rsidRPr="00CA1E2C">
              <w:t xml:space="preserve">. The </w:t>
            </w:r>
            <w:r w:rsidRPr="00CA1E2C">
              <w:rPr>
                <w:i/>
              </w:rPr>
              <w:t>Space Activities Amendment (Launches and Returns) Act 2018</w:t>
            </w:r>
            <w:r w:rsidRPr="00CA1E2C">
              <w:t xml:space="preserve"> passed both Houses of Parliament and rec</w:t>
            </w:r>
            <w:r>
              <w:t>eived Royal Assent on 31 August </w:t>
            </w:r>
            <w:r w:rsidRPr="00CA1E2C">
              <w:t>2018</w:t>
            </w:r>
            <w:r w:rsidR="008859C7">
              <w:t>. It comes</w:t>
            </w:r>
            <w:r>
              <w:t xml:space="preserve"> into force on 31 August 2019.</w:t>
            </w:r>
          </w:p>
          <w:p w14:paraId="037BB725" w14:textId="1C555F1D" w:rsidR="00FA3342" w:rsidRPr="00CA1E2C" w:rsidRDefault="00FA3342" w:rsidP="008859C7">
            <w:pPr>
              <w:jc w:val="left"/>
              <w:cnfStyle w:val="000000010000" w:firstRow="0" w:lastRow="0" w:firstColumn="0" w:lastColumn="0" w:oddVBand="0" w:evenVBand="0" w:oddHBand="0" w:evenHBand="1" w:firstRowFirstColumn="0" w:firstRowLastColumn="0" w:lastRowFirstColumn="0" w:lastRowLastColumn="0"/>
            </w:pPr>
            <w:r>
              <w:t xml:space="preserve">The Agency participated in a number of meetings to support the </w:t>
            </w:r>
            <w:r w:rsidR="008859C7">
              <w:t xml:space="preserve">United Nations’ </w:t>
            </w:r>
            <w:r>
              <w:t xml:space="preserve">Committee on the Peaceful Uses of Outer Space. </w:t>
            </w:r>
          </w:p>
        </w:tc>
      </w:tr>
      <w:tr w:rsidR="00E92230" w:rsidRPr="00CA1E2C" w14:paraId="2882BFBC" w14:textId="77777777" w:rsidTr="0085716A">
        <w:tc>
          <w:tcPr>
            <w:cnfStyle w:val="001000000000" w:firstRow="0" w:lastRow="0" w:firstColumn="1" w:lastColumn="0" w:oddVBand="0" w:evenVBand="0" w:oddHBand="0" w:evenHBand="0" w:firstRowFirstColumn="0" w:firstRowLastColumn="0" w:lastRowFirstColumn="0" w:lastRowLastColumn="0"/>
            <w:tcW w:w="1303" w:type="pct"/>
          </w:tcPr>
          <w:p w14:paraId="41D7B751" w14:textId="3C015162" w:rsidR="00E92230" w:rsidRPr="008A7D08" w:rsidRDefault="00E92230" w:rsidP="005C2223">
            <w:pPr>
              <w:pStyle w:val="TableText"/>
              <w:rPr>
                <w:rFonts w:ascii="Calibri" w:hAnsi="Calibri"/>
                <w:b w:val="0"/>
                <w:color w:val="FFFFFF" w:themeColor="background1"/>
                <w:szCs w:val="22"/>
              </w:rPr>
            </w:pPr>
            <w:r>
              <w:rPr>
                <w:rFonts w:ascii="Calibri" w:hAnsi="Calibri"/>
                <w:b w:val="0"/>
                <w:color w:val="FFFFFF" w:themeColor="background1"/>
                <w:szCs w:val="22"/>
              </w:rPr>
              <w:t>Cumulative reach of 10</w:t>
            </w:r>
            <w:r w:rsidR="005C2223">
              <w:rPr>
                <w:rFonts w:ascii="Calibri" w:hAnsi="Calibri"/>
                <w:b w:val="0"/>
                <w:color w:val="FFFFFF" w:themeColor="background1"/>
                <w:szCs w:val="22"/>
              </w:rPr>
              <w:t> </w:t>
            </w:r>
            <w:r>
              <w:rPr>
                <w:rFonts w:ascii="Calibri" w:hAnsi="Calibri"/>
                <w:b w:val="0"/>
                <w:color w:val="FFFFFF" w:themeColor="background1"/>
                <w:szCs w:val="22"/>
              </w:rPr>
              <w:t>million Australians</w:t>
            </w:r>
          </w:p>
        </w:tc>
        <w:tc>
          <w:tcPr>
            <w:tcW w:w="3697" w:type="pct"/>
          </w:tcPr>
          <w:p w14:paraId="76C2F212" w14:textId="3D419D9C" w:rsidR="00CE1AF1" w:rsidRDefault="00E63ED9" w:rsidP="00944C82">
            <w:pPr>
              <w:jc w:val="left"/>
              <w:cnfStyle w:val="000000000000" w:firstRow="0" w:lastRow="0" w:firstColumn="0" w:lastColumn="0" w:oddVBand="0" w:evenVBand="0" w:oddHBand="0" w:evenHBand="0" w:firstRowFirstColumn="0" w:firstRowLastColumn="0" w:lastRowFirstColumn="0" w:lastRowLastColumn="0"/>
            </w:pPr>
            <w:r w:rsidRPr="00E63ED9">
              <w:t xml:space="preserve">The estimated potential cumulative media </w:t>
            </w:r>
            <w:r w:rsidR="00CE1AF1">
              <w:t>audience from 1 July 2018 to 30 </w:t>
            </w:r>
            <w:r w:rsidRPr="00E63ED9">
              <w:t>June 2019 for the Agency was 71 million</w:t>
            </w:r>
            <w:r w:rsidR="001D4E2D" w:rsidRPr="00CA1E2C">
              <w:t xml:space="preserve">, meaning the majority of Australians heard or saw news </w:t>
            </w:r>
            <w:r w:rsidR="00823B9B">
              <w:t>about the Agency</w:t>
            </w:r>
            <w:r w:rsidR="001D4E2D" w:rsidRPr="00CA1E2C">
              <w:t xml:space="preserve"> in its first year of operation</w:t>
            </w:r>
            <w:r w:rsidR="001D4E2D">
              <w:t xml:space="preserve">. </w:t>
            </w:r>
          </w:p>
          <w:p w14:paraId="1331D840" w14:textId="2FCDA416" w:rsidR="00E92230" w:rsidRDefault="00823B9B" w:rsidP="00944C82">
            <w:pPr>
              <w:jc w:val="left"/>
              <w:cnfStyle w:val="000000000000" w:firstRow="0" w:lastRow="0" w:firstColumn="0" w:lastColumn="0" w:oddVBand="0" w:evenVBand="0" w:oddHBand="0" w:evenHBand="0" w:firstRowFirstColumn="0" w:firstRowLastColumn="0" w:lastRowFirstColumn="0" w:lastRowLastColumn="0"/>
            </w:pPr>
            <w:r>
              <w:t xml:space="preserve">This </w:t>
            </w:r>
            <w:r w:rsidR="00944C82">
              <w:t xml:space="preserve">media </w:t>
            </w:r>
            <w:r>
              <w:t xml:space="preserve">reach does not include the </w:t>
            </w:r>
            <w:r w:rsidR="00944C82">
              <w:t xml:space="preserve">media </w:t>
            </w:r>
            <w:r>
              <w:t>reach of the</w:t>
            </w:r>
            <w:r w:rsidR="00944C82">
              <w:t xml:space="preserve"> </w:t>
            </w:r>
            <w:r>
              <w:t>SCC membership</w:t>
            </w:r>
            <w:r w:rsidR="00944C82">
              <w:t xml:space="preserve"> who also achieve good media outcomes from their space activities. </w:t>
            </w:r>
          </w:p>
          <w:p w14:paraId="0BA087B4" w14:textId="2F277647" w:rsidR="00AA088A" w:rsidRPr="00CA1E2C" w:rsidRDefault="00AA088A" w:rsidP="00944C82">
            <w:pPr>
              <w:jc w:val="left"/>
              <w:cnfStyle w:val="000000000000" w:firstRow="0" w:lastRow="0" w:firstColumn="0" w:lastColumn="0" w:oddVBand="0" w:evenVBand="0" w:oddHBand="0" w:evenHBand="0" w:firstRowFirstColumn="0" w:firstRowLastColumn="0" w:lastRowFirstColumn="0" w:lastRowLastColumn="0"/>
            </w:pPr>
            <w:r>
              <w:t xml:space="preserve">The estimated reach is based on reporting available to the </w:t>
            </w:r>
            <w:r w:rsidR="00E63ED9">
              <w:t xml:space="preserve">Australian Government through </w:t>
            </w:r>
            <w:proofErr w:type="spellStart"/>
            <w:r w:rsidR="00E63ED9">
              <w:t>iS</w:t>
            </w:r>
            <w:r>
              <w:t>entia</w:t>
            </w:r>
            <w:proofErr w:type="spellEnd"/>
            <w:r>
              <w:t xml:space="preserve"> media.</w:t>
            </w:r>
          </w:p>
        </w:tc>
      </w:tr>
      <w:tr w:rsidR="00E92230" w:rsidRPr="00CA1E2C" w14:paraId="10B119D9" w14:textId="77777777" w:rsidTr="008571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508D977C" w14:textId="20453E7E" w:rsidR="00E92230" w:rsidRDefault="00E92230" w:rsidP="005C2223">
            <w:pPr>
              <w:pStyle w:val="TableText"/>
              <w:rPr>
                <w:rFonts w:ascii="Calibri" w:hAnsi="Calibri"/>
                <w:b w:val="0"/>
                <w:color w:val="FFFFFF" w:themeColor="background1"/>
                <w:szCs w:val="22"/>
              </w:rPr>
            </w:pPr>
            <w:r>
              <w:rPr>
                <w:rFonts w:ascii="Calibri" w:hAnsi="Calibri"/>
                <w:b w:val="0"/>
                <w:color w:val="FFFFFF" w:themeColor="background1"/>
                <w:szCs w:val="22"/>
              </w:rPr>
              <w:t>GDP contribution of $12</w:t>
            </w:r>
            <w:r w:rsidR="005C2223">
              <w:rPr>
                <w:rFonts w:ascii="Calibri" w:hAnsi="Calibri"/>
                <w:b w:val="0"/>
                <w:color w:val="FFFFFF" w:themeColor="background1"/>
                <w:szCs w:val="22"/>
              </w:rPr>
              <w:t> </w:t>
            </w:r>
            <w:r>
              <w:rPr>
                <w:rFonts w:ascii="Calibri" w:hAnsi="Calibri"/>
                <w:b w:val="0"/>
                <w:color w:val="FFFFFF" w:themeColor="background1"/>
                <w:szCs w:val="22"/>
              </w:rPr>
              <w:t>billion</w:t>
            </w:r>
          </w:p>
        </w:tc>
        <w:tc>
          <w:tcPr>
            <w:tcW w:w="3697" w:type="pct"/>
          </w:tcPr>
          <w:p w14:paraId="62F94AA2" w14:textId="12E89C6C" w:rsidR="00E92230" w:rsidRPr="00CA1E2C" w:rsidRDefault="00AA088A" w:rsidP="00AA088A">
            <w:pPr>
              <w:jc w:val="left"/>
              <w:cnfStyle w:val="000000010000" w:firstRow="0" w:lastRow="0" w:firstColumn="0" w:lastColumn="0" w:oddVBand="0" w:evenVBand="0" w:oddHBand="0" w:evenHBand="1" w:firstRowFirstColumn="0" w:firstRowLastColumn="0" w:lastRowFirstColumn="0" w:lastRowLastColumn="0"/>
            </w:pPr>
            <w:r>
              <w:t xml:space="preserve">Revenue </w:t>
            </w:r>
            <w:r w:rsidRPr="00284CA5">
              <w:t>f</w:t>
            </w:r>
            <w:r>
              <w:t>rom the industry in Australia is</w:t>
            </w:r>
            <w:r w:rsidRPr="00284CA5">
              <w:t xml:space="preserve"> $5.2 billion</w:t>
            </w:r>
            <w:r>
              <w:t xml:space="preserve"> in </w:t>
            </w:r>
            <w:r w:rsidRPr="00284CA5">
              <w:t>18-</w:t>
            </w:r>
            <w:r>
              <w:t>19</w:t>
            </w:r>
            <w:r>
              <w:rPr>
                <w:rStyle w:val="FootnoteReference"/>
              </w:rPr>
              <w:footnoteReference w:id="8"/>
            </w:r>
            <w:r>
              <w:t>. W</w:t>
            </w:r>
            <w:r w:rsidRPr="00284CA5">
              <w:t>hilst revenue is an indicator of activity, unlike value-add, it does not correspond directly to the economic contribution of the sector.</w:t>
            </w:r>
          </w:p>
        </w:tc>
      </w:tr>
    </w:tbl>
    <w:p w14:paraId="1C44C313" w14:textId="77777777" w:rsidR="00E92230" w:rsidRDefault="00E92230" w:rsidP="00284CA5"/>
    <w:p w14:paraId="335DD840" w14:textId="6F5EE963" w:rsidR="00284CA5" w:rsidRDefault="00284CA5" w:rsidP="00284CA5">
      <w:r w:rsidRPr="00284CA5">
        <w:t xml:space="preserve">The findings </w:t>
      </w:r>
      <w:r w:rsidR="00A97E68">
        <w:t xml:space="preserve">in the above table </w:t>
      </w:r>
      <w:r w:rsidRPr="00284CA5">
        <w:t>use a different data source to that used by the Expert Review Grou</w:t>
      </w:r>
      <w:r>
        <w:t>p</w:t>
      </w:r>
      <w:r w:rsidR="00841028">
        <w:t xml:space="preserve"> (ERG)</w:t>
      </w:r>
      <w:r w:rsidRPr="00284CA5">
        <w:t>. For example</w:t>
      </w:r>
      <w:r w:rsidR="007917D3">
        <w:t>,</w:t>
      </w:r>
      <w:r w:rsidRPr="00284CA5">
        <w:t xml:space="preserve"> the ERG found the sector had around 10,000 employed, whereas IBIS </w:t>
      </w:r>
      <w:r w:rsidR="00094E50">
        <w:t xml:space="preserve">World </w:t>
      </w:r>
      <w:r w:rsidRPr="00284CA5">
        <w:t xml:space="preserve">has a figure of 11,557. This </w:t>
      </w:r>
      <w:r w:rsidR="008859C7">
        <w:t>discrepancy</w:t>
      </w:r>
      <w:r w:rsidR="00463CB8">
        <w:t xml:space="preserve"> </w:t>
      </w:r>
      <w:r w:rsidRPr="00284CA5">
        <w:t xml:space="preserve">is due to the </w:t>
      </w:r>
      <w:r w:rsidR="00463CB8">
        <w:t>ways the space sector is defined</w:t>
      </w:r>
      <w:r w:rsidRPr="00284CA5">
        <w:t xml:space="preserve">. While the data sources are different, the findings of the report are comparable. </w:t>
      </w:r>
      <w:r w:rsidR="00094E50">
        <w:t xml:space="preserve">Future </w:t>
      </w:r>
      <w:r w:rsidR="00094E50" w:rsidRPr="009E6F74">
        <w:rPr>
          <w:i/>
        </w:rPr>
        <w:t>State of Space</w:t>
      </w:r>
      <w:r w:rsidR="00094E50">
        <w:t xml:space="preserve"> reports will use a consistent definition of the space sector</w:t>
      </w:r>
      <w:r w:rsidR="00A97E68">
        <w:t>, which will be defined as part of the economic baseline activity</w:t>
      </w:r>
      <w:r w:rsidR="00094E50">
        <w:t xml:space="preserve">. </w:t>
      </w:r>
    </w:p>
    <w:bookmarkEnd w:id="32"/>
    <w:p w14:paraId="29F5C309" w14:textId="3FACC4B1" w:rsidR="007334AD" w:rsidRDefault="00436E38">
      <w:pPr>
        <w:spacing w:after="0"/>
        <w:rPr>
          <w:rFonts w:asciiTheme="majorHAnsi" w:hAnsiTheme="majorHAnsi" w:cstheme="majorHAnsi"/>
          <w:b/>
          <w:bCs/>
          <w:color w:val="004976" w:themeColor="background2"/>
          <w:kern w:val="32"/>
          <w:sz w:val="56"/>
          <w:szCs w:val="32"/>
        </w:rPr>
      </w:pPr>
      <w:r>
        <w:t xml:space="preserve">The Agency is developing further metrics in conjunction with the development of an economic baseline for the Australian space sector. </w:t>
      </w:r>
      <w:r w:rsidRPr="002418A2">
        <w:rPr>
          <w:szCs w:val="16"/>
        </w:rPr>
        <w:t>The Agency has commissioned a detailed economic baseline for 2016 that will deliver a more detailed analysis of both sector performance and job numbers and will be completed in 2020.</w:t>
      </w:r>
      <w:r w:rsidR="007334AD">
        <w:br w:type="page"/>
      </w:r>
    </w:p>
    <w:p w14:paraId="3422C3AE" w14:textId="0F437540" w:rsidR="0020177F" w:rsidRPr="00CA1E2C" w:rsidRDefault="000117F5" w:rsidP="000117F5">
      <w:pPr>
        <w:pStyle w:val="Heading1"/>
      </w:pPr>
      <w:bookmarkStart w:id="34" w:name="_Toc40946043"/>
      <w:r>
        <w:lastRenderedPageBreak/>
        <w:t>Civil Space Coordination</w:t>
      </w:r>
      <w:bookmarkEnd w:id="34"/>
    </w:p>
    <w:p w14:paraId="08F80072" w14:textId="42B3224E" w:rsidR="0020177F" w:rsidRPr="00CA1E2C" w:rsidRDefault="0020177F" w:rsidP="00146668">
      <w:pPr>
        <w:rPr>
          <w:color w:val="000000" w:themeColor="text1"/>
        </w:rPr>
      </w:pPr>
      <w:r w:rsidRPr="00CA1E2C">
        <w:rPr>
          <w:color w:val="000000" w:themeColor="text1"/>
        </w:rPr>
        <w:t>A number of Government agencies engage in a variety of space-related activities to support Australia’s strategic, economic and social objectives. Ensuring that the operating environmen</w:t>
      </w:r>
      <w:r w:rsidR="00146668" w:rsidRPr="00CA1E2C">
        <w:rPr>
          <w:color w:val="000000" w:themeColor="text1"/>
        </w:rPr>
        <w:t>t for these activities is conduc</w:t>
      </w:r>
      <w:r w:rsidRPr="00CA1E2C">
        <w:rPr>
          <w:color w:val="000000" w:themeColor="text1"/>
        </w:rPr>
        <w:t>ive to innovation, combined with coordination and international cooperation</w:t>
      </w:r>
      <w:r w:rsidR="00EF2EFA" w:rsidRPr="00CA1E2C">
        <w:rPr>
          <w:color w:val="000000" w:themeColor="text1"/>
        </w:rPr>
        <w:t>,</w:t>
      </w:r>
      <w:r w:rsidRPr="00CA1E2C">
        <w:rPr>
          <w:color w:val="000000" w:themeColor="text1"/>
        </w:rPr>
        <w:t xml:space="preserve"> are the key factors to maintaining and strengthening the space capabilities on which Australia relies for its national security and civil well-being. </w:t>
      </w:r>
    </w:p>
    <w:p w14:paraId="034EC5AB" w14:textId="66FFB999" w:rsidR="0020177F" w:rsidRPr="00CA1E2C" w:rsidRDefault="0020177F" w:rsidP="00146668">
      <w:pPr>
        <w:rPr>
          <w:color w:val="000000" w:themeColor="text1"/>
        </w:rPr>
      </w:pPr>
      <w:r w:rsidRPr="00CA1E2C">
        <w:rPr>
          <w:color w:val="000000" w:themeColor="text1"/>
        </w:rPr>
        <w:t xml:space="preserve">To facilitate the transition from previous </w:t>
      </w:r>
      <w:r w:rsidRPr="00CA1E2C">
        <w:rPr>
          <w:i/>
          <w:color w:val="000000" w:themeColor="text1"/>
        </w:rPr>
        <w:t>State of Space</w:t>
      </w:r>
      <w:r w:rsidRPr="00CA1E2C">
        <w:rPr>
          <w:color w:val="000000" w:themeColor="text1"/>
        </w:rPr>
        <w:t xml:space="preserve"> reports, to a new format under the Agency</w:t>
      </w:r>
      <w:r w:rsidR="00002703">
        <w:rPr>
          <w:color w:val="000000" w:themeColor="text1"/>
        </w:rPr>
        <w:t xml:space="preserve"> (</w:t>
      </w:r>
      <w:r w:rsidRPr="00CA1E2C">
        <w:rPr>
          <w:color w:val="000000" w:themeColor="text1"/>
        </w:rPr>
        <w:t>which will be introduced for the 2019-20 financial year</w:t>
      </w:r>
      <w:r w:rsidR="00002703">
        <w:rPr>
          <w:color w:val="000000" w:themeColor="text1"/>
        </w:rPr>
        <w:t>)</w:t>
      </w:r>
      <w:r w:rsidRPr="00CA1E2C">
        <w:rPr>
          <w:color w:val="000000" w:themeColor="text1"/>
        </w:rPr>
        <w:t>, Australian Government civil space activities for the period January 2018</w:t>
      </w:r>
      <w:r w:rsidR="005C2223">
        <w:rPr>
          <w:color w:val="000000" w:themeColor="text1"/>
        </w:rPr>
        <w:t xml:space="preserve"> to </w:t>
      </w:r>
      <w:r w:rsidRPr="00CA1E2C">
        <w:rPr>
          <w:color w:val="000000" w:themeColor="text1"/>
        </w:rPr>
        <w:t xml:space="preserve">June 2019 are presented </w:t>
      </w:r>
      <w:r w:rsidR="00002703" w:rsidRPr="00CA1E2C">
        <w:rPr>
          <w:color w:val="000000" w:themeColor="text1"/>
        </w:rPr>
        <w:t xml:space="preserve">here </w:t>
      </w:r>
      <w:r w:rsidRPr="00CA1E2C">
        <w:rPr>
          <w:color w:val="000000" w:themeColor="text1"/>
        </w:rPr>
        <w:t xml:space="preserve">under the four Strategic Space Pillars identified in the </w:t>
      </w:r>
      <w:r w:rsidR="00694B2E" w:rsidRPr="00694B2E">
        <w:rPr>
          <w:i/>
          <w:color w:val="000000" w:themeColor="text1"/>
        </w:rPr>
        <w:t>Australian</w:t>
      </w:r>
      <w:r w:rsidRPr="00694B2E">
        <w:rPr>
          <w:i/>
          <w:color w:val="000000" w:themeColor="text1"/>
        </w:rPr>
        <w:t xml:space="preserve"> Civil Space Strategy</w:t>
      </w:r>
      <w:r w:rsidRPr="00CA1E2C">
        <w:rPr>
          <w:color w:val="000000" w:themeColor="text1"/>
        </w:rPr>
        <w:t xml:space="preserve">. </w:t>
      </w:r>
    </w:p>
    <w:p w14:paraId="1E804714" w14:textId="4961C16D" w:rsidR="0020177F" w:rsidRPr="00CA1E2C" w:rsidRDefault="00D25C21" w:rsidP="00146668">
      <w:r w:rsidRPr="00CA1E2C">
        <w:t>Until 30 June</w:t>
      </w:r>
      <w:r w:rsidR="0020177F" w:rsidRPr="00CA1E2C">
        <w:t xml:space="preserve"> 2018, the Department of Industry</w:t>
      </w:r>
      <w:r w:rsidR="005C2223">
        <w:t>, Innovation and Science</w:t>
      </w:r>
      <w:r w:rsidR="0020177F" w:rsidRPr="00CA1E2C">
        <w:t xml:space="preserve"> was the central point of contact and coordination for the Australian Government’s involvement in civil spac</w:t>
      </w:r>
      <w:r w:rsidR="005D2CF3">
        <w:t>e. This role was assumed by the</w:t>
      </w:r>
      <w:r w:rsidR="0020177F" w:rsidRPr="00CA1E2C">
        <w:t xml:space="preserve"> Agency, which </w:t>
      </w:r>
      <w:r w:rsidR="00886F3B">
        <w:t>includes chairing the</w:t>
      </w:r>
      <w:r w:rsidR="0020177F" w:rsidRPr="00CA1E2C">
        <w:t xml:space="preserve"> Australian Government </w:t>
      </w:r>
      <w:r w:rsidR="009C4D67">
        <w:t>S</w:t>
      </w:r>
      <w:r w:rsidR="00463CB8">
        <w:t xml:space="preserve">pace </w:t>
      </w:r>
      <w:r w:rsidR="00886F3B">
        <w:t xml:space="preserve">Coordination </w:t>
      </w:r>
      <w:r w:rsidR="009C4D67">
        <w:t>C</w:t>
      </w:r>
      <w:r w:rsidR="00463CB8">
        <w:t>ommittee</w:t>
      </w:r>
      <w:r w:rsidR="00886F3B">
        <w:t xml:space="preserve"> (SCC)</w:t>
      </w:r>
      <w:r w:rsidR="0020177F" w:rsidRPr="00CA1E2C">
        <w:t xml:space="preserve">. The SCC is a forum for information sharing and coordination of the Australian Government’s activities and priorities in the civil space area. The SCC membership is comprised of Australian Government </w:t>
      </w:r>
      <w:r w:rsidR="00140797" w:rsidRPr="00CA1E2C">
        <w:t xml:space="preserve">departments and </w:t>
      </w:r>
      <w:r w:rsidR="0020177F" w:rsidRPr="00CA1E2C">
        <w:t>agencies with an interest in civil space:</w:t>
      </w:r>
    </w:p>
    <w:p w14:paraId="64DEAE85" w14:textId="071859BE" w:rsidR="0020177F" w:rsidRPr="00CA1E2C" w:rsidRDefault="00EF2EFA" w:rsidP="00146668">
      <w:pPr>
        <w:pStyle w:val="ListBullet"/>
        <w:spacing w:before="0"/>
        <w:contextualSpacing/>
      </w:pPr>
      <w:r w:rsidRPr="00CA1E2C">
        <w:rPr>
          <w:b/>
        </w:rPr>
        <w:t>Australian Communications and Media Authority</w:t>
      </w:r>
      <w:r w:rsidRPr="00CA1E2C">
        <w:t xml:space="preserve"> (</w:t>
      </w:r>
      <w:r w:rsidR="0020177F" w:rsidRPr="00CA1E2C">
        <w:t>ACMA</w:t>
      </w:r>
      <w:r w:rsidRPr="00CA1E2C">
        <w:t>)</w:t>
      </w:r>
      <w:r w:rsidR="0020177F" w:rsidRPr="00CA1E2C">
        <w:t xml:space="preserve">: </w:t>
      </w:r>
      <w:r w:rsidRPr="00CA1E2C">
        <w:t xml:space="preserve">ACMA </w:t>
      </w:r>
      <w:r w:rsidR="0020177F" w:rsidRPr="00CA1E2C">
        <w:t>is responsible for the regulation of radio</w:t>
      </w:r>
      <w:r w:rsidR="00140797" w:rsidRPr="00CA1E2C">
        <w:t xml:space="preserve"> </w:t>
      </w:r>
      <w:r w:rsidR="0020177F" w:rsidRPr="00CA1E2C">
        <w:t xml:space="preserve">communications services, including the </w:t>
      </w:r>
      <w:proofErr w:type="spellStart"/>
      <w:r w:rsidR="0020177F" w:rsidRPr="00CA1E2C">
        <w:t>radiocommunications</w:t>
      </w:r>
      <w:proofErr w:type="spellEnd"/>
      <w:r w:rsidR="0020177F" w:rsidRPr="00CA1E2C">
        <w:t xml:space="preserve"> licencing of space-based communications systems in Australia and International Telecommunications Union (ITU) satellite filing coordination.</w:t>
      </w:r>
    </w:p>
    <w:p w14:paraId="4DDA18AE" w14:textId="50DBC78E" w:rsidR="0020177F" w:rsidRPr="00CA1E2C" w:rsidRDefault="00EF2EFA" w:rsidP="00146668">
      <w:pPr>
        <w:pStyle w:val="ListBullet"/>
        <w:spacing w:before="0"/>
        <w:contextualSpacing/>
      </w:pPr>
      <w:r w:rsidRPr="00CA1E2C">
        <w:rPr>
          <w:b/>
        </w:rPr>
        <w:t>Attorney-General’s Department</w:t>
      </w:r>
      <w:r w:rsidRPr="00CA1E2C">
        <w:t xml:space="preserve"> (</w:t>
      </w:r>
      <w:r w:rsidR="0020177F" w:rsidRPr="00CA1E2C">
        <w:t>AGD</w:t>
      </w:r>
      <w:r w:rsidRPr="00CA1E2C">
        <w:t>)</w:t>
      </w:r>
      <w:r w:rsidR="0020177F" w:rsidRPr="00CA1E2C">
        <w:t xml:space="preserve">: The Office of International Law within </w:t>
      </w:r>
      <w:r w:rsidRPr="00CA1E2C">
        <w:t xml:space="preserve">AGD </w:t>
      </w:r>
      <w:r w:rsidR="0020177F" w:rsidRPr="00CA1E2C">
        <w:t>provides legal advice to Government on international space law</w:t>
      </w:r>
      <w:r w:rsidR="00A078CB">
        <w:t>.</w:t>
      </w:r>
    </w:p>
    <w:p w14:paraId="42F1A86C" w14:textId="1A836349" w:rsidR="0020177F" w:rsidRPr="00CA1E2C" w:rsidRDefault="00EF2EFA" w:rsidP="00146668">
      <w:pPr>
        <w:pStyle w:val="ListBullet"/>
        <w:spacing w:before="0"/>
        <w:contextualSpacing/>
      </w:pPr>
      <w:r w:rsidRPr="00CA1E2C">
        <w:rPr>
          <w:b/>
        </w:rPr>
        <w:t>Australian Space Agency</w:t>
      </w:r>
      <w:r w:rsidRPr="00CA1E2C">
        <w:t xml:space="preserve"> (</w:t>
      </w:r>
      <w:r w:rsidR="00146668" w:rsidRPr="00CA1E2C">
        <w:t>t</w:t>
      </w:r>
      <w:r w:rsidR="0020177F" w:rsidRPr="00CA1E2C">
        <w:t>he Agency</w:t>
      </w:r>
      <w:r w:rsidRPr="00CA1E2C">
        <w:t>)</w:t>
      </w:r>
      <w:r w:rsidR="0020177F" w:rsidRPr="00CA1E2C">
        <w:t xml:space="preserve">: The </w:t>
      </w:r>
      <w:r w:rsidRPr="00CA1E2C">
        <w:t xml:space="preserve">Agency </w:t>
      </w:r>
      <w:r w:rsidR="0020177F" w:rsidRPr="00CA1E2C">
        <w:t>provides whole-of-government coordination of civil space matters and is the primary source of advice to the Australian Government on civil space policy</w:t>
      </w:r>
      <w:r w:rsidR="00A078CB">
        <w:t>.</w:t>
      </w:r>
    </w:p>
    <w:p w14:paraId="4BD70F93" w14:textId="0B93A5C9" w:rsidR="0020177F" w:rsidRPr="00CA1E2C" w:rsidRDefault="00EF2EFA" w:rsidP="00146668">
      <w:pPr>
        <w:pStyle w:val="ListBullet"/>
        <w:spacing w:before="0"/>
        <w:contextualSpacing/>
      </w:pPr>
      <w:r w:rsidRPr="00CA1E2C">
        <w:rPr>
          <w:b/>
        </w:rPr>
        <w:t>Australian Trade and Investment Commission</w:t>
      </w:r>
      <w:r w:rsidRPr="00CA1E2C">
        <w:t xml:space="preserve"> (</w:t>
      </w:r>
      <w:r w:rsidR="0020177F" w:rsidRPr="00CA1E2C">
        <w:t>Austrade</w:t>
      </w:r>
      <w:r w:rsidRPr="00CA1E2C">
        <w:t>)</w:t>
      </w:r>
      <w:r w:rsidR="0020177F" w:rsidRPr="00CA1E2C">
        <w:t xml:space="preserve">: </w:t>
      </w:r>
      <w:r w:rsidRPr="00CA1E2C">
        <w:t xml:space="preserve">Austrade </w:t>
      </w:r>
      <w:r w:rsidR="0020177F" w:rsidRPr="00CA1E2C">
        <w:t>is the Australian Government's trade, investment and education promotion agency. It supports Australia’s international space sector engagement.</w:t>
      </w:r>
    </w:p>
    <w:p w14:paraId="6854EF55" w14:textId="77777777" w:rsidR="0029134A" w:rsidRDefault="00EF2EFA" w:rsidP="00BE6A52">
      <w:pPr>
        <w:pStyle w:val="ListBullet"/>
      </w:pPr>
      <w:r w:rsidRPr="0029134A">
        <w:rPr>
          <w:b/>
        </w:rPr>
        <w:t>Bureau of Meteorology</w:t>
      </w:r>
      <w:r w:rsidRPr="00CA1E2C">
        <w:t xml:space="preserve"> (</w:t>
      </w:r>
      <w:r w:rsidR="00146668" w:rsidRPr="00CA1E2C">
        <w:t>t</w:t>
      </w:r>
      <w:r w:rsidR="0020177F" w:rsidRPr="00CA1E2C">
        <w:t>he Bureau</w:t>
      </w:r>
      <w:r w:rsidRPr="00CA1E2C">
        <w:t>)</w:t>
      </w:r>
      <w:r w:rsidR="0020177F" w:rsidRPr="00CA1E2C">
        <w:t xml:space="preserve">: </w:t>
      </w:r>
      <w:r w:rsidR="0029134A" w:rsidRPr="0029134A">
        <w:t xml:space="preserve">The Bureau of Meteorology is Australia’s national weather, climate and water information agency. It relies on real time Earth observations from space and space weather observations to deliver forecasts, warnings, analyses and advice covering Australia’s atmosphere, water, </w:t>
      </w:r>
      <w:proofErr w:type="gramStart"/>
      <w:r w:rsidR="0029134A" w:rsidRPr="0029134A">
        <w:t>ocean</w:t>
      </w:r>
      <w:proofErr w:type="gramEnd"/>
      <w:r w:rsidR="0029134A" w:rsidRPr="0029134A">
        <w:t xml:space="preserve"> and space environments.</w:t>
      </w:r>
    </w:p>
    <w:p w14:paraId="27F8B5FB" w14:textId="1D6E7D5A" w:rsidR="0020177F" w:rsidRPr="00CA1E2C" w:rsidRDefault="00015815" w:rsidP="00BE6A52">
      <w:pPr>
        <w:pStyle w:val="ListBullet"/>
      </w:pPr>
      <w:r w:rsidRPr="0029134A">
        <w:rPr>
          <w:b/>
        </w:rPr>
        <w:t>Commonwealth Scientific and Industrial Research Organisation</w:t>
      </w:r>
      <w:r w:rsidRPr="00CA1E2C">
        <w:t xml:space="preserve"> (C</w:t>
      </w:r>
      <w:r w:rsidR="0020177F" w:rsidRPr="00CA1E2C">
        <w:t>SIRO</w:t>
      </w:r>
      <w:r w:rsidRPr="00CA1E2C">
        <w:t>)</w:t>
      </w:r>
      <w:r w:rsidR="0020177F" w:rsidRPr="00CA1E2C">
        <w:t xml:space="preserve">: </w:t>
      </w:r>
      <w:r w:rsidRPr="00CA1E2C">
        <w:t xml:space="preserve">CSIRO </w:t>
      </w:r>
      <w:r w:rsidR="0020177F" w:rsidRPr="00CA1E2C">
        <w:t xml:space="preserve">is </w:t>
      </w:r>
      <w:r w:rsidR="00325DDC">
        <w:t>Australia’s national science agency, and is involved astronomy and</w:t>
      </w:r>
      <w:r w:rsidR="0020177F" w:rsidRPr="00CA1E2C">
        <w:t xml:space="preserve"> space science</w:t>
      </w:r>
      <w:r w:rsidR="00325DDC">
        <w:t>, E</w:t>
      </w:r>
      <w:r w:rsidR="00211819" w:rsidRPr="00CA1E2C">
        <w:t xml:space="preserve">arth observation </w:t>
      </w:r>
      <w:r w:rsidR="0020177F" w:rsidRPr="00CA1E2C">
        <w:t>science</w:t>
      </w:r>
      <w:r w:rsidR="00325DDC">
        <w:t xml:space="preserve"> </w:t>
      </w:r>
      <w:r w:rsidR="00325DDC" w:rsidRPr="00325DDC">
        <w:t>and applications, and space technology research and development</w:t>
      </w:r>
      <w:r w:rsidR="0020177F" w:rsidRPr="00CA1E2C">
        <w:t xml:space="preserve">. It </w:t>
      </w:r>
      <w:r w:rsidR="00211819" w:rsidRPr="00CA1E2C">
        <w:t xml:space="preserve">also </w:t>
      </w:r>
      <w:r w:rsidR="0020177F" w:rsidRPr="00CA1E2C">
        <w:t xml:space="preserve">manages and operates critical international space-related infrastructure. </w:t>
      </w:r>
    </w:p>
    <w:p w14:paraId="021710D5" w14:textId="1AAD333A" w:rsidR="0020177F" w:rsidRPr="00CA1E2C" w:rsidRDefault="00015815" w:rsidP="000741D9">
      <w:pPr>
        <w:pStyle w:val="ListBullet"/>
      </w:pPr>
      <w:r w:rsidRPr="00CA1E2C">
        <w:rPr>
          <w:b/>
        </w:rPr>
        <w:t>Department of Communications and the Arts</w:t>
      </w:r>
      <w:r w:rsidRPr="00CA1E2C">
        <w:t xml:space="preserve"> (</w:t>
      </w:r>
      <w:proofErr w:type="spellStart"/>
      <w:r w:rsidR="0020177F" w:rsidRPr="00CA1E2C">
        <w:t>DoCA</w:t>
      </w:r>
      <w:proofErr w:type="spellEnd"/>
      <w:r w:rsidRPr="00CA1E2C">
        <w:t>)</w:t>
      </w:r>
      <w:r w:rsidR="0020177F" w:rsidRPr="00CA1E2C">
        <w:t xml:space="preserve">: </w:t>
      </w:r>
      <w:proofErr w:type="spellStart"/>
      <w:r w:rsidRPr="00CA1E2C">
        <w:t>DoCA</w:t>
      </w:r>
      <w:proofErr w:type="spellEnd"/>
      <w:r w:rsidRPr="00CA1E2C">
        <w:t xml:space="preserve"> </w:t>
      </w:r>
      <w:r w:rsidR="0020177F" w:rsidRPr="00CA1E2C">
        <w:t xml:space="preserve">has policy oversight of </w:t>
      </w:r>
      <w:proofErr w:type="spellStart"/>
      <w:r w:rsidR="0020177F" w:rsidRPr="00CA1E2C">
        <w:t>radiocommunications</w:t>
      </w:r>
      <w:proofErr w:type="spellEnd"/>
      <w:r w:rsidR="0020177F" w:rsidRPr="00CA1E2C">
        <w:t xml:space="preserve"> services and spectrum management (including satellite communication) in Australia</w:t>
      </w:r>
      <w:r w:rsidR="000741D9">
        <w:t xml:space="preserve">, </w:t>
      </w:r>
      <w:r w:rsidR="000741D9" w:rsidRPr="000741D9">
        <w:t>including Australia’s international treaty obligations as a member of the International Telecommunications Union (ITU).</w:t>
      </w:r>
    </w:p>
    <w:p w14:paraId="49ED7D77" w14:textId="127C33DF" w:rsidR="0020177F" w:rsidRPr="00CA1E2C" w:rsidRDefault="00015815" w:rsidP="00146668">
      <w:pPr>
        <w:pStyle w:val="ListBullet"/>
        <w:spacing w:before="0"/>
        <w:contextualSpacing/>
      </w:pPr>
      <w:r w:rsidRPr="00CA1E2C">
        <w:rPr>
          <w:b/>
        </w:rPr>
        <w:t>Department of Defence</w:t>
      </w:r>
      <w:r w:rsidRPr="00CA1E2C">
        <w:t xml:space="preserve"> (</w:t>
      </w:r>
      <w:r w:rsidR="0020177F" w:rsidRPr="00CA1E2C">
        <w:t>Defence</w:t>
      </w:r>
      <w:r w:rsidRPr="00CA1E2C">
        <w:t>)</w:t>
      </w:r>
      <w:r w:rsidR="0020177F" w:rsidRPr="00CA1E2C">
        <w:t xml:space="preserve">: </w:t>
      </w:r>
      <w:r w:rsidRPr="00CA1E2C">
        <w:t>Defence i</w:t>
      </w:r>
      <w:r w:rsidR="0020177F" w:rsidRPr="00CA1E2C">
        <w:t>s concerned with civil space activities that overlap with defence-related issues in space.</w:t>
      </w:r>
    </w:p>
    <w:p w14:paraId="36F32004" w14:textId="4E3BA83C" w:rsidR="0020177F" w:rsidRPr="00CA1E2C" w:rsidRDefault="00015815" w:rsidP="00146668">
      <w:pPr>
        <w:pStyle w:val="ListBullet"/>
        <w:spacing w:before="0"/>
        <w:contextualSpacing/>
      </w:pPr>
      <w:r w:rsidRPr="00CA1E2C">
        <w:rPr>
          <w:b/>
        </w:rPr>
        <w:t>Department of the Environment and Energy</w:t>
      </w:r>
      <w:r w:rsidRPr="00CA1E2C">
        <w:t xml:space="preserve"> (</w:t>
      </w:r>
      <w:r w:rsidR="0020177F" w:rsidRPr="00CA1E2C">
        <w:t>DEE</w:t>
      </w:r>
      <w:r w:rsidRPr="00CA1E2C">
        <w:t>)</w:t>
      </w:r>
      <w:r w:rsidR="0020177F" w:rsidRPr="00CA1E2C">
        <w:t xml:space="preserve">: </w:t>
      </w:r>
      <w:r w:rsidRPr="00CA1E2C">
        <w:t>DEE</w:t>
      </w:r>
      <w:r w:rsidR="0020177F" w:rsidRPr="00CA1E2C">
        <w:t xml:space="preserve"> is concerned with E</w:t>
      </w:r>
      <w:r w:rsidRPr="00CA1E2C">
        <w:t xml:space="preserve">arth observation as </w:t>
      </w:r>
      <w:r w:rsidR="0020177F" w:rsidRPr="00CA1E2C">
        <w:t>it relates to environmental management.</w:t>
      </w:r>
    </w:p>
    <w:p w14:paraId="28200582" w14:textId="0F63213B" w:rsidR="0020177F" w:rsidRPr="00CA1E2C" w:rsidRDefault="00015815" w:rsidP="00146668">
      <w:pPr>
        <w:pStyle w:val="ListBullet"/>
        <w:spacing w:before="0"/>
        <w:contextualSpacing/>
      </w:pPr>
      <w:r w:rsidRPr="00CA1E2C">
        <w:rPr>
          <w:b/>
        </w:rPr>
        <w:t>Department of Foreign Affairs and Trade</w:t>
      </w:r>
      <w:r w:rsidRPr="00CA1E2C">
        <w:t xml:space="preserve"> (</w:t>
      </w:r>
      <w:r w:rsidR="0020177F" w:rsidRPr="00CA1E2C">
        <w:t>DFAT</w:t>
      </w:r>
      <w:r w:rsidRPr="00CA1E2C">
        <w:t>)</w:t>
      </w:r>
      <w:r w:rsidR="0020177F" w:rsidRPr="00CA1E2C">
        <w:t xml:space="preserve">: </w:t>
      </w:r>
      <w:r w:rsidRPr="00CA1E2C">
        <w:t>DFAT i</w:t>
      </w:r>
      <w:r w:rsidR="0020177F" w:rsidRPr="00CA1E2C">
        <w:t>s responsible for Australia’s engagement on space-related international security issues.</w:t>
      </w:r>
    </w:p>
    <w:p w14:paraId="4616B4BE" w14:textId="00251F8E" w:rsidR="001A591E" w:rsidRPr="00CA1E2C" w:rsidRDefault="001A591E" w:rsidP="00146668">
      <w:pPr>
        <w:pStyle w:val="ListBullet"/>
        <w:spacing w:before="0"/>
        <w:contextualSpacing/>
      </w:pPr>
      <w:r w:rsidRPr="00CA1E2C">
        <w:rPr>
          <w:b/>
        </w:rPr>
        <w:t>Department of Home Affairs</w:t>
      </w:r>
      <w:r w:rsidRPr="00CA1E2C">
        <w:t xml:space="preserve"> (Home Affairs): Home Affairs is responsible for critical infrastructure resilience policy</w:t>
      </w:r>
      <w:r w:rsidR="00F41ED4" w:rsidRPr="00CA1E2C">
        <w:t>.</w:t>
      </w:r>
    </w:p>
    <w:p w14:paraId="6F800DB6" w14:textId="0FA35FC3" w:rsidR="0020177F" w:rsidRPr="00CA1E2C" w:rsidRDefault="00015815" w:rsidP="00146668">
      <w:pPr>
        <w:pStyle w:val="ListBullet"/>
        <w:spacing w:before="0"/>
        <w:contextualSpacing/>
      </w:pPr>
      <w:r w:rsidRPr="00CA1E2C">
        <w:rPr>
          <w:b/>
        </w:rPr>
        <w:lastRenderedPageBreak/>
        <w:t>Department of Industry, Innovation and Science</w:t>
      </w:r>
      <w:r w:rsidRPr="00CA1E2C">
        <w:t xml:space="preserve"> (</w:t>
      </w:r>
      <w:r w:rsidR="0020177F" w:rsidRPr="00CA1E2C">
        <w:t>DIIS</w:t>
      </w:r>
      <w:r w:rsidRPr="00CA1E2C">
        <w:t xml:space="preserve">): DIIS </w:t>
      </w:r>
      <w:r w:rsidR="0020177F" w:rsidRPr="00CA1E2C">
        <w:t xml:space="preserve">was responsible for coordination </w:t>
      </w:r>
      <w:r w:rsidR="00FF039E">
        <w:t>of</w:t>
      </w:r>
      <w:r w:rsidR="0020177F" w:rsidRPr="00CA1E2C">
        <w:t xml:space="preserve"> the Australian Government’s involvement in civil space until 30 June</w:t>
      </w:r>
      <w:r w:rsidRPr="00CA1E2C">
        <w:t xml:space="preserve"> 2018</w:t>
      </w:r>
      <w:r w:rsidR="005E43AB">
        <w:t>, and still maintains a role in the development of the Australian space industry particularly on broader linkages between space and other industry sectors</w:t>
      </w:r>
      <w:r w:rsidR="0020177F" w:rsidRPr="00CA1E2C">
        <w:t>.</w:t>
      </w:r>
      <w:r w:rsidRPr="00CA1E2C">
        <w:t xml:space="preserve"> </w:t>
      </w:r>
    </w:p>
    <w:p w14:paraId="1E9AF5E2" w14:textId="39B4DBF1" w:rsidR="0020177F" w:rsidRPr="00CA1E2C" w:rsidRDefault="001A591E" w:rsidP="00146668">
      <w:pPr>
        <w:pStyle w:val="ListBullet"/>
        <w:spacing w:before="0"/>
        <w:contextualSpacing/>
      </w:pPr>
      <w:r w:rsidRPr="00CA1E2C">
        <w:rPr>
          <w:b/>
        </w:rPr>
        <w:t>Department of Infrastructure, Regional Development and Cities</w:t>
      </w:r>
      <w:r w:rsidRPr="00CA1E2C">
        <w:t xml:space="preserve"> (</w:t>
      </w:r>
      <w:r w:rsidR="0020177F" w:rsidRPr="00CA1E2C">
        <w:t>DIRDC</w:t>
      </w:r>
      <w:r w:rsidRPr="00CA1E2C">
        <w:t>)</w:t>
      </w:r>
      <w:r w:rsidR="0020177F" w:rsidRPr="00CA1E2C">
        <w:t xml:space="preserve">: </w:t>
      </w:r>
      <w:r w:rsidRPr="00CA1E2C">
        <w:t xml:space="preserve">DIRDC </w:t>
      </w:r>
      <w:r w:rsidR="0020177F" w:rsidRPr="00CA1E2C">
        <w:t>is concerned with P</w:t>
      </w:r>
      <w:r w:rsidRPr="00CA1E2C">
        <w:t xml:space="preserve">osition, Navigation and Timing (PNT) </w:t>
      </w:r>
      <w:r w:rsidR="0020177F" w:rsidRPr="00CA1E2C">
        <w:t>as it relates to the transport sector.</w:t>
      </w:r>
      <w:r w:rsidRPr="00CA1E2C">
        <w:t xml:space="preserve"> DIRDC also has policy oversight of the Civil Aviation Safety Authority (CASA) and aviation policy.</w:t>
      </w:r>
    </w:p>
    <w:p w14:paraId="39D78ED5" w14:textId="04E15C2E" w:rsidR="0020177F" w:rsidRPr="00CA1E2C" w:rsidRDefault="001A591E" w:rsidP="00146668">
      <w:pPr>
        <w:pStyle w:val="ListBullet"/>
        <w:spacing w:before="0"/>
        <w:contextualSpacing/>
      </w:pPr>
      <w:r w:rsidRPr="00CA1E2C">
        <w:rPr>
          <w:b/>
        </w:rPr>
        <w:t>Geoscience Australia</w:t>
      </w:r>
      <w:r w:rsidRPr="00CA1E2C">
        <w:t xml:space="preserve"> (</w:t>
      </w:r>
      <w:r w:rsidR="0020177F" w:rsidRPr="00CA1E2C">
        <w:t>GA</w:t>
      </w:r>
      <w:r w:rsidRPr="00CA1E2C">
        <w:t>)</w:t>
      </w:r>
      <w:r w:rsidR="0020177F" w:rsidRPr="00CA1E2C">
        <w:t xml:space="preserve">: </w:t>
      </w:r>
      <w:r w:rsidRPr="00CA1E2C">
        <w:t xml:space="preserve">GA </w:t>
      </w:r>
      <w:r w:rsidR="0020177F" w:rsidRPr="00CA1E2C">
        <w:t>provides for the Australian Government’s geoscience requirements. It manages the nation’s geographic and geological data and is involved in PNT and E</w:t>
      </w:r>
      <w:r w:rsidR="00211819" w:rsidRPr="00CA1E2C">
        <w:t xml:space="preserve">arth observation </w:t>
      </w:r>
      <w:r w:rsidR="0020177F" w:rsidRPr="00CA1E2C">
        <w:t xml:space="preserve">services. </w:t>
      </w:r>
    </w:p>
    <w:p w14:paraId="0C43AE2F" w14:textId="258908D8" w:rsidR="001A591E" w:rsidRPr="00CA1E2C" w:rsidRDefault="001A591E" w:rsidP="00146668">
      <w:pPr>
        <w:pStyle w:val="ListBullet"/>
        <w:spacing w:before="0"/>
        <w:contextualSpacing/>
      </w:pPr>
      <w:r w:rsidRPr="00CA1E2C">
        <w:rPr>
          <w:b/>
        </w:rPr>
        <w:t>The Department of the Prime Minister and Cabinet</w:t>
      </w:r>
      <w:r w:rsidRPr="00CA1E2C">
        <w:t xml:space="preserve"> (PM&amp;C), the </w:t>
      </w:r>
      <w:r w:rsidRPr="00CA1E2C">
        <w:rPr>
          <w:b/>
        </w:rPr>
        <w:t>Treasury</w:t>
      </w:r>
      <w:r w:rsidRPr="00CA1E2C">
        <w:t xml:space="preserve"> and the </w:t>
      </w:r>
      <w:r w:rsidRPr="00CA1E2C">
        <w:rPr>
          <w:b/>
        </w:rPr>
        <w:t>Department of Finance</w:t>
      </w:r>
      <w:r w:rsidRPr="00CA1E2C">
        <w:t>: These departments</w:t>
      </w:r>
      <w:r w:rsidR="00BA2D7D" w:rsidRPr="00CA1E2C">
        <w:t xml:space="preserve"> have observer status on the SCC. They </w:t>
      </w:r>
      <w:r w:rsidRPr="00CA1E2C">
        <w:t xml:space="preserve">assist </w:t>
      </w:r>
      <w:r w:rsidR="00BA2D7D" w:rsidRPr="00CA1E2C">
        <w:t xml:space="preserve">its </w:t>
      </w:r>
      <w:r w:rsidRPr="00CA1E2C">
        <w:t xml:space="preserve">members in coordinating their activities across </w:t>
      </w:r>
      <w:r w:rsidR="00012688" w:rsidRPr="00CA1E2C">
        <w:t>all areas of Government.</w:t>
      </w:r>
    </w:p>
    <w:p w14:paraId="46627513" w14:textId="77777777" w:rsidR="0020177F" w:rsidRPr="00CA1E2C" w:rsidRDefault="0020177F" w:rsidP="00146668">
      <w:r w:rsidRPr="00CA1E2C">
        <w:t>Three working groups report to the SCC:</w:t>
      </w:r>
    </w:p>
    <w:p w14:paraId="4A3246C6" w14:textId="3B5B3824" w:rsidR="0020177F" w:rsidRPr="00CA1E2C" w:rsidRDefault="0020177F" w:rsidP="00780260">
      <w:pPr>
        <w:pStyle w:val="ListNumber"/>
        <w:numPr>
          <w:ilvl w:val="0"/>
          <w:numId w:val="16"/>
        </w:numPr>
        <w:ind w:left="680"/>
        <w:contextualSpacing w:val="0"/>
      </w:pPr>
      <w:r w:rsidRPr="00CA1E2C">
        <w:t>The Earth Observation from Space (EOS) Working Group</w:t>
      </w:r>
      <w:r w:rsidR="00146668" w:rsidRPr="00CA1E2C">
        <w:t xml:space="preserve">; </w:t>
      </w:r>
    </w:p>
    <w:p w14:paraId="05D1F0DA" w14:textId="358587C8" w:rsidR="0020177F" w:rsidRPr="00CA1E2C" w:rsidRDefault="0020177F" w:rsidP="00780260">
      <w:pPr>
        <w:pStyle w:val="ListNumber"/>
        <w:numPr>
          <w:ilvl w:val="0"/>
          <w:numId w:val="16"/>
        </w:numPr>
        <w:ind w:left="680"/>
        <w:contextualSpacing w:val="0"/>
      </w:pPr>
      <w:r w:rsidRPr="00CA1E2C">
        <w:t>The Position, Navigation and Timing (PNT) Working Group</w:t>
      </w:r>
      <w:r w:rsidR="00146668" w:rsidRPr="00CA1E2C">
        <w:t>; and</w:t>
      </w:r>
    </w:p>
    <w:p w14:paraId="62118348" w14:textId="2F4F44C9" w:rsidR="0020177F" w:rsidRPr="00CA1E2C" w:rsidRDefault="0020177F" w:rsidP="00890185">
      <w:pPr>
        <w:pStyle w:val="ListNumber"/>
        <w:ind w:left="680"/>
        <w:contextualSpacing w:val="0"/>
      </w:pPr>
      <w:r w:rsidRPr="00CA1E2C">
        <w:t>Inter-Departmental Working Group on Space Law.</w:t>
      </w:r>
    </w:p>
    <w:p w14:paraId="2077AE8B" w14:textId="77777777" w:rsidR="0020177F" w:rsidRPr="00CA1E2C" w:rsidRDefault="0020177F" w:rsidP="00146668">
      <w:r w:rsidRPr="00CA1E2C">
        <w:t>These working groups promote national coordination and planning and report to the SCC on relevant strategic priorities including coordinated advice on domestic and international policy, standards, and research.</w:t>
      </w:r>
    </w:p>
    <w:p w14:paraId="5EB6E12A" w14:textId="2E40C33F" w:rsidR="00146668" w:rsidRPr="00CA1E2C" w:rsidRDefault="00146668" w:rsidP="00146668">
      <w:r w:rsidRPr="00CA1E2C">
        <w:t xml:space="preserve">The SCC provides the input into the </w:t>
      </w:r>
      <w:r w:rsidRPr="009E6F74">
        <w:rPr>
          <w:i/>
        </w:rPr>
        <w:t>State of Space</w:t>
      </w:r>
      <w:r w:rsidR="00396B3F">
        <w:t xml:space="preserve"> r</w:t>
      </w:r>
      <w:r w:rsidRPr="00CA1E2C">
        <w:t>eports.</w:t>
      </w:r>
    </w:p>
    <w:p w14:paraId="47E40AE1" w14:textId="2E453669" w:rsidR="001B31E9" w:rsidRPr="00CA1E2C" w:rsidRDefault="001B31E9" w:rsidP="00454F9F">
      <w:pPr>
        <w:rPr>
          <w:rFonts w:asciiTheme="majorHAnsi" w:hAnsiTheme="majorHAnsi" w:cstheme="majorHAnsi"/>
          <w:color w:val="004976" w:themeColor="background2"/>
          <w:sz w:val="44"/>
          <w:szCs w:val="28"/>
        </w:rPr>
      </w:pPr>
      <w:r w:rsidRPr="00CA1E2C">
        <w:br w:type="page"/>
      </w:r>
    </w:p>
    <w:p w14:paraId="77D2A50E" w14:textId="77777777" w:rsidR="00F41987" w:rsidRPr="00CA1E2C" w:rsidRDefault="00F41987" w:rsidP="00CA1E2C">
      <w:pPr>
        <w:pStyle w:val="Heading1"/>
      </w:pPr>
      <w:bookmarkStart w:id="35" w:name="_Toc40946044"/>
      <w:r w:rsidRPr="00CA1E2C">
        <w:lastRenderedPageBreak/>
        <w:t>International</w:t>
      </w:r>
      <w:bookmarkEnd w:id="35"/>
      <w:r w:rsidRPr="00CA1E2C">
        <w:t xml:space="preserve"> </w:t>
      </w:r>
    </w:p>
    <w:p w14:paraId="67130989" w14:textId="77777777" w:rsidR="00F41987" w:rsidRPr="00CA1E2C" w:rsidRDefault="00F41987" w:rsidP="00454F9F">
      <w:pPr>
        <w:adjustRightInd w:val="0"/>
        <w:snapToGrid w:val="0"/>
        <w:spacing w:before="340" w:after="360" w:line="400" w:lineRule="atLeast"/>
        <w:rPr>
          <w:rFonts w:ascii="Calibri" w:hAnsi="Calibri"/>
          <w:i/>
          <w:color w:val="004976"/>
          <w:sz w:val="32"/>
        </w:rPr>
      </w:pPr>
      <w:r w:rsidRPr="00CA1E2C">
        <w:rPr>
          <w:rFonts w:ascii="Calibri" w:hAnsi="Calibri"/>
          <w:i/>
          <w:color w:val="004976"/>
          <w:sz w:val="32"/>
        </w:rPr>
        <w:t>Leverage international bilateral and multilateral partnerships that, where consistent with our national interests, open the door for Australian innovators and grow a connected, respected and globally competitive space industry in Australia.</w:t>
      </w:r>
    </w:p>
    <w:p w14:paraId="6061CBEC" w14:textId="732AA609" w:rsidR="00F41987" w:rsidRPr="00CA1E2C" w:rsidRDefault="00F41987" w:rsidP="00421F50">
      <w:pPr>
        <w:pStyle w:val="Heading2"/>
        <w:rPr>
          <w:color w:val="004976"/>
          <w:sz w:val="24"/>
          <w14:textFill>
            <w14:solidFill>
              <w14:srgbClr w14:val="004976">
                <w14:alpha w14:val="30000"/>
              </w14:srgbClr>
            </w14:solidFill>
          </w14:textFill>
        </w:rPr>
      </w:pPr>
      <w:r w:rsidRPr="00CA1E2C">
        <w:t xml:space="preserve">International </w:t>
      </w:r>
      <w:r w:rsidR="00A709D3" w:rsidRPr="00CA1E2C">
        <w:t>engagement</w:t>
      </w:r>
      <w:r w:rsidRPr="00CA1E2C">
        <w:t xml:space="preserve"> </w:t>
      </w:r>
    </w:p>
    <w:p w14:paraId="3E36324E" w14:textId="77777777" w:rsidR="00254AD2" w:rsidRDefault="00F41987" w:rsidP="00254AD2">
      <w:pPr>
        <w:adjustRightInd w:val="0"/>
        <w:snapToGrid w:val="0"/>
        <w:rPr>
          <w:rFonts w:ascii="Calibri" w:hAnsi="Calibri"/>
          <w:color w:val="000000"/>
        </w:rPr>
      </w:pPr>
      <w:r w:rsidRPr="00CA1E2C">
        <w:rPr>
          <w:rFonts w:ascii="Calibri" w:hAnsi="Calibri"/>
          <w:color w:val="000000"/>
        </w:rPr>
        <w:t>To open doors for future international collaboration, the Agency signed four Memoranda of Understanding</w:t>
      </w:r>
      <w:r w:rsidR="006361D5">
        <w:rPr>
          <w:rFonts w:ascii="Calibri" w:hAnsi="Calibri"/>
          <w:color w:val="000000"/>
        </w:rPr>
        <w:t xml:space="preserve"> (MoU)</w:t>
      </w:r>
      <w:r w:rsidRPr="00CA1E2C">
        <w:rPr>
          <w:rFonts w:ascii="Calibri" w:hAnsi="Calibri"/>
          <w:color w:val="000000"/>
        </w:rPr>
        <w:t xml:space="preserve"> with international space agencies</w:t>
      </w:r>
      <w:r w:rsidR="002B3696">
        <w:rPr>
          <w:rFonts w:ascii="Calibri" w:hAnsi="Calibri"/>
          <w:color w:val="000000"/>
        </w:rPr>
        <w:t xml:space="preserve"> (refer to </w:t>
      </w:r>
      <w:r w:rsidR="00254AD2">
        <w:rPr>
          <w:rFonts w:ascii="Calibri" w:hAnsi="Calibri"/>
          <w:color w:val="000000"/>
        </w:rPr>
        <w:t xml:space="preserve">Figure 5 </w:t>
      </w:r>
      <w:r w:rsidR="00254AD2" w:rsidRPr="00CA1E2C">
        <w:rPr>
          <w:rFonts w:ascii="Calibri" w:hAnsi="Calibri"/>
          <w:color w:val="000000"/>
        </w:rPr>
        <w:t xml:space="preserve">CNES, the French Space Agency (1 September 2018); Canadian Space Agency (2 October 2018); UK Space Agency (2 October 2018); United Arab </w:t>
      </w:r>
      <w:r w:rsidR="00254AD2" w:rsidRPr="00CA1E2C">
        <w:rPr>
          <w:rFonts w:cstheme="minorHAnsi"/>
          <w:szCs w:val="22"/>
        </w:rPr>
        <w:t>Emirates</w:t>
      </w:r>
      <w:r w:rsidR="00254AD2" w:rsidRPr="00CA1E2C">
        <w:rPr>
          <w:rFonts w:ascii="Calibri" w:hAnsi="Calibri"/>
          <w:color w:val="000000"/>
        </w:rPr>
        <w:t xml:space="preserve"> (UAE) Space Agency (14 February 2019). </w:t>
      </w:r>
    </w:p>
    <w:p w14:paraId="477969A4" w14:textId="77777777" w:rsidR="00857C26" w:rsidRDefault="00857C26" w:rsidP="00857C26">
      <w:pPr>
        <w:pStyle w:val="Caption"/>
      </w:pPr>
      <w:bookmarkStart w:id="36" w:name="_Ref36377158"/>
      <w:r>
        <w:rPr>
          <w:noProof/>
        </w:rPr>
        <w:drawing>
          <wp:inline distT="0" distB="0" distL="0" distR="0" wp14:anchorId="1D4EA976" wp14:editId="6DC7CA0A">
            <wp:extent cx="6263640" cy="1231265"/>
            <wp:effectExtent l="0" t="0" r="3810" b="698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MoU-1st 4 signings-01.png"/>
                    <pic:cNvPicPr/>
                  </pic:nvPicPr>
                  <pic:blipFill rotWithShape="1">
                    <a:blip r:embed="rId25">
                      <a:extLst>
                        <a:ext uri="{28A0092B-C50C-407E-A947-70E740481C1C}">
                          <a14:useLocalDpi xmlns:a14="http://schemas.microsoft.com/office/drawing/2010/main" val="0"/>
                        </a:ext>
                      </a:extLst>
                    </a:blip>
                    <a:srcRect t="2268"/>
                    <a:stretch/>
                  </pic:blipFill>
                  <pic:spPr bwMode="auto">
                    <a:xfrm>
                      <a:off x="0" y="0"/>
                      <a:ext cx="6263640" cy="1231265"/>
                    </a:xfrm>
                    <a:prstGeom prst="rect">
                      <a:avLst/>
                    </a:prstGeom>
                    <a:ln>
                      <a:noFill/>
                    </a:ln>
                    <a:extLst>
                      <a:ext uri="{53640926-AAD7-44D8-BBD7-CCE9431645EC}">
                        <a14:shadowObscured xmlns:a14="http://schemas.microsoft.com/office/drawing/2010/main"/>
                      </a:ext>
                    </a:extLst>
                  </pic:spPr>
                </pic:pic>
              </a:graphicData>
            </a:graphic>
          </wp:inline>
        </w:drawing>
      </w:r>
    </w:p>
    <w:p w14:paraId="17D68F93" w14:textId="77777777" w:rsidR="00857C26" w:rsidRPr="00CA1E2C" w:rsidRDefault="00857C26" w:rsidP="00857C26">
      <w:pPr>
        <w:pStyle w:val="Caption"/>
        <w:rPr>
          <w:rFonts w:cstheme="minorHAnsi"/>
        </w:rPr>
      </w:pPr>
      <w:bookmarkStart w:id="37" w:name="_Toc37137767"/>
      <w:bookmarkStart w:id="38" w:name="_Toc41464108"/>
      <w:r w:rsidRPr="002B3696">
        <w:t xml:space="preserve">Figure </w:t>
      </w:r>
      <w:r w:rsidRPr="002B3696">
        <w:fldChar w:fldCharType="begin"/>
      </w:r>
      <w:r w:rsidRPr="002B3696">
        <w:instrText xml:space="preserve"> SEQ Figure \* ARABIC </w:instrText>
      </w:r>
      <w:r w:rsidRPr="002B3696">
        <w:fldChar w:fldCharType="separate"/>
      </w:r>
      <w:r w:rsidR="00C35904">
        <w:rPr>
          <w:noProof/>
        </w:rPr>
        <w:t>5</w:t>
      </w:r>
      <w:r w:rsidRPr="002B3696">
        <w:fldChar w:fldCharType="end"/>
      </w:r>
      <w:bookmarkEnd w:id="36"/>
      <w:r w:rsidRPr="002B3696">
        <w:t xml:space="preserve"> – Signing of MoUs</w:t>
      </w:r>
      <w:r>
        <w:t xml:space="preserve"> (France, Canada, UK and UAE)</w:t>
      </w:r>
      <w:bookmarkEnd w:id="37"/>
      <w:bookmarkEnd w:id="38"/>
    </w:p>
    <w:p w14:paraId="304A1F5D" w14:textId="270D9303" w:rsidR="00A308B0" w:rsidRDefault="00F41987" w:rsidP="00890185">
      <w:pPr>
        <w:adjustRightInd w:val="0"/>
        <w:snapToGrid w:val="0"/>
        <w:rPr>
          <w:rFonts w:ascii="Calibri" w:hAnsi="Calibri"/>
          <w:color w:val="000000"/>
        </w:rPr>
      </w:pPr>
      <w:r w:rsidRPr="00CA1E2C">
        <w:rPr>
          <w:rFonts w:ascii="Calibri" w:hAnsi="Calibri"/>
          <w:color w:val="000000"/>
        </w:rPr>
        <w:t xml:space="preserve">The potential that international </w:t>
      </w:r>
      <w:r w:rsidR="00A308B0">
        <w:rPr>
          <w:rFonts w:ascii="Calibri" w:hAnsi="Calibri"/>
          <w:color w:val="000000"/>
        </w:rPr>
        <w:t xml:space="preserve">(and national) </w:t>
      </w:r>
      <w:r w:rsidRPr="00CA1E2C">
        <w:rPr>
          <w:rFonts w:ascii="Calibri" w:hAnsi="Calibri"/>
          <w:color w:val="000000"/>
        </w:rPr>
        <w:t xml:space="preserve">companies see for investment in the Australian space sector is indicated by </w:t>
      </w:r>
      <w:r w:rsidR="005C136D">
        <w:rPr>
          <w:rFonts w:ascii="Calibri" w:hAnsi="Calibri"/>
          <w:color w:val="000000"/>
        </w:rPr>
        <w:t>the level of interest in</w:t>
      </w:r>
      <w:r w:rsidRPr="00CA1E2C">
        <w:rPr>
          <w:rFonts w:ascii="Calibri" w:hAnsi="Calibri"/>
          <w:color w:val="000000"/>
        </w:rPr>
        <w:t xml:space="preserve"> Statements of Strategic Intent and Cooperation </w:t>
      </w:r>
      <w:r w:rsidR="00A308B0">
        <w:rPr>
          <w:rFonts w:ascii="Calibri" w:hAnsi="Calibri"/>
          <w:color w:val="000000"/>
        </w:rPr>
        <w:t xml:space="preserve">(SSIs) </w:t>
      </w:r>
      <w:r w:rsidRPr="00CA1E2C">
        <w:rPr>
          <w:rFonts w:ascii="Calibri" w:hAnsi="Calibri"/>
          <w:color w:val="000000"/>
        </w:rPr>
        <w:t xml:space="preserve">with the Agency. </w:t>
      </w:r>
      <w:r w:rsidR="00A308B0">
        <w:rPr>
          <w:rFonts w:ascii="Calibri" w:hAnsi="Calibri"/>
          <w:color w:val="000000"/>
        </w:rPr>
        <w:t>While non-binding, and conf</w:t>
      </w:r>
      <w:r w:rsidR="00325DDC">
        <w:rPr>
          <w:rFonts w:ascii="Calibri" w:hAnsi="Calibri"/>
          <w:color w:val="000000"/>
        </w:rPr>
        <w:t>err</w:t>
      </w:r>
      <w:r w:rsidR="00A308B0">
        <w:rPr>
          <w:rFonts w:ascii="Calibri" w:hAnsi="Calibri"/>
          <w:color w:val="000000"/>
        </w:rPr>
        <w:t>ing no obligation or privileges, t</w:t>
      </w:r>
      <w:r w:rsidR="005C136D">
        <w:rPr>
          <w:rFonts w:ascii="Calibri" w:hAnsi="Calibri"/>
          <w:color w:val="000000"/>
        </w:rPr>
        <w:t xml:space="preserve">hese statements </w:t>
      </w:r>
      <w:r w:rsidR="00A308B0">
        <w:rPr>
          <w:rFonts w:ascii="Calibri" w:hAnsi="Calibri"/>
          <w:color w:val="000000"/>
        </w:rPr>
        <w:t xml:space="preserve">provide an opportunity for businesses to highlight investment opportunities, and areas of growth, in Australia. </w:t>
      </w:r>
    </w:p>
    <w:p w14:paraId="40790DF8" w14:textId="4E413EB4" w:rsidR="00F41987" w:rsidRPr="00CA1E2C" w:rsidRDefault="00F41987" w:rsidP="00890185">
      <w:pPr>
        <w:adjustRightInd w:val="0"/>
        <w:snapToGrid w:val="0"/>
        <w:rPr>
          <w:rFonts w:ascii="Calibri" w:hAnsi="Calibri"/>
          <w:color w:val="000000"/>
        </w:rPr>
      </w:pPr>
      <w:r w:rsidRPr="00CA1E2C">
        <w:rPr>
          <w:rFonts w:ascii="Calibri" w:hAnsi="Calibri"/>
          <w:color w:val="000000"/>
        </w:rPr>
        <w:t xml:space="preserve">Five international industry partners signed SSIs in 2018-19: European aerospace manufacturer Airbus Defence and Space SAS (September 2018); Italian satellite company </w:t>
      </w:r>
      <w:proofErr w:type="spellStart"/>
      <w:r w:rsidRPr="00CA1E2C">
        <w:rPr>
          <w:rFonts w:ascii="Calibri" w:hAnsi="Calibri"/>
          <w:color w:val="000000"/>
        </w:rPr>
        <w:t>Sitael</w:t>
      </w:r>
      <w:proofErr w:type="spellEnd"/>
      <w:r w:rsidRPr="00CA1E2C">
        <w:rPr>
          <w:rFonts w:ascii="Calibri" w:hAnsi="Calibri"/>
          <w:color w:val="000000"/>
        </w:rPr>
        <w:t xml:space="preserve"> (October 2018); US aerospace companies Lockheed Martin (January 2019) and Boeing (March); </w:t>
      </w:r>
      <w:r w:rsidR="00A308B0">
        <w:rPr>
          <w:rFonts w:ascii="Calibri" w:hAnsi="Calibri"/>
          <w:color w:val="000000"/>
        </w:rPr>
        <w:t xml:space="preserve">and </w:t>
      </w:r>
      <w:r w:rsidR="00E67E34" w:rsidRPr="00CA1E2C">
        <w:rPr>
          <w:rFonts w:ascii="Calibri" w:hAnsi="Calibri"/>
          <w:color w:val="000000"/>
        </w:rPr>
        <w:t>UK</w:t>
      </w:r>
      <w:r w:rsidRPr="00CA1E2C">
        <w:rPr>
          <w:rFonts w:ascii="Calibri" w:hAnsi="Calibri"/>
          <w:color w:val="000000"/>
        </w:rPr>
        <w:t xml:space="preserve"> space communications company </w:t>
      </w:r>
      <w:proofErr w:type="spellStart"/>
      <w:r w:rsidRPr="00CA1E2C">
        <w:rPr>
          <w:rFonts w:ascii="Calibri" w:hAnsi="Calibri"/>
          <w:color w:val="000000"/>
        </w:rPr>
        <w:t>Goonhilly</w:t>
      </w:r>
      <w:proofErr w:type="spellEnd"/>
      <w:r w:rsidRPr="00CA1E2C">
        <w:rPr>
          <w:rFonts w:ascii="Calibri" w:hAnsi="Calibri"/>
          <w:color w:val="000000"/>
        </w:rPr>
        <w:t xml:space="preserve"> Earth Station (February 2019). </w:t>
      </w:r>
    </w:p>
    <w:p w14:paraId="7F19AA92" w14:textId="1C8B42C6" w:rsidR="00F41987" w:rsidRDefault="00F41987" w:rsidP="00890185">
      <w:pPr>
        <w:adjustRightInd w:val="0"/>
        <w:snapToGrid w:val="0"/>
        <w:rPr>
          <w:rFonts w:ascii="Calibri" w:hAnsi="Calibri"/>
          <w:color w:val="000000"/>
        </w:rPr>
      </w:pPr>
      <w:r w:rsidRPr="00CA1E2C">
        <w:rPr>
          <w:rFonts w:ascii="Calibri" w:hAnsi="Calibri"/>
          <w:color w:val="000000"/>
        </w:rPr>
        <w:t>In November 2018, the Agency held the initial Australia-US Civil Space Dialogue in the US with key US Government agencies. This event was supported by the Australian Embassy</w:t>
      </w:r>
      <w:r w:rsidR="00176FBC">
        <w:rPr>
          <w:rFonts w:ascii="Calibri" w:hAnsi="Calibri"/>
          <w:color w:val="000000"/>
        </w:rPr>
        <w:t xml:space="preserve"> in the United States</w:t>
      </w:r>
      <w:r w:rsidRPr="00CA1E2C">
        <w:rPr>
          <w:rFonts w:ascii="Calibri" w:hAnsi="Calibri"/>
          <w:color w:val="000000"/>
        </w:rPr>
        <w:t xml:space="preserve">, DFAT, </w:t>
      </w:r>
      <w:r w:rsidR="003A497C">
        <w:rPr>
          <w:rFonts w:ascii="Calibri" w:hAnsi="Calibri"/>
          <w:color w:val="000000"/>
        </w:rPr>
        <w:t>GA</w:t>
      </w:r>
      <w:r w:rsidRPr="00CA1E2C">
        <w:rPr>
          <w:rFonts w:ascii="Calibri" w:hAnsi="Calibri"/>
          <w:color w:val="000000"/>
        </w:rPr>
        <w:t xml:space="preserve"> and CSIRO. The establishment of the Agency was </w:t>
      </w:r>
      <w:r w:rsidR="00176FBC">
        <w:rPr>
          <w:rFonts w:ascii="Calibri" w:hAnsi="Calibri"/>
          <w:color w:val="000000"/>
        </w:rPr>
        <w:t xml:space="preserve">also </w:t>
      </w:r>
      <w:r w:rsidRPr="00CA1E2C">
        <w:rPr>
          <w:rFonts w:ascii="Calibri" w:hAnsi="Calibri"/>
          <w:color w:val="000000"/>
        </w:rPr>
        <w:t xml:space="preserve">commended in a resolution introduced into the </w:t>
      </w:r>
      <w:r w:rsidR="0035704D" w:rsidRPr="00CA1E2C">
        <w:rPr>
          <w:rFonts w:ascii="Calibri" w:hAnsi="Calibri"/>
          <w:color w:val="000000"/>
        </w:rPr>
        <w:t>US</w:t>
      </w:r>
      <w:r w:rsidRPr="00CA1E2C">
        <w:rPr>
          <w:rFonts w:ascii="Calibri" w:hAnsi="Calibri"/>
          <w:color w:val="000000"/>
        </w:rPr>
        <w:t xml:space="preserve"> House of Representatives, which supported deeper cooperation between the two countries</w:t>
      </w:r>
      <w:r w:rsidR="00176FBC">
        <w:rPr>
          <w:rFonts w:ascii="Calibri" w:hAnsi="Calibri"/>
          <w:color w:val="000000"/>
        </w:rPr>
        <w:t xml:space="preserve"> in space activities</w:t>
      </w:r>
      <w:r w:rsidRPr="00CA1E2C">
        <w:rPr>
          <w:rFonts w:ascii="Calibri" w:hAnsi="Calibri"/>
          <w:color w:val="000000"/>
        </w:rPr>
        <w:t xml:space="preserve">. </w:t>
      </w:r>
    </w:p>
    <w:p w14:paraId="53CE7D46" w14:textId="5F8DC883" w:rsidR="005B1586" w:rsidRPr="00CA1E2C" w:rsidRDefault="005B1586" w:rsidP="00890185">
      <w:pPr>
        <w:adjustRightInd w:val="0"/>
        <w:snapToGrid w:val="0"/>
        <w:rPr>
          <w:rFonts w:ascii="Calibri" w:hAnsi="Calibri"/>
          <w:color w:val="000000"/>
        </w:rPr>
      </w:pPr>
      <w:r w:rsidRPr="00CA1E2C">
        <w:rPr>
          <w:rFonts w:ascii="Calibri" w:hAnsi="Calibri"/>
          <w:color w:val="000000"/>
        </w:rPr>
        <w:t xml:space="preserve">The Agency promoted Australian space expertise at the </w:t>
      </w:r>
      <w:r w:rsidR="005D7667">
        <w:rPr>
          <w:rFonts w:ascii="Calibri" w:hAnsi="Calibri"/>
          <w:color w:val="000000"/>
        </w:rPr>
        <w:t xml:space="preserve">International </w:t>
      </w:r>
      <w:proofErr w:type="spellStart"/>
      <w:r w:rsidR="005D7667">
        <w:rPr>
          <w:rFonts w:ascii="Calibri" w:hAnsi="Calibri"/>
          <w:color w:val="000000"/>
        </w:rPr>
        <w:t>Astronautical</w:t>
      </w:r>
      <w:proofErr w:type="spellEnd"/>
      <w:r w:rsidR="005D7667">
        <w:rPr>
          <w:rFonts w:ascii="Calibri" w:hAnsi="Calibri"/>
          <w:color w:val="000000"/>
        </w:rPr>
        <w:t xml:space="preserve"> Congress</w:t>
      </w:r>
      <w:r w:rsidRPr="00CA1E2C">
        <w:rPr>
          <w:rFonts w:ascii="Calibri" w:hAnsi="Calibri"/>
          <w:color w:val="000000"/>
        </w:rPr>
        <w:t xml:space="preserve"> in Bremen, Germany</w:t>
      </w:r>
      <w:r w:rsidR="00176FBC">
        <w:rPr>
          <w:rFonts w:ascii="Calibri" w:hAnsi="Calibri"/>
          <w:color w:val="000000"/>
        </w:rPr>
        <w:t>,</w:t>
      </w:r>
      <w:r w:rsidRPr="00CA1E2C">
        <w:rPr>
          <w:rFonts w:ascii="Calibri" w:hAnsi="Calibri"/>
          <w:color w:val="000000"/>
        </w:rPr>
        <w:t xml:space="preserve"> through arranging a booth</w:t>
      </w:r>
      <w:r>
        <w:rPr>
          <w:rFonts w:ascii="Calibri" w:hAnsi="Calibri"/>
          <w:color w:val="000000"/>
        </w:rPr>
        <w:t>, titled</w:t>
      </w:r>
      <w:r w:rsidRPr="00CA1E2C">
        <w:rPr>
          <w:rFonts w:ascii="Calibri" w:hAnsi="Calibri"/>
          <w:color w:val="000000"/>
        </w:rPr>
        <w:t xml:space="preserve"> </w:t>
      </w:r>
      <w:r w:rsidRPr="00CA1E2C">
        <w:rPr>
          <w:rFonts w:ascii="Calibri" w:hAnsi="Calibri"/>
          <w:i/>
          <w:color w:val="000000"/>
        </w:rPr>
        <w:t>The Australian Space</w:t>
      </w:r>
      <w:r w:rsidRPr="00CA1E2C">
        <w:rPr>
          <w:rFonts w:ascii="Calibri" w:hAnsi="Calibri"/>
          <w:color w:val="000000"/>
        </w:rPr>
        <w:t xml:space="preserve"> (October 2018). The booth enabled a range of Australian organisations, including CSIRO, to exhibit their capabilities and engage with potential international partners. The Agency will </w:t>
      </w:r>
      <w:r>
        <w:rPr>
          <w:rFonts w:ascii="Calibri" w:hAnsi="Calibri"/>
          <w:color w:val="000000"/>
        </w:rPr>
        <w:t>continue to attend</w:t>
      </w:r>
      <w:r w:rsidRPr="00CA1E2C">
        <w:rPr>
          <w:rFonts w:ascii="Calibri" w:hAnsi="Calibri"/>
          <w:color w:val="000000"/>
        </w:rPr>
        <w:t xml:space="preserve"> IAC in </w:t>
      </w:r>
      <w:r>
        <w:rPr>
          <w:rFonts w:ascii="Calibri" w:hAnsi="Calibri"/>
          <w:color w:val="000000"/>
        </w:rPr>
        <w:t>future years</w:t>
      </w:r>
      <w:r w:rsidRPr="00CA1E2C">
        <w:rPr>
          <w:rFonts w:ascii="Calibri" w:hAnsi="Calibri"/>
          <w:color w:val="000000"/>
        </w:rPr>
        <w:t xml:space="preserve"> and </w:t>
      </w:r>
      <w:r>
        <w:rPr>
          <w:rFonts w:ascii="Calibri" w:hAnsi="Calibri"/>
          <w:color w:val="000000"/>
        </w:rPr>
        <w:t>present a</w:t>
      </w:r>
      <w:r w:rsidRPr="00CA1E2C">
        <w:rPr>
          <w:rFonts w:ascii="Calibri" w:hAnsi="Calibri"/>
          <w:color w:val="000000"/>
        </w:rPr>
        <w:t xml:space="preserve"> booth to showcase Australian space capabilities.</w:t>
      </w:r>
    </w:p>
    <w:p w14:paraId="375BB228" w14:textId="394F14BC" w:rsidR="005B1586" w:rsidRPr="00CA1E2C" w:rsidRDefault="005B1586" w:rsidP="00890185">
      <w:pPr>
        <w:adjustRightInd w:val="0"/>
        <w:snapToGrid w:val="0"/>
        <w:rPr>
          <w:rFonts w:ascii="Calibri" w:hAnsi="Calibri"/>
          <w:color w:val="000000"/>
        </w:rPr>
      </w:pPr>
      <w:r w:rsidRPr="00CA1E2C">
        <w:t xml:space="preserve">At the end of February 2019, the Agency participated in the inaugural two-day Australian Space Industry Conference, organised by the Space Industry Association of Australia (SIAA) in conjunction with the Avalon 2019 Australian International </w:t>
      </w:r>
      <w:proofErr w:type="spellStart"/>
      <w:r w:rsidRPr="00CA1E2C">
        <w:t>Airshow</w:t>
      </w:r>
      <w:proofErr w:type="spellEnd"/>
      <w:r w:rsidRPr="00CA1E2C">
        <w:t xml:space="preserve"> and Aerospace &amp; Defence Exposition. The Agency also arranged a booth in the </w:t>
      </w:r>
      <w:proofErr w:type="spellStart"/>
      <w:r w:rsidRPr="00CA1E2C">
        <w:t>airshow</w:t>
      </w:r>
      <w:proofErr w:type="spellEnd"/>
      <w:r w:rsidRPr="00CA1E2C">
        <w:t xml:space="preserve"> exposition area to promote Australian space capabilities to the international and national aerospace community attending the </w:t>
      </w:r>
      <w:proofErr w:type="spellStart"/>
      <w:r w:rsidRPr="00CA1E2C">
        <w:t>airshow</w:t>
      </w:r>
      <w:proofErr w:type="spellEnd"/>
      <w:r w:rsidRPr="00CA1E2C">
        <w:t xml:space="preserve"> as well as its public visitors.</w:t>
      </w:r>
    </w:p>
    <w:p w14:paraId="4A76038E" w14:textId="04EC9154" w:rsidR="00075BD4" w:rsidRDefault="00075BD4" w:rsidP="00890185">
      <w:pPr>
        <w:adjustRightInd w:val="0"/>
        <w:snapToGrid w:val="0"/>
        <w:rPr>
          <w:rFonts w:ascii="Calibri" w:hAnsi="Calibri"/>
          <w:color w:val="000000"/>
        </w:rPr>
      </w:pPr>
      <w:r w:rsidRPr="00CA1E2C">
        <w:rPr>
          <w:rFonts w:ascii="Calibri" w:hAnsi="Calibri"/>
          <w:color w:val="000000"/>
        </w:rPr>
        <w:lastRenderedPageBreak/>
        <w:t>In partnership with CSIRO, the Agency represents Australia on the International Space Exploration Coordination Group (ISECG) and International Mars Exploration Working Group</w:t>
      </w:r>
      <w:r w:rsidR="00CA1E2C" w:rsidRPr="00CA1E2C">
        <w:rPr>
          <w:rFonts w:ascii="Calibri" w:hAnsi="Calibri"/>
          <w:color w:val="000000"/>
        </w:rPr>
        <w:t xml:space="preserve"> (IMEWG)</w:t>
      </w:r>
      <w:r w:rsidRPr="00CA1E2C">
        <w:rPr>
          <w:rFonts w:ascii="Calibri" w:hAnsi="Calibri"/>
          <w:color w:val="000000"/>
        </w:rPr>
        <w:t>.</w:t>
      </w:r>
    </w:p>
    <w:p w14:paraId="7571B170" w14:textId="47DD3F60" w:rsidR="006E0C71" w:rsidRDefault="008A7D08" w:rsidP="00890185">
      <w:pPr>
        <w:adjustRightInd w:val="0"/>
        <w:snapToGrid w:val="0"/>
        <w:rPr>
          <w:rFonts w:ascii="Calibri" w:hAnsi="Calibri"/>
          <w:color w:val="000000"/>
        </w:rPr>
      </w:pPr>
      <w:r>
        <w:rPr>
          <w:rFonts w:ascii="Calibri" w:hAnsi="Calibri"/>
          <w:color w:val="000000"/>
        </w:rPr>
        <w:t xml:space="preserve">A summary of SCC member contributions is outlined </w:t>
      </w:r>
      <w:r w:rsidR="005D2CF3">
        <w:rPr>
          <w:rFonts w:ascii="Calibri" w:hAnsi="Calibri"/>
          <w:color w:val="000000"/>
        </w:rPr>
        <w:t>below</w:t>
      </w:r>
      <w:r>
        <w:rPr>
          <w:rFonts w:ascii="Calibri" w:hAnsi="Calibri"/>
          <w:color w:val="000000"/>
        </w:rPr>
        <w:t>.</w:t>
      </w:r>
    </w:p>
    <w:p w14:paraId="4873256E" w14:textId="72F2DD7A" w:rsidR="006E0C71" w:rsidRPr="00CA1E2C" w:rsidRDefault="006E0C71" w:rsidP="006E0C71">
      <w:pPr>
        <w:pStyle w:val="Caption"/>
        <w:rPr>
          <w:rFonts w:ascii="Calibri" w:hAnsi="Calibri"/>
          <w:color w:val="000000"/>
        </w:rPr>
      </w:pPr>
      <w:bookmarkStart w:id="39" w:name="_Toc40946020"/>
      <w:r>
        <w:t xml:space="preserve">Table </w:t>
      </w:r>
      <w:r>
        <w:fldChar w:fldCharType="begin"/>
      </w:r>
      <w:r>
        <w:instrText xml:space="preserve"> SEQ Table \* ARABIC </w:instrText>
      </w:r>
      <w:r>
        <w:fldChar w:fldCharType="separate"/>
      </w:r>
      <w:r w:rsidR="00C35904">
        <w:rPr>
          <w:noProof/>
        </w:rPr>
        <w:t>2</w:t>
      </w:r>
      <w:r>
        <w:fldChar w:fldCharType="end"/>
      </w:r>
      <w:r>
        <w:t xml:space="preserve"> – SCC international engagement activities</w:t>
      </w:r>
      <w:bookmarkEnd w:id="39"/>
    </w:p>
    <w:tbl>
      <w:tblPr>
        <w:tblStyle w:val="ASATable"/>
        <w:tblW w:w="4958" w:type="pct"/>
        <w:tblInd w:w="2" w:type="dxa"/>
        <w:tblLook w:val="04A0" w:firstRow="1" w:lastRow="0" w:firstColumn="1" w:lastColumn="0" w:noHBand="0" w:noVBand="1"/>
        <w:tblCaption w:val="Table 2 – SCC international engagement activities"/>
      </w:tblPr>
      <w:tblGrid>
        <w:gridCol w:w="2547"/>
        <w:gridCol w:w="7228"/>
      </w:tblGrid>
      <w:tr w:rsidR="00CA1E2C" w:rsidRPr="00CA1E2C" w14:paraId="3E5A21DC" w14:textId="77777777" w:rsidTr="00CA1E2C">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303" w:type="pct"/>
          </w:tcPr>
          <w:p w14:paraId="0E44EFC0" w14:textId="77682E73" w:rsidR="00CA1E2C" w:rsidRPr="00CA1E2C" w:rsidRDefault="00CA1E2C" w:rsidP="00351FDF">
            <w:pPr>
              <w:pStyle w:val="TableHeading"/>
              <w:rPr>
                <w:b/>
                <w:color w:val="FFFFFF" w:themeColor="background1"/>
                <w:szCs w:val="22"/>
              </w:rPr>
            </w:pPr>
            <w:r w:rsidRPr="00CA1E2C">
              <w:rPr>
                <w:b/>
                <w:color w:val="FFFFFF" w:themeColor="background1"/>
                <w:szCs w:val="22"/>
              </w:rPr>
              <w:t>Organisation</w:t>
            </w:r>
          </w:p>
        </w:tc>
        <w:tc>
          <w:tcPr>
            <w:tcW w:w="3697" w:type="pct"/>
          </w:tcPr>
          <w:p w14:paraId="05AE4F9A" w14:textId="6C817512" w:rsidR="00CA1E2C" w:rsidRPr="00CA1E2C" w:rsidRDefault="00CA1E2C" w:rsidP="00CA1E2C">
            <w:pPr>
              <w:pStyle w:val="TableHeading"/>
              <w:jc w:val="left"/>
              <w:cnfStyle w:val="100000000000" w:firstRow="1" w:lastRow="0" w:firstColumn="0" w:lastColumn="0" w:oddVBand="0" w:evenVBand="0" w:oddHBand="0" w:evenHBand="0" w:firstRowFirstColumn="0" w:firstRowLastColumn="0" w:lastRowFirstColumn="0" w:lastRowLastColumn="0"/>
            </w:pPr>
            <w:r w:rsidRPr="00CA1E2C">
              <w:t>Summary of activity</w:t>
            </w:r>
          </w:p>
        </w:tc>
      </w:tr>
      <w:tr w:rsidR="00CA1E2C" w:rsidRPr="00CA1E2C" w14:paraId="721C3EA1" w14:textId="77777777" w:rsidTr="00CA1E2C">
        <w:tc>
          <w:tcPr>
            <w:cnfStyle w:val="001000000000" w:firstRow="0" w:lastRow="0" w:firstColumn="1" w:lastColumn="0" w:oddVBand="0" w:evenVBand="0" w:oddHBand="0" w:evenHBand="0" w:firstRowFirstColumn="0" w:firstRowLastColumn="0" w:lastRowFirstColumn="0" w:lastRowLastColumn="0"/>
            <w:tcW w:w="1303" w:type="pct"/>
          </w:tcPr>
          <w:p w14:paraId="22D1BBA8" w14:textId="2ED5676D" w:rsidR="00CA1E2C" w:rsidRPr="00CA1E2C" w:rsidRDefault="00CA1E2C" w:rsidP="00351FDF">
            <w:pPr>
              <w:pStyle w:val="TableText"/>
              <w:rPr>
                <w:color w:val="FFFFFF" w:themeColor="background1"/>
                <w:szCs w:val="22"/>
              </w:rPr>
            </w:pPr>
            <w:r w:rsidRPr="00CA1E2C">
              <w:rPr>
                <w:rFonts w:ascii="Calibri" w:hAnsi="Calibri"/>
                <w:b w:val="0"/>
                <w:color w:val="FFFFFF" w:themeColor="background1"/>
                <w:szCs w:val="22"/>
              </w:rPr>
              <w:t>Australian Communications and Media Authority</w:t>
            </w:r>
          </w:p>
        </w:tc>
        <w:tc>
          <w:tcPr>
            <w:tcW w:w="3697" w:type="pct"/>
          </w:tcPr>
          <w:p w14:paraId="4BD71103" w14:textId="0B65A928" w:rsidR="00CA1E2C" w:rsidRPr="00CA1E2C" w:rsidRDefault="00CA1E2C" w:rsidP="00CA1E2C">
            <w:pPr>
              <w:pStyle w:val="TableText-Diagram"/>
              <w:jc w:val="left"/>
              <w:cnfStyle w:val="000000000000" w:firstRow="0" w:lastRow="0" w:firstColumn="0" w:lastColumn="0" w:oddVBand="0" w:evenVBand="0" w:oddHBand="0" w:evenHBand="0" w:firstRowFirstColumn="0" w:firstRowLastColumn="0" w:lastRowFirstColumn="0" w:lastRowLastColumn="0"/>
              <w:rPr>
                <w:rFonts w:ascii="Calibri" w:hAnsi="Calibri"/>
                <w:b/>
                <w:color w:val="004976"/>
                <w:lang w:val="en-AU"/>
                <w14:textFill>
                  <w14:solidFill>
                    <w14:srgbClr w14:val="004976">
                      <w14:alpha w14:val="30000"/>
                    </w14:srgbClr>
                  </w14:solidFill>
                </w14:textFill>
              </w:rPr>
            </w:pPr>
            <w:r w:rsidRPr="00CA1E2C">
              <w:rPr>
                <w:lang w:val="en-AU"/>
              </w:rPr>
              <w:t xml:space="preserve">The ACMA engages internationally on the coordination, development and implementation of measures to enhance spectrum usage for satellite communications and space research services. It is a member of the International Telecommunications Union (ITU) and the Asia-Pacific </w:t>
            </w:r>
            <w:proofErr w:type="spellStart"/>
            <w:r w:rsidRPr="00CA1E2C">
              <w:rPr>
                <w:lang w:val="en-AU"/>
              </w:rPr>
              <w:t>Telecommunity</w:t>
            </w:r>
            <w:proofErr w:type="spellEnd"/>
            <w:r w:rsidRPr="00CA1E2C">
              <w:rPr>
                <w:lang w:val="en-AU"/>
              </w:rPr>
              <w:t>.</w:t>
            </w:r>
          </w:p>
        </w:tc>
      </w:tr>
      <w:tr w:rsidR="005B1586" w:rsidRPr="00CA1E2C" w14:paraId="138E8F47" w14:textId="77777777" w:rsidTr="00CA1E2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17F94F74" w14:textId="77777777" w:rsidR="005B1586" w:rsidRPr="005B1586" w:rsidRDefault="005B1586" w:rsidP="005B1586">
            <w:pPr>
              <w:pStyle w:val="TableText"/>
              <w:rPr>
                <w:rFonts w:ascii="Calibri" w:hAnsi="Calibri"/>
                <w:b w:val="0"/>
                <w:color w:val="FFFFFF" w:themeColor="background1"/>
                <w:szCs w:val="22"/>
              </w:rPr>
            </w:pPr>
            <w:r w:rsidRPr="005B1586">
              <w:rPr>
                <w:rFonts w:ascii="Calibri" w:hAnsi="Calibri"/>
                <w:b w:val="0"/>
                <w:color w:val="FFFFFF" w:themeColor="background1"/>
                <w:szCs w:val="22"/>
              </w:rPr>
              <w:t>Austrade</w:t>
            </w:r>
          </w:p>
          <w:p w14:paraId="50C33A3F" w14:textId="77777777" w:rsidR="005B1586" w:rsidRPr="00CA1E2C" w:rsidRDefault="005B1586" w:rsidP="00351FDF">
            <w:pPr>
              <w:pStyle w:val="TableText"/>
              <w:rPr>
                <w:rFonts w:ascii="Calibri" w:hAnsi="Calibri"/>
                <w:b w:val="0"/>
                <w:color w:val="FFFFFF" w:themeColor="background1"/>
                <w:szCs w:val="22"/>
              </w:rPr>
            </w:pPr>
          </w:p>
        </w:tc>
        <w:tc>
          <w:tcPr>
            <w:tcW w:w="3697" w:type="pct"/>
          </w:tcPr>
          <w:p w14:paraId="373BF0E0" w14:textId="77777777" w:rsidR="005B1586" w:rsidRPr="005B1586" w:rsidRDefault="005B1586" w:rsidP="005B1586">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5B1586">
              <w:rPr>
                <w:lang w:val="en-AU"/>
              </w:rPr>
              <w:t>Over 2018-19 Austrade ran several space specific events:</w:t>
            </w:r>
          </w:p>
          <w:p w14:paraId="1194882F" w14:textId="77777777" w:rsidR="005B1586" w:rsidRPr="005B1586" w:rsidRDefault="005B1586" w:rsidP="005B1586">
            <w:pPr>
              <w:pStyle w:val="TableBullet"/>
              <w:jc w:val="left"/>
              <w:cnfStyle w:val="000000010000" w:firstRow="0" w:lastRow="0" w:firstColumn="0" w:lastColumn="0" w:oddVBand="0" w:evenVBand="0" w:oddHBand="0" w:evenHBand="1" w:firstRowFirstColumn="0" w:firstRowLastColumn="0" w:lastRowFirstColumn="0" w:lastRowLastColumn="0"/>
            </w:pPr>
            <w:r w:rsidRPr="005B1586">
              <w:t xml:space="preserve">The NSW-Austrade Space </w:t>
            </w:r>
            <w:proofErr w:type="spellStart"/>
            <w:r w:rsidRPr="005B1586">
              <w:t>Startup</w:t>
            </w:r>
            <w:proofErr w:type="spellEnd"/>
            <w:r w:rsidRPr="005B1586">
              <w:t xml:space="preserve"> Bootcamp to Austrade’s Landing Pad in San Francisco. Co-funded by the NSW Government, Austrade took seven NSW Space </w:t>
            </w:r>
            <w:proofErr w:type="spellStart"/>
            <w:r w:rsidRPr="005B1586">
              <w:t>Startups</w:t>
            </w:r>
            <w:proofErr w:type="spellEnd"/>
            <w:r w:rsidRPr="005B1586">
              <w:t xml:space="preserve"> to participate in a week long program where they engaged with US-based old and new space companies, venture capital pitch coaches and legal experts.</w:t>
            </w:r>
          </w:p>
          <w:p w14:paraId="0A393F81" w14:textId="393D3BF7" w:rsidR="005B1586" w:rsidRPr="005B1586" w:rsidRDefault="005B1586" w:rsidP="005B1586">
            <w:pPr>
              <w:pStyle w:val="TableBullet"/>
              <w:jc w:val="left"/>
              <w:cnfStyle w:val="000000010000" w:firstRow="0" w:lastRow="0" w:firstColumn="0" w:lastColumn="0" w:oddVBand="0" w:evenVBand="0" w:oddHBand="0" w:evenHBand="1" w:firstRowFirstColumn="0" w:firstRowLastColumn="0" w:lastRowFirstColumn="0" w:lastRowLastColumn="0"/>
            </w:pPr>
            <w:r w:rsidRPr="005B1586">
              <w:t>The Agency-Austrade Space Finance Round Table brought together representatives from the Venture Capital and Private Equity Community in Australia and the US to discuss the opportunities and challenges related to funding emerging space technology companies.</w:t>
            </w:r>
          </w:p>
          <w:p w14:paraId="5145F5D4" w14:textId="71D04B49" w:rsidR="005B1586" w:rsidRPr="005B1586" w:rsidRDefault="005B1586" w:rsidP="005B1586">
            <w:pPr>
              <w:pStyle w:val="TableBullet"/>
              <w:jc w:val="left"/>
              <w:cnfStyle w:val="000000010000" w:firstRow="0" w:lastRow="0" w:firstColumn="0" w:lastColumn="0" w:oddVBand="0" w:evenVBand="0" w:oddHBand="0" w:evenHBand="1" w:firstRowFirstColumn="0" w:firstRowLastColumn="0" w:lastRowFirstColumn="0" w:lastRowLastColumn="0"/>
            </w:pPr>
            <w:r w:rsidRPr="005B1586">
              <w:t>The American Chamber of Commerce in Australia (</w:t>
            </w:r>
            <w:proofErr w:type="spellStart"/>
            <w:r w:rsidRPr="005B1586">
              <w:t>AmCham</w:t>
            </w:r>
            <w:proofErr w:type="spellEnd"/>
            <w:r w:rsidRPr="005B1586">
              <w:t>)-Austrade Space Commercialisation Mission to the US took place 25-30 November 2018. Led by Col. (</w:t>
            </w:r>
            <w:proofErr w:type="spellStart"/>
            <w:proofErr w:type="gramStart"/>
            <w:r w:rsidRPr="005B1586">
              <w:t>Rt</w:t>
            </w:r>
            <w:proofErr w:type="spellEnd"/>
            <w:proofErr w:type="gramEnd"/>
            <w:r w:rsidRPr="005B1586">
              <w:t xml:space="preserve">) Pam </w:t>
            </w:r>
            <w:proofErr w:type="spellStart"/>
            <w:r w:rsidRPr="005B1586">
              <w:t>Melroy</w:t>
            </w:r>
            <w:proofErr w:type="spellEnd"/>
            <w:r w:rsidRPr="005B1586">
              <w:t xml:space="preserve">, Austrade and </w:t>
            </w:r>
            <w:proofErr w:type="spellStart"/>
            <w:r w:rsidRPr="005B1586">
              <w:t>AmCham</w:t>
            </w:r>
            <w:proofErr w:type="spellEnd"/>
            <w:r w:rsidRPr="005B1586">
              <w:t xml:space="preserve"> took 11 Australian space companies to Houston and Los Angeles to visit key NASA facilities, US Space Primes, </w:t>
            </w:r>
            <w:proofErr w:type="spellStart"/>
            <w:r w:rsidRPr="005B1586">
              <w:t>startups</w:t>
            </w:r>
            <w:proofErr w:type="spellEnd"/>
            <w:r w:rsidRPr="005B1586">
              <w:t xml:space="preserve"> and government partners. In addition</w:t>
            </w:r>
            <w:r w:rsidR="00BB4DB6">
              <w:t>,</w:t>
            </w:r>
            <w:r w:rsidRPr="005B1586">
              <w:t xml:space="preserve"> the participants also attended the Space Commerce Conference and Exposition, which featured the Agency. </w:t>
            </w:r>
          </w:p>
          <w:p w14:paraId="03F4A82D" w14:textId="4D241F35" w:rsidR="005B1586" w:rsidRPr="005B1586" w:rsidRDefault="005B1586" w:rsidP="005B1586">
            <w:pPr>
              <w:pStyle w:val="TableBullet"/>
              <w:jc w:val="left"/>
              <w:cnfStyle w:val="000000010000" w:firstRow="0" w:lastRow="0" w:firstColumn="0" w:lastColumn="0" w:oddVBand="0" w:evenVBand="0" w:oddHBand="0" w:evenHBand="1" w:firstRowFirstColumn="0" w:firstRowLastColumn="0" w:lastRowFirstColumn="0" w:lastRowLastColumn="0"/>
            </w:pPr>
            <w:r w:rsidRPr="005B1586">
              <w:t xml:space="preserve">The Avalon </w:t>
            </w:r>
            <w:proofErr w:type="spellStart"/>
            <w:r w:rsidRPr="005B1586">
              <w:t>Airshow</w:t>
            </w:r>
            <w:proofErr w:type="spellEnd"/>
            <w:r w:rsidRPr="005B1586">
              <w:t xml:space="preserve"> ‘Access to Space Workshop’, o</w:t>
            </w:r>
            <w:r>
              <w:t>rganis</w:t>
            </w:r>
            <w:r w:rsidRPr="005B1586">
              <w:t>ed by Austrade with the support of the Agency, brought together 30+ representatives from across the Australian space industry supply chain and key international space companies to discuss the opportunity easier access to space would provide to the Australian space industry.</w:t>
            </w:r>
          </w:p>
          <w:p w14:paraId="6C9E64D1" w14:textId="3E2135A5" w:rsidR="005B1586" w:rsidRPr="00CA1E2C" w:rsidRDefault="005B1586" w:rsidP="005B1586">
            <w:pPr>
              <w:pStyle w:val="TableBullet"/>
              <w:jc w:val="left"/>
              <w:cnfStyle w:val="000000010000" w:firstRow="0" w:lastRow="0" w:firstColumn="0" w:lastColumn="0" w:oddVBand="0" w:evenVBand="0" w:oddHBand="0" w:evenHBand="1" w:firstRowFirstColumn="0" w:firstRowLastColumn="0" w:lastRowFirstColumn="0" w:lastRowLastColumn="0"/>
            </w:pPr>
            <w:r w:rsidRPr="005B1586">
              <w:t>Austrade, with the support of the Agency and CSIRO, organised a ‘Companion Program’ for Australian companies attending the 35th US Space Symposium in</w:t>
            </w:r>
            <w:r>
              <w:t xml:space="preserve"> Colorado Springs (April 2019).</w:t>
            </w:r>
            <w:r w:rsidRPr="005B1586">
              <w:t xml:space="preserve"> This is an important venue for promoting Australian space capabilities to a range of potential international industry partners, especially in the US.</w:t>
            </w:r>
            <w:r>
              <w:t xml:space="preserve"> </w:t>
            </w:r>
            <w:r w:rsidRPr="005B1586">
              <w:t xml:space="preserve">The Companion Program consisted of two key events: A Space Industry Ecosystem Briefing; and the </w:t>
            </w:r>
            <w:proofErr w:type="spellStart"/>
            <w:r w:rsidRPr="005B1586">
              <w:t>G’Day</w:t>
            </w:r>
            <w:proofErr w:type="spellEnd"/>
            <w:r w:rsidRPr="005B1586">
              <w:t xml:space="preserve"> USA Space Industry </w:t>
            </w:r>
            <w:proofErr w:type="spellStart"/>
            <w:r w:rsidRPr="005B1586">
              <w:t>xChange</w:t>
            </w:r>
            <w:proofErr w:type="spellEnd"/>
            <w:r w:rsidRPr="005B1586">
              <w:t>.</w:t>
            </w:r>
          </w:p>
        </w:tc>
      </w:tr>
      <w:tr w:rsidR="00CA1E2C" w:rsidRPr="00CA1E2C" w14:paraId="79B79219" w14:textId="77777777" w:rsidTr="00CA1E2C">
        <w:tc>
          <w:tcPr>
            <w:cnfStyle w:val="001000000000" w:firstRow="0" w:lastRow="0" w:firstColumn="1" w:lastColumn="0" w:oddVBand="0" w:evenVBand="0" w:oddHBand="0" w:evenHBand="0" w:firstRowFirstColumn="0" w:firstRowLastColumn="0" w:lastRowFirstColumn="0" w:lastRowLastColumn="0"/>
            <w:tcW w:w="1303" w:type="pct"/>
          </w:tcPr>
          <w:p w14:paraId="409B9349" w14:textId="4F675310" w:rsidR="00CA1E2C" w:rsidRPr="00CA1E2C" w:rsidRDefault="00CA1E2C" w:rsidP="00351FDF">
            <w:pPr>
              <w:pStyle w:val="TableText"/>
              <w:rPr>
                <w:color w:val="FFFFFF" w:themeColor="background1"/>
                <w:szCs w:val="22"/>
              </w:rPr>
            </w:pPr>
            <w:r w:rsidRPr="00CA1E2C">
              <w:rPr>
                <w:rFonts w:ascii="Calibri" w:hAnsi="Calibri"/>
                <w:b w:val="0"/>
                <w:color w:val="FFFFFF" w:themeColor="background1"/>
                <w:szCs w:val="22"/>
              </w:rPr>
              <w:t>Bureau of Meteorology</w:t>
            </w:r>
          </w:p>
        </w:tc>
        <w:tc>
          <w:tcPr>
            <w:tcW w:w="3697" w:type="pct"/>
          </w:tcPr>
          <w:p w14:paraId="71C8AF02" w14:textId="77895B76" w:rsidR="00CA1E2C" w:rsidRPr="00CA1E2C" w:rsidRDefault="00CA1E2C" w:rsidP="005B1586">
            <w:pPr>
              <w:pStyle w:val="TableText-Diagram"/>
              <w:jc w:val="left"/>
              <w:cnfStyle w:val="000000000000" w:firstRow="0" w:lastRow="0" w:firstColumn="0" w:lastColumn="0" w:oddVBand="0" w:evenVBand="0" w:oddHBand="0" w:evenHBand="0" w:firstRowFirstColumn="0" w:firstRowLastColumn="0" w:lastRowFirstColumn="0" w:lastRowLastColumn="0"/>
              <w:rPr>
                <w:lang w:val="en-AU"/>
              </w:rPr>
            </w:pPr>
            <w:r w:rsidRPr="00CA1E2C">
              <w:rPr>
                <w:lang w:val="en-AU"/>
              </w:rPr>
              <w:t xml:space="preserve">The Bureau is a member of the World Meteorological Organisation (WMO) and a key contributor to its WMO Integrated Global Observing System (WIGOS). It also has a number of EOS-related bilateral agreements with meteorological services and space agencies in Japan, China, Korea, and the US. The Bureau benefits from the collaborative activities in these relationships, which provide access to the data from a wide range of meteorological satellites. </w:t>
            </w:r>
            <w:r w:rsidR="00C03E26" w:rsidRPr="00C03E26">
              <w:rPr>
                <w:lang w:val="en-AU"/>
              </w:rPr>
              <w:t xml:space="preserve">The Bureau's Space Weather Services (SWS) is a member of the International Space Environment Service (ISES), and operates the regional warning centre for the Australasian region. It is </w:t>
            </w:r>
            <w:r w:rsidR="00C03E26" w:rsidRPr="00C03E26">
              <w:rPr>
                <w:lang w:val="en-AU"/>
              </w:rPr>
              <w:lastRenderedPageBreak/>
              <w:t>a key partner in an international consortium including scientific organisations in Canada, France and Japan. This consortium is developing a global space weather advisory service supporting international civil aviation.</w:t>
            </w:r>
          </w:p>
          <w:p w14:paraId="2B6E2778" w14:textId="3AEEC7CD" w:rsidR="00CA1E2C" w:rsidRPr="00CA1E2C" w:rsidRDefault="00CA1E2C" w:rsidP="005B1586">
            <w:pPr>
              <w:pStyle w:val="TableText-Diagram"/>
              <w:jc w:val="left"/>
              <w:cnfStyle w:val="000000000000" w:firstRow="0" w:lastRow="0" w:firstColumn="0" w:lastColumn="0" w:oddVBand="0" w:evenVBand="0" w:oddHBand="0" w:evenHBand="0" w:firstRowFirstColumn="0" w:firstRowLastColumn="0" w:lastRowFirstColumn="0" w:lastRowLastColumn="0"/>
              <w:rPr>
                <w:lang w:val="en-AU"/>
              </w:rPr>
            </w:pPr>
            <w:r w:rsidRPr="00CA1E2C">
              <w:rPr>
                <w:lang w:val="en-AU"/>
              </w:rPr>
              <w:t>Under international agreements, the Bureau operates a ground station near Darwin for the COSMIC-2 (Constellation Observing System for Meteorology, Ionosphere, and Climate) program and a Turn Around Ranging Station (TARS) for satellites in China’s Fengyun-2 series at Crib Point, Victoria.</w:t>
            </w:r>
          </w:p>
        </w:tc>
      </w:tr>
      <w:tr w:rsidR="00CA1E2C" w:rsidRPr="00CA1E2C" w14:paraId="401A4210" w14:textId="77777777" w:rsidTr="00CA1E2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126CB788" w14:textId="1AD995A7" w:rsidR="00CA1E2C" w:rsidRPr="00B45F06" w:rsidRDefault="00CA1E2C" w:rsidP="00351FDF">
            <w:pPr>
              <w:pStyle w:val="TableText"/>
              <w:rPr>
                <w:b w:val="0"/>
                <w:color w:val="FFFFFF" w:themeColor="background1"/>
                <w:szCs w:val="22"/>
              </w:rPr>
            </w:pPr>
            <w:r w:rsidRPr="00B45F06">
              <w:rPr>
                <w:b w:val="0"/>
                <w:color w:val="FFFFFF" w:themeColor="background1"/>
                <w:szCs w:val="22"/>
              </w:rPr>
              <w:lastRenderedPageBreak/>
              <w:t>CSIRO</w:t>
            </w:r>
          </w:p>
        </w:tc>
        <w:tc>
          <w:tcPr>
            <w:tcW w:w="3697" w:type="pct"/>
          </w:tcPr>
          <w:p w14:paraId="0ADF2F57" w14:textId="33275D3F" w:rsidR="00CA1E2C" w:rsidRPr="00CA1E2C" w:rsidRDefault="00CA1E2C" w:rsidP="008A7D08">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CA1E2C">
              <w:rPr>
                <w:lang w:val="en-AU"/>
              </w:rPr>
              <w:t>CSIRO is the designated Cooperating Agency in the Agreement between Australia and the US concerning Space Vehicle Tracking and Communication Facilities, which was signed on 17 October 2017. This new 25 year bilateral Treaty was ratified by the Australian Parliament in early 2018 and will remain in force until 2043. A new Cooperating Agency Agreement and new contract between CSIRO and NASA was also signed in 2018, remaining in force until 2028.</w:t>
            </w:r>
          </w:p>
          <w:p w14:paraId="2F27D720" w14:textId="365F8589" w:rsidR="00CA1E2C" w:rsidRDefault="00CA1E2C" w:rsidP="008A7D08">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CA1E2C">
              <w:rPr>
                <w:lang w:val="en-AU"/>
              </w:rPr>
              <w:t>A separate bilateral Treaty currently in place establishes CSIRO</w:t>
            </w:r>
            <w:r w:rsidR="005D7667">
              <w:rPr>
                <w:lang w:val="en-AU"/>
              </w:rPr>
              <w:t xml:space="preserve"> as the management lead</w:t>
            </w:r>
            <w:r w:rsidRPr="00CA1E2C">
              <w:rPr>
                <w:lang w:val="en-AU"/>
              </w:rPr>
              <w:t xml:space="preserve"> of the NASA ballooning facility at the Alice Springs Ballooning Facility (A</w:t>
            </w:r>
            <w:r w:rsidR="00341642">
              <w:rPr>
                <w:lang w:val="en-AU"/>
              </w:rPr>
              <w:t xml:space="preserve">SBF). </w:t>
            </w:r>
            <w:r w:rsidR="00BB4DB6">
              <w:rPr>
                <w:lang w:val="en-AU"/>
              </w:rPr>
              <w:t xml:space="preserve">In 2017, </w:t>
            </w:r>
            <w:r w:rsidR="00341642">
              <w:rPr>
                <w:lang w:val="en-AU"/>
              </w:rPr>
              <w:t>CSIRO also entered into a</w:t>
            </w:r>
            <w:r w:rsidRPr="00CA1E2C">
              <w:rPr>
                <w:lang w:val="en-AU"/>
              </w:rPr>
              <w:t xml:space="preserve"> MoU with the Japanese space agency, JAXA, on high altitude ballooning to enable JAXA to conduct scientific ballooning from the ASBF. </w:t>
            </w:r>
          </w:p>
          <w:p w14:paraId="1DB9BC24" w14:textId="0F9CED55" w:rsidR="00612442" w:rsidRPr="00CA1E2C" w:rsidRDefault="00612442" w:rsidP="008A7D08">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612442">
              <w:rPr>
                <w:lang w:val="en-AU"/>
              </w:rPr>
              <w:t>In early 2019 CSIRO also began transition to management of the European Space Agency (ESA)’s deep space tracking station in New Norcia, WA, moving to full management of operations and maintenance on 1 June 2019.</w:t>
            </w:r>
          </w:p>
          <w:p w14:paraId="2674BB25" w14:textId="4278D1CA" w:rsidR="00CA1E2C" w:rsidRPr="00CA1E2C" w:rsidRDefault="00CA1E2C" w:rsidP="008A7D08">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CA1E2C">
              <w:rPr>
                <w:lang w:val="en-AU"/>
              </w:rPr>
              <w:t xml:space="preserve">In 2018 CSIRO continued to build on its partnership with UK-based Surrey Satellite Technology Ltd </w:t>
            </w:r>
            <w:r w:rsidR="00612442">
              <w:rPr>
                <w:lang w:val="en-AU"/>
              </w:rPr>
              <w:t>through</w:t>
            </w:r>
            <w:r w:rsidRPr="00CA1E2C">
              <w:rPr>
                <w:lang w:val="en-AU"/>
              </w:rPr>
              <w:t xml:space="preserve"> a 10 per cent share of the tasking and data acquisition capabilities of the NovaSAR-1 S-band Synthetic Aperture Radar (SAR) satellite. CSIRO will manage operations and data from the satellite as a National Facility following its launch (September 2018) and commissioning. </w:t>
            </w:r>
          </w:p>
          <w:p w14:paraId="673C5015" w14:textId="024AAC78" w:rsidR="00CA1E2C" w:rsidRPr="00CA1E2C" w:rsidRDefault="00CA1E2C" w:rsidP="008A7D08">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CA1E2C">
              <w:rPr>
                <w:lang w:val="en-AU"/>
              </w:rPr>
              <w:t>A Letter of Intent between the CSIRO Centre for Earth Observation and the NZ Centre for Space Science Technology was signed in October 2018 with the purpose of encouraging and exploring opportunities for joint research activities in the field of Earth Observation and identifying areas of possible mutual interest and collaboration.</w:t>
            </w:r>
          </w:p>
          <w:p w14:paraId="0FD92713" w14:textId="72F07CA2" w:rsidR="00CA1E2C" w:rsidRPr="00CA1E2C" w:rsidRDefault="00CA1E2C" w:rsidP="008A7D08">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CA1E2C">
              <w:rPr>
                <w:lang w:val="en-AU"/>
              </w:rPr>
              <w:t>In February 2019 the CSIRO Centre for Earth Observation and CNES inaugurated a new partnership with the signing of a Letter of Intent around Earth observation collaborations. This agreement, following the MoU between CNES and the Agency signed in September 2018, intends to further promote joint collaborations in Earth observation applications to address, among others, complex global challenges such as sustainable development issues and climate adaptation/mitigation. Specific collaborations with CNES in the South Pacific region will be further developed</w:t>
            </w:r>
          </w:p>
          <w:p w14:paraId="6FC985FD" w14:textId="491EEBB3" w:rsidR="00CA1E2C" w:rsidRPr="00CA1E2C" w:rsidRDefault="00CA1E2C" w:rsidP="003A497C">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CA1E2C">
              <w:rPr>
                <w:lang w:val="en-AU"/>
              </w:rPr>
              <w:t xml:space="preserve">CSIRO and </w:t>
            </w:r>
            <w:r w:rsidR="00612442">
              <w:rPr>
                <w:lang w:val="en-AU"/>
              </w:rPr>
              <w:t>Geoscience Australia (</w:t>
            </w:r>
            <w:r w:rsidR="003A497C">
              <w:rPr>
                <w:lang w:val="en-AU"/>
              </w:rPr>
              <w:t>GA</w:t>
            </w:r>
            <w:r w:rsidR="00612442">
              <w:rPr>
                <w:lang w:val="en-AU"/>
              </w:rPr>
              <w:t>)</w:t>
            </w:r>
            <w:r w:rsidRPr="00CA1E2C">
              <w:rPr>
                <w:lang w:val="en-AU"/>
              </w:rPr>
              <w:t xml:space="preserve"> actively participate in the Committee on Earth Observation Satellites (CEOS). CEOS is an international body that brings together 55 organisations operating over 130 satellites to collaborate on civil space-based Earth observation missions, data systems, and global initiatives. It coordinates the activities of 31 space agencies and 132 satellites. CSIRO is Vice Chair (2017-2019) of the Strategic Implementation team (SIT) and will be Chair for 2019-2021. It is Chair (2018-2020) of the Working Group on Calibration &amp; Validation (WGCV) and Vice Chair (2017-2019) and Chair (2019-2021) of the </w:t>
            </w:r>
            <w:r w:rsidRPr="00CA1E2C">
              <w:rPr>
                <w:lang w:val="en-AU"/>
              </w:rPr>
              <w:lastRenderedPageBreak/>
              <w:t>Working Group on Information Systems and Services (WGISS). CSIRO is also Co-Lead of the Ad Hoc Team on Sustainable Development Goals (AHT-SDG).</w:t>
            </w:r>
          </w:p>
        </w:tc>
      </w:tr>
      <w:tr w:rsidR="00CA1E2C" w:rsidRPr="00CA1E2C" w14:paraId="4E5F04B4" w14:textId="77777777" w:rsidTr="00CA1E2C">
        <w:tc>
          <w:tcPr>
            <w:cnfStyle w:val="001000000000" w:firstRow="0" w:lastRow="0" w:firstColumn="1" w:lastColumn="0" w:oddVBand="0" w:evenVBand="0" w:oddHBand="0" w:evenHBand="0" w:firstRowFirstColumn="0" w:firstRowLastColumn="0" w:lastRowFirstColumn="0" w:lastRowLastColumn="0"/>
            <w:tcW w:w="1303" w:type="pct"/>
          </w:tcPr>
          <w:p w14:paraId="5662B347" w14:textId="77777777" w:rsidR="008A7D08" w:rsidRPr="008A7D08" w:rsidRDefault="008A7D08" w:rsidP="008A7D08">
            <w:pPr>
              <w:pStyle w:val="TableText"/>
              <w:rPr>
                <w:rFonts w:ascii="Calibri" w:hAnsi="Calibri"/>
                <w:b w:val="0"/>
                <w:color w:val="FFFFFF" w:themeColor="background1"/>
                <w:szCs w:val="22"/>
              </w:rPr>
            </w:pPr>
            <w:r w:rsidRPr="008A7D08">
              <w:rPr>
                <w:rFonts w:ascii="Calibri" w:hAnsi="Calibri"/>
                <w:b w:val="0"/>
                <w:color w:val="FFFFFF" w:themeColor="background1"/>
                <w:szCs w:val="22"/>
              </w:rPr>
              <w:lastRenderedPageBreak/>
              <w:t>Department of Communications and the Arts</w:t>
            </w:r>
          </w:p>
          <w:p w14:paraId="4A652F89" w14:textId="15D3B3C4" w:rsidR="00CA1E2C" w:rsidRPr="008A7D08" w:rsidRDefault="00CA1E2C" w:rsidP="008A7D08">
            <w:pPr>
              <w:pStyle w:val="TableText"/>
              <w:rPr>
                <w:rFonts w:ascii="Calibri" w:hAnsi="Calibri"/>
                <w:b w:val="0"/>
                <w:color w:val="FFFFFF" w:themeColor="background1"/>
                <w:szCs w:val="22"/>
              </w:rPr>
            </w:pPr>
          </w:p>
        </w:tc>
        <w:tc>
          <w:tcPr>
            <w:tcW w:w="3697" w:type="pct"/>
          </w:tcPr>
          <w:p w14:paraId="49BE1B3A" w14:textId="33FC7F78" w:rsidR="008A7D08" w:rsidRPr="008A7D08" w:rsidRDefault="008A7D08" w:rsidP="008A7D08">
            <w:pPr>
              <w:pStyle w:val="TableText-Diagram"/>
              <w:jc w:val="left"/>
              <w:cnfStyle w:val="000000000000" w:firstRow="0" w:lastRow="0" w:firstColumn="0" w:lastColumn="0" w:oddVBand="0" w:evenVBand="0" w:oddHBand="0" w:evenHBand="0" w:firstRowFirstColumn="0" w:firstRowLastColumn="0" w:lastRowFirstColumn="0" w:lastRowLastColumn="0"/>
              <w:rPr>
                <w:lang w:val="en-AU"/>
              </w:rPr>
            </w:pPr>
            <w:r w:rsidRPr="008A7D08">
              <w:rPr>
                <w:lang w:val="en-AU"/>
              </w:rPr>
              <w:t xml:space="preserve">Australia is a signatory to the Constitution and Convention of the </w:t>
            </w:r>
            <w:r w:rsidR="005B1586">
              <w:rPr>
                <w:lang w:val="en-AU"/>
              </w:rPr>
              <w:t>ITU</w:t>
            </w:r>
            <w:r w:rsidRPr="008A7D08">
              <w:rPr>
                <w:lang w:val="en-AU"/>
              </w:rPr>
              <w:t xml:space="preserve"> and has agreed and ratified all iterations of the World Radio Regulations, most recently in 2015. These treaties govern the global use of radio frequency spectrum and satellite orbits. Australia is also a signatory to the Asia-Pacific </w:t>
            </w:r>
            <w:proofErr w:type="spellStart"/>
            <w:r w:rsidRPr="008A7D08">
              <w:rPr>
                <w:lang w:val="en-AU"/>
              </w:rPr>
              <w:t>Telecommunity</w:t>
            </w:r>
            <w:proofErr w:type="spellEnd"/>
            <w:r w:rsidRPr="008A7D08">
              <w:rPr>
                <w:lang w:val="en-AU"/>
              </w:rPr>
              <w:t xml:space="preserve"> that is the regional focal point for ITU related discussions in the Indo-Pacific region.</w:t>
            </w:r>
          </w:p>
          <w:p w14:paraId="1A5644C2" w14:textId="6B9C8E1E" w:rsidR="00CA1E2C" w:rsidRPr="00CA1E2C" w:rsidRDefault="008A7D08" w:rsidP="008A7D08">
            <w:pPr>
              <w:pStyle w:val="TableText-Diagram"/>
              <w:jc w:val="left"/>
              <w:cnfStyle w:val="000000000000" w:firstRow="0" w:lastRow="0" w:firstColumn="0" w:lastColumn="0" w:oddVBand="0" w:evenVBand="0" w:oddHBand="0" w:evenHBand="0" w:firstRowFirstColumn="0" w:firstRowLastColumn="0" w:lastRowFirstColumn="0" w:lastRowLastColumn="0"/>
              <w:rPr>
                <w:lang w:val="en-AU"/>
              </w:rPr>
            </w:pPr>
            <w:proofErr w:type="spellStart"/>
            <w:r w:rsidRPr="008A7D08">
              <w:rPr>
                <w:lang w:val="en-AU"/>
              </w:rPr>
              <w:t>DoCA</w:t>
            </w:r>
            <w:proofErr w:type="spellEnd"/>
            <w:r w:rsidRPr="008A7D08">
              <w:rPr>
                <w:lang w:val="en-AU"/>
              </w:rPr>
              <w:t xml:space="preserve"> leads Australia’s multi-stakeholder delegations to World </w:t>
            </w:r>
            <w:proofErr w:type="spellStart"/>
            <w:r w:rsidRPr="008A7D08">
              <w:rPr>
                <w:lang w:val="en-AU"/>
              </w:rPr>
              <w:t>Radiocommunication</w:t>
            </w:r>
            <w:proofErr w:type="spellEnd"/>
            <w:r w:rsidRPr="008A7D08">
              <w:rPr>
                <w:lang w:val="en-AU"/>
              </w:rPr>
              <w:t xml:space="preserve"> Conferences (WRC), international ITU preparatory meetings, and APT meetings that precede the four-yearly WRC.</w:t>
            </w:r>
          </w:p>
        </w:tc>
      </w:tr>
      <w:tr w:rsidR="00CA1E2C" w:rsidRPr="00CA1E2C" w14:paraId="60E5BF49" w14:textId="77777777" w:rsidTr="00CA1E2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2E4440A3" w14:textId="2DDB3D0F" w:rsidR="00CA1E2C" w:rsidRPr="008A7D08" w:rsidRDefault="008A7D08" w:rsidP="00351FDF">
            <w:pPr>
              <w:pStyle w:val="TableText"/>
              <w:rPr>
                <w:rFonts w:ascii="Calibri" w:hAnsi="Calibri"/>
                <w:b w:val="0"/>
                <w:color w:val="FFFFFF" w:themeColor="background1"/>
                <w:szCs w:val="22"/>
              </w:rPr>
            </w:pPr>
            <w:r w:rsidRPr="008A7D08">
              <w:rPr>
                <w:rFonts w:ascii="Calibri" w:hAnsi="Calibri"/>
                <w:b w:val="0"/>
                <w:color w:val="FFFFFF" w:themeColor="background1"/>
                <w:szCs w:val="22"/>
              </w:rPr>
              <w:t>Department of Defence</w:t>
            </w:r>
          </w:p>
        </w:tc>
        <w:tc>
          <w:tcPr>
            <w:tcW w:w="3697" w:type="pct"/>
          </w:tcPr>
          <w:p w14:paraId="2BFBB067" w14:textId="77777777" w:rsidR="008A7D08" w:rsidRPr="008A7D08" w:rsidRDefault="008A7D08" w:rsidP="008A7D08">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8A7D08">
              <w:rPr>
                <w:lang w:val="en-AU"/>
              </w:rPr>
              <w:t>Defence engages with international partners on the military use of space through the Combined Space Operations initiative (</w:t>
            </w:r>
            <w:proofErr w:type="spellStart"/>
            <w:r w:rsidRPr="008A7D08">
              <w:rPr>
                <w:lang w:val="en-AU"/>
              </w:rPr>
              <w:t>CSpO</w:t>
            </w:r>
            <w:proofErr w:type="spellEnd"/>
            <w:r w:rsidRPr="008A7D08">
              <w:rPr>
                <w:lang w:val="en-AU"/>
              </w:rPr>
              <w:t>) and bilateral partnerships and talks.</w:t>
            </w:r>
          </w:p>
          <w:p w14:paraId="71AB2181" w14:textId="77777777" w:rsidR="008A7D08" w:rsidRPr="008A7D08" w:rsidRDefault="008A7D08" w:rsidP="008A7D08">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8A7D08">
              <w:rPr>
                <w:lang w:val="en-AU"/>
              </w:rPr>
              <w:t xml:space="preserve">Defence is a member of the </w:t>
            </w:r>
            <w:proofErr w:type="spellStart"/>
            <w:r w:rsidRPr="008A7D08">
              <w:rPr>
                <w:lang w:val="en-AU"/>
              </w:rPr>
              <w:t>CSpO</w:t>
            </w:r>
            <w:proofErr w:type="spellEnd"/>
            <w:r w:rsidRPr="008A7D08">
              <w:rPr>
                <w:lang w:val="en-AU"/>
              </w:rPr>
              <w:t>. The partnership enables the sharing of space-related information and resources to synchronise space operations among like-minded partners. It also enables the reinforcement of the importance of the responsible use of space between defence departments.</w:t>
            </w:r>
          </w:p>
          <w:p w14:paraId="4D3133A5" w14:textId="77777777" w:rsidR="008A7D08" w:rsidRPr="008A7D08" w:rsidRDefault="008A7D08" w:rsidP="008A7D08">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8A7D08">
              <w:rPr>
                <w:lang w:val="en-AU"/>
              </w:rPr>
              <w:t xml:space="preserve">Australia acted as the Executive Secretariat for </w:t>
            </w:r>
            <w:proofErr w:type="spellStart"/>
            <w:r w:rsidRPr="008A7D08">
              <w:rPr>
                <w:lang w:val="en-AU"/>
              </w:rPr>
              <w:t>CSpO</w:t>
            </w:r>
            <w:proofErr w:type="spellEnd"/>
            <w:r w:rsidRPr="008A7D08">
              <w:rPr>
                <w:lang w:val="en-AU"/>
              </w:rPr>
              <w:t xml:space="preserve"> in 2018, with the Principal’s Board meeting in Australia in December 2018.  </w:t>
            </w:r>
          </w:p>
          <w:p w14:paraId="73971C6D" w14:textId="5FC924DE" w:rsidR="008A7D08" w:rsidRPr="008A7D08" w:rsidRDefault="008A7D08" w:rsidP="008A7D08">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8A7D08">
              <w:rPr>
                <w:lang w:val="en-AU"/>
              </w:rPr>
              <w:t xml:space="preserve">Defence Science and Technology (DST) is an active member of the Responsive Space Capabilities MoU, working with 10 other nations to explore the utility of small satellites, communication technologies and responsive launch options. DST also contributes to significant collaborative developments </w:t>
            </w:r>
            <w:r w:rsidR="005D1B4C">
              <w:rPr>
                <w:lang w:val="en-AU"/>
              </w:rPr>
              <w:t xml:space="preserve">and experiments with its </w:t>
            </w:r>
            <w:r w:rsidR="005D7667">
              <w:rPr>
                <w:lang w:val="en-AU"/>
              </w:rPr>
              <w:t xml:space="preserve">collaborative </w:t>
            </w:r>
            <w:r w:rsidRPr="008A7D08">
              <w:rPr>
                <w:lang w:val="en-AU"/>
              </w:rPr>
              <w:t>partners Canada, New Zealand, the UK and the US.</w:t>
            </w:r>
          </w:p>
          <w:p w14:paraId="75D7A2D1" w14:textId="072A797D" w:rsidR="00CA1E2C" w:rsidRPr="008A7D08" w:rsidRDefault="008A7D08" w:rsidP="008A7D08">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8A7D08">
              <w:rPr>
                <w:lang w:val="en-AU"/>
              </w:rPr>
              <w:t xml:space="preserve">Defence represents Australia at the technical and licensing/enforcement working groups of the Missile Technology Control Regime (MTCR) and the </w:t>
            </w:r>
            <w:proofErr w:type="spellStart"/>
            <w:r w:rsidRPr="008A7D08">
              <w:rPr>
                <w:lang w:val="en-AU"/>
              </w:rPr>
              <w:t>Wassenaar</w:t>
            </w:r>
            <w:proofErr w:type="spellEnd"/>
            <w:r w:rsidRPr="008A7D08">
              <w:rPr>
                <w:lang w:val="en-AU"/>
              </w:rPr>
              <w:t xml:space="preserve"> Arrangement, which set and promote best-practice guidelines for regulating the transfer of sensitive space-related goods and technology. Australia enacts these guidelines through national legislation.</w:t>
            </w:r>
          </w:p>
        </w:tc>
      </w:tr>
      <w:tr w:rsidR="00CA1E2C" w:rsidRPr="00CA1E2C" w14:paraId="141F9C1E" w14:textId="77777777" w:rsidTr="00CA1E2C">
        <w:tc>
          <w:tcPr>
            <w:cnfStyle w:val="001000000000" w:firstRow="0" w:lastRow="0" w:firstColumn="1" w:lastColumn="0" w:oddVBand="0" w:evenVBand="0" w:oddHBand="0" w:evenHBand="0" w:firstRowFirstColumn="0" w:firstRowLastColumn="0" w:lastRowFirstColumn="0" w:lastRowLastColumn="0"/>
            <w:tcW w:w="1303" w:type="pct"/>
          </w:tcPr>
          <w:p w14:paraId="3E2F1BC2" w14:textId="77777777" w:rsidR="008A7D08" w:rsidRPr="008A7D08" w:rsidRDefault="008A7D08" w:rsidP="008A7D08">
            <w:pPr>
              <w:pStyle w:val="TableText"/>
              <w:rPr>
                <w:rFonts w:ascii="Calibri" w:hAnsi="Calibri"/>
                <w:b w:val="0"/>
                <w:color w:val="FFFFFF" w:themeColor="background1"/>
                <w:szCs w:val="22"/>
              </w:rPr>
            </w:pPr>
            <w:r w:rsidRPr="008A7D08">
              <w:rPr>
                <w:rFonts w:ascii="Calibri" w:hAnsi="Calibri"/>
                <w:b w:val="0"/>
                <w:color w:val="FFFFFF" w:themeColor="background1"/>
                <w:szCs w:val="22"/>
              </w:rPr>
              <w:t>Department of Home Affairs</w:t>
            </w:r>
          </w:p>
          <w:p w14:paraId="68E832E7" w14:textId="77777777" w:rsidR="00CA1E2C" w:rsidRPr="008A7D08" w:rsidRDefault="00CA1E2C" w:rsidP="008A7D08">
            <w:pPr>
              <w:pStyle w:val="TableText"/>
              <w:rPr>
                <w:rFonts w:ascii="Calibri" w:hAnsi="Calibri"/>
                <w:b w:val="0"/>
                <w:color w:val="FFFFFF" w:themeColor="background1"/>
                <w:szCs w:val="22"/>
              </w:rPr>
            </w:pPr>
          </w:p>
        </w:tc>
        <w:tc>
          <w:tcPr>
            <w:tcW w:w="3697" w:type="pct"/>
          </w:tcPr>
          <w:p w14:paraId="2EF5AA86" w14:textId="29622248" w:rsidR="00CA1E2C" w:rsidRPr="00CA1E2C" w:rsidRDefault="008A7D08" w:rsidP="005D7667">
            <w:pPr>
              <w:pStyle w:val="TableText-Diagram"/>
              <w:jc w:val="left"/>
              <w:cnfStyle w:val="000000000000" w:firstRow="0" w:lastRow="0" w:firstColumn="0" w:lastColumn="0" w:oddVBand="0" w:evenVBand="0" w:oddHBand="0" w:evenHBand="0" w:firstRowFirstColumn="0" w:firstRowLastColumn="0" w:lastRowFirstColumn="0" w:lastRowLastColumn="0"/>
              <w:rPr>
                <w:lang w:val="en-AU"/>
              </w:rPr>
            </w:pPr>
            <w:r w:rsidRPr="008A7D08">
              <w:rPr>
                <w:lang w:val="en-AU"/>
              </w:rPr>
              <w:t>The Critical Infrastructure Centre, representing Australia, is currently the secretariat for the Critical Five (C5) and the C5 GNSS subgroup. The C5 is the forum for</w:t>
            </w:r>
            <w:r w:rsidR="005D7667">
              <w:rPr>
                <w:lang w:val="en-AU"/>
              </w:rPr>
              <w:t xml:space="preserve"> the five country</w:t>
            </w:r>
            <w:r w:rsidRPr="008A7D08">
              <w:rPr>
                <w:lang w:val="en-AU"/>
              </w:rPr>
              <w:t xml:space="preserve"> </w:t>
            </w:r>
            <w:r w:rsidR="005D7667">
              <w:rPr>
                <w:lang w:val="en-AU"/>
              </w:rPr>
              <w:t xml:space="preserve">collaborative </w:t>
            </w:r>
            <w:proofErr w:type="gramStart"/>
            <w:r w:rsidR="005D7667">
              <w:rPr>
                <w:lang w:val="en-AU"/>
              </w:rPr>
              <w:t>partners</w:t>
            </w:r>
            <w:proofErr w:type="gramEnd"/>
            <w:r w:rsidR="005D7667">
              <w:rPr>
                <w:lang w:val="en-AU"/>
              </w:rPr>
              <w:t xml:space="preserve"> </w:t>
            </w:r>
            <w:proofErr w:type="spellStart"/>
            <w:r w:rsidR="005D7667">
              <w:rPr>
                <w:lang w:val="en-AU"/>
              </w:rPr>
              <w:t>approache</w:t>
            </w:r>
            <w:proofErr w:type="spellEnd"/>
            <w:r w:rsidRPr="008A7D08">
              <w:rPr>
                <w:lang w:val="en-AU"/>
              </w:rPr>
              <w:t xml:space="preserve"> to cri</w:t>
            </w:r>
            <w:r w:rsidR="005B1586">
              <w:rPr>
                <w:lang w:val="en-AU"/>
              </w:rPr>
              <w:t>tical infrastructure resilience.</w:t>
            </w:r>
            <w:r w:rsidRPr="008A7D08">
              <w:rPr>
                <w:lang w:val="en-AU"/>
              </w:rPr>
              <w:t xml:space="preserve"> Participation in C5 and the GNSS subgroup is a valuable opportunity to share information on threats to critical infrastructure, mitigation approaches and policy. </w:t>
            </w:r>
          </w:p>
        </w:tc>
      </w:tr>
      <w:tr w:rsidR="00CA1E2C" w:rsidRPr="00CA1E2C" w14:paraId="673D7017" w14:textId="77777777" w:rsidTr="00CA1E2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1BB4DA55" w14:textId="2B3D2636" w:rsidR="00CA1E2C" w:rsidRPr="008A7D08" w:rsidRDefault="008A7D08" w:rsidP="00351FDF">
            <w:pPr>
              <w:pStyle w:val="TableText"/>
              <w:rPr>
                <w:rFonts w:ascii="Calibri" w:hAnsi="Calibri"/>
                <w:b w:val="0"/>
                <w:color w:val="FFFFFF" w:themeColor="background1"/>
                <w:szCs w:val="22"/>
              </w:rPr>
            </w:pPr>
            <w:r w:rsidRPr="008A7D08">
              <w:rPr>
                <w:rFonts w:ascii="Calibri" w:hAnsi="Calibri"/>
                <w:b w:val="0"/>
                <w:color w:val="FFFFFF" w:themeColor="background1"/>
                <w:szCs w:val="22"/>
              </w:rPr>
              <w:t>Geoscience Australia</w:t>
            </w:r>
          </w:p>
        </w:tc>
        <w:tc>
          <w:tcPr>
            <w:tcW w:w="3697" w:type="pct"/>
          </w:tcPr>
          <w:p w14:paraId="7E3BD7AB" w14:textId="72D2F17F" w:rsidR="008A7D08" w:rsidRPr="008A7D08" w:rsidRDefault="008A7D08" w:rsidP="008A7D08">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8A7D08">
              <w:rPr>
                <w:lang w:val="en-AU"/>
              </w:rPr>
              <w:t>Geoscience Australia</w:t>
            </w:r>
            <w:r w:rsidR="00612442">
              <w:rPr>
                <w:lang w:val="en-AU"/>
              </w:rPr>
              <w:t xml:space="preserve"> (GA)</w:t>
            </w:r>
            <w:r w:rsidRPr="008A7D08">
              <w:rPr>
                <w:lang w:val="en-AU"/>
              </w:rPr>
              <w:t xml:space="preserve"> has formal cooperation arrangements with the US Geological Survey, in relation to the Landsat Earth observation program, and the European Commission, in relation to the Copernicus Earth observation program. Through both arrangements, GA works to promote continued Australian access to critical satellite Earth observation data, maximising the uptake and impact of Earth observation data on the Australian economy and society. </w:t>
            </w:r>
          </w:p>
          <w:p w14:paraId="58CDB939" w14:textId="16E5369C" w:rsidR="008A7D08" w:rsidRPr="008A7D08" w:rsidRDefault="005B1586" w:rsidP="008A7D08">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Pr>
                <w:lang w:val="en-AU"/>
              </w:rPr>
              <w:t>GA</w:t>
            </w:r>
            <w:r w:rsidR="008A7D08" w:rsidRPr="008A7D08">
              <w:rPr>
                <w:lang w:val="en-AU"/>
              </w:rPr>
              <w:t xml:space="preserve"> is Australia’s principal representative to the intergovernmental Gro</w:t>
            </w:r>
            <w:r>
              <w:rPr>
                <w:lang w:val="en-AU"/>
              </w:rPr>
              <w:t xml:space="preserve">up on Earth Observation (GEO). </w:t>
            </w:r>
            <w:r w:rsidR="008A7D08" w:rsidRPr="008A7D08">
              <w:rPr>
                <w:lang w:val="en-AU"/>
              </w:rPr>
              <w:t xml:space="preserve">GEO facilitates cooperation between governments, industry and NGOs to exploit earth observation for </w:t>
            </w:r>
            <w:r>
              <w:rPr>
                <w:lang w:val="en-AU"/>
              </w:rPr>
              <w:t>societal benefit.</w:t>
            </w:r>
            <w:r w:rsidR="008A7D08" w:rsidRPr="008A7D08">
              <w:rPr>
                <w:lang w:val="en-AU"/>
              </w:rPr>
              <w:t xml:space="preserve"> GA coordinates Australia’s GEO representation which includes participation from </w:t>
            </w:r>
            <w:r w:rsidR="008A7D08" w:rsidRPr="008A7D08">
              <w:rPr>
                <w:lang w:val="en-AU"/>
              </w:rPr>
              <w:lastRenderedPageBreak/>
              <w:t>CSIRO, the Agency, the Bureau, the Department of the Environment, the Australian Bureau of Statistics and other agencies.</w:t>
            </w:r>
          </w:p>
          <w:p w14:paraId="6747B485" w14:textId="51B5AE0D" w:rsidR="008A7D08" w:rsidRPr="00AA535E" w:rsidRDefault="008A7D08" w:rsidP="008A7D08">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8A7D08">
              <w:rPr>
                <w:lang w:val="en-AU"/>
              </w:rPr>
              <w:t xml:space="preserve">GA is also </w:t>
            </w:r>
            <w:r w:rsidRPr="00AA535E">
              <w:rPr>
                <w:lang w:val="en-AU"/>
              </w:rPr>
              <w:t>supporting the Digital Earth Africa initiative, designed to build the world’s largest operational platform for accessing and analysing decades of satellite imagery speci</w:t>
            </w:r>
            <w:r w:rsidR="005B1586" w:rsidRPr="00AA535E">
              <w:rPr>
                <w:lang w:val="en-AU"/>
              </w:rPr>
              <w:t xml:space="preserve">fic to Africa’s land and seas. </w:t>
            </w:r>
            <w:r w:rsidRPr="00AA535E">
              <w:rPr>
                <w:lang w:val="en-AU"/>
              </w:rPr>
              <w:t xml:space="preserve">DE Africa is being co-funded by DFAT and the US-based Helmsley Charitable Trust.  </w:t>
            </w:r>
          </w:p>
          <w:p w14:paraId="44E532F9" w14:textId="04B8EDC4" w:rsidR="008A7D08" w:rsidRPr="00AA535E" w:rsidRDefault="003A497C" w:rsidP="008A7D08">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Pr>
                <w:lang w:val="en-AU"/>
              </w:rPr>
              <w:t>GA</w:t>
            </w:r>
            <w:r w:rsidR="008A7D08" w:rsidRPr="00AA535E">
              <w:rPr>
                <w:lang w:val="en-AU"/>
              </w:rPr>
              <w:t xml:space="preserve"> cooperates with NASA on the operation of the </w:t>
            </w:r>
            <w:proofErr w:type="spellStart"/>
            <w:r w:rsidR="008A7D08" w:rsidRPr="00AA535E">
              <w:rPr>
                <w:lang w:val="en-AU"/>
              </w:rPr>
              <w:t>Yarragadee</w:t>
            </w:r>
            <w:proofErr w:type="spellEnd"/>
            <w:r w:rsidR="008A7D08" w:rsidRPr="00AA535E">
              <w:rPr>
                <w:lang w:val="en-AU"/>
              </w:rPr>
              <w:t xml:space="preserve"> geodetic observatory in Western Australia. NASA provides the Satellite Laser Ranging instrument, and GA provides operational support and facility management. At </w:t>
            </w:r>
            <w:proofErr w:type="spellStart"/>
            <w:r w:rsidR="008A7D08" w:rsidRPr="00AA535E">
              <w:rPr>
                <w:lang w:val="en-AU"/>
              </w:rPr>
              <w:t>Yarragadee</w:t>
            </w:r>
            <w:proofErr w:type="spellEnd"/>
            <w:r w:rsidR="008A7D08" w:rsidRPr="00AA535E">
              <w:rPr>
                <w:lang w:val="en-AU"/>
              </w:rPr>
              <w:t xml:space="preserve"> and Mt Stromlo, ACT, GA also operates two Doppler </w:t>
            </w:r>
            <w:proofErr w:type="spellStart"/>
            <w:r w:rsidR="008A7D08" w:rsidRPr="00AA535E">
              <w:rPr>
                <w:lang w:val="en-AU"/>
              </w:rPr>
              <w:t>Orbitography</w:t>
            </w:r>
            <w:proofErr w:type="spellEnd"/>
            <w:r w:rsidR="008A7D08" w:rsidRPr="00AA535E">
              <w:rPr>
                <w:lang w:val="en-AU"/>
              </w:rPr>
              <w:t xml:space="preserve"> and Radio-positioning Integrated by Satellite (DORIS) beacons in partnership with CNES. The DORIS beacons support the precise determination of the orbit of low altitude satellites. </w:t>
            </w:r>
          </w:p>
          <w:p w14:paraId="27E16070" w14:textId="4615D197" w:rsidR="008A7D08" w:rsidRPr="008A7D08" w:rsidRDefault="008A7D08" w:rsidP="008A7D08">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AA535E">
              <w:rPr>
                <w:lang w:val="en-AU"/>
              </w:rPr>
              <w:t xml:space="preserve">To support its development of an Australian </w:t>
            </w:r>
            <w:r w:rsidR="00AA535E" w:rsidRPr="00AA535E">
              <w:rPr>
                <w:lang w:val="en-AU"/>
              </w:rPr>
              <w:t>Satellite Based Augmentation System (</w:t>
            </w:r>
            <w:r w:rsidRPr="00AA535E">
              <w:rPr>
                <w:lang w:val="en-AU"/>
              </w:rPr>
              <w:t>SBAS</w:t>
            </w:r>
            <w:r w:rsidR="00AA535E" w:rsidRPr="00AA535E">
              <w:rPr>
                <w:lang w:val="en-AU"/>
              </w:rPr>
              <w:t>)</w:t>
            </w:r>
            <w:r w:rsidRPr="00AA535E">
              <w:rPr>
                <w:lang w:val="en-AU"/>
              </w:rPr>
              <w:t xml:space="preserve">, </w:t>
            </w:r>
            <w:r w:rsidR="003A497C">
              <w:rPr>
                <w:lang w:val="en-AU"/>
              </w:rPr>
              <w:t>GA</w:t>
            </w:r>
            <w:r w:rsidRPr="00AA535E">
              <w:rPr>
                <w:lang w:val="en-AU"/>
              </w:rPr>
              <w:t xml:space="preserve"> has a joint collaborative research project with Lockheed Martin to provide SBAS transmissions to the Asia Pacific</w:t>
            </w:r>
            <w:r w:rsidRPr="008A7D08">
              <w:rPr>
                <w:lang w:val="en-AU"/>
              </w:rPr>
              <w:t xml:space="preserve"> region until July 2020. GA continues to collaborate with Land Information New Zealand (LINZ) on the potential development of a joint SBAS and has an SBAS cooperation with the Thai </w:t>
            </w:r>
            <w:proofErr w:type="spellStart"/>
            <w:r w:rsidRPr="008A7D08">
              <w:rPr>
                <w:lang w:val="en-AU"/>
              </w:rPr>
              <w:t>Geoinformatics</w:t>
            </w:r>
            <w:proofErr w:type="spellEnd"/>
            <w:r w:rsidRPr="008A7D08">
              <w:rPr>
                <w:lang w:val="en-AU"/>
              </w:rPr>
              <w:t xml:space="preserve"> and Space Technology Development Agency (GISTDA).</w:t>
            </w:r>
          </w:p>
          <w:p w14:paraId="0C3D6455" w14:textId="4EBCD081" w:rsidR="008A7D08" w:rsidRPr="008A7D08" w:rsidRDefault="003A497C" w:rsidP="008A7D08">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Pr>
                <w:lang w:val="en-AU"/>
              </w:rPr>
              <w:t>GA</w:t>
            </w:r>
            <w:r w:rsidR="008A7D08" w:rsidRPr="008A7D08">
              <w:rPr>
                <w:lang w:val="en-AU"/>
              </w:rPr>
              <w:t xml:space="preserve"> has international agreements in relation to GNSS data sharing and satellite tracking with Japan, India and China. It also provides GNSS technical support to the Australian Government’s Climate and Oceans Support Program in the Pacific (</w:t>
            </w:r>
            <w:proofErr w:type="spellStart"/>
            <w:r w:rsidR="008A7D08" w:rsidRPr="008A7D08">
              <w:rPr>
                <w:lang w:val="en-AU"/>
              </w:rPr>
              <w:t>COSPPac</w:t>
            </w:r>
            <w:proofErr w:type="spellEnd"/>
            <w:r w:rsidR="008A7D08" w:rsidRPr="008A7D08">
              <w:rPr>
                <w:lang w:val="en-AU"/>
              </w:rPr>
              <w:t xml:space="preserve">). </w:t>
            </w:r>
          </w:p>
          <w:p w14:paraId="66AA3747" w14:textId="0392D63B" w:rsidR="00CA1E2C" w:rsidRPr="00CA1E2C" w:rsidRDefault="008A7D08" w:rsidP="00380EE9">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8A7D08">
              <w:rPr>
                <w:lang w:val="en-AU"/>
              </w:rPr>
              <w:t>GA chairs the International GNSS Service (IGS), which is a voluntary federation of over 200 self-funding agencies, universities, and research institutions in more than 100 countries</w:t>
            </w:r>
            <w:r w:rsidR="00380EE9">
              <w:rPr>
                <w:lang w:val="en-AU"/>
              </w:rPr>
              <w:t>,</w:t>
            </w:r>
            <w:r w:rsidRPr="008A7D08">
              <w:rPr>
                <w:lang w:val="en-AU"/>
              </w:rPr>
              <w:t xml:space="preserve"> working together to provide the highest precision GPS satellite orbits in the world. It is also a member of several other PNT-related international w</w:t>
            </w:r>
            <w:r>
              <w:rPr>
                <w:lang w:val="en-AU"/>
              </w:rPr>
              <w:t xml:space="preserve">orking groups and organisations. </w:t>
            </w:r>
          </w:p>
        </w:tc>
      </w:tr>
    </w:tbl>
    <w:p w14:paraId="78867C5D" w14:textId="1649E5A5" w:rsidR="00F41987" w:rsidRPr="00CA1E2C" w:rsidRDefault="00F41987" w:rsidP="00454F9F">
      <w:pPr>
        <w:adjustRightInd w:val="0"/>
        <w:snapToGrid w:val="0"/>
        <w:spacing w:after="227" w:line="240" w:lineRule="atLeast"/>
        <w:rPr>
          <w:rFonts w:ascii="Calibri" w:hAnsi="Calibri"/>
          <w:color w:val="000000"/>
        </w:rPr>
      </w:pPr>
    </w:p>
    <w:p w14:paraId="1EA4543B" w14:textId="77777777" w:rsidR="00F41987" w:rsidRPr="00CA1E2C" w:rsidRDefault="00F41987" w:rsidP="00421F50">
      <w:pPr>
        <w:pStyle w:val="Heading2"/>
        <w:rPr>
          <w:color w:val="000000"/>
        </w:rPr>
      </w:pPr>
      <w:r w:rsidRPr="00CA1E2C">
        <w:t xml:space="preserve">Space Representation at the United Nations </w:t>
      </w:r>
    </w:p>
    <w:p w14:paraId="36CD854F" w14:textId="5A408ADB" w:rsidR="00F64EDB" w:rsidRPr="00CA1E2C" w:rsidRDefault="00F41987" w:rsidP="00890185">
      <w:r w:rsidRPr="00CA1E2C">
        <w:rPr>
          <w:rFonts w:ascii="Calibri" w:hAnsi="Calibri"/>
          <w:color w:val="000000"/>
        </w:rPr>
        <w:t xml:space="preserve">Australia is a signatory to all the UN treaties that govern space activities. </w:t>
      </w:r>
      <w:r w:rsidR="00076B81" w:rsidRPr="00CA1E2C">
        <w:t xml:space="preserve">The Agency, </w:t>
      </w:r>
      <w:r w:rsidR="00717A27" w:rsidRPr="00CA1E2C">
        <w:t xml:space="preserve">with support from </w:t>
      </w:r>
      <w:r w:rsidR="00076B81" w:rsidRPr="00CA1E2C">
        <w:t>DFAT</w:t>
      </w:r>
      <w:r w:rsidR="00717A27" w:rsidRPr="00CA1E2C">
        <w:t>,</w:t>
      </w:r>
      <w:r w:rsidR="00076B81" w:rsidRPr="00CA1E2C">
        <w:t xml:space="preserve"> represents Australia at the United Nations Committee on the Peaceful Uses of Outer Space (UNCOPUOS) and its subcommittees (Legal and Scientific and Technical). </w:t>
      </w:r>
      <w:r w:rsidR="00717A27" w:rsidRPr="00CA1E2C">
        <w:t>The</w:t>
      </w:r>
      <w:r w:rsidR="005E7382" w:rsidRPr="00CA1E2C">
        <w:t xml:space="preserve"> Agency and DFAT</w:t>
      </w:r>
      <w:r w:rsidR="00717A27" w:rsidRPr="00CA1E2C">
        <w:t xml:space="preserve"> attended the UNCOPUOS meeting in June 2019, and the Scientific and Technical Sub-committee and Legal Sub-committee meetings in February and April 2019.</w:t>
      </w:r>
      <w:r w:rsidR="00F64EDB" w:rsidRPr="00CA1E2C">
        <w:t xml:space="preserve"> At DFAT’s invitation, Prof Stephen Freeland, Professor of International Law, University of Western Sydney, joined as an advisor to the Australian delegation for the 57th session of the Legal Subcommittee of COPUOS in Vienna.</w:t>
      </w:r>
    </w:p>
    <w:p w14:paraId="214023D1" w14:textId="6EBF0D10" w:rsidR="00F41987" w:rsidRPr="00CA1E2C" w:rsidRDefault="00717A27" w:rsidP="00890185">
      <w:pPr>
        <w:rPr>
          <w:rFonts w:ascii="Calibri" w:eastAsiaTheme="minorHAnsi" w:hAnsi="Calibri"/>
          <w:color w:val="auto"/>
        </w:rPr>
      </w:pPr>
      <w:r w:rsidRPr="00CA1E2C">
        <w:t xml:space="preserve">DFAT represents Australia at the First and Fourth Committee, </w:t>
      </w:r>
      <w:r w:rsidR="005E7382" w:rsidRPr="00CA1E2C">
        <w:t>United Nations General Assembly</w:t>
      </w:r>
      <w:r w:rsidRPr="00CA1E2C">
        <w:t xml:space="preserve">. It leads Australia’s engagement in the disarmament process at the United Nations Disarmament Commission and the Conference on Disarmament. </w:t>
      </w:r>
      <w:r w:rsidR="00F41987" w:rsidRPr="00CA1E2C">
        <w:rPr>
          <w:rFonts w:ascii="Calibri" w:hAnsi="Calibri"/>
          <w:color w:val="000000"/>
        </w:rPr>
        <w:t>DFAT is also involved in the United Nations Group of Governmental Experts (GGE) on further practical measures for the prevention of an arms race in outer space</w:t>
      </w:r>
      <w:r w:rsidRPr="00CA1E2C">
        <w:rPr>
          <w:rFonts w:ascii="Calibri" w:hAnsi="Calibri"/>
          <w:color w:val="000000"/>
        </w:rPr>
        <w:t>.</w:t>
      </w:r>
    </w:p>
    <w:p w14:paraId="17B6AE50" w14:textId="171CC11E" w:rsidR="00F41987" w:rsidRPr="00CA1E2C" w:rsidRDefault="00F41987" w:rsidP="00890185">
      <w:pPr>
        <w:rPr>
          <w:rFonts w:ascii="Calibri" w:hAnsi="Calibri"/>
          <w:color w:val="000000"/>
        </w:rPr>
      </w:pPr>
      <w:r w:rsidRPr="00CA1E2C">
        <w:t xml:space="preserve">DFAT and </w:t>
      </w:r>
      <w:r w:rsidR="005B1586">
        <w:t>DIIS</w:t>
      </w:r>
      <w:r w:rsidRPr="00CA1E2C">
        <w:t xml:space="preserve"> participated in negotiations in May 2018, to draft a consensus resolution, aimed at strengthening the roles and activities of UNCOPUOS and its subsidiary bodies and endorsing dev</w:t>
      </w:r>
      <w:r w:rsidR="005B1586">
        <w:t xml:space="preserve">elopment of a Space2030 Agenda. </w:t>
      </w:r>
      <w:r w:rsidRPr="00CA1E2C">
        <w:t xml:space="preserve">The Resolution, titled "Fiftieth anniversary of the first United Nations Conference on the Exploration and Peaceful Uses of Outer Space: space as a driver of sustainable development" was later </w:t>
      </w:r>
      <w:r w:rsidRPr="00CA1E2C">
        <w:lastRenderedPageBreak/>
        <w:t xml:space="preserve">adopted by the UNISPACE+50 meeting and then the United Nations General Assembly. DFAT and the Agency attended the </w:t>
      </w:r>
      <w:r w:rsidRPr="00CA1E2C">
        <w:rPr>
          <w:rFonts w:ascii="Calibri" w:hAnsi="Calibri"/>
          <w:color w:val="000000"/>
        </w:rPr>
        <w:t>meetings of the UNCOPUOS Space2030 Agenda Working Group (</w:t>
      </w:r>
      <w:r w:rsidR="00F64EDB" w:rsidRPr="00CA1E2C">
        <w:rPr>
          <w:rFonts w:ascii="Calibri" w:hAnsi="Calibri"/>
          <w:color w:val="000000"/>
        </w:rPr>
        <w:t xml:space="preserve">October </w:t>
      </w:r>
      <w:r w:rsidRPr="00CA1E2C">
        <w:rPr>
          <w:rFonts w:ascii="Calibri" w:hAnsi="Calibri"/>
          <w:color w:val="000000"/>
        </w:rPr>
        <w:t xml:space="preserve">2018 and June 2019). </w:t>
      </w:r>
    </w:p>
    <w:p w14:paraId="5649F6B9" w14:textId="77777777" w:rsidR="00F41987" w:rsidRPr="00CA1E2C" w:rsidRDefault="00F41987" w:rsidP="00890185">
      <w:pPr>
        <w:rPr>
          <w:rFonts w:ascii="Calibri" w:hAnsi="Calibri"/>
          <w:color w:val="000000"/>
        </w:rPr>
      </w:pPr>
      <w:r w:rsidRPr="00CA1E2C">
        <w:t>An Australian delegation participated in the UNISPACE+50 meeting (June 2018), which celebrated the 50th anniversary of the first United Nations Conference on the Exploration and Peaceful Uses of Outer Space, held in 1968. UNISPACE+50 provided an opportunity for the international community to consider the future course of global space cooperation for the benefit of humankind. The meeting concluded with a commitment by United Nations Member States to strengthened global cooperation in space and the use of space for sustainable development</w:t>
      </w:r>
    </w:p>
    <w:p w14:paraId="6E8AF1DE" w14:textId="0C09837E" w:rsidR="00F41987" w:rsidRPr="00CA1E2C" w:rsidRDefault="00F41987" w:rsidP="00890185">
      <w:pPr>
        <w:rPr>
          <w:rFonts w:ascii="Calibri" w:hAnsi="Calibri"/>
          <w:color w:val="000000"/>
        </w:rPr>
      </w:pPr>
      <w:r w:rsidRPr="00CA1E2C">
        <w:rPr>
          <w:rFonts w:ascii="Calibri" w:hAnsi="Calibri"/>
          <w:color w:val="000000"/>
        </w:rPr>
        <w:t>The Bureau’s Space Weather Services is a member of the International Space Weather Initiative (ISWI), a program of international cooperation and capacity building sponsored by UNCOPUOS to develop the scientific insight necessary to understand the science, and to reconstruct and forecast near-Earth space weather</w:t>
      </w:r>
      <w:r w:rsidR="00F64EDB" w:rsidRPr="00CA1E2C">
        <w:rPr>
          <w:rFonts w:ascii="Calibri" w:hAnsi="Calibri"/>
          <w:color w:val="000000"/>
        </w:rPr>
        <w:t>.</w:t>
      </w:r>
    </w:p>
    <w:p w14:paraId="33A356AA" w14:textId="4761C945" w:rsidR="00846DC6" w:rsidRDefault="00F41987" w:rsidP="005D7667">
      <w:pPr>
        <w:adjustRightInd w:val="0"/>
        <w:snapToGrid w:val="0"/>
        <w:rPr>
          <w:rFonts w:asciiTheme="majorHAnsi" w:hAnsiTheme="majorHAnsi" w:cstheme="majorHAnsi"/>
          <w:b/>
          <w:bCs/>
          <w:color w:val="004976" w:themeColor="background2"/>
          <w:kern w:val="32"/>
          <w:sz w:val="56"/>
          <w:szCs w:val="32"/>
        </w:rPr>
      </w:pPr>
      <w:r w:rsidRPr="00CA1E2C">
        <w:rPr>
          <w:rFonts w:ascii="Calibri" w:hAnsi="Calibri"/>
          <w:color w:val="000000"/>
        </w:rPr>
        <w:t xml:space="preserve">In 2018, </w:t>
      </w:r>
      <w:r w:rsidR="005B1586">
        <w:rPr>
          <w:rFonts w:ascii="Calibri" w:hAnsi="Calibri"/>
          <w:color w:val="000000"/>
        </w:rPr>
        <w:t>GA’s</w:t>
      </w:r>
      <w:r w:rsidRPr="00CA1E2C">
        <w:rPr>
          <w:rFonts w:ascii="Calibri" w:hAnsi="Calibri"/>
          <w:color w:val="000000"/>
        </w:rPr>
        <w:t xml:space="preserve"> Chief of the Positioning and Community Safety Division, Dr Andy </w:t>
      </w:r>
      <w:proofErr w:type="spellStart"/>
      <w:r w:rsidRPr="00CA1E2C">
        <w:rPr>
          <w:rFonts w:ascii="Calibri" w:hAnsi="Calibri"/>
          <w:color w:val="000000"/>
        </w:rPr>
        <w:t>Barnicoat</w:t>
      </w:r>
      <w:proofErr w:type="spellEnd"/>
      <w:r w:rsidRPr="00CA1E2C">
        <w:rPr>
          <w:rFonts w:ascii="Calibri" w:hAnsi="Calibri"/>
          <w:color w:val="000000"/>
        </w:rPr>
        <w:t>, was elected President of the Asia Pacific Regional Committee of the United Nations Global Geospatial Information Management (UNGGIM). GA also co-chairs the UNGGIM Sub-Committee on Geodesy and in 2018 became a member of the United Nations International Committee on GNSS (ICG)</w:t>
      </w:r>
      <w:r w:rsidR="00F64EDB" w:rsidRPr="00CA1E2C">
        <w:rPr>
          <w:rFonts w:ascii="Calibri" w:hAnsi="Calibri"/>
          <w:color w:val="000000"/>
        </w:rPr>
        <w:t>.</w:t>
      </w:r>
      <w:r w:rsidRPr="00CA1E2C">
        <w:rPr>
          <w:rFonts w:ascii="Calibri" w:hAnsi="Calibri"/>
          <w:color w:val="000000"/>
        </w:rPr>
        <w:t xml:space="preserve"> </w:t>
      </w:r>
    </w:p>
    <w:p w14:paraId="679BDA66" w14:textId="77777777" w:rsidR="00143529" w:rsidRDefault="00143529">
      <w:pPr>
        <w:spacing w:after="0"/>
        <w:rPr>
          <w:rFonts w:asciiTheme="majorHAnsi" w:hAnsiTheme="majorHAnsi" w:cstheme="majorHAnsi"/>
          <w:b/>
          <w:bCs/>
          <w:color w:val="004976" w:themeColor="background2"/>
          <w:kern w:val="32"/>
          <w:sz w:val="56"/>
          <w:szCs w:val="32"/>
        </w:rPr>
      </w:pPr>
      <w:r>
        <w:br w:type="page"/>
      </w:r>
    </w:p>
    <w:p w14:paraId="11FD5102" w14:textId="1B27F983" w:rsidR="0020177F" w:rsidRPr="00CA1E2C" w:rsidRDefault="007E09BB" w:rsidP="00F45E2D">
      <w:pPr>
        <w:pStyle w:val="Heading1"/>
      </w:pPr>
      <w:bookmarkStart w:id="40" w:name="_Toc40946045"/>
      <w:r w:rsidRPr="00CA1E2C">
        <w:lastRenderedPageBreak/>
        <w:t>National</w:t>
      </w:r>
      <w:bookmarkEnd w:id="40"/>
    </w:p>
    <w:p w14:paraId="3E1975E5" w14:textId="3331429E" w:rsidR="0020177F" w:rsidRDefault="004C4BAE" w:rsidP="00454F9F">
      <w:pPr>
        <w:pStyle w:val="IntroCopy"/>
        <w:rPr>
          <w:i/>
        </w:rPr>
      </w:pPr>
      <w:r w:rsidRPr="00CA1E2C">
        <w:rPr>
          <w:i/>
        </w:rPr>
        <w:t>From areas of strength and addressing our challenges, transform and grow an Australian space sector that lifts the broader economy and leaps into areas of future competitive advantage.</w:t>
      </w:r>
    </w:p>
    <w:p w14:paraId="073A1FEB" w14:textId="52839CD4" w:rsidR="00B048A4" w:rsidRPr="00CA1E2C" w:rsidRDefault="00F00AFE" w:rsidP="006361D5">
      <w:r>
        <w:t xml:space="preserve">Increasing capability nationally will be achieved primarily through </w:t>
      </w:r>
      <w:r w:rsidR="0060660B">
        <w:t xml:space="preserve">activities aligned with the </w:t>
      </w:r>
      <w:r>
        <w:t>seven Priority Areas, state and territory engagement, industry partnerships</w:t>
      </w:r>
      <w:r w:rsidR="0060660B">
        <w:t xml:space="preserve">, research </w:t>
      </w:r>
      <w:r w:rsidR="004200DD">
        <w:t xml:space="preserve">and industry-research </w:t>
      </w:r>
      <w:r w:rsidR="0060660B">
        <w:t>collaborations</w:t>
      </w:r>
      <w:r>
        <w:t xml:space="preserve"> and </w:t>
      </w:r>
      <w:r w:rsidR="0060660B">
        <w:t xml:space="preserve">investments through programs such as </w:t>
      </w:r>
      <w:r>
        <w:t>the Space Infrastructure Fund</w:t>
      </w:r>
      <w:r w:rsidR="00FD6D95">
        <w:t xml:space="preserve"> (SIF)</w:t>
      </w:r>
      <w:r>
        <w:t xml:space="preserve">. </w:t>
      </w:r>
      <w:r w:rsidR="00EF2D56">
        <w:t>These activities will need to be undertaken consistent with Australia’s national and security interests</w:t>
      </w:r>
      <w:r w:rsidR="00991BF0">
        <w:t>;</w:t>
      </w:r>
      <w:r w:rsidR="00EF2D56">
        <w:t xml:space="preserve"> as such close coordination with Defence is important.</w:t>
      </w:r>
    </w:p>
    <w:p w14:paraId="15CF7F83" w14:textId="3DF605DD" w:rsidR="00FA1259" w:rsidRPr="00CA1E2C" w:rsidRDefault="00FA1259" w:rsidP="00351FDF">
      <w:pPr>
        <w:pStyle w:val="Heading2"/>
      </w:pPr>
      <w:r w:rsidRPr="00CA1E2C">
        <w:t xml:space="preserve">Space Capability Activities Supporting the </w:t>
      </w:r>
      <w:r w:rsidR="00694B2E">
        <w:t>Australian Civil Space Priority Areas</w:t>
      </w:r>
    </w:p>
    <w:p w14:paraId="1DF696A6" w14:textId="1E245A84" w:rsidR="00351FDF" w:rsidRPr="00CA1E2C" w:rsidRDefault="00FA1259" w:rsidP="00807B8D">
      <w:r w:rsidRPr="00CA1E2C">
        <w:t>The</w:t>
      </w:r>
      <w:r w:rsidR="00694B2E">
        <w:t xml:space="preserve"> National Civil Space Priority Areas</w:t>
      </w:r>
      <w:r w:rsidRPr="00CA1E2C">
        <w:t xml:space="preserve"> </w:t>
      </w:r>
      <w:r w:rsidR="00351FDF">
        <w:t xml:space="preserve">are outlined in the </w:t>
      </w:r>
      <w:r w:rsidR="00351FDF">
        <w:rPr>
          <w:i/>
        </w:rPr>
        <w:t xml:space="preserve">Australian Civil Space Strategy </w:t>
      </w:r>
      <w:r w:rsidR="00B85F2A" w:rsidRPr="00A87DDE">
        <w:t>and</w:t>
      </w:r>
      <w:r w:rsidR="00B85F2A">
        <w:rPr>
          <w:i/>
        </w:rPr>
        <w:t xml:space="preserve"> </w:t>
      </w:r>
      <w:r w:rsidRPr="00CA1E2C">
        <w:t xml:space="preserve">were determined after wide consultation undertaken by the </w:t>
      </w:r>
      <w:r w:rsidR="00877D85">
        <w:t>ERG</w:t>
      </w:r>
      <w:r w:rsidR="00B85F2A">
        <w:t xml:space="preserve"> and consultations in the first six month of the Agency being established</w:t>
      </w:r>
      <w:r w:rsidRPr="00CA1E2C">
        <w:t>. They also support the CSIRO Space Roadmap, published in 2018</w:t>
      </w:r>
      <w:r w:rsidR="00991BF0">
        <w:t>,</w:t>
      </w:r>
      <w:r w:rsidRPr="00CA1E2C">
        <w:t xml:space="preserve"> and the Global Exploration Roadmap from the International Space Exploration Coordination Group. </w:t>
      </w:r>
    </w:p>
    <w:p w14:paraId="6B2DC599" w14:textId="34C9F9E0" w:rsidR="00FA1259" w:rsidRPr="00CA1E2C" w:rsidRDefault="00FA1259" w:rsidP="00807B8D">
      <w:r w:rsidRPr="00CA1E2C">
        <w:t>The Priorities focus on strengthening Australia’s existing competencies and growing future capabilities</w:t>
      </w:r>
      <w:r w:rsidR="006D51D6">
        <w:t>, and will be an important guide when considering future space activities in Australia</w:t>
      </w:r>
      <w:r w:rsidRPr="00CA1E2C">
        <w:t xml:space="preserve">. </w:t>
      </w:r>
    </w:p>
    <w:p w14:paraId="56026DC6" w14:textId="27DC75C6" w:rsidR="00FA1259" w:rsidRPr="00CA1E2C" w:rsidRDefault="00B85F2A" w:rsidP="00807B8D">
      <w:r>
        <w:t>In each of the Priority A</w:t>
      </w:r>
      <w:r w:rsidR="00FA1259" w:rsidRPr="00CA1E2C">
        <w:t xml:space="preserve">reas the Agency has worked with the space industry, </w:t>
      </w:r>
      <w:r w:rsidR="006D51D6">
        <w:t xml:space="preserve">relevant government agencies, </w:t>
      </w:r>
      <w:r w:rsidR="00FA1259" w:rsidRPr="00CA1E2C">
        <w:t xml:space="preserve">researchers and users of space technology to further develop a national approach, which was detailed in the </w:t>
      </w:r>
      <w:r w:rsidR="00FA1259" w:rsidRPr="00B85F2A">
        <w:rPr>
          <w:i/>
        </w:rPr>
        <w:t>Australian Civil Space Strategy</w:t>
      </w:r>
      <w:r w:rsidR="00FA1259" w:rsidRPr="00CA1E2C">
        <w:t xml:space="preserve">. </w:t>
      </w:r>
    </w:p>
    <w:p w14:paraId="38680FCC" w14:textId="29C235DC" w:rsidR="002C3DA6" w:rsidRPr="00CA1E2C" w:rsidRDefault="002C3DA6" w:rsidP="00807B8D">
      <w:r w:rsidRPr="00CA1E2C">
        <w:t>To grow the Australian space sector, the Agency is undertaking two major initiatives: the ISI initiative and SIF. In its 2018-19 Budget the Australian Government committed to providing $15 m</w:t>
      </w:r>
      <w:r w:rsidR="00B85F2A">
        <w:t xml:space="preserve">illion over three years from </w:t>
      </w:r>
      <w:r w:rsidRPr="00CA1E2C">
        <w:t>2019-20 to establish the ISI initiative, to support Australian participation in the activities of international space agencies. The ISI initiative is currently in the design phase and initial consultations were held in each state and territory in June 2019</w:t>
      </w:r>
      <w:r w:rsidR="008B3ECA">
        <w:t>, prior to its commencement</w:t>
      </w:r>
      <w:r w:rsidR="00A457DB">
        <w:t>.</w:t>
      </w:r>
      <w:r w:rsidRPr="00CA1E2C">
        <w:t xml:space="preserve"> </w:t>
      </w:r>
    </w:p>
    <w:p w14:paraId="0B32E552" w14:textId="6118F751" w:rsidR="002C3DA6" w:rsidRPr="00CA1E2C" w:rsidRDefault="002C3DA6" w:rsidP="00807B8D">
      <w:r w:rsidRPr="00CA1E2C">
        <w:t xml:space="preserve">In </w:t>
      </w:r>
      <w:r w:rsidRPr="00CA1E2C">
        <w:rPr>
          <w:szCs w:val="22"/>
        </w:rPr>
        <w:t xml:space="preserve">the </w:t>
      </w:r>
      <w:r w:rsidRPr="00CA1E2C">
        <w:t xml:space="preserve">2019-2020 Budget, the Australian Government allocated an additional </w:t>
      </w:r>
      <w:r w:rsidRPr="00CA1E2C">
        <w:rPr>
          <w:rFonts w:eastAsia="Calibri"/>
          <w:lang w:eastAsia="en-US"/>
        </w:rPr>
        <w:t xml:space="preserve">$19.5 million for the SIF to support Australia’s emerging domestic space industry. </w:t>
      </w:r>
      <w:r w:rsidRPr="00CA1E2C">
        <w:t xml:space="preserve">The SIF will fill space infrastructure gaps to support businesses and researchers to participate in the global space economy. The first two projects supported under the SIF will be a Mission Control Centre for Australian satellites and space-borne instrumentation/experiments, to be established in Adelaide, and a Robotics, Automation and AI Command and Control Centre located in Western Australia.  </w:t>
      </w:r>
      <w:r w:rsidR="00A457DB">
        <w:t>Projects under the SIF commence in the 2019-20 financial year.</w:t>
      </w:r>
    </w:p>
    <w:p w14:paraId="0D22DC2A" w14:textId="21FA27C1" w:rsidR="002C3DA6" w:rsidRPr="00CA1E2C" w:rsidRDefault="00B85F2A" w:rsidP="00454F9F">
      <w:r>
        <w:t xml:space="preserve">A summary of activities by the </w:t>
      </w:r>
      <w:r w:rsidR="009C4D67">
        <w:t>SCC</w:t>
      </w:r>
      <w:r w:rsidR="000A383A">
        <w:t xml:space="preserve"> membership</w:t>
      </w:r>
      <w:r>
        <w:t xml:space="preserve"> is outlined fur</w:t>
      </w:r>
      <w:r w:rsidR="00807B8D">
        <w:t>ther below under each Priority Area.</w:t>
      </w:r>
    </w:p>
    <w:p w14:paraId="363A340D" w14:textId="77777777" w:rsidR="00FA1259" w:rsidRDefault="00FA1259" w:rsidP="00C11F5C">
      <w:pPr>
        <w:pStyle w:val="Heading3"/>
      </w:pPr>
      <w:r w:rsidRPr="00CA1E2C">
        <w:t>Communications Technologies and Services</w:t>
      </w:r>
    </w:p>
    <w:p w14:paraId="5D6F33B3" w14:textId="7CBFE8EC" w:rsidR="00807B8D" w:rsidRDefault="00807B8D" w:rsidP="004A39C5">
      <w:pPr>
        <w:pStyle w:val="TableText"/>
        <w:rPr>
          <w:i/>
        </w:rPr>
      </w:pPr>
      <w:r w:rsidRPr="004A39C5">
        <w:rPr>
          <w:i/>
        </w:rPr>
        <w:t xml:space="preserve">Space is crucial for communications on land, </w:t>
      </w:r>
      <w:r w:rsidR="009F00AF" w:rsidRPr="004A39C5">
        <w:rPr>
          <w:i/>
        </w:rPr>
        <w:t>ou</w:t>
      </w:r>
      <w:r w:rsidR="009F00AF">
        <w:rPr>
          <w:i/>
        </w:rPr>
        <w:t>r</w:t>
      </w:r>
      <w:r w:rsidR="009F00AF" w:rsidRPr="004A39C5">
        <w:rPr>
          <w:i/>
        </w:rPr>
        <w:t xml:space="preserve"> </w:t>
      </w:r>
      <w:r w:rsidRPr="004A39C5">
        <w:rPr>
          <w:i/>
        </w:rPr>
        <w:t>marine jurisdiction, and airspace. Australia can play a lead role in emerging technologies such as lasers for data communication, quantum technologies for secure communication, and hybrid radio and optical communications.</w:t>
      </w:r>
    </w:p>
    <w:p w14:paraId="504E374A" w14:textId="312BEC2C" w:rsidR="004A39C5" w:rsidRDefault="00D372C9" w:rsidP="004A39C5">
      <w:r w:rsidRPr="00D372C9">
        <w:t xml:space="preserve">Australia’s largest contribution to space has traditionally been in communications technologies and services. For example with the NASA Agreement with CSIRO to manage the Canberra Deep Space Communications Complex, as well as private sector investment in satellite based television and internet services. The Agency </w:t>
      </w:r>
      <w:r w:rsidR="00ED110C" w:rsidRPr="00CA1E2C">
        <w:lastRenderedPageBreak/>
        <w:t>facilitated a Priority Area workshop on communications technologies</w:t>
      </w:r>
      <w:r w:rsidR="00ED110C">
        <w:t xml:space="preserve"> in its first six months and engaged with the community to understand the opportunities and challenges.</w:t>
      </w:r>
    </w:p>
    <w:p w14:paraId="1C02D1FD" w14:textId="145F3176" w:rsidR="00D55B97" w:rsidRDefault="00D55B97" w:rsidP="004A39C5">
      <w:r>
        <w:t xml:space="preserve">The </w:t>
      </w:r>
      <w:r w:rsidR="00694B2E" w:rsidRPr="005D7667">
        <w:rPr>
          <w:i/>
        </w:rPr>
        <w:t xml:space="preserve">Australian Civil Space </w:t>
      </w:r>
      <w:r w:rsidRPr="005D7667">
        <w:rPr>
          <w:i/>
        </w:rPr>
        <w:t>Strategy</w:t>
      </w:r>
      <w:r>
        <w:t xml:space="preserve"> identifies this Priority Area as part of Phase 2 (2019-2021). A roadmap is being prepared to build on activities to date, identify areas of opportunity for industry including investment, and identify areas where </w:t>
      </w:r>
      <w:r w:rsidR="00D372C9">
        <w:t>G</w:t>
      </w:r>
      <w:r>
        <w:t xml:space="preserve">overnment could provide effective investment to deliver on the Strategy. </w:t>
      </w:r>
    </w:p>
    <w:p w14:paraId="6A278E86" w14:textId="31694D1C" w:rsidR="006E0C71" w:rsidRPr="004A39C5" w:rsidRDefault="006E0C71" w:rsidP="006E0C71">
      <w:pPr>
        <w:pStyle w:val="Caption"/>
      </w:pPr>
      <w:bookmarkStart w:id="41" w:name="_Toc40946021"/>
      <w:r>
        <w:t xml:space="preserve">Table </w:t>
      </w:r>
      <w:r>
        <w:fldChar w:fldCharType="begin"/>
      </w:r>
      <w:r>
        <w:instrText xml:space="preserve"> SEQ Table \* ARABIC </w:instrText>
      </w:r>
      <w:r>
        <w:fldChar w:fldCharType="separate"/>
      </w:r>
      <w:r w:rsidR="00C35904">
        <w:rPr>
          <w:noProof/>
        </w:rPr>
        <w:t>3</w:t>
      </w:r>
      <w:r>
        <w:fldChar w:fldCharType="end"/>
      </w:r>
      <w:r>
        <w:t xml:space="preserve"> – SCC </w:t>
      </w:r>
      <w:r w:rsidR="000D2439">
        <w:t>c</w:t>
      </w:r>
      <w:r>
        <w:t>ommunications technologies and services activities</w:t>
      </w:r>
      <w:bookmarkEnd w:id="41"/>
    </w:p>
    <w:tbl>
      <w:tblPr>
        <w:tblStyle w:val="ASATable"/>
        <w:tblW w:w="4958" w:type="pct"/>
        <w:tblInd w:w="2" w:type="dxa"/>
        <w:tblLook w:val="04A0" w:firstRow="1" w:lastRow="0" w:firstColumn="1" w:lastColumn="0" w:noHBand="0" w:noVBand="1"/>
        <w:tblCaption w:val="Table 3 – SCC communications technologies and services activities"/>
      </w:tblPr>
      <w:tblGrid>
        <w:gridCol w:w="2547"/>
        <w:gridCol w:w="7228"/>
      </w:tblGrid>
      <w:tr w:rsidR="00807B8D" w:rsidRPr="00CA1E2C" w14:paraId="0F6D4635" w14:textId="77777777" w:rsidTr="0074140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303" w:type="pct"/>
          </w:tcPr>
          <w:p w14:paraId="3E7346D8" w14:textId="77777777" w:rsidR="00807B8D" w:rsidRPr="00CA1E2C" w:rsidRDefault="00807B8D" w:rsidP="0074140F">
            <w:pPr>
              <w:pStyle w:val="TableHeading"/>
              <w:rPr>
                <w:b/>
                <w:color w:val="FFFFFF" w:themeColor="background1"/>
                <w:szCs w:val="22"/>
              </w:rPr>
            </w:pPr>
            <w:r w:rsidRPr="00CA1E2C">
              <w:rPr>
                <w:b/>
                <w:color w:val="FFFFFF" w:themeColor="background1"/>
                <w:szCs w:val="22"/>
              </w:rPr>
              <w:t>Organisation</w:t>
            </w:r>
          </w:p>
        </w:tc>
        <w:tc>
          <w:tcPr>
            <w:tcW w:w="3697" w:type="pct"/>
          </w:tcPr>
          <w:p w14:paraId="6771AFAC" w14:textId="77777777" w:rsidR="00807B8D" w:rsidRPr="00CA1E2C" w:rsidRDefault="00807B8D" w:rsidP="00ED110C">
            <w:pPr>
              <w:pStyle w:val="TableHeading"/>
              <w:jc w:val="left"/>
              <w:cnfStyle w:val="100000000000" w:firstRow="1" w:lastRow="0" w:firstColumn="0" w:lastColumn="0" w:oddVBand="0" w:evenVBand="0" w:oddHBand="0" w:evenHBand="0" w:firstRowFirstColumn="0" w:firstRowLastColumn="0" w:lastRowFirstColumn="0" w:lastRowLastColumn="0"/>
            </w:pPr>
            <w:r w:rsidRPr="00CA1E2C">
              <w:t>Summary of activity</w:t>
            </w:r>
          </w:p>
        </w:tc>
      </w:tr>
      <w:tr w:rsidR="00807B8D" w:rsidRPr="00CA1E2C" w14:paraId="63F00764" w14:textId="77777777" w:rsidTr="0074140F">
        <w:tc>
          <w:tcPr>
            <w:cnfStyle w:val="001000000000" w:firstRow="0" w:lastRow="0" w:firstColumn="1" w:lastColumn="0" w:oddVBand="0" w:evenVBand="0" w:oddHBand="0" w:evenHBand="0" w:firstRowFirstColumn="0" w:firstRowLastColumn="0" w:lastRowFirstColumn="0" w:lastRowLastColumn="0"/>
            <w:tcW w:w="1303" w:type="pct"/>
          </w:tcPr>
          <w:p w14:paraId="6E2B283B" w14:textId="77777777" w:rsidR="00807B8D" w:rsidRPr="00CA1E2C" w:rsidRDefault="00807B8D" w:rsidP="0074140F">
            <w:pPr>
              <w:pStyle w:val="TableText"/>
              <w:rPr>
                <w:color w:val="FFFFFF" w:themeColor="background1"/>
                <w:szCs w:val="22"/>
              </w:rPr>
            </w:pPr>
            <w:r w:rsidRPr="00CA1E2C">
              <w:rPr>
                <w:rFonts w:ascii="Calibri" w:hAnsi="Calibri"/>
                <w:b w:val="0"/>
                <w:color w:val="FFFFFF" w:themeColor="background1"/>
                <w:szCs w:val="22"/>
              </w:rPr>
              <w:t>Australian Communications and Media Authority</w:t>
            </w:r>
          </w:p>
        </w:tc>
        <w:tc>
          <w:tcPr>
            <w:tcW w:w="3697" w:type="pct"/>
          </w:tcPr>
          <w:p w14:paraId="03D92B3B" w14:textId="64E87FE9" w:rsidR="00ED110C" w:rsidRPr="00CA1E2C" w:rsidRDefault="00ED110C" w:rsidP="00153A88">
            <w:pPr>
              <w:jc w:val="left"/>
              <w:cnfStyle w:val="000000000000" w:firstRow="0" w:lastRow="0" w:firstColumn="0" w:lastColumn="0" w:oddVBand="0" w:evenVBand="0" w:oddHBand="0" w:evenHBand="0" w:firstRowFirstColumn="0" w:firstRowLastColumn="0" w:lastRowFirstColumn="0" w:lastRowLastColumn="0"/>
            </w:pPr>
            <w:r w:rsidRPr="00CA1E2C">
              <w:t>The ACMA provides ongoing operational support for Australian-filed satellite networks.</w:t>
            </w:r>
            <w:r w:rsidR="00BB0FA7">
              <w:t xml:space="preserve"> In 2018-2019 </w:t>
            </w:r>
            <w:r w:rsidRPr="00CA1E2C">
              <w:t>the ACMA’s key spectrum planning priorities were to: support the deployment of novel satellite systems (particularly small satellites); undertake a general review of licensing procedures for space-based communications systems to consider whether existing procedures are commensurate</w:t>
            </w:r>
            <w:r w:rsidRPr="00CA1E2C" w:rsidDel="001971EA">
              <w:t xml:space="preserve"> </w:t>
            </w:r>
            <w:r w:rsidRPr="00CA1E2C">
              <w:t>with the risk of interference, including consideration of status of the satellite network in ITU satellite coordination process; consider and action, if appropriate, identification of possible additional bands for ubiquitous satellite use; and review of arrangements for ubiquitous earth stations in motion in the fixed satellite service in those parts of the Ku-band included in the Communication with Space Object Class Licence</w:t>
            </w:r>
            <w:r w:rsidR="00BB0FA7">
              <w:t>.</w:t>
            </w:r>
          </w:p>
          <w:p w14:paraId="08B35C7E" w14:textId="15D4CAC6" w:rsidR="00807B8D" w:rsidRPr="00ED110C" w:rsidRDefault="00ED110C" w:rsidP="001564EC">
            <w:pPr>
              <w:jc w:val="left"/>
              <w:cnfStyle w:val="000000000000" w:firstRow="0" w:lastRow="0" w:firstColumn="0" w:lastColumn="0" w:oddVBand="0" w:evenVBand="0" w:oddHBand="0" w:evenHBand="0" w:firstRowFirstColumn="0" w:firstRowLastColumn="0" w:lastRowFirstColumn="0" w:lastRowLastColumn="0"/>
            </w:pPr>
            <w:r w:rsidRPr="00CA1E2C">
              <w:t xml:space="preserve">The ACMA’s future work priorities for the next five years are outlined in </w:t>
            </w:r>
            <w:r w:rsidR="001564EC">
              <w:t xml:space="preserve">its </w:t>
            </w:r>
            <w:r w:rsidRPr="00CA1E2C">
              <w:t>Five Year Spectrum Outlook (FY</w:t>
            </w:r>
            <w:r w:rsidR="00BB0FA7">
              <w:t xml:space="preserve">SO). </w:t>
            </w:r>
            <w:r w:rsidRPr="00CA1E2C">
              <w:t xml:space="preserve">The FYSO includes a detailed work plan for 2018-2019. </w:t>
            </w:r>
            <w:r w:rsidRPr="00CA1E2C">
              <w:rPr>
                <w:szCs w:val="22"/>
              </w:rPr>
              <w:t>Consultation on the ACMA work plan for 2019-2020 commenced in April 2019 with the release of a draft 2019-2023 FYSO for public consultation.</w:t>
            </w:r>
          </w:p>
        </w:tc>
      </w:tr>
      <w:tr w:rsidR="00807B8D" w:rsidRPr="00CA1E2C" w14:paraId="6DA81778" w14:textId="77777777" w:rsidTr="007414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312BE11A" w14:textId="77777777" w:rsidR="00807B8D" w:rsidRPr="00CA1E2C" w:rsidRDefault="00807B8D" w:rsidP="0074140F">
            <w:pPr>
              <w:pStyle w:val="TableText"/>
              <w:rPr>
                <w:color w:val="FFFFFF" w:themeColor="background1"/>
                <w:szCs w:val="22"/>
              </w:rPr>
            </w:pPr>
            <w:r w:rsidRPr="00CA1E2C">
              <w:rPr>
                <w:rFonts w:ascii="Calibri" w:hAnsi="Calibri"/>
                <w:b w:val="0"/>
                <w:color w:val="FFFFFF" w:themeColor="background1"/>
                <w:szCs w:val="22"/>
              </w:rPr>
              <w:t>Bureau of Meteorology</w:t>
            </w:r>
          </w:p>
        </w:tc>
        <w:tc>
          <w:tcPr>
            <w:tcW w:w="3697" w:type="pct"/>
          </w:tcPr>
          <w:p w14:paraId="0B9A2900" w14:textId="77777777" w:rsidR="00ED110C" w:rsidRPr="00CA1E2C" w:rsidRDefault="00ED110C" w:rsidP="00153A88">
            <w:pPr>
              <w:jc w:val="left"/>
              <w:cnfStyle w:val="000000010000" w:firstRow="0" w:lastRow="0" w:firstColumn="0" w:lastColumn="0" w:oddVBand="0" w:evenVBand="0" w:oddHBand="0" w:evenHBand="1" w:firstRowFirstColumn="0" w:firstRowLastColumn="0" w:lastRowFirstColumn="0" w:lastRowLastColumn="0"/>
            </w:pPr>
            <w:r w:rsidRPr="00CA1E2C">
              <w:t xml:space="preserve">To meet its needs for real time satellite observations, the Bureau owns and operates a continental-scale direct reception network including two sites in Antarctica. The Bureau provides a positioning (ranging) service for the Chinese </w:t>
            </w:r>
            <w:proofErr w:type="spellStart"/>
            <w:r w:rsidRPr="00CA1E2C">
              <w:t>Fengyun</w:t>
            </w:r>
            <w:proofErr w:type="spellEnd"/>
            <w:r w:rsidRPr="00CA1E2C">
              <w:t xml:space="preserve"> 2 satellites from its Crib Point facility.</w:t>
            </w:r>
          </w:p>
          <w:p w14:paraId="4C7989CB" w14:textId="4692B13E" w:rsidR="00807B8D" w:rsidRPr="00CA1E2C" w:rsidRDefault="00ED110C" w:rsidP="00153A88">
            <w:pPr>
              <w:jc w:val="left"/>
              <w:cnfStyle w:val="000000010000" w:firstRow="0" w:lastRow="0" w:firstColumn="0" w:lastColumn="0" w:oddVBand="0" w:evenVBand="0" w:oddHBand="0" w:evenHBand="1" w:firstRowFirstColumn="0" w:firstRowLastColumn="0" w:lastRowFirstColumn="0" w:lastRowLastColumn="0"/>
            </w:pPr>
            <w:r w:rsidRPr="00CA1E2C">
              <w:t>The Bureau’s Space Weather Services</w:t>
            </w:r>
            <w:r w:rsidR="00BB0FA7">
              <w:t xml:space="preserve"> (SWS)</w:t>
            </w:r>
            <w:r w:rsidRPr="00CA1E2C">
              <w:t xml:space="preserve"> provides a broad range of space weather services associated with measuring, modelling and forecasting the near space environment. The SWS supports defence, navigation, aviation, resource exploitat</w:t>
            </w:r>
            <w:r>
              <w:t>ion and other industry sectors.</w:t>
            </w:r>
          </w:p>
        </w:tc>
      </w:tr>
      <w:tr w:rsidR="00807B8D" w:rsidRPr="00CA1E2C" w14:paraId="5A61E24B" w14:textId="77777777" w:rsidTr="0074140F">
        <w:tc>
          <w:tcPr>
            <w:cnfStyle w:val="001000000000" w:firstRow="0" w:lastRow="0" w:firstColumn="1" w:lastColumn="0" w:oddVBand="0" w:evenVBand="0" w:oddHBand="0" w:evenHBand="0" w:firstRowFirstColumn="0" w:firstRowLastColumn="0" w:lastRowFirstColumn="0" w:lastRowLastColumn="0"/>
            <w:tcW w:w="1303" w:type="pct"/>
          </w:tcPr>
          <w:p w14:paraId="649957EB" w14:textId="77777777" w:rsidR="00807B8D" w:rsidRPr="00ED110C" w:rsidRDefault="00807B8D" w:rsidP="0074140F">
            <w:pPr>
              <w:pStyle w:val="TableText"/>
              <w:rPr>
                <w:b w:val="0"/>
                <w:color w:val="FFFFFF" w:themeColor="background1"/>
                <w:szCs w:val="22"/>
              </w:rPr>
            </w:pPr>
            <w:r w:rsidRPr="00ED110C">
              <w:rPr>
                <w:b w:val="0"/>
                <w:color w:val="FFFFFF" w:themeColor="background1"/>
                <w:szCs w:val="22"/>
              </w:rPr>
              <w:t>CSIRO</w:t>
            </w:r>
          </w:p>
        </w:tc>
        <w:tc>
          <w:tcPr>
            <w:tcW w:w="3697" w:type="pct"/>
          </w:tcPr>
          <w:p w14:paraId="2DCB84D5" w14:textId="095DCFD7" w:rsidR="00ED110C" w:rsidRPr="00CA1E2C" w:rsidRDefault="00ED110C" w:rsidP="00153A88">
            <w:pPr>
              <w:jc w:val="left"/>
              <w:cnfStyle w:val="000000000000" w:firstRow="0" w:lastRow="0" w:firstColumn="0" w:lastColumn="0" w:oddVBand="0" w:evenVBand="0" w:oddHBand="0" w:evenHBand="0" w:firstRowFirstColumn="0" w:firstRowLastColumn="0" w:lastRowFirstColumn="0" w:lastRowLastColumn="0"/>
            </w:pPr>
            <w:r w:rsidRPr="00CA1E2C">
              <w:t>CSIRO’s spacecraft tracking and communications activities, together with its radio astronomy ac</w:t>
            </w:r>
            <w:r w:rsidR="005966D7">
              <w:t xml:space="preserve">tivities, are carried out by the </w:t>
            </w:r>
            <w:r w:rsidR="005966D7" w:rsidRPr="00CA1E2C">
              <w:rPr>
                <w:rFonts w:cstheme="minorHAnsi"/>
                <w:szCs w:val="22"/>
              </w:rPr>
              <w:t>CSIRO Astronomy and Space Science</w:t>
            </w:r>
            <w:r w:rsidRPr="00CA1E2C">
              <w:t xml:space="preserve"> </w:t>
            </w:r>
            <w:r w:rsidR="005966D7">
              <w:t>(</w:t>
            </w:r>
            <w:r w:rsidRPr="00CA1E2C">
              <w:t>CASS</w:t>
            </w:r>
            <w:r w:rsidR="005966D7">
              <w:t>)</w:t>
            </w:r>
            <w:r w:rsidRPr="00CA1E2C">
              <w:t xml:space="preserve"> Business Unit, which has approximately 280 FTE staff. CASS operates </w:t>
            </w:r>
            <w:r w:rsidR="000D2439">
              <w:t xml:space="preserve">several </w:t>
            </w:r>
            <w:r w:rsidRPr="00CA1E2C">
              <w:t xml:space="preserve">major national space facilities. </w:t>
            </w:r>
          </w:p>
          <w:p w14:paraId="73B3A270" w14:textId="238D8BEE" w:rsidR="00ED110C" w:rsidRPr="00CA1E2C" w:rsidRDefault="00ED110C" w:rsidP="00153A88">
            <w:pPr>
              <w:jc w:val="left"/>
              <w:cnfStyle w:val="000000000000" w:firstRow="0" w:lastRow="0" w:firstColumn="0" w:lastColumn="0" w:oddVBand="0" w:evenVBand="0" w:oddHBand="0" w:evenHBand="0" w:firstRowFirstColumn="0" w:firstRowLastColumn="0" w:lastRowFirstColumn="0" w:lastRowLastColumn="0"/>
            </w:pPr>
            <w:r w:rsidRPr="00CA1E2C">
              <w:t xml:space="preserve">On 2 October 2018, CSIRO was awarded a new contract for the continued operations of the Canberra Deep Space Communication Complex (CDSCC) </w:t>
            </w:r>
            <w:r w:rsidR="000D2439">
              <w:t xml:space="preserve">on behalf of NASA </w:t>
            </w:r>
            <w:r w:rsidRPr="00CA1E2C">
              <w:t xml:space="preserve">for a further 10 years. The CDSCC Deep Space Network station currently supports 30 space missions from different countries, reaching out as far as the Voyager spacecraft. </w:t>
            </w:r>
            <w:r w:rsidR="000D2439">
              <w:t xml:space="preserve">The </w:t>
            </w:r>
            <w:r w:rsidRPr="00CA1E2C">
              <w:rPr>
                <w:szCs w:val="22"/>
              </w:rPr>
              <w:t xml:space="preserve">Parkes </w:t>
            </w:r>
            <w:r w:rsidR="000D2439">
              <w:rPr>
                <w:szCs w:val="22"/>
              </w:rPr>
              <w:t xml:space="preserve">radio telescope </w:t>
            </w:r>
            <w:r w:rsidRPr="00CA1E2C">
              <w:rPr>
                <w:szCs w:val="22"/>
              </w:rPr>
              <w:t>and CDSCC have collaboratively supported the Voyager missions that have now passed through the heliosphere into interstellar space</w:t>
            </w:r>
            <w:r w:rsidR="00BB0FA7">
              <w:rPr>
                <w:szCs w:val="22"/>
              </w:rPr>
              <w:t>.</w:t>
            </w:r>
          </w:p>
          <w:p w14:paraId="4D6B9255" w14:textId="1DC57A85" w:rsidR="00ED110C" w:rsidRPr="00CA1E2C" w:rsidRDefault="00ED110C" w:rsidP="00153A88">
            <w:pPr>
              <w:jc w:val="left"/>
              <w:cnfStyle w:val="000000000000" w:firstRow="0" w:lastRow="0" w:firstColumn="0" w:lastColumn="0" w:oddVBand="0" w:evenVBand="0" w:oddHBand="0" w:evenHBand="0" w:firstRowFirstColumn="0" w:firstRowLastColumn="0" w:lastRowFirstColumn="0" w:lastRowLastColumn="0"/>
              <w:rPr>
                <w:rFonts w:ascii="Times New Roman" w:eastAsiaTheme="minorHAnsi" w:hAnsi="Times New Roman"/>
                <w:color w:val="auto"/>
                <w:sz w:val="24"/>
                <w:szCs w:val="24"/>
              </w:rPr>
            </w:pPr>
            <w:r w:rsidRPr="00CA1E2C">
              <w:rPr>
                <w:rFonts w:eastAsia="Calibri" w:cstheme="minorHAnsi"/>
                <w:szCs w:val="22"/>
              </w:rPr>
              <w:t>In early 2019 CASS also began transition to management of the European Space Agency</w:t>
            </w:r>
            <w:r w:rsidR="000D2439">
              <w:rPr>
                <w:rFonts w:eastAsia="Calibri" w:cstheme="minorHAnsi"/>
                <w:szCs w:val="22"/>
              </w:rPr>
              <w:t xml:space="preserve"> (ESA)</w:t>
            </w:r>
            <w:r w:rsidRPr="00CA1E2C">
              <w:rPr>
                <w:rFonts w:eastAsia="Calibri" w:cstheme="minorHAnsi"/>
                <w:szCs w:val="22"/>
              </w:rPr>
              <w:t>’s deep space tracking station in New Norcia, WA, moving to full management of operations and maintenance on 1 June 2019.</w:t>
            </w:r>
            <w:r w:rsidRPr="00CA1E2C">
              <w:rPr>
                <w:rFonts w:ascii="Times New Roman" w:hAnsi="Times New Roman"/>
                <w:sz w:val="24"/>
                <w:szCs w:val="24"/>
              </w:rPr>
              <w:t xml:space="preserve"> </w:t>
            </w:r>
          </w:p>
          <w:p w14:paraId="04520A4D" w14:textId="535832F9" w:rsidR="00807B8D" w:rsidRPr="00CA1E2C" w:rsidRDefault="000D2439" w:rsidP="00153A88">
            <w:pPr>
              <w:jc w:val="left"/>
              <w:cnfStyle w:val="000000000000" w:firstRow="0" w:lastRow="0" w:firstColumn="0" w:lastColumn="0" w:oddVBand="0" w:evenVBand="0" w:oddHBand="0" w:evenHBand="0" w:firstRowFirstColumn="0" w:firstRowLastColumn="0" w:lastRowFirstColumn="0" w:lastRowLastColumn="0"/>
            </w:pPr>
            <w:r w:rsidRPr="000D2439">
              <w:lastRenderedPageBreak/>
              <w:t>Management of both facilities allows the potential for new synergies in engineering, operations and capability development</w:t>
            </w:r>
            <w:r w:rsidR="00ED110C" w:rsidRPr="00CA1E2C">
              <w:t xml:space="preserve">. </w:t>
            </w:r>
          </w:p>
        </w:tc>
      </w:tr>
      <w:tr w:rsidR="00807B8D" w:rsidRPr="00CA1E2C" w14:paraId="2AAE9ECE" w14:textId="77777777" w:rsidTr="007414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62E59D03" w14:textId="4AEFE03A" w:rsidR="00807B8D" w:rsidRPr="008A7D08" w:rsidRDefault="00807B8D" w:rsidP="0074140F">
            <w:pPr>
              <w:pStyle w:val="TableText"/>
              <w:rPr>
                <w:rFonts w:ascii="Calibri" w:hAnsi="Calibri"/>
                <w:b w:val="0"/>
                <w:color w:val="FFFFFF" w:themeColor="background1"/>
                <w:szCs w:val="22"/>
              </w:rPr>
            </w:pPr>
            <w:r w:rsidRPr="008A7D08">
              <w:rPr>
                <w:rFonts w:ascii="Calibri" w:hAnsi="Calibri"/>
                <w:b w:val="0"/>
                <w:color w:val="FFFFFF" w:themeColor="background1"/>
                <w:szCs w:val="22"/>
              </w:rPr>
              <w:lastRenderedPageBreak/>
              <w:t>Department</w:t>
            </w:r>
            <w:r>
              <w:rPr>
                <w:rFonts w:ascii="Calibri" w:hAnsi="Calibri"/>
                <w:b w:val="0"/>
                <w:color w:val="FFFFFF" w:themeColor="background1"/>
                <w:szCs w:val="22"/>
              </w:rPr>
              <w:t xml:space="preserve"> of Communications and the Arts</w:t>
            </w:r>
          </w:p>
        </w:tc>
        <w:tc>
          <w:tcPr>
            <w:tcW w:w="3697" w:type="pct"/>
          </w:tcPr>
          <w:p w14:paraId="624F254B" w14:textId="77777777" w:rsidR="00ED110C" w:rsidRPr="00CA1E2C" w:rsidRDefault="00ED110C" w:rsidP="00153A88">
            <w:pPr>
              <w:jc w:val="left"/>
              <w:cnfStyle w:val="000000010000" w:firstRow="0" w:lastRow="0" w:firstColumn="0" w:lastColumn="0" w:oddVBand="0" w:evenVBand="0" w:oddHBand="0" w:evenHBand="1" w:firstRowFirstColumn="0" w:firstRowLastColumn="0" w:lastRowFirstColumn="0" w:lastRowLastColumn="0"/>
              <w:rPr>
                <w:u w:val="single"/>
              </w:rPr>
            </w:pPr>
            <w:r w:rsidRPr="00CA1E2C">
              <w:rPr>
                <w:u w:val="single"/>
              </w:rPr>
              <w:t xml:space="preserve">NBN Co Sky Muster satellite services </w:t>
            </w:r>
          </w:p>
          <w:p w14:paraId="1156987F" w14:textId="77777777" w:rsidR="00ED110C" w:rsidRPr="00CA1E2C" w:rsidRDefault="00ED110C" w:rsidP="00153A88">
            <w:pPr>
              <w:jc w:val="left"/>
              <w:cnfStyle w:val="000000010000" w:firstRow="0" w:lastRow="0" w:firstColumn="0" w:lastColumn="0" w:oddVBand="0" w:evenVBand="0" w:oddHBand="0" w:evenHBand="1" w:firstRowFirstColumn="0" w:firstRowLastColumn="0" w:lastRowFirstColumn="0" w:lastRowLastColumn="0"/>
            </w:pPr>
            <w:r w:rsidRPr="00CA1E2C">
              <w:t>The NBN Co Sky Muster satellite network provides access to fast broadband to over 400,000 homes and businesses, predominantly in regional, rural and remote Australia. As of June 2019, more than 95,000 homes and businesses had an active NBN Co Sky Muster satellite service.</w:t>
            </w:r>
          </w:p>
          <w:p w14:paraId="42250958" w14:textId="77777777" w:rsidR="00ED110C" w:rsidRPr="00CA1E2C" w:rsidRDefault="00ED110C" w:rsidP="00153A88">
            <w:pPr>
              <w:jc w:val="left"/>
              <w:cnfStyle w:val="000000010000" w:firstRow="0" w:lastRow="0" w:firstColumn="0" w:lastColumn="0" w:oddVBand="0" w:evenVBand="0" w:oddHBand="0" w:evenHBand="1" w:firstRowFirstColumn="0" w:firstRowLastColumn="0" w:lastRowFirstColumn="0" w:lastRowLastColumn="0"/>
            </w:pPr>
            <w:r w:rsidRPr="00CA1E2C">
              <w:t>NBN Co is further developing its range of wholesale satellite products to better meet the needs of homes and businesses. This includes enhancing existing services by increasing data allowances. The company is also working on new products and additional applications to enable remote telehealth and distance education.</w:t>
            </w:r>
          </w:p>
          <w:p w14:paraId="21E43A34" w14:textId="092302B6" w:rsidR="00ED110C" w:rsidRPr="00CA1E2C" w:rsidRDefault="00ED110C" w:rsidP="00153A88">
            <w:pPr>
              <w:jc w:val="left"/>
              <w:cnfStyle w:val="000000010000" w:firstRow="0" w:lastRow="0" w:firstColumn="0" w:lastColumn="0" w:oddVBand="0" w:evenVBand="0" w:oddHBand="0" w:evenHBand="1" w:firstRowFirstColumn="0" w:firstRowLastColumn="0" w:lastRowFirstColumn="0" w:lastRowLastColumn="0"/>
            </w:pPr>
            <w:r w:rsidRPr="00CA1E2C">
              <w:t>In late 2018, NBN Co announced a new product, Sky Muster Plus. This service allows regional Australians access to unmetered data for web browsing, email and software updates. It also enables wholesale download speeds to exceed 25 Megabits per second when network capacity is available. Sky Muster Plus will launch in August 2019</w:t>
            </w:r>
            <w:r w:rsidR="00F251C7">
              <w:t>.</w:t>
            </w:r>
          </w:p>
          <w:p w14:paraId="4B99B06F" w14:textId="77777777" w:rsidR="00ED110C" w:rsidRPr="00CA1E2C" w:rsidRDefault="00ED110C" w:rsidP="00153A88">
            <w:pPr>
              <w:jc w:val="left"/>
              <w:cnfStyle w:val="000000010000" w:firstRow="0" w:lastRow="0" w:firstColumn="0" w:lastColumn="0" w:oddVBand="0" w:evenVBand="0" w:oddHBand="0" w:evenHBand="1" w:firstRowFirstColumn="0" w:firstRowLastColumn="0" w:lastRowFirstColumn="0" w:lastRowLastColumn="0"/>
            </w:pPr>
            <w:r w:rsidRPr="00CA1E2C">
              <w:t xml:space="preserve">NBN Co expects to begin providing its Sky Muster Business Satellite Service from late 2019. The service will enable access to business grade internet, data and voice services for eligible business customers in rural and remote Australia. </w:t>
            </w:r>
          </w:p>
          <w:p w14:paraId="62128078" w14:textId="77777777" w:rsidR="00ED110C" w:rsidRPr="00CA1E2C" w:rsidRDefault="00ED110C" w:rsidP="00153A88">
            <w:pPr>
              <w:jc w:val="left"/>
              <w:cnfStyle w:val="000000010000" w:firstRow="0" w:lastRow="0" w:firstColumn="0" w:lastColumn="0" w:oddVBand="0" w:evenVBand="0" w:oddHBand="0" w:evenHBand="1" w:firstRowFirstColumn="0" w:firstRowLastColumn="0" w:lastRowFirstColumn="0" w:lastRowLastColumn="0"/>
              <w:rPr>
                <w:u w:val="single"/>
              </w:rPr>
            </w:pPr>
            <w:r w:rsidRPr="00CA1E2C">
              <w:rPr>
                <w:u w:val="single"/>
              </w:rPr>
              <w:t>Viewer Access Satellite Television Service</w:t>
            </w:r>
          </w:p>
          <w:p w14:paraId="7AD755E1" w14:textId="49D51B23" w:rsidR="00ED110C" w:rsidRPr="00CA1E2C" w:rsidRDefault="00ED110C" w:rsidP="00153A88">
            <w:pPr>
              <w:jc w:val="left"/>
              <w:cnfStyle w:val="000000010000" w:firstRow="0" w:lastRow="0" w:firstColumn="0" w:lastColumn="0" w:oddVBand="0" w:evenVBand="0" w:oddHBand="0" w:evenHBand="1" w:firstRowFirstColumn="0" w:firstRowLastColumn="0" w:lastRowFirstColumn="0" w:lastRowLastColumn="0"/>
            </w:pPr>
            <w:r w:rsidRPr="00CA1E2C">
              <w:t xml:space="preserve">The Viewer Access Satellite Television (VAST) </w:t>
            </w:r>
            <w:r w:rsidR="00F251C7">
              <w:t xml:space="preserve">service </w:t>
            </w:r>
            <w:r w:rsidRPr="00CA1E2C">
              <w:t xml:space="preserve">provides free-to-air television and radio broadcasts to more than 500,000 viewers, </w:t>
            </w:r>
            <w:r w:rsidR="00F251C7">
              <w:t>plus</w:t>
            </w:r>
            <w:r w:rsidRPr="00CA1E2C">
              <w:t xml:space="preserve"> 30,000 travellers, mostly in regional and remote areas. VAST also provides a service to some metropolitan areas where terrestrial transmission services are not available.</w:t>
            </w:r>
          </w:p>
          <w:p w14:paraId="32069439" w14:textId="77777777" w:rsidR="00ED110C" w:rsidRPr="00CA1E2C" w:rsidRDefault="00ED110C" w:rsidP="00153A88">
            <w:pPr>
              <w:jc w:val="left"/>
              <w:cnfStyle w:val="000000010000" w:firstRow="0" w:lastRow="0" w:firstColumn="0" w:lastColumn="0" w:oddVBand="0" w:evenVBand="0" w:oddHBand="0" w:evenHBand="1" w:firstRowFirstColumn="0" w:firstRowLastColumn="0" w:lastRowFirstColumn="0" w:lastRowLastColumn="0"/>
            </w:pPr>
            <w:proofErr w:type="spellStart"/>
            <w:r w:rsidRPr="00CA1E2C">
              <w:t>DoCA</w:t>
            </w:r>
            <w:proofErr w:type="spellEnd"/>
            <w:r w:rsidRPr="00CA1E2C">
              <w:t xml:space="preserve"> administers the funding provided to commercial broadcasters for the satellite transmission of commercial free-to-air television services over VAST, with ABC and SBS services funded via their Budget appropriations.</w:t>
            </w:r>
          </w:p>
          <w:p w14:paraId="41710F5F" w14:textId="77777777" w:rsidR="00ED110C" w:rsidRPr="00CA1E2C" w:rsidRDefault="00ED110C" w:rsidP="00153A88">
            <w:pPr>
              <w:jc w:val="left"/>
              <w:cnfStyle w:val="000000010000" w:firstRow="0" w:lastRow="0" w:firstColumn="0" w:lastColumn="0" w:oddVBand="0" w:evenVBand="0" w:oddHBand="0" w:evenHBand="1" w:firstRowFirstColumn="0" w:firstRowLastColumn="0" w:lastRowFirstColumn="0" w:lastRowLastColumn="0"/>
              <w:rPr>
                <w:u w:val="single"/>
              </w:rPr>
            </w:pPr>
            <w:r w:rsidRPr="00CA1E2C">
              <w:rPr>
                <w:u w:val="single"/>
              </w:rPr>
              <w:t>Development of the Universal Service Guarantee (USG)</w:t>
            </w:r>
          </w:p>
          <w:p w14:paraId="29677FFD" w14:textId="6185292A" w:rsidR="00ED110C" w:rsidRPr="00CA1E2C" w:rsidRDefault="00ED110C" w:rsidP="00153A88">
            <w:pPr>
              <w:jc w:val="left"/>
              <w:cnfStyle w:val="000000010000" w:firstRow="0" w:lastRow="0" w:firstColumn="0" w:lastColumn="0" w:oddVBand="0" w:evenVBand="0" w:oddHBand="0" w:evenHBand="1" w:firstRowFirstColumn="0" w:firstRowLastColumn="0" w:lastRowFirstColumn="0" w:lastRowLastColumn="0"/>
            </w:pPr>
            <w:r w:rsidRPr="00CA1E2C">
              <w:t xml:space="preserve">Access to telephone and payphone services has long been seen as important to social and economic inclusion and has been underpinned by a legislated and contracted Universal Service Obligation (USO). USO services are typically delivered using Telstra’s copper network, however around 1,000 services are delivered by satellite. The </w:t>
            </w:r>
            <w:r w:rsidR="00022FC1">
              <w:t>USG</w:t>
            </w:r>
            <w:r w:rsidRPr="00CA1E2C">
              <w:t xml:space="preserve"> will provide premises across Australia with access to broadband, as well as voice services historically available under the Universal Service Obligation (USO).</w:t>
            </w:r>
          </w:p>
          <w:p w14:paraId="02A5C389" w14:textId="0FD55A91" w:rsidR="00ED110C" w:rsidRPr="00CA1E2C" w:rsidRDefault="00ED110C" w:rsidP="00153A88">
            <w:pPr>
              <w:jc w:val="left"/>
              <w:cnfStyle w:val="000000010000" w:firstRow="0" w:lastRow="0" w:firstColumn="0" w:lastColumn="0" w:oddVBand="0" w:evenVBand="0" w:oddHBand="0" w:evenHBand="1" w:firstRowFirstColumn="0" w:firstRowLastColumn="0" w:lastRowFirstColumn="0" w:lastRowLastColumn="0"/>
            </w:pPr>
            <w:r w:rsidRPr="00CA1E2C">
              <w:t xml:space="preserve">In 2018, </w:t>
            </w:r>
            <w:proofErr w:type="spellStart"/>
            <w:r w:rsidRPr="00CA1E2C">
              <w:t>DoCA</w:t>
            </w:r>
            <w:proofErr w:type="spellEnd"/>
            <w:r w:rsidRPr="00CA1E2C">
              <w:t xml:space="preserve"> examined the feasibility and cost implications of different approaches to delivering voice and other telecommunications services in rural and remote Australia as part of a new </w:t>
            </w:r>
            <w:r w:rsidR="00022FC1">
              <w:t>USG</w:t>
            </w:r>
            <w:r w:rsidRPr="00CA1E2C">
              <w:t>, which also includes broadband. On 5 December 2018, the Government announced the broadband component of the USG and most voice services would be provided by the N</w:t>
            </w:r>
            <w:r w:rsidR="00BB0FA7">
              <w:t xml:space="preserve">ational Broadband Network </w:t>
            </w:r>
            <w:r w:rsidRPr="00CA1E2C">
              <w:t>and the USG would incorporate the existing USO for voice.</w:t>
            </w:r>
          </w:p>
          <w:p w14:paraId="2C4B2235" w14:textId="42FE96FA" w:rsidR="00ED110C" w:rsidRDefault="00ED110C" w:rsidP="00153A88">
            <w:pPr>
              <w:jc w:val="left"/>
              <w:cnfStyle w:val="000000010000" w:firstRow="0" w:lastRow="0" w:firstColumn="0" w:lastColumn="0" w:oddVBand="0" w:evenVBand="0" w:oddHBand="0" w:evenHBand="1" w:firstRowFirstColumn="0" w:firstRowLastColumn="0" w:lastRowFirstColumn="0" w:lastRowLastColumn="0"/>
            </w:pPr>
            <w:r w:rsidRPr="00CA1E2C">
              <w:lastRenderedPageBreak/>
              <w:t>The Government has indicated it would also look at better ways to deliver the USG over</w:t>
            </w:r>
            <w:r w:rsidR="001564EC">
              <w:t xml:space="preserve"> </w:t>
            </w:r>
            <w:r w:rsidRPr="00CA1E2C">
              <w:t xml:space="preserve">time. As part of this work, </w:t>
            </w:r>
            <w:proofErr w:type="spellStart"/>
            <w:r w:rsidRPr="00CA1E2C">
              <w:t>DoCA</w:t>
            </w:r>
            <w:proofErr w:type="spellEnd"/>
            <w:r w:rsidRPr="00CA1E2C">
              <w:t xml:space="preserve"> monitors and assesses the ability of new space technologies to deliver quality telecommunications services in a more cost-effective way that can meet consumer needs. This includes understanding the potential role that new and emerging satellite systems (e.g.</w:t>
            </w:r>
            <w:r w:rsidR="009E3066">
              <w:t> </w:t>
            </w:r>
            <w:proofErr w:type="spellStart"/>
            <w:r w:rsidRPr="00CA1E2C">
              <w:t>leosats</w:t>
            </w:r>
            <w:proofErr w:type="spellEnd"/>
            <w:r w:rsidRPr="00CA1E2C">
              <w:t>) and proposed high altitude platforms could play in delivering future communication service.</w:t>
            </w:r>
          </w:p>
          <w:p w14:paraId="3E143C4B" w14:textId="77777777" w:rsidR="00F57E16" w:rsidRDefault="00F57E16" w:rsidP="00F57E16">
            <w:pPr>
              <w:jc w:val="left"/>
              <w:cnfStyle w:val="000000010000" w:firstRow="0" w:lastRow="0" w:firstColumn="0" w:lastColumn="0" w:oddVBand="0" w:evenVBand="0" w:oddHBand="0" w:evenHBand="1" w:firstRowFirstColumn="0" w:firstRowLastColumn="0" w:lastRowFirstColumn="0" w:lastRowLastColumn="0"/>
            </w:pPr>
            <w:r>
              <w:t xml:space="preserve">Through </w:t>
            </w:r>
            <w:proofErr w:type="spellStart"/>
            <w:r>
              <w:t>DoCA’s</w:t>
            </w:r>
            <w:proofErr w:type="spellEnd"/>
            <w:r>
              <w:t xml:space="preserve"> work on the development of the Universal Service Guarantee (USG), satellite-based service providers and service retailers should have a clearer idea of service needs in rural and remote Australia, and potential long term commercial opportunities which could feed into service development. </w:t>
            </w:r>
            <w:proofErr w:type="spellStart"/>
            <w:r>
              <w:t>DoCA</w:t>
            </w:r>
            <w:proofErr w:type="spellEnd"/>
            <w:r>
              <w:t xml:space="preserve"> is open to working with vendors in this context. </w:t>
            </w:r>
          </w:p>
          <w:p w14:paraId="7D7989E7" w14:textId="2959D048" w:rsidR="00F57E16" w:rsidRDefault="00F57E16" w:rsidP="00F57E16">
            <w:pPr>
              <w:jc w:val="left"/>
              <w:cnfStyle w:val="000000010000" w:firstRow="0" w:lastRow="0" w:firstColumn="0" w:lastColumn="0" w:oddVBand="0" w:evenVBand="0" w:oddHBand="0" w:evenHBand="1" w:firstRowFirstColumn="0" w:firstRowLastColumn="0" w:lastRowFirstColumn="0" w:lastRowLastColumn="0"/>
            </w:pPr>
            <w:proofErr w:type="spellStart"/>
            <w:r>
              <w:t>DoCA</w:t>
            </w:r>
            <w:proofErr w:type="spellEnd"/>
            <w:r>
              <w:t xml:space="preserve"> is working with the Agency to ensure it has a sound understanding of new and emerging space-based communications systems so it can factor them into its forward policy planning, particularly for service delivery in rural and remote Australia.</w:t>
            </w:r>
          </w:p>
          <w:p w14:paraId="596C1103" w14:textId="77777777" w:rsidR="00ED110C" w:rsidRPr="00CA1E2C" w:rsidRDefault="00ED110C" w:rsidP="00153A88">
            <w:pPr>
              <w:jc w:val="left"/>
              <w:cnfStyle w:val="000000010000" w:firstRow="0" w:lastRow="0" w:firstColumn="0" w:lastColumn="0" w:oddVBand="0" w:evenVBand="0" w:oddHBand="0" w:evenHBand="1" w:firstRowFirstColumn="0" w:firstRowLastColumn="0" w:lastRowFirstColumn="0" w:lastRowLastColumn="0"/>
            </w:pPr>
            <w:r w:rsidRPr="00CA1E2C">
              <w:rPr>
                <w:u w:val="single"/>
              </w:rPr>
              <w:t xml:space="preserve">International </w:t>
            </w:r>
            <w:proofErr w:type="spellStart"/>
            <w:r w:rsidRPr="00CA1E2C">
              <w:rPr>
                <w:u w:val="single"/>
              </w:rPr>
              <w:t>Radiocommunications</w:t>
            </w:r>
            <w:proofErr w:type="spellEnd"/>
          </w:p>
          <w:p w14:paraId="36E5D87A" w14:textId="0C7F698A" w:rsidR="00807B8D" w:rsidRPr="00CA1E2C" w:rsidRDefault="00C87602" w:rsidP="00BB0FA7">
            <w:pPr>
              <w:jc w:val="left"/>
              <w:cnfStyle w:val="000000010000" w:firstRow="0" w:lastRow="0" w:firstColumn="0" w:lastColumn="0" w:oddVBand="0" w:evenVBand="0" w:oddHBand="0" w:evenHBand="1" w:firstRowFirstColumn="0" w:firstRowLastColumn="0" w:lastRowFirstColumn="0" w:lastRowLastColumn="0"/>
            </w:pPr>
            <w:r>
              <w:t xml:space="preserve">Issues considered at </w:t>
            </w:r>
            <w:r w:rsidR="00ED110C" w:rsidRPr="00CA1E2C">
              <w:t>WRC-19 will impact</w:t>
            </w:r>
            <w:r>
              <w:t xml:space="preserve"> upon</w:t>
            </w:r>
            <w:r w:rsidR="00ED110C" w:rsidRPr="00CA1E2C">
              <w:t xml:space="preserve"> a range of communications technologies and satellite services, including (for example) the protection of satellite ground stations operating in certain frequency bands from unwanted emissions from next generation mobile broadband (5G) networks, and adjustments to international regulation of </w:t>
            </w:r>
            <w:proofErr w:type="spellStart"/>
            <w:r w:rsidR="00ED110C" w:rsidRPr="00CA1E2C">
              <w:t>radiocommunications</w:t>
            </w:r>
            <w:proofErr w:type="spellEnd"/>
            <w:r w:rsidR="00ED110C" w:rsidRPr="00CA1E2C">
              <w:t xml:space="preserve"> satellite filings, including for new non-GSO constellations (LEO/MEO</w:t>
            </w:r>
            <w:r w:rsidR="001564EC">
              <w:t>)</w:t>
            </w:r>
            <w:r w:rsidR="009E3066">
              <w:t>.</w:t>
            </w:r>
          </w:p>
        </w:tc>
      </w:tr>
      <w:tr w:rsidR="00807B8D" w:rsidRPr="00CA1E2C" w14:paraId="0F215B01" w14:textId="77777777" w:rsidTr="0074140F">
        <w:tc>
          <w:tcPr>
            <w:cnfStyle w:val="001000000000" w:firstRow="0" w:lastRow="0" w:firstColumn="1" w:lastColumn="0" w:oddVBand="0" w:evenVBand="0" w:oddHBand="0" w:evenHBand="0" w:firstRowFirstColumn="0" w:firstRowLastColumn="0" w:lastRowFirstColumn="0" w:lastRowLastColumn="0"/>
            <w:tcW w:w="1303" w:type="pct"/>
          </w:tcPr>
          <w:p w14:paraId="080F208D" w14:textId="77777777" w:rsidR="00807B8D" w:rsidRPr="008A7D08" w:rsidRDefault="00807B8D" w:rsidP="0074140F">
            <w:pPr>
              <w:pStyle w:val="TableText"/>
              <w:rPr>
                <w:rFonts w:ascii="Calibri" w:hAnsi="Calibri"/>
                <w:b w:val="0"/>
                <w:color w:val="FFFFFF" w:themeColor="background1"/>
                <w:szCs w:val="22"/>
              </w:rPr>
            </w:pPr>
            <w:r w:rsidRPr="008A7D08">
              <w:rPr>
                <w:rFonts w:ascii="Calibri" w:hAnsi="Calibri"/>
                <w:b w:val="0"/>
                <w:color w:val="FFFFFF" w:themeColor="background1"/>
                <w:szCs w:val="22"/>
              </w:rPr>
              <w:lastRenderedPageBreak/>
              <w:t>Department of Defence</w:t>
            </w:r>
          </w:p>
        </w:tc>
        <w:tc>
          <w:tcPr>
            <w:tcW w:w="3697" w:type="pct"/>
          </w:tcPr>
          <w:p w14:paraId="0F2A848A" w14:textId="72340C73" w:rsidR="00ED110C" w:rsidRPr="00CA1E2C" w:rsidRDefault="00ED110C" w:rsidP="00153A88">
            <w:pPr>
              <w:jc w:val="left"/>
              <w:cnfStyle w:val="000000000000" w:firstRow="0" w:lastRow="0" w:firstColumn="0" w:lastColumn="0" w:oddVBand="0" w:evenVBand="0" w:oddHBand="0" w:evenHBand="0" w:firstRowFirstColumn="0" w:firstRowLastColumn="0" w:lastRowFirstColumn="0" w:lastRowLastColumn="0"/>
              <w:rPr>
                <w:rFonts w:eastAsiaTheme="minorHAnsi" w:cstheme="minorHAnsi"/>
                <w:color w:val="000000"/>
                <w:szCs w:val="22"/>
              </w:rPr>
            </w:pPr>
            <w:r w:rsidRPr="00CA1E2C">
              <w:rPr>
                <w:rFonts w:cstheme="minorHAnsi"/>
                <w:color w:val="000000"/>
                <w:szCs w:val="22"/>
              </w:rPr>
              <w:t xml:space="preserve">There are seven remaining tranches for current satellite communications for delivery under Joint Project 2008 to be completed by mid-2023.  The final phase will see </w:t>
            </w:r>
            <w:r w:rsidR="001564EC">
              <w:rPr>
                <w:rFonts w:cstheme="minorHAnsi"/>
                <w:color w:val="000000"/>
                <w:szCs w:val="22"/>
              </w:rPr>
              <w:t xml:space="preserve">the completion of </w:t>
            </w:r>
            <w:r w:rsidRPr="00CA1E2C">
              <w:rPr>
                <w:rFonts w:cstheme="minorHAnsi"/>
                <w:color w:val="000000"/>
                <w:szCs w:val="22"/>
              </w:rPr>
              <w:t>Satellite Ground Station-East</w:t>
            </w:r>
            <w:r w:rsidR="001564EC">
              <w:rPr>
                <w:rFonts w:cstheme="minorHAnsi"/>
                <w:color w:val="000000"/>
                <w:szCs w:val="22"/>
              </w:rPr>
              <w:t xml:space="preserve">, </w:t>
            </w:r>
            <w:r w:rsidR="001564EC" w:rsidRPr="001564EC">
              <w:rPr>
                <w:rFonts w:cstheme="minorHAnsi"/>
                <w:color w:val="000000"/>
                <w:szCs w:val="22"/>
              </w:rPr>
              <w:t>a new ground station in Kapooka Military Area, NSW</w:t>
            </w:r>
            <w:r w:rsidR="007A3D5E">
              <w:rPr>
                <w:rFonts w:cstheme="minorHAnsi"/>
                <w:color w:val="000000"/>
                <w:szCs w:val="22"/>
              </w:rPr>
              <w:t xml:space="preserve">, </w:t>
            </w:r>
            <w:r w:rsidRPr="00CA1E2C">
              <w:rPr>
                <w:rFonts w:cstheme="minorHAnsi"/>
                <w:color w:val="000000"/>
                <w:szCs w:val="22"/>
              </w:rPr>
              <w:t xml:space="preserve">and </w:t>
            </w:r>
            <w:r w:rsidR="007A3D5E" w:rsidRPr="007A3D5E">
              <w:rPr>
                <w:rFonts w:cstheme="minorHAnsi"/>
                <w:color w:val="000000"/>
                <w:szCs w:val="22"/>
              </w:rPr>
              <w:t>the implementation of a holistic wideband satellite communications Network Management System</w:t>
            </w:r>
            <w:r w:rsidRPr="00CA1E2C">
              <w:rPr>
                <w:rFonts w:cstheme="minorHAnsi"/>
                <w:color w:val="000000"/>
                <w:szCs w:val="22"/>
              </w:rPr>
              <w:t xml:space="preserve">. </w:t>
            </w:r>
          </w:p>
          <w:p w14:paraId="309A4933" w14:textId="7E3E4D74" w:rsidR="00ED110C" w:rsidRPr="00CA1E2C" w:rsidRDefault="00ED110C" w:rsidP="00153A88">
            <w:pPr>
              <w:jc w:val="left"/>
              <w:cnfStyle w:val="000000000000" w:firstRow="0" w:lastRow="0" w:firstColumn="0" w:lastColumn="0" w:oddVBand="0" w:evenVBand="0" w:oddHBand="0" w:evenHBand="0" w:firstRowFirstColumn="0" w:firstRowLastColumn="0" w:lastRowFirstColumn="0" w:lastRowLastColumn="0"/>
            </w:pPr>
            <w:r w:rsidRPr="00CA1E2C">
              <w:t>With support from the Australian Defence Information &amp; Electronic Systems Association, Defence benefited from a collaborative Request for Information to support costed options development for Joint Project 9102 – the future “Australian Defence Satellite Communications System”</w:t>
            </w:r>
            <w:r w:rsidR="007A3D5E">
              <w:t xml:space="preserve"> (</w:t>
            </w:r>
            <w:r w:rsidRPr="00CA1E2C">
              <w:t>ASDSS</w:t>
            </w:r>
            <w:r w:rsidR="007A3D5E">
              <w:t>)</w:t>
            </w:r>
            <w:r w:rsidRPr="00CA1E2C">
              <w:t xml:space="preserve">. The ASDSS is based on recognition in the Defence White Paper 2016 that operations are reliant on space based satellite systems to support networked capabilities and to communicate, and the direction that priority will be given to strengthening the resilience and redundancy of satellite-based communications.  </w:t>
            </w:r>
          </w:p>
          <w:p w14:paraId="29F708EA" w14:textId="73C4CD4C" w:rsidR="00ED110C" w:rsidRPr="00CA1E2C" w:rsidRDefault="00ED110C" w:rsidP="00153A88">
            <w:pPr>
              <w:jc w:val="left"/>
              <w:cnfStyle w:val="000000000000" w:firstRow="0" w:lastRow="0" w:firstColumn="0" w:lastColumn="0" w:oddVBand="0" w:evenVBand="0" w:oddHBand="0" w:evenHBand="0" w:firstRowFirstColumn="0" w:firstRowLastColumn="0" w:lastRowFirstColumn="0" w:lastRowLastColumn="0"/>
              <w:rPr>
                <w:rFonts w:eastAsiaTheme="minorHAnsi"/>
                <w:color w:val="auto"/>
              </w:rPr>
            </w:pPr>
            <w:r w:rsidRPr="00CA1E2C">
              <w:t xml:space="preserve">Defence will present capability options for Joint Project 9102 ASDSS to Government in </w:t>
            </w:r>
            <w:r w:rsidR="000C7F12">
              <w:t>mid-</w:t>
            </w:r>
            <w:r w:rsidRPr="00CA1E2C">
              <w:t xml:space="preserve">2020, in a First Pass submission as part of a rolling sub-program approach. The capability options were informed by significant input from Australian and international space industries, addressing questions posed by Defence on a range of options balancing Government owned and operated, partnering and commercial leasing building blocks.  </w:t>
            </w:r>
          </w:p>
          <w:p w14:paraId="4674EFD3" w14:textId="02907252" w:rsidR="00807B8D" w:rsidRPr="008A7D08" w:rsidRDefault="00ED110C" w:rsidP="00153A88">
            <w:pPr>
              <w:jc w:val="left"/>
              <w:cnfStyle w:val="000000000000" w:firstRow="0" w:lastRow="0" w:firstColumn="0" w:lastColumn="0" w:oddVBand="0" w:evenVBand="0" w:oddHBand="0" w:evenHBand="0" w:firstRowFirstColumn="0" w:firstRowLastColumn="0" w:lastRowFirstColumn="0" w:lastRowLastColumn="0"/>
            </w:pPr>
            <w:r w:rsidRPr="00CA1E2C">
              <w:t xml:space="preserve">Defence has partnered with the US Department of </w:t>
            </w:r>
            <w:proofErr w:type="spellStart"/>
            <w:r w:rsidRPr="00CA1E2C">
              <w:t>Defense</w:t>
            </w:r>
            <w:proofErr w:type="spellEnd"/>
            <w:r w:rsidRPr="00CA1E2C">
              <w:t xml:space="preserve"> to establish the Combined Communications Gateway Geraldton (C2G2). The Memorandum of Understanding for C2G2, signed in October 2014, enables the US to establish a Gateway capability in Australia. The facility will be jointly shared by the US and Australia, and will allow both partners to access Wideband Global </w:t>
            </w:r>
            <w:r w:rsidRPr="00CA1E2C">
              <w:lastRenderedPageBreak/>
              <w:t>SATCOM (WGS) resources. T</w:t>
            </w:r>
            <w:r w:rsidRPr="00CA1E2C">
              <w:rPr>
                <w:iCs/>
              </w:rPr>
              <w:t xml:space="preserve">he request for tender for facility construction was finalised in August 2018, and the contract was awarded to Icon (previously known as </w:t>
            </w:r>
            <w:proofErr w:type="spellStart"/>
            <w:r w:rsidRPr="00CA1E2C">
              <w:rPr>
                <w:iCs/>
              </w:rPr>
              <w:t>Cockram</w:t>
            </w:r>
            <w:proofErr w:type="spellEnd"/>
            <w:r w:rsidRPr="00CA1E2C">
              <w:rPr>
                <w:iCs/>
              </w:rPr>
              <w:t xml:space="preserve">) in September 2018. Construction has commenced and anticipated to be completed (i.e. Building Occupancy Date) in March 2020. </w:t>
            </w:r>
            <w:r w:rsidRPr="00CA1E2C">
              <w:t>Defence anticipates that C2G2 will reach an Initial Operating Capability in early 2020 and Final Oper</w:t>
            </w:r>
            <w:r w:rsidR="00153A88">
              <w:t>ating Capability in early 2021.</w:t>
            </w:r>
          </w:p>
        </w:tc>
      </w:tr>
      <w:tr w:rsidR="001A79C4" w:rsidRPr="00CA1E2C" w14:paraId="72EEBFBB" w14:textId="77777777" w:rsidTr="007414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532B38E4" w14:textId="34811953" w:rsidR="001A79C4" w:rsidRPr="008A7D08" w:rsidRDefault="001A79C4" w:rsidP="0074140F">
            <w:pPr>
              <w:pStyle w:val="TableText"/>
              <w:rPr>
                <w:rFonts w:ascii="Calibri" w:hAnsi="Calibri"/>
                <w:b w:val="0"/>
                <w:color w:val="FFFFFF" w:themeColor="background1"/>
                <w:szCs w:val="22"/>
              </w:rPr>
            </w:pPr>
            <w:r>
              <w:rPr>
                <w:rFonts w:ascii="Calibri" w:hAnsi="Calibri"/>
                <w:b w:val="0"/>
                <w:color w:val="FFFFFF" w:themeColor="background1"/>
                <w:szCs w:val="22"/>
              </w:rPr>
              <w:lastRenderedPageBreak/>
              <w:t>Department of Home Affairs</w:t>
            </w:r>
          </w:p>
        </w:tc>
        <w:tc>
          <w:tcPr>
            <w:tcW w:w="3697" w:type="pct"/>
          </w:tcPr>
          <w:p w14:paraId="3C325B8B" w14:textId="26927902" w:rsidR="001A79C4" w:rsidRPr="001A79C4" w:rsidRDefault="001A79C4" w:rsidP="003A497C">
            <w:pPr>
              <w:jc w:val="left"/>
              <w:cnfStyle w:val="000000010000" w:firstRow="0" w:lastRow="0" w:firstColumn="0" w:lastColumn="0" w:oddVBand="0" w:evenVBand="0" w:oddHBand="0" w:evenHBand="1" w:firstRowFirstColumn="0" w:firstRowLastColumn="0" w:lastRowFirstColumn="0" w:lastRowLastColumn="0"/>
              <w:rPr>
                <w:iCs/>
              </w:rPr>
            </w:pPr>
            <w:r w:rsidRPr="001A79C4">
              <w:rPr>
                <w:iCs/>
              </w:rPr>
              <w:t xml:space="preserve">The National Situational Awareness Tool (NSAT) is a valuable national resource that has increased situational awareness by improving crisis management collaboration across governments. Emergency Management Australia, in partnership with </w:t>
            </w:r>
            <w:r w:rsidR="003A497C">
              <w:rPr>
                <w:iCs/>
              </w:rPr>
              <w:t>GA</w:t>
            </w:r>
            <w:r w:rsidRPr="001A79C4">
              <w:rPr>
                <w:iCs/>
              </w:rPr>
              <w:t xml:space="preserve"> and members of the EMSINA, continue to utilise EM-Link. EM-Link is a digital version of NSAT that provides a quick, comprehensive and up-to-date listing of emergency management related geospatial web services for </w:t>
            </w:r>
            <w:r>
              <w:rPr>
                <w:iCs/>
              </w:rPr>
              <w:t xml:space="preserve">a chosen hazard and/or region. </w:t>
            </w:r>
          </w:p>
        </w:tc>
      </w:tr>
      <w:tr w:rsidR="00807B8D" w:rsidRPr="00CA1E2C" w14:paraId="3AB0C7F3" w14:textId="77777777" w:rsidTr="0074140F">
        <w:tc>
          <w:tcPr>
            <w:cnfStyle w:val="001000000000" w:firstRow="0" w:lastRow="0" w:firstColumn="1" w:lastColumn="0" w:oddVBand="0" w:evenVBand="0" w:oddHBand="0" w:evenHBand="0" w:firstRowFirstColumn="0" w:firstRowLastColumn="0" w:lastRowFirstColumn="0" w:lastRowLastColumn="0"/>
            <w:tcW w:w="1303" w:type="pct"/>
          </w:tcPr>
          <w:p w14:paraId="3FA6782C" w14:textId="413A5BC9" w:rsidR="00807B8D" w:rsidRPr="008A7D08" w:rsidRDefault="00807B8D" w:rsidP="00ED110C">
            <w:pPr>
              <w:pStyle w:val="TableText"/>
              <w:rPr>
                <w:rFonts w:ascii="Calibri" w:hAnsi="Calibri"/>
                <w:b w:val="0"/>
                <w:color w:val="FFFFFF" w:themeColor="background1"/>
                <w:szCs w:val="22"/>
              </w:rPr>
            </w:pPr>
            <w:r>
              <w:rPr>
                <w:rFonts w:ascii="Calibri" w:hAnsi="Calibri"/>
                <w:b w:val="0"/>
                <w:color w:val="FFFFFF" w:themeColor="background1"/>
                <w:szCs w:val="22"/>
              </w:rPr>
              <w:t xml:space="preserve">Department </w:t>
            </w:r>
            <w:r w:rsidR="00ED110C">
              <w:rPr>
                <w:rFonts w:ascii="Calibri" w:hAnsi="Calibri"/>
                <w:b w:val="0"/>
                <w:color w:val="FFFFFF" w:themeColor="background1"/>
                <w:szCs w:val="22"/>
              </w:rPr>
              <w:t>of Infrastructure, Regional Development and Cities</w:t>
            </w:r>
          </w:p>
        </w:tc>
        <w:tc>
          <w:tcPr>
            <w:tcW w:w="3697" w:type="pct"/>
          </w:tcPr>
          <w:p w14:paraId="10C5DDFF" w14:textId="7E9BE5FE" w:rsidR="001A79C4" w:rsidRPr="00CA1E2C" w:rsidRDefault="001A79C4" w:rsidP="001A79C4">
            <w:pPr>
              <w:jc w:val="left"/>
              <w:cnfStyle w:val="000000000000" w:firstRow="0" w:lastRow="0" w:firstColumn="0" w:lastColumn="0" w:oddVBand="0" w:evenVBand="0" w:oddHBand="0" w:evenHBand="0" w:firstRowFirstColumn="0" w:firstRowLastColumn="0" w:lastRowFirstColumn="0" w:lastRowLastColumn="0"/>
            </w:pPr>
            <w:r w:rsidRPr="00CA1E2C">
              <w:t xml:space="preserve">Australia is an active participant in the </w:t>
            </w:r>
            <w:proofErr w:type="spellStart"/>
            <w:r w:rsidRPr="00CA1E2C">
              <w:t>Cospas-Sarsat</w:t>
            </w:r>
            <w:proofErr w:type="spellEnd"/>
            <w:r w:rsidRPr="00CA1E2C">
              <w:t xml:space="preserve"> Program, an international satellite-based distress beacon detection system.</w:t>
            </w:r>
            <w:r w:rsidRPr="00CA1E2C">
              <w:rPr>
                <w:rStyle w:val="FootnoteReference"/>
              </w:rPr>
              <w:footnoteReference w:id="9"/>
            </w:r>
            <w:r w:rsidRPr="00CA1E2C">
              <w:t xml:space="preserve"> During 2018, 410 people were rescued in Australia in incidents involving activation of a 406</w:t>
            </w:r>
            <w:r w:rsidR="009E3066">
              <w:t> </w:t>
            </w:r>
            <w:r w:rsidRPr="00CA1E2C">
              <w:t xml:space="preserve">MHz distress beacon. Importantly, Australia has the second-largest 406 MHz distress beacon ownership in the world, estimated at over 550,000 registered beacons. </w:t>
            </w:r>
          </w:p>
          <w:p w14:paraId="11E2422D" w14:textId="372E5C65" w:rsidR="001A79C4" w:rsidRPr="00CA1E2C" w:rsidRDefault="001A79C4" w:rsidP="001A79C4">
            <w:pPr>
              <w:jc w:val="left"/>
              <w:cnfStyle w:val="000000000000" w:firstRow="0" w:lastRow="0" w:firstColumn="0" w:lastColumn="0" w:oddVBand="0" w:evenVBand="0" w:oddHBand="0" w:evenHBand="0" w:firstRowFirstColumn="0" w:firstRowLastColumn="0" w:lastRowFirstColumn="0" w:lastRowLastColumn="0"/>
            </w:pPr>
            <w:r w:rsidRPr="00CA1E2C">
              <w:t xml:space="preserve">In support of the </w:t>
            </w:r>
            <w:proofErr w:type="spellStart"/>
            <w:r w:rsidRPr="00CA1E2C">
              <w:t>Cospas-Sarsat</w:t>
            </w:r>
            <w:proofErr w:type="spellEnd"/>
            <w:r w:rsidRPr="00CA1E2C">
              <w:t xml:space="preserve"> Programme, </w:t>
            </w:r>
            <w:r w:rsidR="009002EF">
              <w:t xml:space="preserve">the Australian </w:t>
            </w:r>
            <w:r w:rsidR="00A87DDE">
              <w:t>M</w:t>
            </w:r>
            <w:r w:rsidR="009002EF">
              <w:t>aritime Safety Authority (</w:t>
            </w:r>
            <w:r w:rsidRPr="00CA1E2C">
              <w:t>AMSA</w:t>
            </w:r>
            <w:r w:rsidR="009002EF">
              <w:t>)</w:t>
            </w:r>
            <w:r w:rsidRPr="00CA1E2C">
              <w:t xml:space="preserve"> operates a satellite tracking station near Mingenew in Western Australia in support of the new </w:t>
            </w:r>
            <w:r w:rsidRPr="00CA1E2C">
              <w:rPr>
                <w:rFonts w:cstheme="minorHAnsi"/>
                <w:szCs w:val="22"/>
              </w:rPr>
              <w:t>Medium-altitude Earth Orbit Search and Rescue</w:t>
            </w:r>
            <w:r w:rsidRPr="00CA1E2C">
              <w:t xml:space="preserve"> (MEOSAR) capability. The </w:t>
            </w:r>
            <w:r w:rsidRPr="00CA1E2C">
              <w:rPr>
                <w:rFonts w:cstheme="minorHAnsi"/>
                <w:szCs w:val="22"/>
              </w:rPr>
              <w:t>Low-altitude Earth Orbit Search and Rescue</w:t>
            </w:r>
            <w:r w:rsidRPr="00CA1E2C">
              <w:t xml:space="preserve"> LEOSAR tracking stations in Western Australia and Queensland were decommissioned in the first half of 2019 as the MEOSAR capability commenced full operation. </w:t>
            </w:r>
          </w:p>
          <w:p w14:paraId="42B765B6" w14:textId="4E82C3AB" w:rsidR="001A79C4" w:rsidRDefault="001A79C4" w:rsidP="001A79C4">
            <w:pPr>
              <w:jc w:val="left"/>
              <w:cnfStyle w:val="000000000000" w:firstRow="0" w:lastRow="0" w:firstColumn="0" w:lastColumn="0" w:oddVBand="0" w:evenVBand="0" w:oddHBand="0" w:evenHBand="0" w:firstRowFirstColumn="0" w:firstRowLastColumn="0" w:lastRowFirstColumn="0" w:lastRowLastColumn="0"/>
            </w:pPr>
            <w:r w:rsidRPr="00CA1E2C">
              <w:t xml:space="preserve">Data from the </w:t>
            </w:r>
            <w:proofErr w:type="spellStart"/>
            <w:r w:rsidRPr="00CA1E2C">
              <w:t>Cospas-Sarsat</w:t>
            </w:r>
            <w:proofErr w:type="spellEnd"/>
            <w:r w:rsidRPr="00CA1E2C">
              <w:t xml:space="preserve"> satellite tracking stations are used operationally by the Australian JRCC to respond to land, maritime an</w:t>
            </w:r>
            <w:r>
              <w:t>d aviation distress situations.</w:t>
            </w:r>
          </w:p>
          <w:p w14:paraId="705CFF08" w14:textId="6EC34F91" w:rsidR="00807B8D" w:rsidRPr="00CA1E2C" w:rsidRDefault="00ED110C" w:rsidP="00153A88">
            <w:pPr>
              <w:jc w:val="left"/>
              <w:cnfStyle w:val="000000000000" w:firstRow="0" w:lastRow="0" w:firstColumn="0" w:lastColumn="0" w:oddVBand="0" w:evenVBand="0" w:oddHBand="0" w:evenHBand="0" w:firstRowFirstColumn="0" w:firstRowLastColumn="0" w:lastRowFirstColumn="0" w:lastRowLastColumn="0"/>
            </w:pPr>
            <w:proofErr w:type="spellStart"/>
            <w:r w:rsidRPr="00CA1E2C">
              <w:t>Airservices</w:t>
            </w:r>
            <w:proofErr w:type="spellEnd"/>
            <w:r w:rsidRPr="00CA1E2C">
              <w:t xml:space="preserve"> provides point-to-point satellite communications and ground-air communications for the aviation sector via a service provider.</w:t>
            </w:r>
            <w:r w:rsidR="00BB0FA7">
              <w:t xml:space="preserve"> </w:t>
            </w:r>
            <w:r w:rsidRPr="00CA1E2C">
              <w:t>CASA recognises that t</w:t>
            </w:r>
            <w:r w:rsidRPr="00CA1E2C">
              <w:rPr>
                <w:szCs w:val="22"/>
              </w:rPr>
              <w:t>he development of satellite-based communication, surveillance and navigation systems for aviation purposes will significantly enhance aviation safety, efficiency and capability.</w:t>
            </w:r>
          </w:p>
        </w:tc>
      </w:tr>
      <w:tr w:rsidR="001A79C4" w:rsidRPr="00CA1E2C" w14:paraId="5C1CF19C" w14:textId="77777777" w:rsidTr="007414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22F3116D" w14:textId="5017A508" w:rsidR="001A79C4" w:rsidRDefault="001A79C4" w:rsidP="00ED110C">
            <w:pPr>
              <w:pStyle w:val="TableText"/>
              <w:rPr>
                <w:rFonts w:ascii="Calibri" w:hAnsi="Calibri"/>
                <w:b w:val="0"/>
                <w:color w:val="FFFFFF" w:themeColor="background1"/>
                <w:szCs w:val="22"/>
              </w:rPr>
            </w:pPr>
            <w:r>
              <w:rPr>
                <w:rFonts w:ascii="Calibri" w:hAnsi="Calibri"/>
                <w:b w:val="0"/>
                <w:color w:val="FFFFFF" w:themeColor="background1"/>
                <w:szCs w:val="22"/>
              </w:rPr>
              <w:t>Geoscience Australia</w:t>
            </w:r>
          </w:p>
        </w:tc>
        <w:tc>
          <w:tcPr>
            <w:tcW w:w="3697" w:type="pct"/>
          </w:tcPr>
          <w:p w14:paraId="61F055EB" w14:textId="7671129F" w:rsidR="001A79C4" w:rsidRPr="00CA1E2C" w:rsidRDefault="001A79C4" w:rsidP="00FF09EF">
            <w:pPr>
              <w:jc w:val="left"/>
              <w:cnfStyle w:val="000000010000" w:firstRow="0" w:lastRow="0" w:firstColumn="0" w:lastColumn="0" w:oddVBand="0" w:evenVBand="0" w:oddHBand="0" w:evenHBand="1" w:firstRowFirstColumn="0" w:firstRowLastColumn="0" w:lastRowFirstColumn="0" w:lastRowLastColumn="0"/>
            </w:pPr>
            <w:r w:rsidRPr="00CA1E2C">
              <w:t>GA participated in the European Commission’s trial emergency warning service (Galileo-based Reliable Automatic and Low Latent EWS, or GRALLE), which tested the use of satellite navigation infrastructure to transmit emergency warning information to citizens.</w:t>
            </w:r>
          </w:p>
        </w:tc>
      </w:tr>
    </w:tbl>
    <w:p w14:paraId="14AA3777" w14:textId="77777777" w:rsidR="00B5473C" w:rsidRDefault="00B5473C" w:rsidP="00454F9F">
      <w:pPr>
        <w:pStyle w:val="AuthorName"/>
        <w:jc w:val="left"/>
      </w:pPr>
    </w:p>
    <w:p w14:paraId="390DB2CC" w14:textId="77777777" w:rsidR="00FA1259" w:rsidRPr="00CA1E2C" w:rsidRDefault="00FA1259" w:rsidP="00E03FCE">
      <w:pPr>
        <w:pStyle w:val="Heading3"/>
      </w:pPr>
      <w:r w:rsidRPr="00CA1E2C">
        <w:t>Space Situational Awareness and Debris Monitoring</w:t>
      </w:r>
    </w:p>
    <w:p w14:paraId="56F8C234" w14:textId="13269C0F" w:rsidR="00AA7A2B" w:rsidRDefault="00E03FCE" w:rsidP="00E03FCE">
      <w:pPr>
        <w:pStyle w:val="TableText"/>
        <w:rPr>
          <w:i/>
        </w:rPr>
      </w:pPr>
      <w:r w:rsidRPr="00E03FCE">
        <w:rPr>
          <w:i/>
        </w:rPr>
        <w:t>Collisions in space with debris pose a risk to assets and life. Australia’s geographical position makes it an ideal location for space debris tracking and space traffic management activities.</w:t>
      </w:r>
    </w:p>
    <w:p w14:paraId="07C10EA3" w14:textId="6C1D3660" w:rsidR="008D6DA4" w:rsidRDefault="008D6DA4" w:rsidP="008D6DA4">
      <w:r w:rsidRPr="00CA1E2C">
        <w:lastRenderedPageBreak/>
        <w:t>The Agency facilitated a Priority Area workshop on space situational awareness</w:t>
      </w:r>
      <w:r w:rsidR="00972728">
        <w:t xml:space="preserve"> (SSA)</w:t>
      </w:r>
      <w:r w:rsidRPr="00CA1E2C">
        <w:t xml:space="preserve">. </w:t>
      </w:r>
      <w:r w:rsidR="0039620C">
        <w:t xml:space="preserve">This was the first workshop hosted across the government, research, education and private sectors. The workshop was organised to understand Australia’s capabilities and consider opportunities for the future. The results were used to inform the </w:t>
      </w:r>
      <w:r w:rsidR="0039620C" w:rsidRPr="0039620C">
        <w:rPr>
          <w:i/>
        </w:rPr>
        <w:t>Australian Space Civil Strategy</w:t>
      </w:r>
      <w:r w:rsidR="0039620C">
        <w:t xml:space="preserve"> and to inform the development of a roadmap to highlight opportunities for Australia. </w:t>
      </w:r>
      <w:r w:rsidR="00F16A49">
        <w:t>With regard to the Agency’s regulatory responsibilities, t</w:t>
      </w:r>
      <w:r w:rsidRPr="00CA1E2C">
        <w:t xml:space="preserve">he </w:t>
      </w:r>
      <w:r w:rsidRPr="00CA1E2C">
        <w:rPr>
          <w:i/>
        </w:rPr>
        <w:t>Space Activities Amendment (Launches and Returns) Act 2018</w:t>
      </w:r>
      <w:r w:rsidRPr="00CA1E2C">
        <w:t xml:space="preserve"> adds the requirement for a debris mitigation strategy for certain authorisations involving objects going to space.</w:t>
      </w:r>
    </w:p>
    <w:p w14:paraId="448C3A7B" w14:textId="6496C2E8" w:rsidR="00D11D89" w:rsidRDefault="00D11D89" w:rsidP="008D6DA4">
      <w:r>
        <w:t xml:space="preserve">The </w:t>
      </w:r>
      <w:r w:rsidR="00F76312" w:rsidRPr="005D7667">
        <w:rPr>
          <w:i/>
        </w:rPr>
        <w:t xml:space="preserve">Australian Civil Space </w:t>
      </w:r>
      <w:r w:rsidRPr="005D7667">
        <w:rPr>
          <w:i/>
        </w:rPr>
        <w:t>Strategy</w:t>
      </w:r>
      <w:r>
        <w:t xml:space="preserve"> identifies this Priority Area as part of Phase 3 (2021-2028)</w:t>
      </w:r>
      <w:r w:rsidR="002477E4">
        <w:t>, delivering success.</w:t>
      </w:r>
    </w:p>
    <w:p w14:paraId="3EE80B4E" w14:textId="34DA96C5" w:rsidR="006E0C71" w:rsidRPr="008D6DA4" w:rsidRDefault="006E0C71" w:rsidP="006E0C71">
      <w:pPr>
        <w:pStyle w:val="Caption"/>
      </w:pPr>
      <w:bookmarkStart w:id="42" w:name="_Toc40946022"/>
      <w:r>
        <w:t xml:space="preserve">Table </w:t>
      </w:r>
      <w:r>
        <w:fldChar w:fldCharType="begin"/>
      </w:r>
      <w:r>
        <w:instrText xml:space="preserve"> SEQ Table \* ARABIC </w:instrText>
      </w:r>
      <w:r>
        <w:fldChar w:fldCharType="separate"/>
      </w:r>
      <w:r w:rsidR="00C35904">
        <w:rPr>
          <w:noProof/>
        </w:rPr>
        <w:t>4</w:t>
      </w:r>
      <w:r>
        <w:fldChar w:fldCharType="end"/>
      </w:r>
      <w:r w:rsidR="000D2439">
        <w:t xml:space="preserve"> – SCC s</w:t>
      </w:r>
      <w:r>
        <w:t>pace situational awareness and debris monitoring activities</w:t>
      </w:r>
      <w:bookmarkEnd w:id="42"/>
    </w:p>
    <w:tbl>
      <w:tblPr>
        <w:tblStyle w:val="ASATable"/>
        <w:tblW w:w="4958" w:type="pct"/>
        <w:tblInd w:w="2" w:type="dxa"/>
        <w:tblLook w:val="04A0" w:firstRow="1" w:lastRow="0" w:firstColumn="1" w:lastColumn="0" w:noHBand="0" w:noVBand="1"/>
        <w:tblCaption w:val="Table 4 – SCC space situational awareness and debris monitoring activities"/>
      </w:tblPr>
      <w:tblGrid>
        <w:gridCol w:w="2547"/>
        <w:gridCol w:w="7228"/>
      </w:tblGrid>
      <w:tr w:rsidR="00AA7A2B" w:rsidRPr="00CA1E2C" w14:paraId="48C382F2" w14:textId="77777777" w:rsidTr="0074140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303" w:type="pct"/>
          </w:tcPr>
          <w:p w14:paraId="160FBA4E" w14:textId="77777777" w:rsidR="00AA7A2B" w:rsidRPr="00CA1E2C" w:rsidRDefault="00AA7A2B" w:rsidP="0074140F">
            <w:pPr>
              <w:pStyle w:val="TableHeading"/>
              <w:rPr>
                <w:b/>
                <w:color w:val="FFFFFF" w:themeColor="background1"/>
                <w:szCs w:val="22"/>
              </w:rPr>
            </w:pPr>
            <w:r w:rsidRPr="00CA1E2C">
              <w:rPr>
                <w:b/>
                <w:color w:val="FFFFFF" w:themeColor="background1"/>
                <w:szCs w:val="22"/>
              </w:rPr>
              <w:t>Organisation</w:t>
            </w:r>
          </w:p>
        </w:tc>
        <w:tc>
          <w:tcPr>
            <w:tcW w:w="3697" w:type="pct"/>
          </w:tcPr>
          <w:p w14:paraId="746B059E" w14:textId="77777777" w:rsidR="00AA7A2B" w:rsidRPr="00CA1E2C" w:rsidRDefault="00AA7A2B" w:rsidP="0074140F">
            <w:pPr>
              <w:pStyle w:val="TableHeading"/>
              <w:jc w:val="left"/>
              <w:cnfStyle w:val="100000000000" w:firstRow="1" w:lastRow="0" w:firstColumn="0" w:lastColumn="0" w:oddVBand="0" w:evenVBand="0" w:oddHBand="0" w:evenHBand="0" w:firstRowFirstColumn="0" w:firstRowLastColumn="0" w:lastRowFirstColumn="0" w:lastRowLastColumn="0"/>
            </w:pPr>
            <w:r w:rsidRPr="00CA1E2C">
              <w:t>Summary of activity</w:t>
            </w:r>
          </w:p>
        </w:tc>
      </w:tr>
      <w:tr w:rsidR="00AA7A2B" w:rsidRPr="00CA1E2C" w14:paraId="2F05CF3E" w14:textId="77777777" w:rsidTr="0074140F">
        <w:tc>
          <w:tcPr>
            <w:cnfStyle w:val="001000000000" w:firstRow="0" w:lastRow="0" w:firstColumn="1" w:lastColumn="0" w:oddVBand="0" w:evenVBand="0" w:oddHBand="0" w:evenHBand="0" w:firstRowFirstColumn="0" w:firstRowLastColumn="0" w:lastRowFirstColumn="0" w:lastRowLastColumn="0"/>
            <w:tcW w:w="1303" w:type="pct"/>
          </w:tcPr>
          <w:p w14:paraId="19AD03BC" w14:textId="77777777" w:rsidR="00AA7A2B" w:rsidRPr="00CA1E2C" w:rsidRDefault="00AA7A2B" w:rsidP="0074140F">
            <w:pPr>
              <w:pStyle w:val="TableText"/>
              <w:rPr>
                <w:color w:val="FFFFFF" w:themeColor="background1"/>
                <w:szCs w:val="22"/>
              </w:rPr>
            </w:pPr>
            <w:r w:rsidRPr="00CA1E2C">
              <w:rPr>
                <w:rFonts w:ascii="Calibri" w:hAnsi="Calibri"/>
                <w:b w:val="0"/>
                <w:color w:val="FFFFFF" w:themeColor="background1"/>
                <w:szCs w:val="22"/>
              </w:rPr>
              <w:t>Bureau of Meteorology</w:t>
            </w:r>
          </w:p>
        </w:tc>
        <w:tc>
          <w:tcPr>
            <w:tcW w:w="3697" w:type="pct"/>
          </w:tcPr>
          <w:p w14:paraId="1D75107A" w14:textId="06ECC4DD" w:rsidR="00AA7A2B" w:rsidRPr="00CA1E2C" w:rsidRDefault="008D6DA4" w:rsidP="00972728">
            <w:pPr>
              <w:jc w:val="left"/>
              <w:cnfStyle w:val="000000000000" w:firstRow="0" w:lastRow="0" w:firstColumn="0" w:lastColumn="0" w:oddVBand="0" w:evenVBand="0" w:oddHBand="0" w:evenHBand="0" w:firstRowFirstColumn="0" w:firstRowLastColumn="0" w:lastRowFirstColumn="0" w:lastRowLastColumn="0"/>
            </w:pPr>
            <w:r w:rsidRPr="00CA1E2C">
              <w:t xml:space="preserve">Space weather plays an important role in SSA through orbital perturbations and hazardous radiation events. The Bureau is a member of the Agency's national coordination and steering group for SSA activities.  </w:t>
            </w:r>
          </w:p>
        </w:tc>
      </w:tr>
      <w:tr w:rsidR="00AA7A2B" w:rsidRPr="00CA1E2C" w14:paraId="695BFFE9" w14:textId="77777777" w:rsidTr="007414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0CEC5CD6" w14:textId="77777777" w:rsidR="00AA7A2B" w:rsidRPr="008D6DA4" w:rsidRDefault="00AA7A2B" w:rsidP="0074140F">
            <w:pPr>
              <w:pStyle w:val="TableText"/>
              <w:rPr>
                <w:b w:val="0"/>
                <w:color w:val="FFFFFF" w:themeColor="background1"/>
                <w:szCs w:val="22"/>
              </w:rPr>
            </w:pPr>
            <w:r w:rsidRPr="008D6DA4">
              <w:rPr>
                <w:b w:val="0"/>
                <w:color w:val="FFFFFF" w:themeColor="background1"/>
                <w:szCs w:val="22"/>
              </w:rPr>
              <w:t>CSIRO</w:t>
            </w:r>
          </w:p>
        </w:tc>
        <w:tc>
          <w:tcPr>
            <w:tcW w:w="3697" w:type="pct"/>
          </w:tcPr>
          <w:p w14:paraId="45B197D9" w14:textId="77777777" w:rsidR="00266D03" w:rsidRDefault="00266D03" w:rsidP="00266D03">
            <w:pPr>
              <w:jc w:val="left"/>
              <w:cnfStyle w:val="000000010000" w:firstRow="0" w:lastRow="0" w:firstColumn="0" w:lastColumn="0" w:oddVBand="0" w:evenVBand="0" w:oddHBand="0" w:evenHBand="1" w:firstRowFirstColumn="0" w:firstRowLastColumn="0" w:lastRowFirstColumn="0" w:lastRowLastColumn="0"/>
            </w:pPr>
            <w:r>
              <w:t xml:space="preserve">Combining the capabilities of CDSCC (DSS43) and the ATNF (Australia Telescope Compact Array and Parkes radio telescope), CSIRO is progressing research in asteroid </w:t>
            </w:r>
            <w:proofErr w:type="spellStart"/>
            <w:r>
              <w:t>bistatic</w:t>
            </w:r>
            <w:proofErr w:type="spellEnd"/>
            <w:r>
              <w:t xml:space="preserve"> radar tracking techniques as part of space situational awareness.</w:t>
            </w:r>
          </w:p>
          <w:p w14:paraId="62B23304" w14:textId="536A9510" w:rsidR="00AA7A2B" w:rsidRPr="00CA1E2C" w:rsidRDefault="00266D03" w:rsidP="00266D03">
            <w:pPr>
              <w:jc w:val="left"/>
              <w:cnfStyle w:val="000000010000" w:firstRow="0" w:lastRow="0" w:firstColumn="0" w:lastColumn="0" w:oddVBand="0" w:evenVBand="0" w:oddHBand="0" w:evenHBand="1" w:firstRowFirstColumn="0" w:firstRowLastColumn="0" w:lastRowFirstColumn="0" w:lastRowLastColumn="0"/>
            </w:pPr>
            <w:r>
              <w:t xml:space="preserve">Asteroids emerging from the southern hemisphere, which account for 5 to 10 per cent of all Near Earth Asteroids, are not immediately detectable by the international NASA Near Earth Asteroid (NEA) program. This allows Australia an opportunity to contribute to the NASA NEA program as well as develop new science to assist future space exploration missions. Since 2015, CSIRO in conjunction with NASA’s Jet Propulsion Laboratory (JPL), has successfully detected and tracked seven asteroids (including 2019 GC6 and 2019 EA2) with diameters of 0.02 to 2 km out to ranges of 0.1 to 10 lunar distances using exclusively Australian-based systems. </w:t>
            </w:r>
          </w:p>
        </w:tc>
      </w:tr>
      <w:tr w:rsidR="00AA7A2B" w:rsidRPr="00CA1E2C" w14:paraId="7B7D1F0B" w14:textId="77777777" w:rsidTr="0074140F">
        <w:tc>
          <w:tcPr>
            <w:cnfStyle w:val="001000000000" w:firstRow="0" w:lastRow="0" w:firstColumn="1" w:lastColumn="0" w:oddVBand="0" w:evenVBand="0" w:oddHBand="0" w:evenHBand="0" w:firstRowFirstColumn="0" w:firstRowLastColumn="0" w:lastRowFirstColumn="0" w:lastRowLastColumn="0"/>
            <w:tcW w:w="1303" w:type="pct"/>
          </w:tcPr>
          <w:p w14:paraId="0E1EEBAE" w14:textId="77777777" w:rsidR="00AA7A2B" w:rsidRPr="008A7D08" w:rsidRDefault="00AA7A2B" w:rsidP="0074140F">
            <w:pPr>
              <w:pStyle w:val="TableText"/>
              <w:rPr>
                <w:rFonts w:ascii="Calibri" w:hAnsi="Calibri"/>
                <w:b w:val="0"/>
                <w:color w:val="FFFFFF" w:themeColor="background1"/>
                <w:szCs w:val="22"/>
              </w:rPr>
            </w:pPr>
            <w:r w:rsidRPr="008A7D08">
              <w:rPr>
                <w:rFonts w:ascii="Calibri" w:hAnsi="Calibri"/>
                <w:b w:val="0"/>
                <w:color w:val="FFFFFF" w:themeColor="background1"/>
                <w:szCs w:val="22"/>
              </w:rPr>
              <w:t>Department of Defence</w:t>
            </w:r>
          </w:p>
        </w:tc>
        <w:tc>
          <w:tcPr>
            <w:tcW w:w="3697" w:type="pct"/>
          </w:tcPr>
          <w:p w14:paraId="100E2BBF" w14:textId="77777777" w:rsidR="008D6DA4" w:rsidRPr="00CA1E2C" w:rsidRDefault="008D6DA4" w:rsidP="008D6DA4">
            <w:pPr>
              <w:jc w:val="left"/>
              <w:cnfStyle w:val="000000000000" w:firstRow="0" w:lastRow="0" w:firstColumn="0" w:lastColumn="0" w:oddVBand="0" w:evenVBand="0" w:oddHBand="0" w:evenHBand="0" w:firstRowFirstColumn="0" w:firstRowLastColumn="0" w:lastRowFirstColumn="0" w:lastRowLastColumn="0"/>
            </w:pPr>
            <w:r w:rsidRPr="00CA1E2C">
              <w:t>The Department of Defence contributes to efforts to better understand the space environment and help ensure the security of space-based assets. This includes strengthening Defence’s space situational awareness capabilities and working with the US to jointly operate military space surveillance systems in Australia.</w:t>
            </w:r>
          </w:p>
          <w:p w14:paraId="0AB0F251" w14:textId="77777777" w:rsidR="008D6DA4" w:rsidRPr="00CA1E2C" w:rsidRDefault="008D6DA4" w:rsidP="008D6DA4">
            <w:pPr>
              <w:jc w:val="left"/>
              <w:cnfStyle w:val="000000000000" w:firstRow="0" w:lastRow="0" w:firstColumn="0" w:lastColumn="0" w:oddVBand="0" w:evenVBand="0" w:oddHBand="0" w:evenHBand="0" w:firstRowFirstColumn="0" w:firstRowLastColumn="0" w:lastRowFirstColumn="0" w:lastRowLastColumn="0"/>
            </w:pPr>
            <w:r w:rsidRPr="00CA1E2C">
              <w:t xml:space="preserve">Defence and the US have jointly established a C-band space surveillance radar at the Harold E. Holt Naval Communications Station near Exmouth in Western Australia, and are working to relocate a US-owned optical Space Surveillance Telescope to Australia. Installation of the Telescope commenced in January 2019 and the associated facilities project to house the telescope is expected to be completed in 2019. Both assets will be operated by Australia. The radar and telescope will increase Defence’s capability to detect and track objects in space, including space debris, and predict and avoid potential collisions. </w:t>
            </w:r>
          </w:p>
          <w:p w14:paraId="414CBC2E" w14:textId="24B01365" w:rsidR="008D6DA4" w:rsidRPr="00CA1E2C" w:rsidRDefault="008D6DA4" w:rsidP="008D6DA4">
            <w:pPr>
              <w:jc w:val="left"/>
              <w:cnfStyle w:val="000000000000" w:firstRow="0" w:lastRow="0" w:firstColumn="0" w:lastColumn="0" w:oddVBand="0" w:evenVBand="0" w:oddHBand="0" w:evenHBand="0" w:firstRowFirstColumn="0" w:firstRowLastColumn="0" w:lastRowFirstColumn="0" w:lastRowLastColumn="0"/>
            </w:pPr>
            <w:r w:rsidRPr="00CA1E2C">
              <w:t>Existing infrastructure at the Harold E. Holt Communications Facility will b</w:t>
            </w:r>
            <w:r w:rsidR="00680E71">
              <w:t>e upgraded over the decade to</w:t>
            </w:r>
            <w:r w:rsidRPr="00CA1E2C">
              <w:t xml:space="preserve"> 2025-26, including infrastructure upgrades to support the operation of the Space Surveillance Telescope.</w:t>
            </w:r>
          </w:p>
          <w:p w14:paraId="53443A4B" w14:textId="4C0DB811" w:rsidR="00AA7A2B" w:rsidRPr="008A7D08" w:rsidRDefault="008D6DA4" w:rsidP="00680E71">
            <w:pPr>
              <w:jc w:val="left"/>
              <w:cnfStyle w:val="000000000000" w:firstRow="0" w:lastRow="0" w:firstColumn="0" w:lastColumn="0" w:oddVBand="0" w:evenVBand="0" w:oddHBand="0" w:evenHBand="0" w:firstRowFirstColumn="0" w:firstRowLastColumn="0" w:lastRowFirstColumn="0" w:lastRowLastColumn="0"/>
            </w:pPr>
            <w:r w:rsidRPr="00CA1E2C">
              <w:t xml:space="preserve">Defence is working with industry partners on the development of </w:t>
            </w:r>
            <w:r w:rsidR="001D2A0C" w:rsidRPr="001D2A0C">
              <w:t>sovereign controlled space surveillance</w:t>
            </w:r>
            <w:r w:rsidRPr="00CA1E2C">
              <w:t xml:space="preserve"> capabilities, including both space-based and ground-based systems. </w:t>
            </w:r>
            <w:r w:rsidRPr="00CA1E2C">
              <w:rPr>
                <w:bCs/>
              </w:rPr>
              <w:t>The R</w:t>
            </w:r>
            <w:r w:rsidR="00680E71">
              <w:rPr>
                <w:bCs/>
              </w:rPr>
              <w:t>AAF has engaged with Australian i</w:t>
            </w:r>
            <w:r w:rsidRPr="00CA1E2C">
              <w:rPr>
                <w:bCs/>
              </w:rPr>
              <w:t xml:space="preserve">ndustry and academic partners to identify sovereign space surveillance capabilities </w:t>
            </w:r>
            <w:r w:rsidRPr="00CA1E2C">
              <w:rPr>
                <w:bCs/>
              </w:rPr>
              <w:lastRenderedPageBreak/>
              <w:t xml:space="preserve">through the DST-led Space Fest Technology Demonstration and a request for information (RFI) through </w:t>
            </w:r>
            <w:proofErr w:type="spellStart"/>
            <w:r w:rsidRPr="00CA1E2C">
              <w:rPr>
                <w:bCs/>
              </w:rPr>
              <w:t>AusTender</w:t>
            </w:r>
            <w:proofErr w:type="spellEnd"/>
            <w:r w:rsidRPr="00CA1E2C">
              <w:rPr>
                <w:bCs/>
              </w:rPr>
              <w:t>.</w:t>
            </w:r>
          </w:p>
        </w:tc>
      </w:tr>
      <w:tr w:rsidR="00AA7A2B" w:rsidRPr="00CA1E2C" w14:paraId="5FFF56B2" w14:textId="77777777" w:rsidTr="007414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1299F837" w14:textId="77777777" w:rsidR="00AA7A2B" w:rsidRPr="008A7D08" w:rsidRDefault="00AA7A2B" w:rsidP="0074140F">
            <w:pPr>
              <w:pStyle w:val="TableText"/>
              <w:rPr>
                <w:rFonts w:ascii="Calibri" w:hAnsi="Calibri"/>
                <w:b w:val="0"/>
                <w:color w:val="FFFFFF" w:themeColor="background1"/>
                <w:szCs w:val="22"/>
              </w:rPr>
            </w:pPr>
            <w:r w:rsidRPr="008A7D08">
              <w:rPr>
                <w:rFonts w:ascii="Calibri" w:hAnsi="Calibri"/>
                <w:b w:val="0"/>
                <w:color w:val="FFFFFF" w:themeColor="background1"/>
                <w:szCs w:val="22"/>
              </w:rPr>
              <w:lastRenderedPageBreak/>
              <w:t>Geoscience Australia</w:t>
            </w:r>
          </w:p>
        </w:tc>
        <w:tc>
          <w:tcPr>
            <w:tcW w:w="3697" w:type="pct"/>
          </w:tcPr>
          <w:p w14:paraId="37D420E9" w14:textId="45E3F6D7" w:rsidR="00AA7A2B" w:rsidRPr="00CA1E2C" w:rsidRDefault="008D6DA4" w:rsidP="008D6DA4">
            <w:pPr>
              <w:jc w:val="left"/>
              <w:cnfStyle w:val="000000010000" w:firstRow="0" w:lastRow="0" w:firstColumn="0" w:lastColumn="0" w:oddVBand="0" w:evenVBand="0" w:oddHBand="0" w:evenHBand="1" w:firstRowFirstColumn="0" w:firstRowLastColumn="0" w:lastRowFirstColumn="0" w:lastRowLastColumn="0"/>
            </w:pPr>
            <w:r w:rsidRPr="00CA1E2C">
              <w:t xml:space="preserve">GA operates the national Satellite Laser Ranging (SLR) Network with stations at Mount Stromlo (ACT) and </w:t>
            </w:r>
            <w:proofErr w:type="spellStart"/>
            <w:r w:rsidRPr="00CA1E2C">
              <w:t>Yarragadee</w:t>
            </w:r>
            <w:proofErr w:type="spellEnd"/>
            <w:r w:rsidRPr="00CA1E2C">
              <w:t xml:space="preserve"> (WA) contributing to the International Laser Ranging Service (ILRS).</w:t>
            </w:r>
          </w:p>
        </w:tc>
      </w:tr>
    </w:tbl>
    <w:p w14:paraId="45644B0A" w14:textId="77777777" w:rsidR="00022DA8" w:rsidRPr="00CA1E2C" w:rsidRDefault="00022DA8" w:rsidP="00454F9F"/>
    <w:p w14:paraId="221A9DF4" w14:textId="77777777" w:rsidR="00FB713A" w:rsidRDefault="00FB713A" w:rsidP="00BF5795">
      <w:pPr>
        <w:pStyle w:val="Heading3"/>
      </w:pPr>
      <w:r w:rsidRPr="00CA1E2C">
        <w:t xml:space="preserve">Positioning, Navigation and Timing </w:t>
      </w:r>
    </w:p>
    <w:p w14:paraId="138C40A5" w14:textId="18E733B9" w:rsidR="00481757" w:rsidRPr="00481757" w:rsidRDefault="00481757" w:rsidP="00481757">
      <w:pPr>
        <w:pStyle w:val="TableText"/>
        <w:rPr>
          <w:i/>
        </w:rPr>
      </w:pPr>
      <w:r w:rsidRPr="00481757">
        <w:rPr>
          <w:i/>
        </w:rPr>
        <w:t>Position, navigation and timing (PNT) is critical for many areas of the Australian economy, including agriculture and mining. While Australia does not have its own global navigation satellite system, Australia’s PNT infrastructure needs to be world class to underpin the growth of the broader economy.</w:t>
      </w:r>
    </w:p>
    <w:p w14:paraId="6ADFA0E0" w14:textId="09D20291" w:rsidR="00D55B97" w:rsidRDefault="00481757" w:rsidP="00481757">
      <w:r>
        <w:t>In the 2018-19 Budget, the Australian Government made significant commitments to Australia’s PNT</w:t>
      </w:r>
      <w:r w:rsidR="0096170F">
        <w:t xml:space="preserve"> infrastructure</w:t>
      </w:r>
      <w:r>
        <w:t xml:space="preserve">, delivered through Geoscience Australia. </w:t>
      </w:r>
      <w:r w:rsidR="00D55B97">
        <w:t xml:space="preserve">The </w:t>
      </w:r>
      <w:r w:rsidR="00F76312" w:rsidRPr="005D7667">
        <w:rPr>
          <w:i/>
        </w:rPr>
        <w:t xml:space="preserve">Australian Civil Space </w:t>
      </w:r>
      <w:r w:rsidR="00D55B97" w:rsidRPr="005D7667">
        <w:rPr>
          <w:i/>
        </w:rPr>
        <w:t>Strategy</w:t>
      </w:r>
      <w:r w:rsidR="00D55B97">
        <w:t xml:space="preserve"> identifies this Priority Area as part of Phase 1 (2018-19)</w:t>
      </w:r>
      <w:r w:rsidR="002477E4">
        <w:t xml:space="preserve"> as setting the conditions for growth.</w:t>
      </w:r>
    </w:p>
    <w:p w14:paraId="738F5C31" w14:textId="3CFA9D36" w:rsidR="00B049A5" w:rsidRDefault="00B049A5" w:rsidP="00B049A5">
      <w:pPr>
        <w:pStyle w:val="Caption"/>
      </w:pPr>
      <w:bookmarkStart w:id="43" w:name="_Toc40946023"/>
      <w:r>
        <w:t xml:space="preserve">Table </w:t>
      </w:r>
      <w:r>
        <w:fldChar w:fldCharType="begin"/>
      </w:r>
      <w:r>
        <w:instrText xml:space="preserve"> SEQ Table \* ARABIC </w:instrText>
      </w:r>
      <w:r>
        <w:fldChar w:fldCharType="separate"/>
      </w:r>
      <w:r w:rsidR="00C35904">
        <w:rPr>
          <w:noProof/>
        </w:rPr>
        <w:t>5</w:t>
      </w:r>
      <w:r>
        <w:fldChar w:fldCharType="end"/>
      </w:r>
      <w:r>
        <w:t xml:space="preserve"> – SCC </w:t>
      </w:r>
      <w:r w:rsidR="000D2439">
        <w:t>p</w:t>
      </w:r>
      <w:r>
        <w:t>osition, navigation and timing activities</w:t>
      </w:r>
      <w:bookmarkEnd w:id="43"/>
      <w:r>
        <w:t xml:space="preserve"> </w:t>
      </w:r>
    </w:p>
    <w:tbl>
      <w:tblPr>
        <w:tblStyle w:val="ASATable"/>
        <w:tblW w:w="4958" w:type="pct"/>
        <w:tblInd w:w="2" w:type="dxa"/>
        <w:tblLook w:val="04A0" w:firstRow="1" w:lastRow="0" w:firstColumn="1" w:lastColumn="0" w:noHBand="0" w:noVBand="1"/>
        <w:tblCaption w:val="Table 5 – SCC position, navigation and timing activities "/>
      </w:tblPr>
      <w:tblGrid>
        <w:gridCol w:w="2547"/>
        <w:gridCol w:w="7228"/>
      </w:tblGrid>
      <w:tr w:rsidR="00481757" w:rsidRPr="00CA1E2C" w14:paraId="16975D59" w14:textId="77777777" w:rsidTr="0074140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303" w:type="pct"/>
          </w:tcPr>
          <w:p w14:paraId="7B2BFECA" w14:textId="77777777" w:rsidR="00481757" w:rsidRPr="00CA1E2C" w:rsidRDefault="00481757" w:rsidP="0074140F">
            <w:pPr>
              <w:pStyle w:val="TableHeading"/>
              <w:rPr>
                <w:b/>
                <w:color w:val="FFFFFF" w:themeColor="background1"/>
                <w:szCs w:val="22"/>
              </w:rPr>
            </w:pPr>
            <w:r w:rsidRPr="00CA1E2C">
              <w:rPr>
                <w:b/>
                <w:color w:val="FFFFFF" w:themeColor="background1"/>
                <w:szCs w:val="22"/>
              </w:rPr>
              <w:t>Organisation</w:t>
            </w:r>
          </w:p>
        </w:tc>
        <w:tc>
          <w:tcPr>
            <w:tcW w:w="3697" w:type="pct"/>
          </w:tcPr>
          <w:p w14:paraId="61DA8118" w14:textId="77777777" w:rsidR="00481757" w:rsidRPr="00CA1E2C" w:rsidRDefault="00481757" w:rsidP="0074140F">
            <w:pPr>
              <w:pStyle w:val="TableHeading"/>
              <w:jc w:val="left"/>
              <w:cnfStyle w:val="100000000000" w:firstRow="1" w:lastRow="0" w:firstColumn="0" w:lastColumn="0" w:oddVBand="0" w:evenVBand="0" w:oddHBand="0" w:evenHBand="0" w:firstRowFirstColumn="0" w:firstRowLastColumn="0" w:lastRowFirstColumn="0" w:lastRowLastColumn="0"/>
            </w:pPr>
            <w:r w:rsidRPr="00CA1E2C">
              <w:t>Summary of activity</w:t>
            </w:r>
          </w:p>
        </w:tc>
      </w:tr>
      <w:tr w:rsidR="00481757" w:rsidRPr="00CA1E2C" w14:paraId="409D0CFA" w14:textId="77777777" w:rsidTr="0074140F">
        <w:tc>
          <w:tcPr>
            <w:cnfStyle w:val="001000000000" w:firstRow="0" w:lastRow="0" w:firstColumn="1" w:lastColumn="0" w:oddVBand="0" w:evenVBand="0" w:oddHBand="0" w:evenHBand="0" w:firstRowFirstColumn="0" w:firstRowLastColumn="0" w:lastRowFirstColumn="0" w:lastRowLastColumn="0"/>
            <w:tcW w:w="1303" w:type="pct"/>
          </w:tcPr>
          <w:p w14:paraId="07AB1EFE" w14:textId="77777777" w:rsidR="00481757" w:rsidRPr="00CA1E2C" w:rsidRDefault="00481757" w:rsidP="0074140F">
            <w:pPr>
              <w:pStyle w:val="TableText"/>
              <w:rPr>
                <w:color w:val="FFFFFF" w:themeColor="background1"/>
                <w:szCs w:val="22"/>
              </w:rPr>
            </w:pPr>
            <w:r w:rsidRPr="00CA1E2C">
              <w:rPr>
                <w:rFonts w:ascii="Calibri" w:hAnsi="Calibri"/>
                <w:b w:val="0"/>
                <w:color w:val="FFFFFF" w:themeColor="background1"/>
                <w:szCs w:val="22"/>
              </w:rPr>
              <w:t>Bureau of Meteorology</w:t>
            </w:r>
          </w:p>
        </w:tc>
        <w:tc>
          <w:tcPr>
            <w:tcW w:w="3697" w:type="pct"/>
          </w:tcPr>
          <w:p w14:paraId="4AD0A028" w14:textId="3FF3BF30" w:rsidR="00481757" w:rsidRPr="00CA1E2C" w:rsidRDefault="00AE2F9D" w:rsidP="00AE2F9D">
            <w:pPr>
              <w:jc w:val="left"/>
              <w:cnfStyle w:val="000000000000" w:firstRow="0" w:lastRow="0" w:firstColumn="0" w:lastColumn="0" w:oddVBand="0" w:evenVBand="0" w:oddHBand="0" w:evenHBand="0" w:firstRowFirstColumn="0" w:firstRowLastColumn="0" w:lastRowFirstColumn="0" w:lastRowLastColumn="0"/>
            </w:pPr>
            <w:r w:rsidRPr="00AE2F9D">
              <w:t>The Bureau and GA collaborate on the use of real-time GPS data. GA receive, process and deliver the data in real time to the Bureau, where it's used in the Australian Community Climate and Earth-System Simulator (ACCESS) modelling suite. The ACCESS models deliver meteorological products that underpin the Bureau's forecast and warning services. The delays in GPS signals can be used to derive atmospheric moisture observations which improve forecasting skill.</w:t>
            </w:r>
          </w:p>
        </w:tc>
      </w:tr>
      <w:tr w:rsidR="00481757" w:rsidRPr="00CA1E2C" w14:paraId="799FA3BD" w14:textId="77777777" w:rsidTr="007414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4A90A7BB" w14:textId="77777777" w:rsidR="00481757" w:rsidRPr="008A7D08" w:rsidRDefault="00481757" w:rsidP="0074140F">
            <w:pPr>
              <w:pStyle w:val="TableText"/>
              <w:rPr>
                <w:rFonts w:ascii="Calibri" w:hAnsi="Calibri"/>
                <w:b w:val="0"/>
                <w:color w:val="FFFFFF" w:themeColor="background1"/>
                <w:szCs w:val="22"/>
              </w:rPr>
            </w:pPr>
            <w:r w:rsidRPr="008A7D08">
              <w:rPr>
                <w:rFonts w:ascii="Calibri" w:hAnsi="Calibri"/>
                <w:b w:val="0"/>
                <w:color w:val="FFFFFF" w:themeColor="background1"/>
                <w:szCs w:val="22"/>
              </w:rPr>
              <w:t>Department</w:t>
            </w:r>
            <w:r>
              <w:rPr>
                <w:rFonts w:ascii="Calibri" w:hAnsi="Calibri"/>
                <w:b w:val="0"/>
                <w:color w:val="FFFFFF" w:themeColor="background1"/>
                <w:szCs w:val="22"/>
              </w:rPr>
              <w:t xml:space="preserve"> of Communications and the Arts</w:t>
            </w:r>
          </w:p>
        </w:tc>
        <w:tc>
          <w:tcPr>
            <w:tcW w:w="3697" w:type="pct"/>
          </w:tcPr>
          <w:p w14:paraId="2A7F8860" w14:textId="76A5501D" w:rsidR="00C87602" w:rsidRPr="00CA1E2C" w:rsidRDefault="00C87602" w:rsidP="00C87602">
            <w:pPr>
              <w:jc w:val="left"/>
              <w:cnfStyle w:val="000000010000" w:firstRow="0" w:lastRow="0" w:firstColumn="0" w:lastColumn="0" w:oddVBand="0" w:evenVBand="0" w:oddHBand="0" w:evenHBand="1" w:firstRowFirstColumn="0" w:firstRowLastColumn="0" w:lastRowFirstColumn="0" w:lastRowLastColumn="0"/>
            </w:pPr>
            <w:r>
              <w:t xml:space="preserve">Under consideration at </w:t>
            </w:r>
            <w:r w:rsidRPr="00C87602">
              <w:t>WRC-19</w:t>
            </w:r>
            <w:r>
              <w:t xml:space="preserve"> are a</w:t>
            </w:r>
            <w:r w:rsidRPr="00C87602">
              <w:t xml:space="preserve"> number of treaty changes related to communication systems used for aeronautical and maritime navigation, and telemetry, tracking and command for satellites. </w:t>
            </w:r>
            <w:proofErr w:type="spellStart"/>
            <w:r w:rsidRPr="00C87602">
              <w:t>D</w:t>
            </w:r>
            <w:r>
              <w:t>oCA</w:t>
            </w:r>
            <w:proofErr w:type="spellEnd"/>
            <w:r w:rsidRPr="00C87602">
              <w:t xml:space="preserve"> le</w:t>
            </w:r>
            <w:r>
              <w:t>a</w:t>
            </w:r>
            <w:r w:rsidRPr="00C87602">
              <w:t>d</w:t>
            </w:r>
            <w:r>
              <w:t>s</w:t>
            </w:r>
            <w:r w:rsidRPr="00C87602">
              <w:t xml:space="preserve"> Australia’s delegation and </w:t>
            </w:r>
            <w:r>
              <w:t xml:space="preserve">has </w:t>
            </w:r>
            <w:r w:rsidRPr="00C87602">
              <w:t>advocated on behalf of Australian interests throughout negotiations in the four year cycle leading up to WRC-19 (held October - November 2019).</w:t>
            </w:r>
          </w:p>
        </w:tc>
      </w:tr>
      <w:tr w:rsidR="00481757" w:rsidRPr="00CA1E2C" w14:paraId="1AF2387D" w14:textId="77777777" w:rsidTr="0074140F">
        <w:tc>
          <w:tcPr>
            <w:cnfStyle w:val="001000000000" w:firstRow="0" w:lastRow="0" w:firstColumn="1" w:lastColumn="0" w:oddVBand="0" w:evenVBand="0" w:oddHBand="0" w:evenHBand="0" w:firstRowFirstColumn="0" w:firstRowLastColumn="0" w:lastRowFirstColumn="0" w:lastRowLastColumn="0"/>
            <w:tcW w:w="1303" w:type="pct"/>
          </w:tcPr>
          <w:p w14:paraId="7C5973D5" w14:textId="77777777" w:rsidR="00481757" w:rsidRPr="008A7D08" w:rsidRDefault="00481757" w:rsidP="0074140F">
            <w:pPr>
              <w:pStyle w:val="TableText"/>
              <w:rPr>
                <w:rFonts w:ascii="Calibri" w:hAnsi="Calibri"/>
                <w:b w:val="0"/>
                <w:color w:val="FFFFFF" w:themeColor="background1"/>
                <w:szCs w:val="22"/>
              </w:rPr>
            </w:pPr>
            <w:r w:rsidRPr="008A7D08">
              <w:rPr>
                <w:rFonts w:ascii="Calibri" w:hAnsi="Calibri"/>
                <w:b w:val="0"/>
                <w:color w:val="FFFFFF" w:themeColor="background1"/>
                <w:szCs w:val="22"/>
              </w:rPr>
              <w:t>Department of Defence</w:t>
            </w:r>
          </w:p>
        </w:tc>
        <w:tc>
          <w:tcPr>
            <w:tcW w:w="3697" w:type="pct"/>
          </w:tcPr>
          <w:p w14:paraId="6B1DD678" w14:textId="77777777" w:rsidR="00474119" w:rsidRPr="00CA1E2C" w:rsidRDefault="00474119" w:rsidP="00474119">
            <w:pPr>
              <w:jc w:val="left"/>
              <w:cnfStyle w:val="000000000000" w:firstRow="0" w:lastRow="0" w:firstColumn="0" w:lastColumn="0" w:oddVBand="0" w:evenVBand="0" w:oddHBand="0" w:evenHBand="0" w:firstRowFirstColumn="0" w:firstRowLastColumn="0" w:lastRowFirstColumn="0" w:lastRowLastColumn="0"/>
            </w:pPr>
            <w:r w:rsidRPr="00CA1E2C">
              <w:t xml:space="preserve">The Department of Defence continues to monitor the US GPS Modernisation program, and will begin transitioning to modernised GPS equipment when new services are made available. The Department of Defence supports a GPS monitoring station in South Australia and is assisting in the installation of a second monitoring station in Western Australia. </w:t>
            </w:r>
          </w:p>
          <w:p w14:paraId="0EBD9B0F" w14:textId="6132991C" w:rsidR="00481757" w:rsidRPr="008A7D08" w:rsidRDefault="00474119" w:rsidP="00474119">
            <w:pPr>
              <w:jc w:val="left"/>
              <w:cnfStyle w:val="000000000000" w:firstRow="0" w:lastRow="0" w:firstColumn="0" w:lastColumn="0" w:oddVBand="0" w:evenVBand="0" w:oddHBand="0" w:evenHBand="0" w:firstRowFirstColumn="0" w:firstRowLastColumn="0" w:lastRowFirstColumn="0" w:lastRowLastColumn="0"/>
            </w:pPr>
            <w:r w:rsidRPr="00CA1E2C">
              <w:t xml:space="preserve">Project JP 9380 is in the strategy and concepts development phase and aims to deliver enduring assured PNT to the </w:t>
            </w:r>
            <w:r>
              <w:t>ADF</w:t>
            </w:r>
            <w:r w:rsidRPr="00CA1E2C">
              <w:t xml:space="preserve"> through the acquisition of both space based and terrestrial technologies.  </w:t>
            </w:r>
          </w:p>
        </w:tc>
      </w:tr>
      <w:tr w:rsidR="00481757" w:rsidRPr="00CA1E2C" w14:paraId="733133AD" w14:textId="77777777" w:rsidTr="007414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596DC310" w14:textId="67B7CA7C" w:rsidR="00481757" w:rsidRPr="008A7D08" w:rsidRDefault="00474119" w:rsidP="0074140F">
            <w:pPr>
              <w:pStyle w:val="TableText"/>
              <w:rPr>
                <w:rFonts w:ascii="Calibri" w:hAnsi="Calibri"/>
                <w:b w:val="0"/>
                <w:color w:val="FFFFFF" w:themeColor="background1"/>
                <w:szCs w:val="22"/>
              </w:rPr>
            </w:pPr>
            <w:r>
              <w:rPr>
                <w:rFonts w:ascii="Calibri" w:hAnsi="Calibri"/>
                <w:b w:val="0"/>
                <w:color w:val="FFFFFF" w:themeColor="background1"/>
                <w:szCs w:val="22"/>
              </w:rPr>
              <w:t>Department of Infrastructure, Regional Development and Cities</w:t>
            </w:r>
          </w:p>
        </w:tc>
        <w:tc>
          <w:tcPr>
            <w:tcW w:w="3697" w:type="pct"/>
          </w:tcPr>
          <w:p w14:paraId="1902756F" w14:textId="1726D554" w:rsidR="00474119" w:rsidRPr="00CA1E2C" w:rsidRDefault="00474119" w:rsidP="00474119">
            <w:pPr>
              <w:jc w:val="left"/>
              <w:cnfStyle w:val="000000010000" w:firstRow="0" w:lastRow="0" w:firstColumn="0" w:lastColumn="0" w:oddVBand="0" w:evenVBand="0" w:oddHBand="0" w:evenHBand="1" w:firstRowFirstColumn="0" w:firstRowLastColumn="0" w:lastRowFirstColumn="0" w:lastRowLastColumn="0"/>
            </w:pPr>
            <w:proofErr w:type="spellStart"/>
            <w:r w:rsidRPr="00CA1E2C">
              <w:t>Airservices</w:t>
            </w:r>
            <w:proofErr w:type="spellEnd"/>
            <w:r w:rsidRPr="00CA1E2C">
              <w:t xml:space="preserve"> Australia utilises </w:t>
            </w:r>
            <w:r w:rsidR="00193508">
              <w:t>Global Navigation Satellite System (GNSS)</w:t>
            </w:r>
            <w:r w:rsidRPr="00CA1E2C">
              <w:t xml:space="preserve"> information for </w:t>
            </w:r>
            <w:proofErr w:type="spellStart"/>
            <w:r w:rsidRPr="00CA1E2C">
              <w:t>en</w:t>
            </w:r>
            <w:proofErr w:type="spellEnd"/>
            <w:r>
              <w:t>-</w:t>
            </w:r>
            <w:r w:rsidRPr="00CA1E2C">
              <w:t>route, terminal, approach and landing navigation. This includes the Ground-Based Augmentation System (GBAS) in Melbourne and Sydney and the future deployment of the</w:t>
            </w:r>
            <w:r w:rsidR="00193508">
              <w:t xml:space="preserve"> Satellite Based Augmentation System (</w:t>
            </w:r>
            <w:r w:rsidR="009B1394">
              <w:t>SBAS</w:t>
            </w:r>
            <w:r w:rsidR="00193508">
              <w:t>)</w:t>
            </w:r>
            <w:r w:rsidRPr="00CA1E2C">
              <w:t xml:space="preserve">. </w:t>
            </w:r>
            <w:proofErr w:type="spellStart"/>
            <w:r w:rsidRPr="00CA1E2C">
              <w:t>Airservices</w:t>
            </w:r>
            <w:proofErr w:type="spellEnd"/>
            <w:r w:rsidRPr="00CA1E2C">
              <w:t xml:space="preserve"> is working with </w:t>
            </w:r>
            <w:r w:rsidR="003A497C">
              <w:t>GA</w:t>
            </w:r>
            <w:r w:rsidRPr="00CA1E2C">
              <w:t xml:space="preserve"> on the d</w:t>
            </w:r>
            <w:r w:rsidRPr="00CA1E2C">
              <w:rPr>
                <w:bCs/>
              </w:rPr>
              <w:t>evelopment of the SBAS to support aviation certified L1 service, with an expected in service date of 2023.</w:t>
            </w:r>
          </w:p>
          <w:p w14:paraId="11D69913" w14:textId="67B808A4" w:rsidR="00474119" w:rsidRPr="00CA1E2C" w:rsidRDefault="00474119" w:rsidP="00474119">
            <w:pPr>
              <w:jc w:val="left"/>
              <w:cnfStyle w:val="000000010000" w:firstRow="0" w:lastRow="0" w:firstColumn="0" w:lastColumn="0" w:oddVBand="0" w:evenVBand="0" w:oddHBand="0" w:evenHBand="1" w:firstRowFirstColumn="0" w:firstRowLastColumn="0" w:lastRowFirstColumn="0" w:lastRowLastColumn="0"/>
            </w:pPr>
            <w:proofErr w:type="spellStart"/>
            <w:r w:rsidRPr="00CA1E2C">
              <w:lastRenderedPageBreak/>
              <w:t>Airservices</w:t>
            </w:r>
            <w:proofErr w:type="spellEnd"/>
            <w:r w:rsidRPr="00CA1E2C">
              <w:t xml:space="preserve"> also uses GNSS for surveillance (Automatic dependent surveillance – Broadcast (ADS-B) and Contract (ADS-C)) and prec</w:t>
            </w:r>
            <w:r>
              <w:t>ise timing for system synchronis</w:t>
            </w:r>
            <w:r w:rsidRPr="00CA1E2C">
              <w:t xml:space="preserve">ation in communications, surveillance and processing. </w:t>
            </w:r>
          </w:p>
          <w:p w14:paraId="2967D5E0" w14:textId="3E99C518" w:rsidR="00474119" w:rsidRDefault="00474119" w:rsidP="00474119">
            <w:pPr>
              <w:jc w:val="left"/>
              <w:cnfStyle w:val="000000010000" w:firstRow="0" w:lastRow="0" w:firstColumn="0" w:lastColumn="0" w:oddVBand="0" w:evenVBand="0" w:oddHBand="0" w:evenHBand="1" w:firstRowFirstColumn="0" w:firstRowLastColumn="0" w:lastRowFirstColumn="0" w:lastRowLastColumn="0"/>
              <w:rPr>
                <w:szCs w:val="22"/>
              </w:rPr>
            </w:pPr>
            <w:r>
              <w:rPr>
                <w:szCs w:val="22"/>
              </w:rPr>
              <w:t>CASA recognis</w:t>
            </w:r>
            <w:r w:rsidRPr="00CA1E2C">
              <w:rPr>
                <w:szCs w:val="22"/>
              </w:rPr>
              <w:t xml:space="preserve">es that the transition toward satellite-based technology aligns with the International Civil Aviation Organisation </w:t>
            </w:r>
            <w:r w:rsidR="00753F2A">
              <w:rPr>
                <w:szCs w:val="22"/>
              </w:rPr>
              <w:t xml:space="preserve">(ICAO) </w:t>
            </w:r>
            <w:r w:rsidRPr="00CA1E2C">
              <w:rPr>
                <w:szCs w:val="22"/>
              </w:rPr>
              <w:t xml:space="preserve">agenda to achieve performance-based navigation using accurate positioning information and to enhance arrival and departure procedures at airports. Satellite based capabilities will provide accurate 3D position information to enable reduced separation standards and improve navigation accuracy to reduce the potential for controlled flight into terrain. </w:t>
            </w:r>
          </w:p>
          <w:p w14:paraId="62E12ABB" w14:textId="15F9166D" w:rsidR="00481757" w:rsidRPr="00CA1E2C" w:rsidRDefault="00474119" w:rsidP="00FF3CDC">
            <w:pPr>
              <w:jc w:val="left"/>
              <w:cnfStyle w:val="000000010000" w:firstRow="0" w:lastRow="0" w:firstColumn="0" w:lastColumn="0" w:oddVBand="0" w:evenVBand="0" w:oddHBand="0" w:evenHBand="1" w:firstRowFirstColumn="0" w:firstRowLastColumn="0" w:lastRowFirstColumn="0" w:lastRowLastColumn="0"/>
            </w:pPr>
            <w:r w:rsidRPr="00CA1E2C">
              <w:rPr>
                <w:szCs w:val="22"/>
              </w:rPr>
              <w:t>Accurate positioning information will be critical to future drone operations where self-separation and autonomous flight will be required to enable multiple users to operate safely in the same airspace. This will also apply to the operation of future V</w:t>
            </w:r>
            <w:r w:rsidR="00FF3CDC">
              <w:rPr>
                <w:szCs w:val="22"/>
              </w:rPr>
              <w:t xml:space="preserve">ertical </w:t>
            </w:r>
            <w:r w:rsidRPr="00CA1E2C">
              <w:rPr>
                <w:szCs w:val="22"/>
              </w:rPr>
              <w:t>T</w:t>
            </w:r>
            <w:r w:rsidR="00FF3CDC">
              <w:rPr>
                <w:szCs w:val="22"/>
              </w:rPr>
              <w:t>ake Off and Landing (VT</w:t>
            </w:r>
            <w:r w:rsidRPr="00CA1E2C">
              <w:rPr>
                <w:szCs w:val="22"/>
              </w:rPr>
              <w:t>OL</w:t>
            </w:r>
            <w:r w:rsidR="00FF3CDC">
              <w:rPr>
                <w:szCs w:val="22"/>
              </w:rPr>
              <w:t xml:space="preserve">) aircraft like the proposed </w:t>
            </w:r>
            <w:r w:rsidR="0096170F">
              <w:rPr>
                <w:szCs w:val="22"/>
              </w:rPr>
              <w:t>‘</w:t>
            </w:r>
            <w:r w:rsidRPr="00CA1E2C">
              <w:rPr>
                <w:szCs w:val="22"/>
              </w:rPr>
              <w:t xml:space="preserve">Uber </w:t>
            </w:r>
            <w:r w:rsidR="0096170F">
              <w:rPr>
                <w:szCs w:val="22"/>
              </w:rPr>
              <w:t>E</w:t>
            </w:r>
            <w:r w:rsidRPr="00CA1E2C">
              <w:rPr>
                <w:szCs w:val="22"/>
              </w:rPr>
              <w:t>levate</w:t>
            </w:r>
            <w:r w:rsidR="0096170F">
              <w:rPr>
                <w:szCs w:val="22"/>
              </w:rPr>
              <w:t>’</w:t>
            </w:r>
            <w:r w:rsidRPr="00CA1E2C">
              <w:rPr>
                <w:szCs w:val="22"/>
              </w:rPr>
              <w:t xml:space="preserve"> </w:t>
            </w:r>
            <w:r w:rsidR="00FF3CDC">
              <w:rPr>
                <w:szCs w:val="22"/>
              </w:rPr>
              <w:t>vehicles</w:t>
            </w:r>
            <w:r w:rsidRPr="00CA1E2C">
              <w:rPr>
                <w:szCs w:val="22"/>
              </w:rPr>
              <w:t xml:space="preserve"> where self-separ</w:t>
            </w:r>
            <w:r>
              <w:rPr>
                <w:szCs w:val="22"/>
              </w:rPr>
              <w:t>ation, artificial i</w:t>
            </w:r>
            <w:r w:rsidRPr="00CA1E2C">
              <w:rPr>
                <w:szCs w:val="22"/>
              </w:rPr>
              <w:t>ntelligence and autonomous flight will be enabled. SBAS will enable a poor weather 3D approach at every airport in Australia without significant aircraft equipage or ground infrastructure.</w:t>
            </w:r>
          </w:p>
        </w:tc>
      </w:tr>
      <w:tr w:rsidR="00481757" w:rsidRPr="00CA1E2C" w14:paraId="2AF954CD" w14:textId="77777777" w:rsidTr="0074140F">
        <w:tc>
          <w:tcPr>
            <w:cnfStyle w:val="001000000000" w:firstRow="0" w:lastRow="0" w:firstColumn="1" w:lastColumn="0" w:oddVBand="0" w:evenVBand="0" w:oddHBand="0" w:evenHBand="0" w:firstRowFirstColumn="0" w:firstRowLastColumn="0" w:lastRowFirstColumn="0" w:lastRowLastColumn="0"/>
            <w:tcW w:w="1303" w:type="pct"/>
          </w:tcPr>
          <w:p w14:paraId="41987BB1" w14:textId="77777777" w:rsidR="00481757" w:rsidRPr="008A7D08" w:rsidRDefault="00481757" w:rsidP="0074140F">
            <w:pPr>
              <w:pStyle w:val="TableText"/>
              <w:rPr>
                <w:rFonts w:ascii="Calibri" w:hAnsi="Calibri"/>
                <w:b w:val="0"/>
                <w:color w:val="FFFFFF" w:themeColor="background1"/>
                <w:szCs w:val="22"/>
              </w:rPr>
            </w:pPr>
            <w:r w:rsidRPr="008A7D08">
              <w:rPr>
                <w:rFonts w:ascii="Calibri" w:hAnsi="Calibri"/>
                <w:b w:val="0"/>
                <w:color w:val="FFFFFF" w:themeColor="background1"/>
                <w:szCs w:val="22"/>
              </w:rPr>
              <w:lastRenderedPageBreak/>
              <w:t>Geoscience Australia</w:t>
            </w:r>
          </w:p>
        </w:tc>
        <w:tc>
          <w:tcPr>
            <w:tcW w:w="3697" w:type="pct"/>
          </w:tcPr>
          <w:p w14:paraId="67509D9F" w14:textId="5FD82925" w:rsidR="00474119" w:rsidRPr="00CA1E2C" w:rsidRDefault="00474119" w:rsidP="00474119">
            <w:pPr>
              <w:jc w:val="left"/>
              <w:cnfStyle w:val="000000000000" w:firstRow="0" w:lastRow="0" w:firstColumn="0" w:lastColumn="0" w:oddVBand="0" w:evenVBand="0" w:oddHBand="0" w:evenHBand="0" w:firstRowFirstColumn="0" w:firstRowLastColumn="0" w:lastRowFirstColumn="0" w:lastRowLastColumn="0"/>
              <w:rPr>
                <w:szCs w:val="22"/>
              </w:rPr>
            </w:pPr>
            <w:r w:rsidRPr="00CA1E2C">
              <w:rPr>
                <w:szCs w:val="22"/>
              </w:rPr>
              <w:t>GA is implementing the National Positioning Infrastructure Capability (NPIC) and the Australian SBAS.</w:t>
            </w:r>
          </w:p>
          <w:p w14:paraId="1ABBBD1F" w14:textId="6D5566FA" w:rsidR="00474119" w:rsidRPr="00CA1E2C" w:rsidRDefault="00474119" w:rsidP="00474119">
            <w:pPr>
              <w:jc w:val="left"/>
              <w:cnfStyle w:val="000000000000" w:firstRow="0" w:lastRow="0" w:firstColumn="0" w:lastColumn="0" w:oddVBand="0" w:evenVBand="0" w:oddHBand="0" w:evenHBand="0" w:firstRowFirstColumn="0" w:firstRowLastColumn="0" w:lastRowFirstColumn="0" w:lastRowLastColumn="0"/>
            </w:pPr>
            <w:r w:rsidRPr="00CA1E2C">
              <w:t xml:space="preserve">In the 2018-19 Budget, GA received funding commitments for two satellite positioning measures, Better GPS for Australian business and Better GPS for regional Australia. Together, these projects will deliver the </w:t>
            </w:r>
            <w:r>
              <w:t>NPIC, and SBAS</w:t>
            </w:r>
            <w:r w:rsidRPr="00CA1E2C">
              <w:t>, to improve the accuracy, reliability and availability of positioning data from GPS and other satellite navigation systems.</w:t>
            </w:r>
          </w:p>
          <w:p w14:paraId="2F53185E" w14:textId="087F6784" w:rsidR="00474119" w:rsidRPr="00CA1E2C" w:rsidRDefault="00474119" w:rsidP="00474119">
            <w:pPr>
              <w:jc w:val="left"/>
              <w:cnfStyle w:val="000000000000" w:firstRow="0" w:lastRow="0" w:firstColumn="0" w:lastColumn="0" w:oddVBand="0" w:evenVBand="0" w:oddHBand="0" w:evenHBand="0" w:firstRowFirstColumn="0" w:firstRowLastColumn="0" w:lastRowFirstColumn="0" w:lastRowLastColumn="0"/>
            </w:pPr>
            <w:r w:rsidRPr="00CA1E2C">
              <w:t xml:space="preserve">$160 million was allocated to deliver </w:t>
            </w:r>
            <w:r>
              <w:t>SBAS</w:t>
            </w:r>
            <w:r w:rsidRPr="00CA1E2C">
              <w:t xml:space="preserve"> to provide positioning capability to an accuracy of 10</w:t>
            </w:r>
            <w:r>
              <w:t xml:space="preserve"> </w:t>
            </w:r>
            <w:r w:rsidRPr="00CA1E2C">
              <w:t xml:space="preserve">cm across all of Australia, with ground-breaking applications in agriculture, mining and other industries. GA began the planning and design work for procurement of the system components for SBAS, which will include a satellite and ground infrastructure, and data analysis capabilities. </w:t>
            </w:r>
          </w:p>
          <w:p w14:paraId="21DA9A47" w14:textId="182E035B" w:rsidR="00474119" w:rsidRPr="00CA1E2C" w:rsidRDefault="00474119" w:rsidP="00474119">
            <w:pPr>
              <w:jc w:val="left"/>
              <w:cnfStyle w:val="000000000000" w:firstRow="0" w:lastRow="0" w:firstColumn="0" w:lastColumn="0" w:oddVBand="0" w:evenVBand="0" w:oddHBand="0" w:evenHBand="0" w:firstRowFirstColumn="0" w:firstRowLastColumn="0" w:lastRowFirstColumn="0" w:lastRowLastColumn="0"/>
              <w:rPr>
                <w:szCs w:val="22"/>
              </w:rPr>
            </w:pPr>
            <w:r w:rsidRPr="00CA1E2C">
              <w:t>GA has</w:t>
            </w:r>
            <w:r w:rsidRPr="00CA1E2C">
              <w:rPr>
                <w:szCs w:val="22"/>
              </w:rPr>
              <w:t xml:space="preserve"> completed a trial of SBAS in partnership with the New Zealand Government’s Land Information New Zealand (LINZ). The SBAS trial involved more than 30 organisations across ten industry sectors, and has assessed the economic and social benefits of improved satellite positioning technology. The benefits analysis is available at </w:t>
            </w:r>
            <w:hyperlink r:id="rId26" w:tooltip="https://frontiersi.com.au/project/satellite-based-augmentation-system-test-bed/" w:history="1">
              <w:r w:rsidRPr="00CA1E2C">
                <w:rPr>
                  <w:rStyle w:val="Hyperlink"/>
                </w:rPr>
                <w:t>https://frontiersi.com.au/project/satellite-based-augmentation-system-test-bed/</w:t>
              </w:r>
            </w:hyperlink>
            <w:r w:rsidRPr="00CA1E2C">
              <w:rPr>
                <w:szCs w:val="22"/>
              </w:rPr>
              <w:t>.</w:t>
            </w:r>
          </w:p>
          <w:p w14:paraId="5A5D5E3F" w14:textId="38CA53D1" w:rsidR="00474119" w:rsidRPr="00CA1E2C" w:rsidRDefault="00474119" w:rsidP="00474119">
            <w:pPr>
              <w:jc w:val="left"/>
              <w:cnfStyle w:val="000000000000" w:firstRow="0" w:lastRow="0" w:firstColumn="0" w:lastColumn="0" w:oddVBand="0" w:evenVBand="0" w:oddHBand="0" w:evenHBand="0" w:firstRowFirstColumn="0" w:firstRowLastColumn="0" w:lastRowFirstColumn="0" w:lastRowLastColumn="0"/>
            </w:pPr>
            <w:r w:rsidRPr="00CA1E2C">
              <w:t xml:space="preserve">GA also received $64 million for </w:t>
            </w:r>
            <w:r w:rsidR="006A2B74">
              <w:t>NPIC</w:t>
            </w:r>
            <w:r w:rsidRPr="00CA1E2C">
              <w:t xml:space="preserve"> that will drive productivity and innovation in a number of industries, including transport, agriculture, mining and construction by providing more accurate GPS data. GA commenced the upgrade of its national network of ground stations as part of the NPIC. The network will eventually comprise 200 ground stations across the Australian continent.</w:t>
            </w:r>
          </w:p>
          <w:p w14:paraId="11CE1B48" w14:textId="3BB582C2" w:rsidR="00481757" w:rsidRPr="00CA1E2C" w:rsidRDefault="00474119" w:rsidP="00474119">
            <w:pPr>
              <w:jc w:val="left"/>
              <w:cnfStyle w:val="000000000000" w:firstRow="0" w:lastRow="0" w:firstColumn="0" w:lastColumn="0" w:oddVBand="0" w:evenVBand="0" w:oddHBand="0" w:evenHBand="0" w:firstRowFirstColumn="0" w:firstRowLastColumn="0" w:lastRowFirstColumn="0" w:lastRowLastColumn="0"/>
            </w:pPr>
            <w:r w:rsidRPr="00CA1E2C">
              <w:t xml:space="preserve">GA operates the national SLR Network with stations at Mount Stromlo (ACT) and </w:t>
            </w:r>
            <w:proofErr w:type="spellStart"/>
            <w:r w:rsidRPr="00CA1E2C">
              <w:t>Yarragadee</w:t>
            </w:r>
            <w:proofErr w:type="spellEnd"/>
            <w:r w:rsidRPr="00CA1E2C">
              <w:t xml:space="preserve"> (WA) contributing to the International Laser Ranging Service (ILRS). In partnership with the University of Tasmania, GA also operates the national Very Long Baseline Interferometry (VBLI) array with stations at </w:t>
            </w:r>
            <w:r w:rsidR="00B049A5">
              <w:lastRenderedPageBreak/>
              <w:t>Hobart (</w:t>
            </w:r>
            <w:proofErr w:type="spellStart"/>
            <w:r w:rsidR="00B049A5">
              <w:t>Tas</w:t>
            </w:r>
            <w:proofErr w:type="spellEnd"/>
            <w:r w:rsidRPr="00CA1E2C">
              <w:t xml:space="preserve">), </w:t>
            </w:r>
            <w:proofErr w:type="spellStart"/>
            <w:r w:rsidRPr="00CA1E2C">
              <w:t>Yarragadee</w:t>
            </w:r>
            <w:proofErr w:type="spellEnd"/>
            <w:r w:rsidRPr="00CA1E2C">
              <w:t xml:space="preserve"> (WA) and Katherine (NT) contributing to the Internationa</w:t>
            </w:r>
            <w:r>
              <w:t>l VLBI Service (IVS).</w:t>
            </w:r>
          </w:p>
        </w:tc>
      </w:tr>
    </w:tbl>
    <w:p w14:paraId="3E300960" w14:textId="77777777" w:rsidR="00481757" w:rsidRDefault="00481757" w:rsidP="00DD6424"/>
    <w:p w14:paraId="48A5C418" w14:textId="77777777" w:rsidR="00C9654A" w:rsidRDefault="00C9654A" w:rsidP="002D4345">
      <w:pPr>
        <w:pStyle w:val="Heading3"/>
      </w:pPr>
      <w:r w:rsidRPr="00CA1E2C">
        <w:t>Earth Observation Services</w:t>
      </w:r>
    </w:p>
    <w:p w14:paraId="61ADD283" w14:textId="1A87571E" w:rsidR="00AA7A2B" w:rsidRPr="00972CF6" w:rsidRDefault="006F400E" w:rsidP="00972CF6">
      <w:pPr>
        <w:pStyle w:val="TableText"/>
        <w:rPr>
          <w:i/>
        </w:rPr>
      </w:pPr>
      <w:r w:rsidRPr="00972CF6">
        <w:rPr>
          <w:i/>
        </w:rPr>
        <w:t>Earth observation (EO) has untapped potential to grow Australia’s economy, for example, by improving agricultural monitoring, water management, and monitoring shipping routes. Through Geoscience Austr</w:t>
      </w:r>
      <w:r w:rsidR="00972CF6">
        <w:rPr>
          <w:i/>
        </w:rPr>
        <w:t>alia’</w:t>
      </w:r>
      <w:r w:rsidRPr="00972CF6">
        <w:rPr>
          <w:i/>
        </w:rPr>
        <w:t xml:space="preserve">s Digital Earth Australia (DEA) initiative, Australia is world-leading in this field. Australia will continue to focus on and develop this priority area to grow Australia’s broader economy. </w:t>
      </w:r>
    </w:p>
    <w:p w14:paraId="7754C69E" w14:textId="0354BB48" w:rsidR="002D4345" w:rsidRDefault="00C872C3" w:rsidP="006624F2">
      <w:r>
        <w:t xml:space="preserve">In the 2018-19 Budget, the Australian </w:t>
      </w:r>
      <w:r w:rsidR="003962FC">
        <w:t xml:space="preserve">Government made commitments to </w:t>
      </w:r>
      <w:r>
        <w:t xml:space="preserve">DEA, delivered through </w:t>
      </w:r>
      <w:r w:rsidR="003A497C">
        <w:t>GA</w:t>
      </w:r>
      <w:r>
        <w:t xml:space="preserve">. The </w:t>
      </w:r>
      <w:r w:rsidR="00F76312" w:rsidRPr="005D7667">
        <w:rPr>
          <w:i/>
        </w:rPr>
        <w:t xml:space="preserve">Australian Civil Space </w:t>
      </w:r>
      <w:r w:rsidRPr="005D7667">
        <w:rPr>
          <w:i/>
        </w:rPr>
        <w:t>Strategy</w:t>
      </w:r>
      <w:r>
        <w:t xml:space="preserve"> identifies this Priority Area as part of Phase 1 (2018-19) as setting the conditions for growth.</w:t>
      </w:r>
    </w:p>
    <w:p w14:paraId="3D6612C3" w14:textId="13B2E792" w:rsidR="00B049A5" w:rsidRDefault="00B049A5" w:rsidP="00B049A5">
      <w:pPr>
        <w:pStyle w:val="Caption"/>
      </w:pPr>
      <w:bookmarkStart w:id="44" w:name="_Toc40946024"/>
      <w:r>
        <w:t xml:space="preserve">Table </w:t>
      </w:r>
      <w:r>
        <w:fldChar w:fldCharType="begin"/>
      </w:r>
      <w:r>
        <w:instrText xml:space="preserve"> SEQ Table \* ARABIC </w:instrText>
      </w:r>
      <w:r>
        <w:fldChar w:fldCharType="separate"/>
      </w:r>
      <w:r w:rsidR="00C35904">
        <w:rPr>
          <w:noProof/>
        </w:rPr>
        <w:t>6</w:t>
      </w:r>
      <w:r>
        <w:fldChar w:fldCharType="end"/>
      </w:r>
      <w:r>
        <w:t xml:space="preserve"> – SCC </w:t>
      </w:r>
      <w:r w:rsidR="00D545A2">
        <w:t>E</w:t>
      </w:r>
      <w:r>
        <w:t>arth observation activities</w:t>
      </w:r>
      <w:bookmarkEnd w:id="44"/>
    </w:p>
    <w:tbl>
      <w:tblPr>
        <w:tblStyle w:val="ASATable"/>
        <w:tblW w:w="4958" w:type="pct"/>
        <w:tblInd w:w="2" w:type="dxa"/>
        <w:tblLook w:val="04A0" w:firstRow="1" w:lastRow="0" w:firstColumn="1" w:lastColumn="0" w:noHBand="0" w:noVBand="1"/>
        <w:tblCaption w:val="Table 6 – SCC Earth observation activities"/>
      </w:tblPr>
      <w:tblGrid>
        <w:gridCol w:w="2547"/>
        <w:gridCol w:w="7228"/>
      </w:tblGrid>
      <w:tr w:rsidR="00AA7A2B" w:rsidRPr="00CA1E2C" w14:paraId="095EF506" w14:textId="77777777" w:rsidTr="0074140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303" w:type="pct"/>
          </w:tcPr>
          <w:p w14:paraId="00056CB8" w14:textId="77777777" w:rsidR="00AA7A2B" w:rsidRPr="00CA1E2C" w:rsidRDefault="00AA7A2B" w:rsidP="0074140F">
            <w:pPr>
              <w:pStyle w:val="TableHeading"/>
              <w:rPr>
                <w:b/>
                <w:color w:val="FFFFFF" w:themeColor="background1"/>
                <w:szCs w:val="22"/>
              </w:rPr>
            </w:pPr>
            <w:r w:rsidRPr="00CA1E2C">
              <w:rPr>
                <w:b/>
                <w:color w:val="FFFFFF" w:themeColor="background1"/>
                <w:szCs w:val="22"/>
              </w:rPr>
              <w:t>Organisation</w:t>
            </w:r>
          </w:p>
        </w:tc>
        <w:tc>
          <w:tcPr>
            <w:tcW w:w="3697" w:type="pct"/>
          </w:tcPr>
          <w:p w14:paraId="6B287009" w14:textId="77777777" w:rsidR="00AA7A2B" w:rsidRPr="00CA1E2C" w:rsidRDefault="00AA7A2B" w:rsidP="0074140F">
            <w:pPr>
              <w:pStyle w:val="TableHeading"/>
              <w:jc w:val="left"/>
              <w:cnfStyle w:val="100000000000" w:firstRow="1" w:lastRow="0" w:firstColumn="0" w:lastColumn="0" w:oddVBand="0" w:evenVBand="0" w:oddHBand="0" w:evenHBand="0" w:firstRowFirstColumn="0" w:firstRowLastColumn="0" w:lastRowFirstColumn="0" w:lastRowLastColumn="0"/>
            </w:pPr>
            <w:r w:rsidRPr="00CA1E2C">
              <w:t>Summary of activity</w:t>
            </w:r>
          </w:p>
        </w:tc>
      </w:tr>
      <w:tr w:rsidR="00AA7A2B" w:rsidRPr="00CA1E2C" w14:paraId="19359551" w14:textId="77777777" w:rsidTr="0074140F">
        <w:tc>
          <w:tcPr>
            <w:cnfStyle w:val="001000000000" w:firstRow="0" w:lastRow="0" w:firstColumn="1" w:lastColumn="0" w:oddVBand="0" w:evenVBand="0" w:oddHBand="0" w:evenHBand="0" w:firstRowFirstColumn="0" w:firstRowLastColumn="0" w:lastRowFirstColumn="0" w:lastRowLastColumn="0"/>
            <w:tcW w:w="1303" w:type="pct"/>
          </w:tcPr>
          <w:p w14:paraId="7184800D" w14:textId="77777777" w:rsidR="00AA7A2B" w:rsidRPr="00CA1E2C" w:rsidRDefault="00AA7A2B" w:rsidP="0074140F">
            <w:pPr>
              <w:pStyle w:val="TableText"/>
              <w:rPr>
                <w:color w:val="FFFFFF" w:themeColor="background1"/>
                <w:szCs w:val="22"/>
              </w:rPr>
            </w:pPr>
            <w:r w:rsidRPr="00CA1E2C">
              <w:rPr>
                <w:rFonts w:ascii="Calibri" w:hAnsi="Calibri"/>
                <w:b w:val="0"/>
                <w:color w:val="FFFFFF" w:themeColor="background1"/>
                <w:szCs w:val="22"/>
              </w:rPr>
              <w:t>Bureau of Meteorology</w:t>
            </w:r>
          </w:p>
        </w:tc>
        <w:tc>
          <w:tcPr>
            <w:tcW w:w="3697" w:type="pct"/>
          </w:tcPr>
          <w:p w14:paraId="4289E3BB" w14:textId="77777777" w:rsidR="00AE2F9D" w:rsidRDefault="00AE2F9D" w:rsidP="00AE2F9D">
            <w:pPr>
              <w:jc w:val="left"/>
              <w:cnfStyle w:val="000000000000" w:firstRow="0" w:lastRow="0" w:firstColumn="0" w:lastColumn="0" w:oddVBand="0" w:evenVBand="0" w:oddHBand="0" w:evenHBand="0" w:firstRowFirstColumn="0" w:firstRowLastColumn="0" w:lastRowFirstColumn="0" w:lastRowLastColumn="0"/>
            </w:pPr>
            <w:r>
              <w:t>The Bureau’s weather, climate, ocean and water services are underpinned by Earth observation satellites. The ACCESS models assimilate real-time data from more than 20 different satellite sensors. Space based observations are a crucial input for the data assimilation modules of the ACCESS weather and seasonal prediction models as well as ocean forecast models. The lead time for the prediction of weather events is critically dependent on satellite observations.</w:t>
            </w:r>
          </w:p>
          <w:p w14:paraId="3EF24A7C" w14:textId="77777777" w:rsidR="00AE2F9D" w:rsidRDefault="00AE2F9D" w:rsidP="00AE2F9D">
            <w:pPr>
              <w:jc w:val="left"/>
              <w:cnfStyle w:val="000000000000" w:firstRow="0" w:lastRow="0" w:firstColumn="0" w:lastColumn="0" w:oddVBand="0" w:evenVBand="0" w:oddHBand="0" w:evenHBand="0" w:firstRowFirstColumn="0" w:firstRowLastColumn="0" w:lastRowFirstColumn="0" w:lastRowLastColumn="0"/>
            </w:pPr>
            <w:r>
              <w:t>The Bureau generates several Earth Observation-derived products, including Atmospheric Motion Vectors (AMVs), fog and low cloud, solar radiation, volcanic ash, and sea surface.</w:t>
            </w:r>
          </w:p>
          <w:p w14:paraId="702050CF" w14:textId="77777777" w:rsidR="00AE2F9D" w:rsidRDefault="00AE2F9D" w:rsidP="00AE2F9D">
            <w:pPr>
              <w:jc w:val="left"/>
              <w:cnfStyle w:val="000000000000" w:firstRow="0" w:lastRow="0" w:firstColumn="0" w:lastColumn="0" w:oddVBand="0" w:evenVBand="0" w:oddHBand="0" w:evenHBand="0" w:firstRowFirstColumn="0" w:firstRowLastColumn="0" w:lastRowFirstColumn="0" w:lastRowLastColumn="0"/>
            </w:pPr>
            <w:r>
              <w:t>The Bureau also coordinates the Asia Pacific Regional ‘ATOVS’ Retransmission Service (AP-RARS). These operational arrangements provide other national weather prediction centres with satellite data received at direct reception facilities in Australia, New Zealand, Antarctica, Japan, China, Singapore and Korea, within 30 minutes of the observation.</w:t>
            </w:r>
          </w:p>
          <w:p w14:paraId="22C90645" w14:textId="77777777" w:rsidR="00AE2F9D" w:rsidRDefault="00AE2F9D" w:rsidP="00AE2F9D">
            <w:pPr>
              <w:jc w:val="left"/>
              <w:cnfStyle w:val="000000000000" w:firstRow="0" w:lastRow="0" w:firstColumn="0" w:lastColumn="0" w:oddVBand="0" w:evenVBand="0" w:oddHBand="0" w:evenHBand="0" w:firstRowFirstColumn="0" w:firstRowLastColumn="0" w:lastRowFirstColumn="0" w:lastRowLastColumn="0"/>
            </w:pPr>
            <w:r>
              <w:t xml:space="preserve">The Bureau is an Associate Member of CEOS, as it has significant interest in the use of Earth observation data for meteorological, environmental and climate applications. </w:t>
            </w:r>
          </w:p>
          <w:p w14:paraId="53A96C32" w14:textId="77777777" w:rsidR="00AE2F9D" w:rsidRDefault="00AE2F9D" w:rsidP="00AE2F9D">
            <w:pPr>
              <w:jc w:val="left"/>
              <w:cnfStyle w:val="000000000000" w:firstRow="0" w:lastRow="0" w:firstColumn="0" w:lastColumn="0" w:oddVBand="0" w:evenVBand="0" w:oddHBand="0" w:evenHBand="0" w:firstRowFirstColumn="0" w:firstRowLastColumn="0" w:lastRowFirstColumn="0" w:lastRowLastColumn="0"/>
            </w:pPr>
            <w:r>
              <w:t>The Bureau’s Space Weather Services (SWS) operates a World Data Centre, the WDC – Space Weather, Australia, which is a member of the International Council for Science World Data System (ICSU-WDS).</w:t>
            </w:r>
          </w:p>
          <w:p w14:paraId="0331667E" w14:textId="574E4C3C" w:rsidR="00D25527" w:rsidRPr="009A204F" w:rsidRDefault="00D25527" w:rsidP="00D25527">
            <w:pPr>
              <w:jc w:val="left"/>
              <w:cnfStyle w:val="000000000000" w:firstRow="0" w:lastRow="0" w:firstColumn="0" w:lastColumn="0" w:oddVBand="0" w:evenVBand="0" w:oddHBand="0" w:evenHBand="0" w:firstRowFirstColumn="0" w:firstRowLastColumn="0" w:lastRowFirstColumn="0" w:lastRowLastColumn="0"/>
              <w:rPr>
                <w:rFonts w:cstheme="minorHAnsi"/>
                <w:szCs w:val="22"/>
              </w:rPr>
            </w:pPr>
            <w:r w:rsidRPr="00CA1E2C">
              <w:t>The Bureau-operated COSMIC-2 ground station became operational in May 2019, providing downlink and command-and-control services in support of the US-Taiwan constellation. The COSMIC-2 (Formosat-7) satellite constellation was launched on 25 June, 2019.</w:t>
            </w:r>
          </w:p>
        </w:tc>
      </w:tr>
      <w:tr w:rsidR="00AA7A2B" w:rsidRPr="00CA1E2C" w14:paraId="67839E6E" w14:textId="77777777" w:rsidTr="007414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37ADF7FB" w14:textId="77777777" w:rsidR="00AA7A2B" w:rsidRPr="00481757" w:rsidRDefault="00AA7A2B" w:rsidP="0074140F">
            <w:pPr>
              <w:pStyle w:val="TableText"/>
              <w:rPr>
                <w:b w:val="0"/>
                <w:color w:val="FFFFFF" w:themeColor="background1"/>
                <w:szCs w:val="22"/>
              </w:rPr>
            </w:pPr>
            <w:r w:rsidRPr="00481757">
              <w:rPr>
                <w:b w:val="0"/>
                <w:color w:val="FFFFFF" w:themeColor="background1"/>
                <w:szCs w:val="22"/>
              </w:rPr>
              <w:t>CSIRO</w:t>
            </w:r>
          </w:p>
        </w:tc>
        <w:tc>
          <w:tcPr>
            <w:tcW w:w="3697" w:type="pct"/>
          </w:tcPr>
          <w:p w14:paraId="58F1EB42" w14:textId="77777777" w:rsidR="006624F2" w:rsidRPr="00CA1E2C" w:rsidRDefault="006624F2" w:rsidP="007C1786">
            <w:pPr>
              <w:jc w:val="left"/>
              <w:cnfStyle w:val="000000010000" w:firstRow="0" w:lastRow="0" w:firstColumn="0" w:lastColumn="0" w:oddVBand="0" w:evenVBand="0" w:oddHBand="0" w:evenHBand="1" w:firstRowFirstColumn="0" w:firstRowLastColumn="0" w:lastRowFirstColumn="0" w:lastRowLastColumn="0"/>
            </w:pPr>
            <w:r w:rsidRPr="00CA1E2C">
              <w:t>2018 saw the formal establishment of the CASS Space Research Program incorporating the CSIRO Centre for Earth Observation (CCEO). The CCEO supports the following CSIRO activities in Earth observation science:</w:t>
            </w:r>
          </w:p>
          <w:p w14:paraId="53DB1C24" w14:textId="68952666" w:rsidR="006624F2" w:rsidRPr="00CA1E2C" w:rsidRDefault="006624F2" w:rsidP="009A204F">
            <w:pPr>
              <w:pStyle w:val="ListBullet"/>
              <w:jc w:val="left"/>
              <w:cnfStyle w:val="000000010000" w:firstRow="0" w:lastRow="0" w:firstColumn="0" w:lastColumn="0" w:oddVBand="0" w:evenVBand="0" w:oddHBand="0" w:evenHBand="1" w:firstRowFirstColumn="0" w:firstRowLastColumn="0" w:lastRowFirstColumn="0" w:lastRowLastColumn="0"/>
            </w:pPr>
            <w:r w:rsidRPr="00CA1E2C">
              <w:t xml:space="preserve">Coordinating delivery of underpinning </w:t>
            </w:r>
            <w:r w:rsidR="009A204F">
              <w:t>EO</w:t>
            </w:r>
            <w:r w:rsidRPr="00CA1E2C">
              <w:t xml:space="preserve"> science, including a satellite data quality assurance and calibration and validation work program, and </w:t>
            </w:r>
            <w:r w:rsidRPr="00CA1E2C">
              <w:lastRenderedPageBreak/>
              <w:t>Earth observation informatics expertise for the management of petabyte-scale EOS datasets and support of sophisticated time-series analysis tools, web-services, model-data fusion and model-data assimilation science and applications projects.</w:t>
            </w:r>
          </w:p>
          <w:p w14:paraId="17D370C4" w14:textId="77777777" w:rsidR="006624F2" w:rsidRPr="00CA1E2C" w:rsidRDefault="006624F2" w:rsidP="009A204F">
            <w:pPr>
              <w:pStyle w:val="ListBullet"/>
              <w:jc w:val="left"/>
              <w:cnfStyle w:val="000000010000" w:firstRow="0" w:lastRow="0" w:firstColumn="0" w:lastColumn="0" w:oddVBand="0" w:evenVBand="0" w:oddHBand="0" w:evenHBand="1" w:firstRowFirstColumn="0" w:firstRowLastColumn="0" w:lastRowFirstColumn="0" w:lastRowLastColumn="0"/>
            </w:pPr>
            <w:r w:rsidRPr="00CA1E2C">
              <w:t>Support for inter-agency and international cooperation, providing the primary point of contact on Earth observation matters for CSIRO.</w:t>
            </w:r>
          </w:p>
          <w:p w14:paraId="2599C0F5" w14:textId="4FBF6CB2" w:rsidR="006624F2" w:rsidRPr="00CA1E2C" w:rsidRDefault="006624F2" w:rsidP="009A204F">
            <w:pPr>
              <w:pStyle w:val="ListBullet"/>
              <w:jc w:val="left"/>
              <w:cnfStyle w:val="000000010000" w:firstRow="0" w:lastRow="0" w:firstColumn="0" w:lastColumn="0" w:oddVBand="0" w:evenVBand="0" w:oddHBand="0" w:evenHBand="1" w:firstRowFirstColumn="0" w:firstRowLastColumn="0" w:lastRowFirstColumn="0" w:lastRowLastColumn="0"/>
            </w:pPr>
            <w:r w:rsidRPr="00CA1E2C">
              <w:t xml:space="preserve">Linkages to Earth observation industry and innovative applications development for next generation sensing systems, including oversight of the </w:t>
            </w:r>
            <w:r w:rsidR="002276A2" w:rsidRPr="00CA1E2C">
              <w:rPr>
                <w:rFonts w:cstheme="minorHAnsi"/>
                <w:szCs w:val="22"/>
              </w:rPr>
              <w:t>Defence Materials Technology Centre</w:t>
            </w:r>
            <w:r w:rsidRPr="00CA1E2C">
              <w:t xml:space="preserve"> High Altitude Sensor Systems Program (for which CSIRO provides the Program Leader on secondment).</w:t>
            </w:r>
          </w:p>
          <w:p w14:paraId="168C41DC" w14:textId="77777777" w:rsidR="006624F2" w:rsidRPr="00CA1E2C" w:rsidRDefault="006624F2" w:rsidP="009A204F">
            <w:pPr>
              <w:pStyle w:val="ListBullet"/>
              <w:jc w:val="left"/>
              <w:cnfStyle w:val="000000010000" w:firstRow="0" w:lastRow="0" w:firstColumn="0" w:lastColumn="0" w:oddVBand="0" w:evenVBand="0" w:oddHBand="0" w:evenHBand="1" w:firstRowFirstColumn="0" w:firstRowLastColumn="0" w:lastRowFirstColumn="0" w:lastRowLastColumn="0"/>
            </w:pPr>
            <w:r w:rsidRPr="00CA1E2C">
              <w:t xml:space="preserve">Operations and data management for the Australian capacity share of the UK-operated NovaSAR-1 satellite, which was launched successfully from India in September 2018. The first images from the commissioning phase were released in November 2018, and the satellite is expected to begin operations in FY2019-20. </w:t>
            </w:r>
          </w:p>
          <w:p w14:paraId="1DC75A02" w14:textId="7CD1C49A" w:rsidR="006624F2" w:rsidRPr="00CA1E2C" w:rsidRDefault="00D545A2" w:rsidP="009A204F">
            <w:pPr>
              <w:pStyle w:val="ListBullet"/>
              <w:jc w:val="left"/>
              <w:cnfStyle w:val="000000010000" w:firstRow="0" w:lastRow="0" w:firstColumn="0" w:lastColumn="0" w:oddVBand="0" w:evenVBand="0" w:oddHBand="0" w:evenHBand="1" w:firstRowFirstColumn="0" w:firstRowLastColumn="0" w:lastRowFirstColumn="0" w:lastRowLastColumn="0"/>
            </w:pPr>
            <w:r>
              <w:t>Oversight</w:t>
            </w:r>
            <w:r w:rsidR="006624F2" w:rsidRPr="00CA1E2C">
              <w:t xml:space="preserve"> of the CSIROSat-1 CubeSat project, commenced mid-2018. CSIROSat-1 will </w:t>
            </w:r>
            <w:r>
              <w:t>demonstrate new</w:t>
            </w:r>
            <w:r w:rsidR="006624F2" w:rsidRPr="00CA1E2C">
              <w:t xml:space="preserve"> Earth </w:t>
            </w:r>
            <w:r>
              <w:t>o</w:t>
            </w:r>
            <w:r w:rsidR="006624F2" w:rsidRPr="00CA1E2C">
              <w:t xml:space="preserve">bservation and on-board processing technologies and is being built in collaboration with Australian start-up company </w:t>
            </w:r>
            <w:proofErr w:type="spellStart"/>
            <w:r w:rsidR="006624F2" w:rsidRPr="00CA1E2C">
              <w:t>Inovor</w:t>
            </w:r>
            <w:proofErr w:type="spellEnd"/>
            <w:r w:rsidR="006624F2" w:rsidRPr="00CA1E2C">
              <w:t xml:space="preserve"> Technologies. It will be launched from the International Space Station in 202</w:t>
            </w:r>
            <w:r>
              <w:t>1</w:t>
            </w:r>
            <w:r w:rsidR="006624F2" w:rsidRPr="00CA1E2C">
              <w:t>.</w:t>
            </w:r>
          </w:p>
          <w:p w14:paraId="03D4C457" w14:textId="56D490B5" w:rsidR="006624F2" w:rsidRPr="00CA1E2C" w:rsidRDefault="006624F2" w:rsidP="007C1786">
            <w:pPr>
              <w:jc w:val="left"/>
              <w:cnfStyle w:val="000000010000" w:firstRow="0" w:lastRow="0" w:firstColumn="0" w:lastColumn="0" w:oddVBand="0" w:evenVBand="0" w:oddHBand="0" w:evenHBand="1" w:firstRowFirstColumn="0" w:firstRowLastColumn="0" w:lastRowFirstColumn="0" w:lastRowLastColumn="0"/>
            </w:pPr>
            <w:r w:rsidRPr="00CA1E2C">
              <w:t xml:space="preserve">CSIRO and GA represent Australia and the Agency on key programmatic aspects of international coordination on </w:t>
            </w:r>
            <w:r w:rsidR="002276A2">
              <w:t>the SCC EOS working group</w:t>
            </w:r>
            <w:r w:rsidRPr="00CA1E2C">
              <w:t>.</w:t>
            </w:r>
          </w:p>
          <w:p w14:paraId="147CE745" w14:textId="77777777" w:rsidR="006624F2" w:rsidRPr="00CA1E2C" w:rsidRDefault="006624F2" w:rsidP="007C1786">
            <w:pPr>
              <w:jc w:val="left"/>
              <w:cnfStyle w:val="000000010000" w:firstRow="0" w:lastRow="0" w:firstColumn="0" w:lastColumn="0" w:oddVBand="0" w:evenVBand="0" w:oddHBand="0" w:evenHBand="1" w:firstRowFirstColumn="0" w:firstRowLastColumn="0" w:lastRowFirstColumn="0" w:lastRowLastColumn="0"/>
            </w:pPr>
            <w:r w:rsidRPr="00CA1E2C">
              <w:t xml:space="preserve">CSIRO and GA, working with domestic and international partners, are also establishing multiple new initiatives around furthering the Open Data Cube technology, initiated within Australia, to support the use of new generation meteorological satellites for non-meteorological applications. </w:t>
            </w:r>
          </w:p>
          <w:p w14:paraId="16C0F53F" w14:textId="16B8447C" w:rsidR="006624F2" w:rsidRPr="00CA1E2C" w:rsidRDefault="006624F2" w:rsidP="007C1786">
            <w:pPr>
              <w:jc w:val="left"/>
              <w:cnfStyle w:val="000000010000" w:firstRow="0" w:lastRow="0" w:firstColumn="0" w:lastColumn="0" w:oddVBand="0" w:evenVBand="0" w:oddHBand="0" w:evenHBand="1" w:firstRowFirstColumn="0" w:firstRowLastColumn="0" w:lastRowFirstColumn="0" w:lastRowLastColumn="0"/>
            </w:pPr>
            <w:r w:rsidRPr="00CA1E2C">
              <w:t xml:space="preserve">CSIRO and GA also support the use of Earth observation information for informing progress </w:t>
            </w:r>
            <w:r w:rsidR="009A204F">
              <w:t xml:space="preserve">towards the United Nations </w:t>
            </w:r>
            <w:r w:rsidRPr="00CA1E2C">
              <w:t xml:space="preserve">Sustainable Development Goals. </w:t>
            </w:r>
          </w:p>
          <w:p w14:paraId="038D27B0" w14:textId="77777777" w:rsidR="006624F2" w:rsidRPr="00CA1E2C" w:rsidRDefault="006624F2" w:rsidP="007C1786">
            <w:pPr>
              <w:jc w:val="left"/>
              <w:cnfStyle w:val="000000010000" w:firstRow="0" w:lastRow="0" w:firstColumn="0" w:lastColumn="0" w:oddVBand="0" w:evenVBand="0" w:oddHBand="0" w:evenHBand="1" w:firstRowFirstColumn="0" w:firstRowLastColumn="0" w:lastRowFirstColumn="0" w:lastRowLastColumn="0"/>
            </w:pPr>
            <w:r w:rsidRPr="00CA1E2C">
              <w:t>CSIRO has been assisting the Group on Earth Observations (GEO) with the use of Earth observation data for sustainable development goals, future data architectures, the GEO Land Degradation Neutrality Initiative and the GEOGLAM (Rangelands and Agricultural Crop Monitoring) Flagship.</w:t>
            </w:r>
          </w:p>
          <w:p w14:paraId="59384E72" w14:textId="7EA73AAA" w:rsidR="006624F2" w:rsidRPr="00CA1E2C" w:rsidRDefault="006624F2" w:rsidP="007C1786">
            <w:pPr>
              <w:jc w:val="left"/>
              <w:cnfStyle w:val="000000010000" w:firstRow="0" w:lastRow="0" w:firstColumn="0" w:lastColumn="0" w:oddVBand="0" w:evenVBand="0" w:oddHBand="0" w:evenHBand="1" w:firstRowFirstColumn="0" w:firstRowLastColumn="0" w:lastRowFirstColumn="0" w:lastRowLastColumn="0"/>
            </w:pPr>
            <w:r w:rsidRPr="00CA1E2C">
              <w:t>Regionally, CSIRO is assisting the Vietnam National Satellite Centre and the N</w:t>
            </w:r>
            <w:r w:rsidR="00D545A2">
              <w:t xml:space="preserve">ew Zealand </w:t>
            </w:r>
            <w:r w:rsidRPr="00CA1E2C">
              <w:t>Centre for Space Science Technolog</w:t>
            </w:r>
            <w:r w:rsidR="00D545A2">
              <w:t>y</w:t>
            </w:r>
            <w:r w:rsidRPr="00CA1E2C">
              <w:t xml:space="preserve"> in establish</w:t>
            </w:r>
            <w:r w:rsidR="00D545A2">
              <w:t>ing</w:t>
            </w:r>
            <w:r w:rsidRPr="00CA1E2C">
              <w:t xml:space="preserve"> </w:t>
            </w:r>
            <w:proofErr w:type="spellStart"/>
            <w:r w:rsidRPr="00CA1E2C">
              <w:t>DataCube</w:t>
            </w:r>
            <w:proofErr w:type="spellEnd"/>
            <w:r w:rsidRPr="00CA1E2C">
              <w:t xml:space="preserve"> platforms in these agencies.</w:t>
            </w:r>
          </w:p>
          <w:p w14:paraId="60265E81" w14:textId="77777777" w:rsidR="006624F2" w:rsidRPr="00CA1E2C" w:rsidRDefault="006624F2" w:rsidP="007C1786">
            <w:pPr>
              <w:jc w:val="left"/>
              <w:cnfStyle w:val="000000010000" w:firstRow="0" w:lastRow="0" w:firstColumn="0" w:lastColumn="0" w:oddVBand="0" w:evenVBand="0" w:oddHBand="0" w:evenHBand="1" w:firstRowFirstColumn="0" w:firstRowLastColumn="0" w:lastRowFirstColumn="0" w:lastRowLastColumn="0"/>
            </w:pPr>
            <w:r w:rsidRPr="00CA1E2C">
              <w:t xml:space="preserve">Further enhancements are planned to the regional Copernicus data access and analysis hub, including potential expansion of the regional coverage to the Pacific and additional EOS datasets included beyond the Copernicus </w:t>
            </w:r>
            <w:r w:rsidRPr="00CA1E2C">
              <w:rPr>
                <w:i/>
              </w:rPr>
              <w:t>Sentinel</w:t>
            </w:r>
            <w:r w:rsidRPr="00CA1E2C">
              <w:t xml:space="preserve"> missions.</w:t>
            </w:r>
          </w:p>
          <w:p w14:paraId="3B0454B4" w14:textId="77777777" w:rsidR="006624F2" w:rsidRPr="00CA1E2C" w:rsidRDefault="006624F2" w:rsidP="007C1786">
            <w:pPr>
              <w:jc w:val="left"/>
              <w:cnfStyle w:val="000000010000" w:firstRow="0" w:lastRow="0" w:firstColumn="0" w:lastColumn="0" w:oddVBand="0" w:evenVBand="0" w:oddHBand="0" w:evenHBand="1" w:firstRowFirstColumn="0" w:firstRowLastColumn="0" w:lastRowFirstColumn="0" w:lastRowLastColumn="0"/>
            </w:pPr>
            <w:r w:rsidRPr="00CA1E2C">
              <w:t>CSIRO is supporting the evolution of Earth Observation Australia as a national coordination group fostering cooperation between the Australian Government, industry, research and other groups in the national Earth observation community.</w:t>
            </w:r>
          </w:p>
          <w:p w14:paraId="280F2177" w14:textId="29DBBB3E" w:rsidR="00AA7A2B" w:rsidRPr="00CA1E2C" w:rsidRDefault="006624F2" w:rsidP="007C1786">
            <w:pPr>
              <w:jc w:val="left"/>
              <w:cnfStyle w:val="000000010000" w:firstRow="0" w:lastRow="0" w:firstColumn="0" w:lastColumn="0" w:oddVBand="0" w:evenVBand="0" w:oddHBand="0" w:evenHBand="1" w:firstRowFirstColumn="0" w:firstRowLastColumn="0" w:lastRowFirstColumn="0" w:lastRowLastColumn="0"/>
            </w:pPr>
            <w:r w:rsidRPr="00CA1E2C">
              <w:lastRenderedPageBreak/>
              <w:t>CSIRO, with support from GA, is serving as the Vice-Chair of the CEOS Strategic Implementation Team (SIT) until October 2019. It will act as the SIT Chair from 2020 to 2021. This will include hosting the 2019 meeting of the Strategic Implementation Team, which will bring together space agency leaders and top technical experts from around the world. Through participation in CEOS, CSIRO and GA also support the work of the Group on Earth Observations (GEO).</w:t>
            </w:r>
          </w:p>
        </w:tc>
      </w:tr>
      <w:tr w:rsidR="00AA7A2B" w:rsidRPr="00CA1E2C" w14:paraId="0CC2A30D" w14:textId="77777777" w:rsidTr="0074140F">
        <w:tc>
          <w:tcPr>
            <w:cnfStyle w:val="001000000000" w:firstRow="0" w:lastRow="0" w:firstColumn="1" w:lastColumn="0" w:oddVBand="0" w:evenVBand="0" w:oddHBand="0" w:evenHBand="0" w:firstRowFirstColumn="0" w:firstRowLastColumn="0" w:lastRowFirstColumn="0" w:lastRowLastColumn="0"/>
            <w:tcW w:w="1303" w:type="pct"/>
          </w:tcPr>
          <w:p w14:paraId="3F61D7C0" w14:textId="77777777" w:rsidR="00AA7A2B" w:rsidRPr="008A7D08" w:rsidRDefault="00AA7A2B" w:rsidP="0074140F">
            <w:pPr>
              <w:pStyle w:val="TableText"/>
              <w:rPr>
                <w:rFonts w:ascii="Calibri" w:hAnsi="Calibri"/>
                <w:b w:val="0"/>
                <w:color w:val="FFFFFF" w:themeColor="background1"/>
                <w:szCs w:val="22"/>
              </w:rPr>
            </w:pPr>
            <w:r w:rsidRPr="008A7D08">
              <w:rPr>
                <w:rFonts w:ascii="Calibri" w:hAnsi="Calibri"/>
                <w:b w:val="0"/>
                <w:color w:val="FFFFFF" w:themeColor="background1"/>
                <w:szCs w:val="22"/>
              </w:rPr>
              <w:lastRenderedPageBreak/>
              <w:t>Department</w:t>
            </w:r>
            <w:r>
              <w:rPr>
                <w:rFonts w:ascii="Calibri" w:hAnsi="Calibri"/>
                <w:b w:val="0"/>
                <w:color w:val="FFFFFF" w:themeColor="background1"/>
                <w:szCs w:val="22"/>
              </w:rPr>
              <w:t xml:space="preserve"> of Communications and the Arts</w:t>
            </w:r>
          </w:p>
        </w:tc>
        <w:tc>
          <w:tcPr>
            <w:tcW w:w="3697" w:type="pct"/>
          </w:tcPr>
          <w:p w14:paraId="279EA8E8" w14:textId="61CC2AC5" w:rsidR="001E5E29" w:rsidRPr="00CA1E2C" w:rsidRDefault="006624F2" w:rsidP="001E5E29">
            <w:pPr>
              <w:jc w:val="left"/>
              <w:cnfStyle w:val="000000000000" w:firstRow="0" w:lastRow="0" w:firstColumn="0" w:lastColumn="0" w:oddVBand="0" w:evenVBand="0" w:oddHBand="0" w:evenHBand="0" w:firstRowFirstColumn="0" w:firstRowLastColumn="0" w:lastRowFirstColumn="0" w:lastRowLastColumn="0"/>
            </w:pPr>
            <w:r w:rsidRPr="00CA1E2C">
              <w:t xml:space="preserve">A number of WRC-19 agenda items either affect </w:t>
            </w:r>
            <w:r w:rsidR="009A204F">
              <w:t>EO</w:t>
            </w:r>
            <w:r w:rsidRPr="00CA1E2C">
              <w:t xml:space="preserve"> services directly or conside</w:t>
            </w:r>
            <w:r w:rsidR="001E5E29">
              <w:t>r</w:t>
            </w:r>
            <w:r w:rsidRPr="00CA1E2C">
              <w:t xml:space="preserve"> measures to ensure protection of </w:t>
            </w:r>
            <w:r w:rsidR="009A204F">
              <w:t>EO</w:t>
            </w:r>
            <w:r w:rsidRPr="00CA1E2C">
              <w:t xml:space="preserve"> satellite services from interference, including from potential </w:t>
            </w:r>
            <w:r w:rsidR="001E5E29">
              <w:t xml:space="preserve">deployments of </w:t>
            </w:r>
            <w:r w:rsidRPr="00CA1E2C">
              <w:t>5G mobile broadband.  A new agenda item has been proposed for WRC-23 on space weather sensors.</w:t>
            </w:r>
          </w:p>
        </w:tc>
      </w:tr>
      <w:tr w:rsidR="00AA7A2B" w:rsidRPr="00CA1E2C" w14:paraId="0016D9E5" w14:textId="77777777" w:rsidTr="007414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21F5EA3D" w14:textId="77777777" w:rsidR="00AA7A2B" w:rsidRPr="008A7D08" w:rsidRDefault="00AA7A2B" w:rsidP="0074140F">
            <w:pPr>
              <w:pStyle w:val="TableText"/>
              <w:rPr>
                <w:rFonts w:ascii="Calibri" w:hAnsi="Calibri"/>
                <w:b w:val="0"/>
                <w:color w:val="FFFFFF" w:themeColor="background1"/>
                <w:szCs w:val="22"/>
              </w:rPr>
            </w:pPr>
            <w:r w:rsidRPr="008A7D08">
              <w:rPr>
                <w:rFonts w:ascii="Calibri" w:hAnsi="Calibri"/>
                <w:b w:val="0"/>
                <w:color w:val="FFFFFF" w:themeColor="background1"/>
                <w:szCs w:val="22"/>
              </w:rPr>
              <w:t>Department of Defence</w:t>
            </w:r>
          </w:p>
        </w:tc>
        <w:tc>
          <w:tcPr>
            <w:tcW w:w="3697" w:type="pct"/>
          </w:tcPr>
          <w:p w14:paraId="1A85BAEA" w14:textId="276C910D" w:rsidR="007C1786" w:rsidRPr="00CA1E2C" w:rsidRDefault="007C1786" w:rsidP="007C1786">
            <w:pPr>
              <w:jc w:val="left"/>
              <w:cnfStyle w:val="000000010000" w:firstRow="0" w:lastRow="0" w:firstColumn="0" w:lastColumn="0" w:oddVBand="0" w:evenVBand="0" w:oddHBand="0" w:evenHBand="1" w:firstRowFirstColumn="0" w:firstRowLastColumn="0" w:lastRowFirstColumn="0" w:lastRowLastColumn="0"/>
            </w:pPr>
            <w:r w:rsidRPr="00CA1E2C">
              <w:t xml:space="preserve">The Australian Geospatial-Intelligence Organisation (AGO), within the Department of Defence, is responsible for space-based imagery collection in support of Australian Government national security, foundation data and intelligence requirements. In line with guidance </w:t>
            </w:r>
            <w:r w:rsidR="00872F1E">
              <w:t xml:space="preserve">in </w:t>
            </w:r>
            <w:r w:rsidRPr="00CA1E2C">
              <w:t xml:space="preserve">the 2016 Defence White Paper, AGO has received Government approval to provide an enhanced space-based commercial imagery capability to Defence.  </w:t>
            </w:r>
          </w:p>
          <w:p w14:paraId="17605D3B" w14:textId="20C9EAA2" w:rsidR="007C1786" w:rsidRPr="00CA1E2C" w:rsidRDefault="007C1786" w:rsidP="007C1786">
            <w:pPr>
              <w:jc w:val="left"/>
              <w:cnfStyle w:val="000000010000" w:firstRow="0" w:lastRow="0" w:firstColumn="0" w:lastColumn="0" w:oddVBand="0" w:evenVBand="0" w:oddHBand="0" w:evenHBand="1" w:firstRowFirstColumn="0" w:firstRowLastColumn="0" w:lastRowFirstColumn="0" w:lastRowLastColumn="0"/>
              <w:rPr>
                <w:rFonts w:eastAsiaTheme="minorHAnsi"/>
                <w:color w:val="000000"/>
                <w:sz w:val="20"/>
              </w:rPr>
            </w:pPr>
            <w:r w:rsidRPr="00CA1E2C">
              <w:t xml:space="preserve">In 2018, Defence Project DEF799 Phase 1 (DEF799-1) - Enhanced Commercial Access commenced construction. Managed by the AGO, this project improves Australia’s ability to collect imagery of priority areas through direct access to commercial satellites. </w:t>
            </w:r>
            <w:r w:rsidRPr="00CA1E2C">
              <w:rPr>
                <w:color w:val="000000"/>
              </w:rPr>
              <w:t>The project will</w:t>
            </w:r>
            <w:r w:rsidRPr="00CA1E2C">
              <w:t xml:space="preserve">:  </w:t>
            </w:r>
          </w:p>
          <w:p w14:paraId="66E55914" w14:textId="77777777" w:rsidR="007C1786" w:rsidRPr="009A204F" w:rsidRDefault="007C1786" w:rsidP="009A204F">
            <w:pPr>
              <w:pStyle w:val="ListBullet"/>
              <w:jc w:val="left"/>
              <w:cnfStyle w:val="000000010000" w:firstRow="0" w:lastRow="0" w:firstColumn="0" w:lastColumn="0" w:oddVBand="0" w:evenVBand="0" w:oddHBand="0" w:evenHBand="1" w:firstRowFirstColumn="0" w:firstRowLastColumn="0" w:lastRowFirstColumn="0" w:lastRowLastColumn="0"/>
            </w:pPr>
            <w:r w:rsidRPr="00CA1E2C">
              <w:t>construct a Direct Tasking and Receipt Facility (DTRF) at RAAF Base Edinburgh to task commercial satellites and receive imagery;</w:t>
            </w:r>
          </w:p>
          <w:p w14:paraId="07973A66" w14:textId="7D3B11AE" w:rsidR="007C1786" w:rsidRPr="00CA1E2C" w:rsidRDefault="007C1786" w:rsidP="009A204F">
            <w:pPr>
              <w:pStyle w:val="ListBullet"/>
              <w:jc w:val="left"/>
              <w:cnfStyle w:val="000000010000" w:firstRow="0" w:lastRow="0" w:firstColumn="0" w:lastColumn="0" w:oddVBand="0" w:evenVBand="0" w:oddHBand="0" w:evenHBand="1" w:firstRowFirstColumn="0" w:firstRowLastColumn="0" w:lastRowFirstColumn="0" w:lastRowLastColumn="0"/>
            </w:pPr>
            <w:r w:rsidRPr="00CA1E2C">
              <w:t>establish contractual arrangements with commercial providers for satellite access</w:t>
            </w:r>
            <w:r w:rsidR="005C332B">
              <w:t>;</w:t>
            </w:r>
          </w:p>
          <w:p w14:paraId="4FA7FE45" w14:textId="77777777" w:rsidR="007C1786" w:rsidRPr="00CA1E2C" w:rsidRDefault="007C1786" w:rsidP="009A204F">
            <w:pPr>
              <w:pStyle w:val="ListBullet"/>
              <w:jc w:val="left"/>
              <w:cnfStyle w:val="000000010000" w:firstRow="0" w:lastRow="0" w:firstColumn="0" w:lastColumn="0" w:oddVBand="0" w:evenVBand="0" w:oddHBand="0" w:evenHBand="1" w:firstRowFirstColumn="0" w:firstRowLastColumn="0" w:lastRowFirstColumn="0" w:lastRowLastColumn="0"/>
            </w:pPr>
            <w:r w:rsidRPr="00CA1E2C">
              <w:t>construct five antennas across three sites, through which the DTRF can task and download imagery from commercial providers; and</w:t>
            </w:r>
          </w:p>
          <w:p w14:paraId="7AD28523" w14:textId="77777777" w:rsidR="007C1786" w:rsidRPr="00CA1E2C" w:rsidRDefault="007C1786" w:rsidP="009A204F">
            <w:pPr>
              <w:pStyle w:val="ListBullet"/>
              <w:jc w:val="left"/>
              <w:cnfStyle w:val="000000010000" w:firstRow="0" w:lastRow="0" w:firstColumn="0" w:lastColumn="0" w:oddVBand="0" w:evenVBand="0" w:oddHBand="0" w:evenHBand="1" w:firstRowFirstColumn="0" w:firstRowLastColumn="0" w:lastRowFirstColumn="0" w:lastRowLastColumn="0"/>
            </w:pPr>
            <w:proofErr w:type="gramStart"/>
            <w:r w:rsidRPr="00CA1E2C">
              <w:t>disseminate</w:t>
            </w:r>
            <w:proofErr w:type="gramEnd"/>
            <w:r w:rsidRPr="00CA1E2C">
              <w:t xml:space="preserve"> imagery into the Defence GEOINT Domain to meet AGO customer requirements.</w:t>
            </w:r>
          </w:p>
          <w:p w14:paraId="794A9B61" w14:textId="77777777" w:rsidR="007C1786" w:rsidRPr="00CA1E2C" w:rsidRDefault="007C1786" w:rsidP="007C1786">
            <w:pPr>
              <w:jc w:val="left"/>
              <w:cnfStyle w:val="000000010000" w:firstRow="0" w:lastRow="0" w:firstColumn="0" w:lastColumn="0" w:oddVBand="0" w:evenVBand="0" w:oddHBand="0" w:evenHBand="1" w:firstRowFirstColumn="0" w:firstRowLastColumn="0" w:lastRowFirstColumn="0" w:lastRowLastColumn="0"/>
            </w:pPr>
            <w:r w:rsidRPr="00CA1E2C">
              <w:t>The capability will operate for 13 years.</w:t>
            </w:r>
          </w:p>
          <w:p w14:paraId="7227E8B2" w14:textId="45C83E62" w:rsidR="00AA7A2B" w:rsidRPr="008A7D08" w:rsidRDefault="007C1786" w:rsidP="007C1786">
            <w:pPr>
              <w:jc w:val="left"/>
              <w:cnfStyle w:val="000000010000" w:firstRow="0" w:lastRow="0" w:firstColumn="0" w:lastColumn="0" w:oddVBand="0" w:evenVBand="0" w:oddHBand="0" w:evenHBand="1" w:firstRowFirstColumn="0" w:firstRowLastColumn="0" w:lastRowFirstColumn="0" w:lastRowLastColumn="0"/>
            </w:pPr>
            <w:r w:rsidRPr="00CA1E2C">
              <w:t xml:space="preserve">Project DEF799 Phase 2 Space-based Geospatial-Intelligence Sensors Capability seeks to acquire sovereign space-based GEOINT sensors to meet the future needs of Defence and the National Intelligence Community. </w:t>
            </w:r>
            <w:r w:rsidRPr="00CA1E2C">
              <w:rPr>
                <w:color w:val="000000"/>
              </w:rPr>
              <w:t>AGO has commenced an initial two year study to define requirements, which will be achieved through wide stakeholder engagement including Defence, the National Intelligence Community, Federal Government agencies, industry, academia, and international allies and partners. The Study i</w:t>
            </w:r>
            <w:r w:rsidR="009A204F">
              <w:rPr>
                <w:color w:val="000000"/>
              </w:rPr>
              <w:t>s scheduled to conclude in 20</w:t>
            </w:r>
            <w:r w:rsidR="00E876AC">
              <w:rPr>
                <w:color w:val="000000"/>
              </w:rPr>
              <w:t>20</w:t>
            </w:r>
            <w:r w:rsidR="009A204F">
              <w:rPr>
                <w:color w:val="000000"/>
              </w:rPr>
              <w:t>-</w:t>
            </w:r>
            <w:r w:rsidRPr="00CA1E2C">
              <w:rPr>
                <w:color w:val="000000"/>
              </w:rPr>
              <w:t>21 with Initial Operating Capability planned for 2028 to 2029.</w:t>
            </w:r>
          </w:p>
        </w:tc>
      </w:tr>
      <w:tr w:rsidR="00AA7A2B" w:rsidRPr="00CA1E2C" w14:paraId="0515DBB6" w14:textId="77777777" w:rsidTr="0074140F">
        <w:tc>
          <w:tcPr>
            <w:cnfStyle w:val="001000000000" w:firstRow="0" w:lastRow="0" w:firstColumn="1" w:lastColumn="0" w:oddVBand="0" w:evenVBand="0" w:oddHBand="0" w:evenHBand="0" w:firstRowFirstColumn="0" w:firstRowLastColumn="0" w:lastRowFirstColumn="0" w:lastRowLastColumn="0"/>
            <w:tcW w:w="1303" w:type="pct"/>
          </w:tcPr>
          <w:p w14:paraId="7D80DDB6" w14:textId="77777777" w:rsidR="00AA7A2B" w:rsidRPr="008A7D08" w:rsidRDefault="00AA7A2B" w:rsidP="0074140F">
            <w:pPr>
              <w:pStyle w:val="TableText"/>
              <w:rPr>
                <w:rFonts w:ascii="Calibri" w:hAnsi="Calibri"/>
                <w:b w:val="0"/>
                <w:color w:val="FFFFFF" w:themeColor="background1"/>
                <w:szCs w:val="22"/>
              </w:rPr>
            </w:pPr>
            <w:r w:rsidRPr="008A7D08">
              <w:rPr>
                <w:rFonts w:ascii="Calibri" w:hAnsi="Calibri"/>
                <w:b w:val="0"/>
                <w:color w:val="FFFFFF" w:themeColor="background1"/>
                <w:szCs w:val="22"/>
              </w:rPr>
              <w:t>Geoscience Australia</w:t>
            </w:r>
          </w:p>
        </w:tc>
        <w:tc>
          <w:tcPr>
            <w:tcW w:w="3697" w:type="pct"/>
          </w:tcPr>
          <w:p w14:paraId="78F47948" w14:textId="16E3C1F5" w:rsidR="007C1786" w:rsidRPr="00CA1E2C" w:rsidRDefault="003A497C" w:rsidP="007C1786">
            <w:pPr>
              <w:jc w:val="left"/>
              <w:cnfStyle w:val="000000000000" w:firstRow="0" w:lastRow="0" w:firstColumn="0" w:lastColumn="0" w:oddVBand="0" w:evenVBand="0" w:oddHBand="0" w:evenHBand="0" w:firstRowFirstColumn="0" w:firstRowLastColumn="0" w:lastRowFirstColumn="0" w:lastRowLastColumn="0"/>
            </w:pPr>
            <w:r>
              <w:t>GA</w:t>
            </w:r>
            <w:r w:rsidR="009A204F">
              <w:t xml:space="preserve">, the Bureau </w:t>
            </w:r>
            <w:r w:rsidR="007C1786" w:rsidRPr="00CA1E2C">
              <w:t xml:space="preserve">and CSIRO are jointly responsible for </w:t>
            </w:r>
            <w:r w:rsidR="00D545A2">
              <w:t>Earth observations from space (</w:t>
            </w:r>
            <w:r w:rsidR="007C1786" w:rsidRPr="00CA1E2C">
              <w:t>EOS</w:t>
            </w:r>
            <w:r w:rsidR="00D545A2">
              <w:t>)</w:t>
            </w:r>
            <w:r w:rsidR="007C1786" w:rsidRPr="00CA1E2C">
              <w:t xml:space="preserve"> capability in Australia. The three agencies are working together to implement the National Earth Observations from Space Infrastructure Plan. </w:t>
            </w:r>
          </w:p>
          <w:p w14:paraId="55DDA85B" w14:textId="77777777" w:rsidR="007C1786" w:rsidRDefault="007C1786" w:rsidP="007C1786">
            <w:pPr>
              <w:jc w:val="left"/>
              <w:cnfStyle w:val="000000000000" w:firstRow="0" w:lastRow="0" w:firstColumn="0" w:lastColumn="0" w:oddVBand="0" w:evenVBand="0" w:oddHBand="0" w:evenHBand="0" w:firstRowFirstColumn="0" w:firstRowLastColumn="0" w:lastRowFirstColumn="0" w:lastRowLastColumn="0"/>
            </w:pPr>
            <w:r w:rsidRPr="00CA1E2C">
              <w:t xml:space="preserve">Developing national EOS infrastructure will modernise Australia’s national observatory networks and calibration facilities; strengthen domestic and international partnerships; improve scientific analysis, and operational </w:t>
            </w:r>
            <w:r w:rsidRPr="00CA1E2C">
              <w:lastRenderedPageBreak/>
              <w:t xml:space="preserve">mapping and monitoring; and strengthen data and knowledge sharing, and the efficiency of accessing this information through open data policies. This infrastructure will support industry, researchers, and Australian Government agencies to realise the benefits of EOS data. </w:t>
            </w:r>
          </w:p>
          <w:p w14:paraId="612385A5" w14:textId="0526B691" w:rsidR="001B5977" w:rsidRPr="005D7667" w:rsidRDefault="001B5977" w:rsidP="007C1786">
            <w:pPr>
              <w:jc w:val="left"/>
              <w:cnfStyle w:val="000000000000" w:firstRow="0" w:lastRow="0" w:firstColumn="0" w:lastColumn="0" w:oddVBand="0" w:evenVBand="0" w:oddHBand="0" w:evenHBand="0" w:firstRowFirstColumn="0" w:firstRowLastColumn="0" w:lastRowFirstColumn="0" w:lastRowLastColumn="0"/>
              <w:rPr>
                <w:u w:val="single"/>
              </w:rPr>
            </w:pPr>
            <w:r w:rsidRPr="005D7667">
              <w:rPr>
                <w:u w:val="single"/>
              </w:rPr>
              <w:t>Digital Earth Australia</w:t>
            </w:r>
          </w:p>
          <w:p w14:paraId="4A69BBAD" w14:textId="607E91BD" w:rsidR="007C1786" w:rsidRPr="00CA1E2C" w:rsidRDefault="007C1786" w:rsidP="007C1786">
            <w:pPr>
              <w:jc w:val="left"/>
              <w:cnfStyle w:val="000000000000" w:firstRow="0" w:lastRow="0" w:firstColumn="0" w:lastColumn="0" w:oddVBand="0" w:evenVBand="0" w:oddHBand="0" w:evenHBand="0" w:firstRowFirstColumn="0" w:firstRowLastColumn="0" w:lastRowFirstColumn="0" w:lastRowLastColumn="0"/>
            </w:pPr>
            <w:r w:rsidRPr="00CA1E2C">
              <w:t xml:space="preserve">DEA provides routine, reliable and robust intelligence about the Earth, its resources and how these have changed over the recent past. DEA translates EOS data into free ready-to-use insights about Australia’s natural and built environment. Such insights are then used by Australian governments and businesses to build a stronger evidence base around soil and coastal erosion, agricultural practices, deforestation, mining, water quality, and human and urban settlements. </w:t>
            </w:r>
          </w:p>
          <w:p w14:paraId="5551AA26" w14:textId="72A9F2E6" w:rsidR="007C1786" w:rsidRPr="00CA1E2C" w:rsidRDefault="00451DDA" w:rsidP="007C1786">
            <w:pPr>
              <w:jc w:val="left"/>
              <w:cnfStyle w:val="000000000000" w:firstRow="0" w:lastRow="0" w:firstColumn="0" w:lastColumn="0" w:oddVBand="0" w:evenVBand="0" w:oddHBand="0" w:evenHBand="0" w:firstRowFirstColumn="0" w:firstRowLastColumn="0" w:lastRowFirstColumn="0" w:lastRowLastColumn="0"/>
            </w:pPr>
            <w:r>
              <w:t>DEA</w:t>
            </w:r>
            <w:r w:rsidR="007C1786" w:rsidRPr="00CA1E2C">
              <w:t xml:space="preserve"> products and technologies are already enjoying significant uptake: Australian government and businesses are using DEA prepared satellite data to better understand water availability, estimate biomass, and understand how land management practices are affecting productivity. Over 10 continental-scale DEA products, as well as a range of statistical products that can be computed on-the-fly, are available from NationalMap.gov.au</w:t>
            </w:r>
          </w:p>
          <w:p w14:paraId="38F94687" w14:textId="67FB8FC8" w:rsidR="007C1786" w:rsidRPr="00CA1E2C" w:rsidRDefault="007C1786" w:rsidP="007C1786">
            <w:pPr>
              <w:jc w:val="left"/>
              <w:cnfStyle w:val="000000000000" w:firstRow="0" w:lastRow="0" w:firstColumn="0" w:lastColumn="0" w:oddVBand="0" w:evenVBand="0" w:oddHBand="0" w:evenHBand="0" w:firstRowFirstColumn="0" w:firstRowLastColumn="0" w:lastRowFirstColumn="0" w:lastRowLastColumn="0"/>
            </w:pPr>
            <w:r w:rsidRPr="00CA1E2C">
              <w:t>In the 2018-19 Budget DEA received funding of $36.9 million over four years, plus ongoing annual funding of $13</w:t>
            </w:r>
            <w:r w:rsidR="00451DDA">
              <w:t xml:space="preserve"> </w:t>
            </w:r>
            <w:r w:rsidRPr="00CA1E2C">
              <w:t xml:space="preserve">million. This funding will ensure </w:t>
            </w:r>
            <w:r w:rsidR="00451DDA">
              <w:t>DEA</w:t>
            </w:r>
            <w:r w:rsidRPr="00CA1E2C">
              <w:t xml:space="preserve"> supports private sector exploitation of DEA capabilities. In 2018, DEA conducted an extensive Australian industry consultation, the results of which informed its Industry Strategy, released in March 2019. The strategy explains the approach DEA will be taking to industry engagement in areas such as data and technology, education, and market awareness. </w:t>
            </w:r>
          </w:p>
          <w:p w14:paraId="4E1370E6" w14:textId="77777777" w:rsidR="007C1786" w:rsidRDefault="007C1786" w:rsidP="007C1786">
            <w:pPr>
              <w:jc w:val="left"/>
              <w:cnfStyle w:val="000000000000" w:firstRow="0" w:lastRow="0" w:firstColumn="0" w:lastColumn="0" w:oddVBand="0" w:evenVBand="0" w:oddHBand="0" w:evenHBand="0" w:firstRowFirstColumn="0" w:firstRowLastColumn="0" w:lastRowFirstColumn="0" w:lastRowLastColumn="0"/>
            </w:pPr>
            <w:r w:rsidRPr="00CA1E2C">
              <w:t>In its initial phase, DEA will focus on leveraging satellite data to improve Government business, including applications that streamline the implementation of environmental regulations that effect businesses. DEA will also lower the technical barriers to using this data such that businesses from start-ups to major established companies operate on a level playing field.</w:t>
            </w:r>
          </w:p>
          <w:p w14:paraId="546D19E8" w14:textId="2090ABA9" w:rsidR="005B37F6" w:rsidRPr="00FF09EF" w:rsidRDefault="005B37F6" w:rsidP="005B37F6">
            <w:pPr>
              <w:jc w:val="left"/>
              <w:cnfStyle w:val="000000000000" w:firstRow="0" w:lastRow="0" w:firstColumn="0" w:lastColumn="0" w:oddVBand="0" w:evenVBand="0" w:oddHBand="0" w:evenHBand="0" w:firstRowFirstColumn="0" w:firstRowLastColumn="0" w:lastRowFirstColumn="0" w:lastRowLastColumn="0"/>
              <w:rPr>
                <w:u w:val="single"/>
              </w:rPr>
            </w:pPr>
            <w:r w:rsidRPr="00FF09EF">
              <w:rPr>
                <w:u w:val="single"/>
              </w:rPr>
              <w:t>Land</w:t>
            </w:r>
            <w:r w:rsidR="00FF09EF" w:rsidRPr="00FF09EF">
              <w:rPr>
                <w:u w:val="single"/>
              </w:rPr>
              <w:t>s</w:t>
            </w:r>
            <w:r w:rsidRPr="00FF09EF">
              <w:rPr>
                <w:u w:val="single"/>
              </w:rPr>
              <w:t>at</w:t>
            </w:r>
          </w:p>
          <w:p w14:paraId="7887BBBC" w14:textId="4B0049C4" w:rsidR="005B37F6" w:rsidRPr="00CA1E2C" w:rsidRDefault="005B37F6" w:rsidP="005B37F6">
            <w:pPr>
              <w:jc w:val="left"/>
              <w:cnfStyle w:val="000000000000" w:firstRow="0" w:lastRow="0" w:firstColumn="0" w:lastColumn="0" w:oddVBand="0" w:evenVBand="0" w:oddHBand="0" w:evenHBand="0" w:firstRowFirstColumn="0" w:firstRowLastColumn="0" w:lastRowFirstColumn="0" w:lastRowLastColumn="0"/>
            </w:pPr>
            <w:r w:rsidRPr="00CA1E2C">
              <w:t xml:space="preserve">2019 marks the 40th anniversary of </w:t>
            </w:r>
            <w:r>
              <w:t>GA</w:t>
            </w:r>
            <w:r w:rsidRPr="00CA1E2C">
              <w:t>’s Alice Springs ground station and its support for the Landsat program. Anniversary celebrations with dignitaries from Australia and the US will happen on-site in November 2019, and will involve the commissioning of newly completed satellite dish artwork by Native American artists.</w:t>
            </w:r>
          </w:p>
          <w:p w14:paraId="0A3A0F11" w14:textId="77777777" w:rsidR="005B37F6" w:rsidRDefault="005B37F6" w:rsidP="005B37F6">
            <w:pPr>
              <w:jc w:val="left"/>
              <w:cnfStyle w:val="000000000000" w:firstRow="0" w:lastRow="0" w:firstColumn="0" w:lastColumn="0" w:oddVBand="0" w:evenVBand="0" w:oddHBand="0" w:evenHBand="0" w:firstRowFirstColumn="0" w:firstRowLastColumn="0" w:lastRowFirstColumn="0" w:lastRowLastColumn="0"/>
            </w:pPr>
            <w:r w:rsidRPr="00CA1E2C">
              <w:t>The satellite ground station continues to operate above targeted operational performance and is currently operating at 99.</w:t>
            </w:r>
            <w:r>
              <w:t>6 per cent with a</w:t>
            </w:r>
            <w:r w:rsidRPr="00CA1E2C">
              <w:t xml:space="preserve"> </w:t>
            </w:r>
            <w:r>
              <w:t>98 per</w:t>
            </w:r>
            <w:r w:rsidRPr="00CA1E2C">
              <w:t xml:space="preserve"> </w:t>
            </w:r>
            <w:r>
              <w:t>cent target</w:t>
            </w:r>
            <w:r w:rsidRPr="00CA1E2C">
              <w:t xml:space="preserve">. From between November 2018 and May 2019, this ground station was the best performing ground station in the Landsat network, achieving 100 per cent success rate for Landsat 7 operations. The project to ensure Alice Springs is ready to support the Landsat-9 mission is on track.  </w:t>
            </w:r>
          </w:p>
          <w:p w14:paraId="02876829" w14:textId="77777777" w:rsidR="002741B8" w:rsidRPr="002741B8" w:rsidRDefault="002741B8" w:rsidP="002741B8">
            <w:pPr>
              <w:jc w:val="left"/>
              <w:cnfStyle w:val="000000000000" w:firstRow="0" w:lastRow="0" w:firstColumn="0" w:lastColumn="0" w:oddVBand="0" w:evenVBand="0" w:oddHBand="0" w:evenHBand="0" w:firstRowFirstColumn="0" w:firstRowLastColumn="0" w:lastRowFirstColumn="0" w:lastRowLastColumn="0"/>
              <w:rPr>
                <w:u w:val="single"/>
              </w:rPr>
            </w:pPr>
            <w:proofErr w:type="spellStart"/>
            <w:r w:rsidRPr="002741B8">
              <w:rPr>
                <w:u w:val="single"/>
              </w:rPr>
              <w:t>LandsatNext</w:t>
            </w:r>
            <w:proofErr w:type="spellEnd"/>
            <w:r w:rsidRPr="002741B8">
              <w:rPr>
                <w:u w:val="single"/>
              </w:rPr>
              <w:t xml:space="preserve"> and the future Sentinel missions</w:t>
            </w:r>
          </w:p>
          <w:p w14:paraId="059AB3FC" w14:textId="1FB395A9" w:rsidR="002741B8" w:rsidRDefault="002741B8" w:rsidP="002741B8">
            <w:pPr>
              <w:jc w:val="left"/>
              <w:cnfStyle w:val="000000000000" w:firstRow="0" w:lastRow="0" w:firstColumn="0" w:lastColumn="0" w:oddVBand="0" w:evenVBand="0" w:oddHBand="0" w:evenHBand="0" w:firstRowFirstColumn="0" w:firstRowLastColumn="0" w:lastRowFirstColumn="0" w:lastRowLastColumn="0"/>
            </w:pPr>
            <w:r>
              <w:t xml:space="preserve">GA is exploring opportunities for Australian experts to participate in architecture studies being undertaken by the USA and European Commission for future operational land imaging missions. Engagement in these processes </w:t>
            </w:r>
            <w:r>
              <w:lastRenderedPageBreak/>
              <w:t>is critical in opening opportunities for future Australian participation or co-investment in the operational missions on which we depend.</w:t>
            </w:r>
          </w:p>
          <w:p w14:paraId="3F2E8A04" w14:textId="16878742" w:rsidR="00533176" w:rsidRPr="005D7667" w:rsidRDefault="00533176" w:rsidP="005B37F6">
            <w:pPr>
              <w:jc w:val="left"/>
              <w:cnfStyle w:val="000000000000" w:firstRow="0" w:lastRow="0" w:firstColumn="0" w:lastColumn="0" w:oddVBand="0" w:evenVBand="0" w:oddHBand="0" w:evenHBand="0" w:firstRowFirstColumn="0" w:firstRowLastColumn="0" w:lastRowFirstColumn="0" w:lastRowLastColumn="0"/>
              <w:rPr>
                <w:u w:val="single"/>
              </w:rPr>
            </w:pPr>
            <w:r w:rsidRPr="005D7667">
              <w:rPr>
                <w:u w:val="single"/>
              </w:rPr>
              <w:t>GEO Week</w:t>
            </w:r>
          </w:p>
          <w:p w14:paraId="7F2649D2" w14:textId="77777777" w:rsidR="00533176" w:rsidRPr="00CA1E2C" w:rsidRDefault="00533176" w:rsidP="00533176">
            <w:pPr>
              <w:jc w:val="left"/>
              <w:cnfStyle w:val="000000000000" w:firstRow="0" w:lastRow="0" w:firstColumn="0" w:lastColumn="0" w:oddVBand="0" w:evenVBand="0" w:oddHBand="0" w:evenHBand="0" w:firstRowFirstColumn="0" w:firstRowLastColumn="0" w:lastRowFirstColumn="0" w:lastRowLastColumn="0"/>
            </w:pPr>
            <w:r w:rsidRPr="00CA1E2C">
              <w:t xml:space="preserve">The 2019 GEO Ministerial Summit will be held in Canberra on 4-9 November. GA is the Australian lead and host of GEO Week with support from CSIRO, </w:t>
            </w:r>
            <w:r>
              <w:t>the</w:t>
            </w:r>
            <w:r w:rsidRPr="00CA1E2C">
              <w:t xml:space="preserve"> Agency, the Department of the Environment and Energy and other agencies. GA has designed a comprehensive program to showcase and connect Australian EOS capabilities internationally</w:t>
            </w:r>
            <w:r>
              <w:t>.</w:t>
            </w:r>
          </w:p>
          <w:p w14:paraId="709AFC1E" w14:textId="685C9DF4" w:rsidR="00533176" w:rsidRPr="00CA1E2C" w:rsidRDefault="00533176" w:rsidP="005B37F6">
            <w:pPr>
              <w:jc w:val="left"/>
              <w:cnfStyle w:val="000000000000" w:firstRow="0" w:lastRow="0" w:firstColumn="0" w:lastColumn="0" w:oddVBand="0" w:evenVBand="0" w:oddHBand="0" w:evenHBand="0" w:firstRowFirstColumn="0" w:firstRowLastColumn="0" w:lastRowFirstColumn="0" w:lastRowLastColumn="0"/>
            </w:pPr>
            <w:r w:rsidRPr="00CA1E2C">
              <w:t>GEO Week 2019 includes an Industry Track: an Australian initiative designed to strengthen engagement between the commercial sector and the GEO community. A number of US space and technology companies will participate in the Industry Track to showcase their products and innovations in the burgeoning global EOS market for new sensors, space technology and apps.</w:t>
            </w:r>
          </w:p>
          <w:p w14:paraId="39369D76" w14:textId="7E4FD6C7" w:rsidR="001B5977" w:rsidRPr="005D7667" w:rsidRDefault="00183826" w:rsidP="007C1786">
            <w:pPr>
              <w:jc w:val="left"/>
              <w:cnfStyle w:val="000000000000" w:firstRow="0" w:lastRow="0" w:firstColumn="0" w:lastColumn="0" w:oddVBand="0" w:evenVBand="0" w:oddHBand="0" w:evenHBand="0" w:firstRowFirstColumn="0" w:firstRowLastColumn="0" w:lastRowFirstColumn="0" w:lastRowLastColumn="0"/>
              <w:rPr>
                <w:u w:val="single"/>
              </w:rPr>
            </w:pPr>
            <w:r>
              <w:rPr>
                <w:u w:val="single"/>
              </w:rPr>
              <w:t>Other GA</w:t>
            </w:r>
            <w:r w:rsidR="001B5977" w:rsidRPr="005D7667">
              <w:rPr>
                <w:u w:val="single"/>
              </w:rPr>
              <w:t xml:space="preserve"> Activities</w:t>
            </w:r>
          </w:p>
          <w:p w14:paraId="5ADF08CF" w14:textId="04913941" w:rsidR="007C1786" w:rsidRPr="00CA1E2C" w:rsidRDefault="007C1786" w:rsidP="007C1786">
            <w:pPr>
              <w:jc w:val="left"/>
              <w:cnfStyle w:val="000000000000" w:firstRow="0" w:lastRow="0" w:firstColumn="0" w:lastColumn="0" w:oddVBand="0" w:evenVBand="0" w:oddHBand="0" w:evenHBand="0" w:firstRowFirstColumn="0" w:firstRowLastColumn="0" w:lastRowFirstColumn="0" w:lastRowLastColumn="0"/>
            </w:pPr>
            <w:r w:rsidRPr="00CA1E2C">
              <w:t xml:space="preserve">GA in partnership with CSIRO, the NZ Government, </w:t>
            </w:r>
            <w:r w:rsidR="0070678E" w:rsidRPr="00CA1E2C">
              <w:t>and the</w:t>
            </w:r>
            <w:r w:rsidRPr="00CA1E2C">
              <w:t xml:space="preserve"> government</w:t>
            </w:r>
            <w:r w:rsidR="0070678E">
              <w:t>s</w:t>
            </w:r>
            <w:r w:rsidRPr="00CA1E2C">
              <w:t xml:space="preserve"> of WA, </w:t>
            </w:r>
            <w:r w:rsidR="0070678E">
              <w:t>NSW and Qld</w:t>
            </w:r>
            <w:r w:rsidRPr="00CA1E2C">
              <w:t xml:space="preserve"> operates a regional data hub that provides access to data from Europe’s Copernicus program.  The hub provides access to satellite Earth observation data covering the South-East Asia and South Pacific region.</w:t>
            </w:r>
          </w:p>
          <w:p w14:paraId="3961E490" w14:textId="5563FBA2" w:rsidR="007C1786" w:rsidRPr="00CA1E2C" w:rsidRDefault="007C1786" w:rsidP="007C1786">
            <w:pPr>
              <w:jc w:val="left"/>
              <w:cnfStyle w:val="000000000000" w:firstRow="0" w:lastRow="0" w:firstColumn="0" w:lastColumn="0" w:oddVBand="0" w:evenVBand="0" w:oddHBand="0" w:evenHBand="0" w:firstRowFirstColumn="0" w:firstRowLastColumn="0" w:lastRowFirstColumn="0" w:lastRowLastColumn="0"/>
            </w:pPr>
            <w:r w:rsidRPr="00CA1E2C">
              <w:t>GA also coordinates Australia’s use of the International Charter for Space and Major Disasters and the Copernicus Emergency Management Service. In February 2019, the Copernicus service was used in supp</w:t>
            </w:r>
            <w:r w:rsidR="0070678E">
              <w:t xml:space="preserve">ort of flooding in Queensland. </w:t>
            </w:r>
            <w:r w:rsidRPr="00CA1E2C">
              <w:t>The service, operated by the European Commission, provided valuable mapping products to support the emergency response.</w:t>
            </w:r>
          </w:p>
          <w:p w14:paraId="77CEEF0A" w14:textId="65AB1644" w:rsidR="007C1786" w:rsidRPr="00CA1E2C" w:rsidRDefault="007C1786" w:rsidP="007C1786">
            <w:pPr>
              <w:jc w:val="left"/>
              <w:cnfStyle w:val="000000000000" w:firstRow="0" w:lastRow="0" w:firstColumn="0" w:lastColumn="0" w:oddVBand="0" w:evenVBand="0" w:oddHBand="0" w:evenHBand="0" w:firstRowFirstColumn="0" w:firstRowLastColumn="0" w:lastRowFirstColumn="0" w:lastRowLastColumn="0"/>
            </w:pPr>
            <w:r w:rsidRPr="00CA1E2C">
              <w:t>GA is working with stakeholders to scope a “National Calibra</w:t>
            </w:r>
            <w:r w:rsidR="00F60926">
              <w:t xml:space="preserve">tion and Validation Facility”. </w:t>
            </w:r>
            <w:r w:rsidRPr="00CA1E2C">
              <w:t xml:space="preserve">Such a facility would align investments in calibration and validation facilities and programs to make Australia a world-class “test bed” for Earth observation applications, while also ensuring the financial sustainability of critical calibration and validation infrastructure. </w:t>
            </w:r>
          </w:p>
          <w:p w14:paraId="53C69A2F" w14:textId="515C3BB5" w:rsidR="003623F0" w:rsidRPr="00D25527" w:rsidRDefault="00F60926" w:rsidP="003623F0">
            <w:pPr>
              <w:jc w:val="left"/>
              <w:cnfStyle w:val="000000000000" w:firstRow="0" w:lastRow="0" w:firstColumn="0" w:lastColumn="0" w:oddVBand="0" w:evenVBand="0" w:oddHBand="0" w:evenHBand="0" w:firstRowFirstColumn="0" w:firstRowLastColumn="0" w:lastRowFirstColumn="0" w:lastRowLastColumn="0"/>
              <w:rPr>
                <w:rFonts w:ascii="Calibri" w:hAnsi="Calibri"/>
                <w:color w:val="000000"/>
              </w:rPr>
            </w:pPr>
            <w:r>
              <w:rPr>
                <w:rFonts w:ascii="Calibri" w:hAnsi="Calibri"/>
                <w:color w:val="000000"/>
              </w:rPr>
              <w:t>GA</w:t>
            </w:r>
            <w:r w:rsidR="007C1786" w:rsidRPr="00CA1E2C">
              <w:rPr>
                <w:rFonts w:ascii="Calibri" w:hAnsi="Calibri"/>
                <w:color w:val="000000"/>
              </w:rPr>
              <w:t xml:space="preserve"> is a founding partner of the</w:t>
            </w:r>
            <w:r>
              <w:rPr>
                <w:rFonts w:ascii="Calibri" w:hAnsi="Calibri"/>
                <w:color w:val="000000"/>
              </w:rPr>
              <w:t xml:space="preserve"> Open Data Cube (ODC) project. </w:t>
            </w:r>
            <w:r w:rsidR="007C1786" w:rsidRPr="00CA1E2C">
              <w:rPr>
                <w:rFonts w:ascii="Calibri" w:hAnsi="Calibri"/>
                <w:color w:val="000000"/>
              </w:rPr>
              <w:t xml:space="preserve">The Open Data Cube is open source software that seeks to increase the value and impact of global </w:t>
            </w:r>
            <w:r>
              <w:rPr>
                <w:rFonts w:ascii="Calibri" w:hAnsi="Calibri"/>
                <w:color w:val="000000"/>
              </w:rPr>
              <w:t>EO</w:t>
            </w:r>
            <w:r w:rsidR="007C1786" w:rsidRPr="00CA1E2C">
              <w:rPr>
                <w:rFonts w:ascii="Calibri" w:hAnsi="Calibri"/>
                <w:color w:val="000000"/>
              </w:rPr>
              <w:t xml:space="preserve"> satellite data by providing an open and freely accessible exploitation architecture. The ODC project seeks to foster a community to develop, sustain, and grow the technology and the breadth and depth of its applications for societal benefit.</w:t>
            </w:r>
          </w:p>
        </w:tc>
      </w:tr>
    </w:tbl>
    <w:p w14:paraId="25B5C53D" w14:textId="6D80F682" w:rsidR="00554433" w:rsidRDefault="00554433">
      <w:pPr>
        <w:spacing w:after="0"/>
        <w:rPr>
          <w:rFonts w:asciiTheme="majorHAnsi" w:hAnsiTheme="majorHAnsi" w:cstheme="majorHAnsi"/>
          <w:b/>
          <w:bCs/>
          <w:color w:val="004976" w:themeColor="background2"/>
          <w:sz w:val="32"/>
          <w:szCs w:val="26"/>
        </w:rPr>
      </w:pPr>
    </w:p>
    <w:p w14:paraId="1CA14496" w14:textId="2EB30AE5" w:rsidR="006006C6" w:rsidRDefault="006006C6" w:rsidP="00D72853">
      <w:pPr>
        <w:pStyle w:val="Heading3"/>
      </w:pPr>
      <w:r w:rsidRPr="00CA1E2C">
        <w:t xml:space="preserve">Leapfrog Research and Development </w:t>
      </w:r>
    </w:p>
    <w:p w14:paraId="7CB9F1F2" w14:textId="2F265DEE" w:rsidR="00966420" w:rsidRPr="007F13DA" w:rsidRDefault="004E52C1" w:rsidP="007F13DA">
      <w:pPr>
        <w:pStyle w:val="TableText"/>
        <w:rPr>
          <w:i/>
        </w:rPr>
      </w:pPr>
      <w:r w:rsidRPr="007F13DA">
        <w:rPr>
          <w:i/>
        </w:rPr>
        <w:t>Australia has a strong research base in space-related R&amp;D, contributing 6.8 per cent of the World’s publications in this sector between 2012 and 2016</w:t>
      </w:r>
      <w:r w:rsidR="00A56A3F">
        <w:rPr>
          <w:rStyle w:val="FootnoteReference"/>
          <w:i/>
        </w:rPr>
        <w:footnoteReference w:id="10"/>
      </w:r>
      <w:r w:rsidRPr="007F13DA">
        <w:rPr>
          <w:i/>
        </w:rPr>
        <w:t>. To transfor</w:t>
      </w:r>
      <w:r w:rsidR="002A5DB0" w:rsidRPr="007F13DA">
        <w:rPr>
          <w:i/>
        </w:rPr>
        <w:t>m our space sector and leapfrog</w:t>
      </w:r>
      <w:r w:rsidRPr="007F13DA">
        <w:rPr>
          <w:i/>
        </w:rPr>
        <w:t xml:space="preserve"> into new areas </w:t>
      </w:r>
      <w:r w:rsidR="002A5DB0" w:rsidRPr="007F13DA">
        <w:rPr>
          <w:i/>
        </w:rPr>
        <w:t xml:space="preserve">consistent with </w:t>
      </w:r>
      <w:r w:rsidRPr="007F13DA">
        <w:rPr>
          <w:i/>
        </w:rPr>
        <w:t xml:space="preserve">broader economic and security interests, Australia can encourage and support research that inspires, identify areas to develop, and commercialise R&amp;D that would grow and transform the space sector. Areas of new opportunity include new rocket technology, new high-tech materials, space medicine, synthetic biology, quantum communications, in-orbit servicing, and optical wireless communication technologies. </w:t>
      </w:r>
    </w:p>
    <w:p w14:paraId="3E820C1F" w14:textId="58EE2975" w:rsidR="006C3407" w:rsidRDefault="007F13DA" w:rsidP="00966420">
      <w:r>
        <w:lastRenderedPageBreak/>
        <w:t xml:space="preserve">The </w:t>
      </w:r>
      <w:r w:rsidR="00F76312" w:rsidRPr="005D7667">
        <w:rPr>
          <w:i/>
        </w:rPr>
        <w:t xml:space="preserve">Australian Civil Space </w:t>
      </w:r>
      <w:r w:rsidRPr="005D7667">
        <w:rPr>
          <w:i/>
        </w:rPr>
        <w:t>Strategy</w:t>
      </w:r>
      <w:r>
        <w:t xml:space="preserve"> identifies this Priority Area as part of Phase 3 (2021-2028), delivering success.</w:t>
      </w:r>
    </w:p>
    <w:p w14:paraId="33593073" w14:textId="03C85512" w:rsidR="00B049A5" w:rsidRPr="006C3407" w:rsidRDefault="00B049A5" w:rsidP="00B049A5">
      <w:pPr>
        <w:pStyle w:val="Caption"/>
      </w:pPr>
      <w:bookmarkStart w:id="45" w:name="_Toc40946025"/>
      <w:r>
        <w:t xml:space="preserve">Table </w:t>
      </w:r>
      <w:r>
        <w:fldChar w:fldCharType="begin"/>
      </w:r>
      <w:r>
        <w:instrText xml:space="preserve"> SEQ Table \* ARABIC </w:instrText>
      </w:r>
      <w:r>
        <w:fldChar w:fldCharType="separate"/>
      </w:r>
      <w:r w:rsidR="00C35904">
        <w:rPr>
          <w:noProof/>
        </w:rPr>
        <w:t>7</w:t>
      </w:r>
      <w:r>
        <w:fldChar w:fldCharType="end"/>
      </w:r>
      <w:r>
        <w:t xml:space="preserve"> – SCC </w:t>
      </w:r>
      <w:r w:rsidR="000D2439">
        <w:t>r</w:t>
      </w:r>
      <w:r>
        <w:t>esearch and development activities</w:t>
      </w:r>
      <w:bookmarkEnd w:id="45"/>
    </w:p>
    <w:tbl>
      <w:tblPr>
        <w:tblStyle w:val="ASATable"/>
        <w:tblW w:w="4958" w:type="pct"/>
        <w:tblInd w:w="2" w:type="dxa"/>
        <w:tblLook w:val="04A0" w:firstRow="1" w:lastRow="0" w:firstColumn="1" w:lastColumn="0" w:noHBand="0" w:noVBand="1"/>
        <w:tblCaption w:val="Table 7 – SCC research and development activities"/>
      </w:tblPr>
      <w:tblGrid>
        <w:gridCol w:w="2547"/>
        <w:gridCol w:w="7228"/>
      </w:tblGrid>
      <w:tr w:rsidR="00966420" w:rsidRPr="00CA1E2C" w14:paraId="2F80ED70" w14:textId="77777777" w:rsidTr="0074140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303" w:type="pct"/>
          </w:tcPr>
          <w:p w14:paraId="4C9064F6" w14:textId="77777777" w:rsidR="00966420" w:rsidRPr="00CA1E2C" w:rsidRDefault="00966420" w:rsidP="0074140F">
            <w:pPr>
              <w:pStyle w:val="TableHeading"/>
              <w:rPr>
                <w:b/>
                <w:color w:val="FFFFFF" w:themeColor="background1"/>
                <w:szCs w:val="22"/>
              </w:rPr>
            </w:pPr>
            <w:r w:rsidRPr="00CA1E2C">
              <w:rPr>
                <w:b/>
                <w:color w:val="FFFFFF" w:themeColor="background1"/>
                <w:szCs w:val="22"/>
              </w:rPr>
              <w:t>Organisation</w:t>
            </w:r>
          </w:p>
        </w:tc>
        <w:tc>
          <w:tcPr>
            <w:tcW w:w="3697" w:type="pct"/>
          </w:tcPr>
          <w:p w14:paraId="5A7E0489" w14:textId="77777777" w:rsidR="00966420" w:rsidRPr="00CA1E2C" w:rsidRDefault="00966420" w:rsidP="0074140F">
            <w:pPr>
              <w:pStyle w:val="TableHeading"/>
              <w:jc w:val="left"/>
              <w:cnfStyle w:val="100000000000" w:firstRow="1" w:lastRow="0" w:firstColumn="0" w:lastColumn="0" w:oddVBand="0" w:evenVBand="0" w:oddHBand="0" w:evenHBand="0" w:firstRowFirstColumn="0" w:firstRowLastColumn="0" w:lastRowFirstColumn="0" w:lastRowLastColumn="0"/>
            </w:pPr>
            <w:r w:rsidRPr="00CA1E2C">
              <w:t>Summary of activity</w:t>
            </w:r>
          </w:p>
        </w:tc>
      </w:tr>
      <w:tr w:rsidR="00966420" w:rsidRPr="00CA1E2C" w14:paraId="55496F11" w14:textId="77777777" w:rsidTr="0074140F">
        <w:tc>
          <w:tcPr>
            <w:cnfStyle w:val="001000000000" w:firstRow="0" w:lastRow="0" w:firstColumn="1" w:lastColumn="0" w:oddVBand="0" w:evenVBand="0" w:oddHBand="0" w:evenHBand="0" w:firstRowFirstColumn="0" w:firstRowLastColumn="0" w:lastRowFirstColumn="0" w:lastRowLastColumn="0"/>
            <w:tcW w:w="1303" w:type="pct"/>
          </w:tcPr>
          <w:p w14:paraId="0221CBAF" w14:textId="77777777" w:rsidR="00966420" w:rsidRPr="00CA1E2C" w:rsidRDefault="00966420" w:rsidP="0074140F">
            <w:pPr>
              <w:pStyle w:val="TableText"/>
              <w:rPr>
                <w:color w:val="FFFFFF" w:themeColor="background1"/>
                <w:szCs w:val="22"/>
              </w:rPr>
            </w:pPr>
            <w:r w:rsidRPr="00CA1E2C">
              <w:rPr>
                <w:rFonts w:ascii="Calibri" w:hAnsi="Calibri"/>
                <w:b w:val="0"/>
                <w:color w:val="FFFFFF" w:themeColor="background1"/>
                <w:szCs w:val="22"/>
              </w:rPr>
              <w:t>Bureau of Meteorology</w:t>
            </w:r>
          </w:p>
        </w:tc>
        <w:tc>
          <w:tcPr>
            <w:tcW w:w="3697" w:type="pct"/>
          </w:tcPr>
          <w:p w14:paraId="658FB617" w14:textId="4690D0D4" w:rsidR="00966420" w:rsidRPr="00CA1E2C" w:rsidRDefault="007F13DA" w:rsidP="00284CDC">
            <w:pPr>
              <w:jc w:val="left"/>
              <w:cnfStyle w:val="000000000000" w:firstRow="0" w:lastRow="0" w:firstColumn="0" w:lastColumn="0" w:oddVBand="0" w:evenVBand="0" w:oddHBand="0" w:evenHBand="0" w:firstRowFirstColumn="0" w:firstRowLastColumn="0" w:lastRowFirstColumn="0" w:lastRowLastColumn="0"/>
            </w:pPr>
            <w:r w:rsidRPr="00CA1E2C">
              <w:t>Several Bureau scientists are actively involved in international science teams, including the Technical Advisory Committee</w:t>
            </w:r>
            <w:r w:rsidR="003E4BE4">
              <w:t xml:space="preserve"> for the </w:t>
            </w:r>
            <w:r w:rsidR="003E4BE4" w:rsidRPr="00CA1E2C">
              <w:t xml:space="preserve">GOES-R </w:t>
            </w:r>
            <w:r w:rsidR="003E4BE4">
              <w:t>(GOES-16) meteorological satellite</w:t>
            </w:r>
            <w:r w:rsidRPr="00CA1E2C">
              <w:t xml:space="preserve">, the GOES-R Independent Advisory Committee, the </w:t>
            </w:r>
            <w:proofErr w:type="spellStart"/>
            <w:r w:rsidRPr="00CA1E2C">
              <w:t>CloudSat</w:t>
            </w:r>
            <w:proofErr w:type="spellEnd"/>
            <w:r w:rsidRPr="00CA1E2C">
              <w:t xml:space="preserve"> Science Team, and the GPM Science Team. Membership of these teams enables early access to data for testing, through collaboration on algorithm development.</w:t>
            </w:r>
          </w:p>
        </w:tc>
      </w:tr>
      <w:tr w:rsidR="00966420" w:rsidRPr="00CA1E2C" w14:paraId="4F9AB844" w14:textId="77777777" w:rsidTr="007414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7D36C06E" w14:textId="77777777" w:rsidR="00966420" w:rsidRPr="007F13DA" w:rsidRDefault="00966420" w:rsidP="0074140F">
            <w:pPr>
              <w:pStyle w:val="TableText"/>
              <w:rPr>
                <w:b w:val="0"/>
                <w:color w:val="FFFFFF" w:themeColor="background1"/>
                <w:szCs w:val="22"/>
              </w:rPr>
            </w:pPr>
            <w:r w:rsidRPr="007F13DA">
              <w:rPr>
                <w:b w:val="0"/>
                <w:color w:val="FFFFFF" w:themeColor="background1"/>
                <w:szCs w:val="22"/>
              </w:rPr>
              <w:t>CSIRO</w:t>
            </w:r>
          </w:p>
        </w:tc>
        <w:tc>
          <w:tcPr>
            <w:tcW w:w="3697" w:type="pct"/>
          </w:tcPr>
          <w:p w14:paraId="10605F23" w14:textId="32580337" w:rsidR="007F13DA" w:rsidRPr="001619A0" w:rsidRDefault="007F13DA" w:rsidP="00EA3FD0">
            <w:pPr>
              <w:jc w:val="left"/>
              <w:cnfStyle w:val="000000010000" w:firstRow="0" w:lastRow="0" w:firstColumn="0" w:lastColumn="0" w:oddVBand="0" w:evenVBand="0" w:oddHBand="0" w:evenHBand="1" w:firstRowFirstColumn="0" w:firstRowLastColumn="0" w:lastRowFirstColumn="0" w:lastRowLastColumn="0"/>
              <w:rPr>
                <w:color w:val="auto"/>
              </w:rPr>
            </w:pPr>
            <w:r w:rsidRPr="00CA1E2C">
              <w:t xml:space="preserve">In September 2018, CSIRO launched its Space Roadmap, which identifies three broad opportunity areas in which Australian industry can capitalise: Space-derived services, Space object tracking, and Space exploration and utilisation. </w:t>
            </w:r>
            <w:hyperlink r:id="rId27" w:tooltip="https://www.csiro.au/en/Do-business/Futures/Reports/Space-Roadmap" w:history="1">
              <w:r w:rsidRPr="00CA1E2C">
                <w:rPr>
                  <w:rStyle w:val="Hyperlink"/>
                </w:rPr>
                <w:t>https://www.csiro.au/en/Do-business/Futures/Reports/Space-Roadmap</w:t>
              </w:r>
            </w:hyperlink>
            <w:r w:rsidR="00232053">
              <w:rPr>
                <w:rStyle w:val="Hyperlink"/>
              </w:rPr>
              <w:t xml:space="preserve">. </w:t>
            </w:r>
            <w:r w:rsidR="00232053" w:rsidRPr="001619A0">
              <w:rPr>
                <w:rStyle w:val="Hyperlink"/>
                <w:color w:val="auto"/>
                <w:u w:val="none"/>
              </w:rPr>
              <w:t xml:space="preserve">These areas are consistent with the Civil Space Priorities identified in the </w:t>
            </w:r>
            <w:r w:rsidR="00232053" w:rsidRPr="001619A0">
              <w:rPr>
                <w:rStyle w:val="Hyperlink"/>
                <w:i/>
                <w:color w:val="auto"/>
                <w:u w:val="none"/>
              </w:rPr>
              <w:t>Australian Civil Space Strategy</w:t>
            </w:r>
            <w:r w:rsidR="00232053" w:rsidRPr="001619A0">
              <w:rPr>
                <w:rStyle w:val="Hyperlink"/>
                <w:color w:val="auto"/>
                <w:u w:val="none"/>
              </w:rPr>
              <w:t>.</w:t>
            </w:r>
          </w:p>
          <w:p w14:paraId="5C2E8BD1" w14:textId="4CED1F29" w:rsidR="007F13DA" w:rsidRPr="00CA1E2C" w:rsidRDefault="007F13DA" w:rsidP="00EA3FD0">
            <w:pPr>
              <w:jc w:val="left"/>
              <w:cnfStyle w:val="000000010000" w:firstRow="0" w:lastRow="0" w:firstColumn="0" w:lastColumn="0" w:oddVBand="0" w:evenVBand="0" w:oddHBand="0" w:evenHBand="1" w:firstRowFirstColumn="0" w:firstRowLastColumn="0" w:lastRowFirstColumn="0" w:lastRowLastColumn="0"/>
            </w:pPr>
            <w:r w:rsidRPr="00CA1E2C">
              <w:t xml:space="preserve">In November 2018, CSIRO announced the establishment of the Space Technology Future Science Platform (Space FSP), with an initial $16 million investment in a multi-year, multi-disciplinary program to develop frontier space technologies and applications that represent a step-change in CSIRO’s research capabilities. The Space FSP aims to build world-leading capability and drive cutting-edge research within CSIRO in support of Agency’s goal of tripling the size of the Australian space industry by 2030. Investments will focus on the priority areas identified in the CSIRO Space Roadmap and by the Agency. </w:t>
            </w:r>
          </w:p>
          <w:p w14:paraId="00B6C36C" w14:textId="5D29548F" w:rsidR="007F13DA" w:rsidRPr="00CA1E2C" w:rsidRDefault="007F13DA" w:rsidP="00EA3FD0">
            <w:pPr>
              <w:jc w:val="left"/>
              <w:cnfStyle w:val="000000010000" w:firstRow="0" w:lastRow="0" w:firstColumn="0" w:lastColumn="0" w:oddVBand="0" w:evenVBand="0" w:oddHBand="0" w:evenHBand="1" w:firstRowFirstColumn="0" w:firstRowLastColumn="0" w:lastRowFirstColumn="0" w:lastRowLastColumn="0"/>
              <w:rPr>
                <w:rFonts w:eastAsiaTheme="minorHAnsi"/>
                <w:color w:val="auto"/>
              </w:rPr>
            </w:pPr>
            <w:r w:rsidRPr="00CA1E2C">
              <w:t xml:space="preserve">Eleven projects were carried out in the first half of 2019 under the Space FSP in areas including satellite technologies, </w:t>
            </w:r>
            <w:r w:rsidR="00A71F0F">
              <w:t>EO</w:t>
            </w:r>
            <w:r w:rsidRPr="00CA1E2C">
              <w:t>, space object tracking, communications and signal processing, remote operations and resource utilisation, and biomedicine. This portfolio of activities will continue to grow in 2019-20.</w:t>
            </w:r>
          </w:p>
          <w:p w14:paraId="7E73A853" w14:textId="6863A588" w:rsidR="007F13DA" w:rsidRDefault="007F13DA" w:rsidP="00EA3FD0">
            <w:pPr>
              <w:jc w:val="left"/>
              <w:cnfStyle w:val="000000010000" w:firstRow="0" w:lastRow="0" w:firstColumn="0" w:lastColumn="0" w:oddVBand="0" w:evenVBand="0" w:oddHBand="0" w:evenHBand="1" w:firstRowFirstColumn="0" w:firstRowLastColumn="0" w:lastRowFirstColumn="0" w:lastRowLastColumn="0"/>
            </w:pPr>
            <w:r w:rsidRPr="00CA1E2C">
              <w:t xml:space="preserve">To support opportunities for Australian space start-ups and SMEs to develop research and business collaborations with CSIRO, the wider research sector, aerospace </w:t>
            </w:r>
            <w:r w:rsidR="00E05282">
              <w:t>P</w:t>
            </w:r>
            <w:r w:rsidRPr="00CA1E2C">
              <w:t xml:space="preserve">rimes, and space technology end-users, CSIRO held Space 2.0 Workshops in June and December 2018. </w:t>
            </w:r>
          </w:p>
          <w:p w14:paraId="367279C5" w14:textId="1B4E270E" w:rsidR="001619A0" w:rsidRPr="00CA1E2C" w:rsidRDefault="001619A0" w:rsidP="00EA3FD0">
            <w:pPr>
              <w:jc w:val="left"/>
              <w:cnfStyle w:val="000000010000" w:firstRow="0" w:lastRow="0" w:firstColumn="0" w:lastColumn="0" w:oddVBand="0" w:evenVBand="0" w:oddHBand="0" w:evenHBand="1" w:firstRowFirstColumn="0" w:firstRowLastColumn="0" w:lastRowFirstColumn="0" w:lastRowLastColumn="0"/>
            </w:pPr>
            <w:r w:rsidRPr="001619A0">
              <w:t>CSIRO also manages and operates the Australia Telescope National Facility (ATNF), including the Australian Square Kilometre Array Pathfinder, and will partner with the Square Kilometre Array Observatory to operate the SKA-Low telescope in Australia.</w:t>
            </w:r>
          </w:p>
          <w:p w14:paraId="3BC6CFAE" w14:textId="248C72E9" w:rsidR="007F13DA" w:rsidRPr="00EA3FD0" w:rsidRDefault="007F13DA" w:rsidP="00EA3FD0">
            <w:pPr>
              <w:jc w:val="left"/>
              <w:cnfStyle w:val="000000010000" w:firstRow="0" w:lastRow="0" w:firstColumn="0" w:lastColumn="0" w:oddVBand="0" w:evenVBand="0" w:oddHBand="0" w:evenHBand="1" w:firstRowFirstColumn="0" w:firstRowLastColumn="0" w:lastRowFirstColumn="0" w:lastRowLastColumn="0"/>
            </w:pPr>
            <w:r w:rsidRPr="00CA1E2C">
              <w:t xml:space="preserve">The Australian Square Kilometre Array Pathfinder (ASKAP) located at the Murchison Radio Observatory in the mid-west of WA is now in full operation using limited modes, and is just a few steps away from starting the key survey projects that will take advantage of its special capabilities. Key results and techniques generated through the development of ASKAP are contributing to the international Square Kilometre Array (SKA) design and development effort. ASKAP is also building industry involvement </w:t>
            </w:r>
            <w:r w:rsidR="00E05282">
              <w:t xml:space="preserve">in </w:t>
            </w:r>
            <w:r w:rsidRPr="00CA1E2C">
              <w:t xml:space="preserve">green energy power systems that will be relevant to the much larger SKA project. Early science </w:t>
            </w:r>
            <w:r w:rsidRPr="00CA1E2C">
              <w:lastRenderedPageBreak/>
              <w:t xml:space="preserve">with CSIRO’s innovative phased array feed receivers is already demonstrating breakthrough science discovery, for example in </w:t>
            </w:r>
            <w:r w:rsidR="00EA3FD0">
              <w:t xml:space="preserve">the area of Fast Radio Bursts. </w:t>
            </w:r>
          </w:p>
          <w:p w14:paraId="551A0932" w14:textId="77777777" w:rsidR="007F13DA" w:rsidRDefault="007F13DA" w:rsidP="00EA3FD0">
            <w:pPr>
              <w:jc w:val="left"/>
              <w:cnfStyle w:val="000000010000" w:firstRow="0" w:lastRow="0" w:firstColumn="0" w:lastColumn="0" w:oddVBand="0" w:evenVBand="0" w:oddHBand="0" w:evenHBand="1" w:firstRowFirstColumn="0" w:firstRowLastColumn="0" w:lastRowFirstColumn="0" w:lastRowLastColumn="0"/>
            </w:pPr>
            <w:r w:rsidRPr="00CA1E2C">
              <w:t xml:space="preserve">CSIRO is the centre agent for the Pawsey Supercomputing Centre (Perth), which is involved in a range of SKA-related activities. It supports two of the SKA precursor projects, the ASKAP and the Murchison </w:t>
            </w:r>
            <w:proofErr w:type="spellStart"/>
            <w:r w:rsidRPr="00CA1E2C">
              <w:t>Widefield</w:t>
            </w:r>
            <w:proofErr w:type="spellEnd"/>
            <w:r w:rsidRPr="00CA1E2C">
              <w:t xml:space="preserve"> Array (MWA), and is also working on projects with ESA.</w:t>
            </w:r>
          </w:p>
          <w:p w14:paraId="4C26A179" w14:textId="77777777" w:rsidR="001619A0" w:rsidRDefault="001619A0" w:rsidP="001619A0">
            <w:pPr>
              <w:jc w:val="left"/>
              <w:cnfStyle w:val="000000010000" w:firstRow="0" w:lastRow="0" w:firstColumn="0" w:lastColumn="0" w:oddVBand="0" w:evenVBand="0" w:oddHBand="0" w:evenHBand="1" w:firstRowFirstColumn="0" w:firstRowLastColumn="0" w:lastRowFirstColumn="0" w:lastRowLastColumn="0"/>
            </w:pPr>
            <w:r>
              <w:t xml:space="preserve">In addition to those mentioned above, a range of other space-related research and development activities are carried out across CSIRO, including: the CSIROSat-1 project; Earth observation data analytics and applications; high-performance materials and devices; advanced manufacturing processes; advanced communications technologies; extremely sensitive receiver technologies, and </w:t>
            </w:r>
            <w:proofErr w:type="spellStart"/>
            <w:r>
              <w:t>bistatic</w:t>
            </w:r>
            <w:proofErr w:type="spellEnd"/>
            <w:r>
              <w:t xml:space="preserve"> radar techniques for asteroid detection. </w:t>
            </w:r>
          </w:p>
          <w:p w14:paraId="38813353" w14:textId="3DDE9884" w:rsidR="00966420" w:rsidRPr="00CA1E2C" w:rsidRDefault="001619A0" w:rsidP="00EA3FD0">
            <w:pPr>
              <w:jc w:val="left"/>
              <w:cnfStyle w:val="000000010000" w:firstRow="0" w:lastRow="0" w:firstColumn="0" w:lastColumn="0" w:oddVBand="0" w:evenVBand="0" w:oddHBand="0" w:evenHBand="1" w:firstRowFirstColumn="0" w:firstRowLastColumn="0" w:lastRowFirstColumn="0" w:lastRowLastColumn="0"/>
            </w:pPr>
            <w:r>
              <w:t xml:space="preserve">CSIRO is a Supporting Participant of the newly established </w:t>
            </w:r>
            <w:proofErr w:type="spellStart"/>
            <w:r>
              <w:t>SmartSat</w:t>
            </w:r>
            <w:proofErr w:type="spellEnd"/>
            <w:r>
              <w:t xml:space="preserve"> Cooperative Research Centre, and a participant in several collaborative projects under the Defence Materials Technology Centre’s High Altitude Sensor Systems Program.</w:t>
            </w:r>
          </w:p>
        </w:tc>
      </w:tr>
      <w:tr w:rsidR="00966420" w:rsidRPr="00CA1E2C" w14:paraId="40745DB9" w14:textId="77777777" w:rsidTr="0074140F">
        <w:tc>
          <w:tcPr>
            <w:cnfStyle w:val="001000000000" w:firstRow="0" w:lastRow="0" w:firstColumn="1" w:lastColumn="0" w:oddVBand="0" w:evenVBand="0" w:oddHBand="0" w:evenHBand="0" w:firstRowFirstColumn="0" w:firstRowLastColumn="0" w:lastRowFirstColumn="0" w:lastRowLastColumn="0"/>
            <w:tcW w:w="1303" w:type="pct"/>
          </w:tcPr>
          <w:p w14:paraId="7D9BDC9F" w14:textId="77777777" w:rsidR="00966420" w:rsidRPr="008A7D08" w:rsidRDefault="00966420" w:rsidP="0074140F">
            <w:pPr>
              <w:pStyle w:val="TableText"/>
              <w:rPr>
                <w:rFonts w:ascii="Calibri" w:hAnsi="Calibri"/>
                <w:b w:val="0"/>
                <w:color w:val="FFFFFF" w:themeColor="background1"/>
                <w:szCs w:val="22"/>
              </w:rPr>
            </w:pPr>
            <w:r w:rsidRPr="008A7D08">
              <w:rPr>
                <w:rFonts w:ascii="Calibri" w:hAnsi="Calibri"/>
                <w:b w:val="0"/>
                <w:color w:val="FFFFFF" w:themeColor="background1"/>
                <w:szCs w:val="22"/>
              </w:rPr>
              <w:lastRenderedPageBreak/>
              <w:t>Department</w:t>
            </w:r>
            <w:r>
              <w:rPr>
                <w:rFonts w:ascii="Calibri" w:hAnsi="Calibri"/>
                <w:b w:val="0"/>
                <w:color w:val="FFFFFF" w:themeColor="background1"/>
                <w:szCs w:val="22"/>
              </w:rPr>
              <w:t xml:space="preserve"> of Communications and the Arts</w:t>
            </w:r>
          </w:p>
        </w:tc>
        <w:tc>
          <w:tcPr>
            <w:tcW w:w="3697" w:type="pct"/>
          </w:tcPr>
          <w:p w14:paraId="5F6BAA62" w14:textId="24DBD7F2" w:rsidR="001E5E29" w:rsidRPr="00CA1E2C" w:rsidRDefault="00E2320C" w:rsidP="001E5E29">
            <w:pPr>
              <w:jc w:val="left"/>
              <w:cnfStyle w:val="000000000000" w:firstRow="0" w:lastRow="0" w:firstColumn="0" w:lastColumn="0" w:oddVBand="0" w:evenVBand="0" w:oddHBand="0" w:evenHBand="0" w:firstRowFirstColumn="0" w:firstRowLastColumn="0" w:lastRowFirstColumn="0" w:lastRowLastColumn="0"/>
            </w:pPr>
            <w:r w:rsidRPr="00E2320C">
              <w:t xml:space="preserve">At WRC-19 new work streams will be established to support development of space </w:t>
            </w:r>
            <w:proofErr w:type="spellStart"/>
            <w:r w:rsidRPr="00E2320C">
              <w:t>radiocommunication</w:t>
            </w:r>
            <w:proofErr w:type="spellEnd"/>
            <w:r w:rsidRPr="00E2320C">
              <w:t xml:space="preserve"> technologies, including between satellites, between GSO and non-GSO satellites and aeroplanes,  high altitude transport (sub-orbital vehicles), between satellites and stations on the Earth’s surface (e.g. shipping), and space weather.</w:t>
            </w:r>
          </w:p>
        </w:tc>
      </w:tr>
      <w:tr w:rsidR="00966420" w:rsidRPr="00CA1E2C" w14:paraId="12426E49" w14:textId="77777777" w:rsidTr="007414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4B3C602B" w14:textId="77777777" w:rsidR="00966420" w:rsidRPr="008A7D08" w:rsidRDefault="00966420" w:rsidP="0074140F">
            <w:pPr>
              <w:pStyle w:val="TableText"/>
              <w:rPr>
                <w:rFonts w:ascii="Calibri" w:hAnsi="Calibri"/>
                <w:b w:val="0"/>
                <w:color w:val="FFFFFF" w:themeColor="background1"/>
                <w:szCs w:val="22"/>
              </w:rPr>
            </w:pPr>
            <w:r w:rsidRPr="008A7D08">
              <w:rPr>
                <w:rFonts w:ascii="Calibri" w:hAnsi="Calibri"/>
                <w:b w:val="0"/>
                <w:color w:val="FFFFFF" w:themeColor="background1"/>
                <w:szCs w:val="22"/>
              </w:rPr>
              <w:t>Department of Defence</w:t>
            </w:r>
          </w:p>
        </w:tc>
        <w:tc>
          <w:tcPr>
            <w:tcW w:w="3697" w:type="pct"/>
          </w:tcPr>
          <w:p w14:paraId="16B5EB4B" w14:textId="77777777" w:rsidR="004C57C6" w:rsidRDefault="007F13DA" w:rsidP="00A71F0F">
            <w:pPr>
              <w:jc w:val="left"/>
              <w:cnfStyle w:val="000000010000" w:firstRow="0" w:lastRow="0" w:firstColumn="0" w:lastColumn="0" w:oddVBand="0" w:evenVBand="0" w:oddHBand="0" w:evenHBand="1" w:firstRowFirstColumn="0" w:firstRowLastColumn="0" w:lastRowFirstColumn="0" w:lastRowLastColumn="0"/>
              <w:rPr>
                <w:rFonts w:cstheme="minorHAnsi"/>
                <w:szCs w:val="22"/>
              </w:rPr>
            </w:pPr>
            <w:r w:rsidRPr="00A71F0F">
              <w:rPr>
                <w:rFonts w:cstheme="minorHAnsi"/>
                <w:szCs w:val="22"/>
                <w:u w:val="single"/>
              </w:rPr>
              <w:t>D</w:t>
            </w:r>
            <w:r w:rsidR="00A71F0F" w:rsidRPr="00A71F0F">
              <w:rPr>
                <w:rFonts w:cstheme="minorHAnsi"/>
                <w:szCs w:val="22"/>
                <w:u w:val="single"/>
              </w:rPr>
              <w:t>efence Science and T</w:t>
            </w:r>
            <w:r w:rsidRPr="00A71F0F">
              <w:rPr>
                <w:rFonts w:cstheme="minorHAnsi"/>
                <w:szCs w:val="22"/>
                <w:u w:val="single"/>
              </w:rPr>
              <w:t>echnology Group</w:t>
            </w:r>
            <w:r w:rsidRPr="00CA1E2C">
              <w:rPr>
                <w:rFonts w:cstheme="minorHAnsi"/>
                <w:szCs w:val="22"/>
              </w:rPr>
              <w:t xml:space="preserve"> </w:t>
            </w:r>
          </w:p>
          <w:p w14:paraId="2E94A65C" w14:textId="19D3A925" w:rsidR="007F13DA" w:rsidRPr="00CA1E2C" w:rsidRDefault="007F13DA" w:rsidP="00A71F0F">
            <w:pPr>
              <w:jc w:val="left"/>
              <w:cnfStyle w:val="000000010000" w:firstRow="0" w:lastRow="0" w:firstColumn="0" w:lastColumn="0" w:oddVBand="0" w:evenVBand="0" w:oddHBand="0" w:evenHBand="1" w:firstRowFirstColumn="0" w:firstRowLastColumn="0" w:lastRowFirstColumn="0" w:lastRowLastColumn="0"/>
              <w:rPr>
                <w:rFonts w:cstheme="minorHAnsi"/>
                <w:szCs w:val="22"/>
              </w:rPr>
            </w:pPr>
            <w:r w:rsidRPr="00CA1E2C">
              <w:rPr>
                <w:rFonts w:cstheme="minorHAnsi"/>
                <w:szCs w:val="22"/>
              </w:rPr>
              <w:t>DST Group contributes significantly to the development of Australia’s space capabilities through a number of research and development programs in collaboration with intern</w:t>
            </w:r>
            <w:r w:rsidR="00A71F0F">
              <w:rPr>
                <w:rFonts w:cstheme="minorHAnsi"/>
                <w:szCs w:val="22"/>
              </w:rPr>
              <w:t xml:space="preserve">ational and domestic partners. </w:t>
            </w:r>
          </w:p>
          <w:p w14:paraId="12689275" w14:textId="3941F755" w:rsidR="007F13DA" w:rsidRPr="00CA1E2C" w:rsidRDefault="007F13DA" w:rsidP="00A71F0F">
            <w:pPr>
              <w:jc w:val="left"/>
              <w:cnfStyle w:val="000000010000" w:firstRow="0" w:lastRow="0" w:firstColumn="0" w:lastColumn="0" w:oddVBand="0" w:evenVBand="0" w:oddHBand="0" w:evenHBand="1" w:firstRowFirstColumn="0" w:firstRowLastColumn="0" w:lastRowFirstColumn="0" w:lastRowLastColumn="0"/>
              <w:rPr>
                <w:rFonts w:cstheme="minorHAnsi"/>
                <w:szCs w:val="22"/>
              </w:rPr>
            </w:pPr>
            <w:r w:rsidRPr="00CA1E2C">
              <w:rPr>
                <w:rFonts w:cstheme="minorHAnsi"/>
                <w:szCs w:val="22"/>
              </w:rPr>
              <w:t>DST commenced a strategic research initiative in space systems that has three core research areas: understanding the space environment, with a focus on space situational awareness; operating small satellites with innovative and niche capabilities and exploiting data from space-based systems contri</w:t>
            </w:r>
            <w:r w:rsidR="00A71F0F">
              <w:rPr>
                <w:rFonts w:cstheme="minorHAnsi"/>
                <w:szCs w:val="22"/>
              </w:rPr>
              <w:t>buting to defence capabilities.</w:t>
            </w:r>
          </w:p>
          <w:p w14:paraId="06DA6B1C" w14:textId="01F59645" w:rsidR="007F13DA" w:rsidRPr="00CA1E2C" w:rsidRDefault="007F13DA" w:rsidP="00A71F0F">
            <w:pPr>
              <w:jc w:val="left"/>
              <w:cnfStyle w:val="000000010000" w:firstRow="0" w:lastRow="0" w:firstColumn="0" w:lastColumn="0" w:oddVBand="0" w:evenVBand="0" w:oddHBand="0" w:evenHBand="1" w:firstRowFirstColumn="0" w:firstRowLastColumn="0" w:lastRowFirstColumn="0" w:lastRowLastColumn="0"/>
              <w:rPr>
                <w:rFonts w:cstheme="minorHAnsi"/>
                <w:szCs w:val="22"/>
              </w:rPr>
            </w:pPr>
            <w:r w:rsidRPr="00CA1E2C">
              <w:rPr>
                <w:rFonts w:cstheme="minorHAnsi"/>
                <w:szCs w:val="22"/>
              </w:rPr>
              <w:t xml:space="preserve">DST is contributing to the </w:t>
            </w:r>
            <w:r w:rsidRPr="00CA1E2C">
              <w:rPr>
                <w:rFonts w:cstheme="minorHAnsi"/>
                <w:i/>
                <w:szCs w:val="22"/>
              </w:rPr>
              <w:t>International Small-Satellite Command and Control Network</w:t>
            </w:r>
            <w:r w:rsidRPr="00CA1E2C">
              <w:rPr>
                <w:rFonts w:cstheme="minorHAnsi"/>
                <w:szCs w:val="22"/>
              </w:rPr>
              <w:t xml:space="preserve"> (I</w:t>
            </w:r>
            <w:r w:rsidR="00CD50A1">
              <w:rPr>
                <w:rFonts w:cstheme="minorHAnsi"/>
                <w:szCs w:val="22"/>
              </w:rPr>
              <w:t>S</w:t>
            </w:r>
            <w:r w:rsidRPr="00CA1E2C">
              <w:rPr>
                <w:rFonts w:cstheme="minorHAnsi"/>
                <w:szCs w:val="22"/>
              </w:rPr>
              <w:t>C2N) ground station network</w:t>
            </w:r>
            <w:r w:rsidR="00ED66AB">
              <w:rPr>
                <w:rFonts w:cstheme="minorHAnsi"/>
                <w:szCs w:val="22"/>
              </w:rPr>
              <w:t xml:space="preserve">. </w:t>
            </w:r>
            <w:r w:rsidRPr="00CA1E2C">
              <w:rPr>
                <w:rFonts w:cstheme="minorHAnsi"/>
                <w:szCs w:val="22"/>
              </w:rPr>
              <w:t>This multi-national ground station network will support Australian and international par</w:t>
            </w:r>
            <w:r w:rsidR="00A71F0F">
              <w:rPr>
                <w:rFonts w:cstheme="minorHAnsi"/>
                <w:szCs w:val="22"/>
              </w:rPr>
              <w:t xml:space="preserve">tner small satellite missions. </w:t>
            </w:r>
          </w:p>
          <w:p w14:paraId="6BAF6FDC" w14:textId="00A7EDAA" w:rsidR="007F13DA" w:rsidRPr="00A71F0F" w:rsidRDefault="007F13DA" w:rsidP="00A71F0F">
            <w:pPr>
              <w:jc w:val="left"/>
              <w:cnfStyle w:val="000000010000" w:firstRow="0" w:lastRow="0" w:firstColumn="0" w:lastColumn="0" w:oddVBand="0" w:evenVBand="0" w:oddHBand="0" w:evenHBand="1" w:firstRowFirstColumn="0" w:firstRowLastColumn="0" w:lastRowFirstColumn="0" w:lastRowLastColumn="0"/>
              <w:rPr>
                <w:rFonts w:eastAsiaTheme="minorHAnsi" w:cstheme="minorHAnsi"/>
                <w:color w:val="auto"/>
                <w:szCs w:val="22"/>
              </w:rPr>
            </w:pPr>
            <w:r w:rsidRPr="00CA1E2C">
              <w:rPr>
                <w:rFonts w:cstheme="minorHAnsi"/>
                <w:szCs w:val="22"/>
              </w:rPr>
              <w:t xml:space="preserve">DST is leading development of a Defence S&amp;T Strategy for Space to identify and invest in strategic space technologies that have the potential to deliver game-changing capabilities in Resilient Affordable Space Systems and Comprehensive Space Domain Awareness. </w:t>
            </w:r>
          </w:p>
          <w:p w14:paraId="2E155584" w14:textId="66E4653F" w:rsidR="007F13DA" w:rsidRPr="00CA1E2C" w:rsidRDefault="007F13DA" w:rsidP="00A71F0F">
            <w:pPr>
              <w:jc w:val="left"/>
              <w:cnfStyle w:val="000000010000" w:firstRow="0" w:lastRow="0" w:firstColumn="0" w:lastColumn="0" w:oddVBand="0" w:evenVBand="0" w:oddHBand="0" w:evenHBand="1" w:firstRowFirstColumn="0" w:firstRowLastColumn="0" w:lastRowFirstColumn="0" w:lastRowLastColumn="0"/>
              <w:rPr>
                <w:rFonts w:cstheme="minorHAnsi"/>
                <w:szCs w:val="22"/>
              </w:rPr>
            </w:pPr>
            <w:r w:rsidRPr="00CA1E2C">
              <w:rPr>
                <w:rFonts w:cstheme="minorHAnsi"/>
                <w:szCs w:val="22"/>
              </w:rPr>
              <w:t>DST Small Satellite development work continues. Following the successful comp</w:t>
            </w:r>
            <w:r w:rsidR="00085FFF">
              <w:rPr>
                <w:rFonts w:cstheme="minorHAnsi"/>
                <w:szCs w:val="22"/>
              </w:rPr>
              <w:t>l</w:t>
            </w:r>
            <w:r w:rsidRPr="00CA1E2C">
              <w:rPr>
                <w:rFonts w:cstheme="minorHAnsi"/>
                <w:szCs w:val="22"/>
              </w:rPr>
              <w:t>etion of the initial Buccaneer risk mitigation mission, in 2018, the main mission program has been commissioned for a launch in 2021</w:t>
            </w:r>
            <w:r w:rsidR="00A71F0F">
              <w:rPr>
                <w:rFonts w:cstheme="minorHAnsi"/>
                <w:szCs w:val="22"/>
              </w:rPr>
              <w:t xml:space="preserve">. </w:t>
            </w:r>
          </w:p>
          <w:p w14:paraId="270D9BB0" w14:textId="438C3AEA" w:rsidR="007F13DA" w:rsidRPr="00CA1E2C" w:rsidRDefault="007F13DA" w:rsidP="00A71F0F">
            <w:pPr>
              <w:jc w:val="left"/>
              <w:cnfStyle w:val="000000010000" w:firstRow="0" w:lastRow="0" w:firstColumn="0" w:lastColumn="0" w:oddVBand="0" w:evenVBand="0" w:oddHBand="0" w:evenHBand="1" w:firstRowFirstColumn="0" w:firstRowLastColumn="0" w:lastRowFirstColumn="0" w:lastRowLastColumn="0"/>
              <w:rPr>
                <w:rFonts w:cstheme="minorHAnsi"/>
                <w:szCs w:val="22"/>
              </w:rPr>
            </w:pPr>
            <w:r w:rsidRPr="00CA1E2C">
              <w:rPr>
                <w:rFonts w:cstheme="minorHAnsi"/>
                <w:szCs w:val="22"/>
              </w:rPr>
              <w:t>DST is contributing to the UNSW small satellite mission M2. In addition DST is supporting the CSIRO CSIROSat-1 mission with small satellite expertise and ground station</w:t>
            </w:r>
            <w:r w:rsidR="00A71F0F">
              <w:rPr>
                <w:rFonts w:cstheme="minorHAnsi"/>
                <w:szCs w:val="22"/>
              </w:rPr>
              <w:t xml:space="preserve"> support.</w:t>
            </w:r>
          </w:p>
          <w:p w14:paraId="501A76DE" w14:textId="0AA257F3" w:rsidR="007F13DA" w:rsidRPr="00CA1E2C" w:rsidRDefault="007F13DA" w:rsidP="00A71F0F">
            <w:pPr>
              <w:jc w:val="left"/>
              <w:cnfStyle w:val="000000010000" w:firstRow="0" w:lastRow="0" w:firstColumn="0" w:lastColumn="0" w:oddVBand="0" w:evenVBand="0" w:oddHBand="0" w:evenHBand="1" w:firstRowFirstColumn="0" w:firstRowLastColumn="0" w:lastRowFirstColumn="0" w:lastRowLastColumn="0"/>
              <w:rPr>
                <w:rFonts w:cstheme="minorHAnsi"/>
                <w:szCs w:val="22"/>
              </w:rPr>
            </w:pPr>
            <w:r w:rsidRPr="00CA1E2C">
              <w:rPr>
                <w:rFonts w:cstheme="minorHAnsi"/>
                <w:szCs w:val="22"/>
              </w:rPr>
              <w:lastRenderedPageBreak/>
              <w:t xml:space="preserve">Defence’s Next Generation Technologies Fund proposes to sponsor a Small Business Innovation Research for Defence challenge to develop </w:t>
            </w:r>
            <w:proofErr w:type="spellStart"/>
            <w:r w:rsidRPr="00CA1E2C">
              <w:rPr>
                <w:rFonts w:cstheme="minorHAnsi"/>
                <w:szCs w:val="22"/>
              </w:rPr>
              <w:t>Cubesat</w:t>
            </w:r>
            <w:proofErr w:type="spellEnd"/>
            <w:r w:rsidRPr="00CA1E2C">
              <w:rPr>
                <w:rFonts w:cstheme="minorHAnsi"/>
                <w:szCs w:val="22"/>
              </w:rPr>
              <w:t xml:space="preserve"> payloads for Earth Observation</w:t>
            </w:r>
            <w:r w:rsidR="00ED66AB">
              <w:rPr>
                <w:rFonts w:cstheme="minorHAnsi"/>
                <w:szCs w:val="22"/>
              </w:rPr>
              <w:t>.</w:t>
            </w:r>
            <w:r w:rsidRPr="00CA1E2C">
              <w:rPr>
                <w:rFonts w:cstheme="minorHAnsi"/>
                <w:szCs w:val="22"/>
              </w:rPr>
              <w:t xml:space="preserve"> The Fund also supported the </w:t>
            </w:r>
            <w:proofErr w:type="spellStart"/>
            <w:r w:rsidRPr="00CA1E2C">
              <w:rPr>
                <w:rFonts w:cstheme="minorHAnsi"/>
                <w:szCs w:val="22"/>
              </w:rPr>
              <w:t>SmartSat</w:t>
            </w:r>
            <w:proofErr w:type="spellEnd"/>
            <w:r w:rsidRPr="00CA1E2C">
              <w:rPr>
                <w:rFonts w:cstheme="minorHAnsi"/>
                <w:szCs w:val="22"/>
              </w:rPr>
              <w:t xml:space="preserve"> Cooperative Research Centre (CRC) bid with a commitment for a Defence tied fund. This CRC has now been established, with DST as a core partner. The </w:t>
            </w:r>
            <w:proofErr w:type="spellStart"/>
            <w:r w:rsidRPr="00CA1E2C">
              <w:rPr>
                <w:rFonts w:cstheme="minorHAnsi"/>
                <w:szCs w:val="22"/>
              </w:rPr>
              <w:t>SmartSat</w:t>
            </w:r>
            <w:proofErr w:type="spellEnd"/>
            <w:r w:rsidRPr="00CA1E2C">
              <w:rPr>
                <w:rFonts w:cstheme="minorHAnsi"/>
                <w:szCs w:val="22"/>
              </w:rPr>
              <w:t xml:space="preserve"> CRC will be the S&amp;T engine for both Defence and commercial programs in Australia.</w:t>
            </w:r>
          </w:p>
          <w:p w14:paraId="1D537F07" w14:textId="26E98D2E" w:rsidR="007F13DA" w:rsidRPr="00A71F0F" w:rsidRDefault="004C57C6" w:rsidP="00A71F0F">
            <w:pPr>
              <w:jc w:val="left"/>
              <w:cnfStyle w:val="000000010000" w:firstRow="0" w:lastRow="0" w:firstColumn="0" w:lastColumn="0" w:oddVBand="0" w:evenVBand="0" w:oddHBand="0" w:evenHBand="1" w:firstRowFirstColumn="0" w:firstRowLastColumn="0" w:lastRowFirstColumn="0" w:lastRowLastColumn="0"/>
              <w:rPr>
                <w:rFonts w:cstheme="minorHAnsi"/>
                <w:bCs/>
                <w:szCs w:val="22"/>
                <w:u w:val="single"/>
              </w:rPr>
            </w:pPr>
            <w:r>
              <w:t>DST</w:t>
            </w:r>
            <w:r w:rsidR="007F13DA" w:rsidRPr="00CA1E2C">
              <w:t xml:space="preserve"> hosted an Emerging Disruptive Technologies Assessment Symposium (EDTAS) on 5-6 March 2019 in Perth, which focused on Space Technologies.</w:t>
            </w:r>
            <w:r w:rsidR="007F13DA" w:rsidRPr="00CA1E2C">
              <w:rPr>
                <w:rFonts w:cstheme="minorHAnsi"/>
                <w:bCs/>
                <w:szCs w:val="22"/>
              </w:rPr>
              <w:t xml:space="preserve"> The symposium was co-hosted by Curtin University, Edith Cowan University, the University of Western Australia, and Murdoch University. Through this symposium, DST brought together internationally recognised academic, industry and Defence leaders in a multi-disciplinary workshop environment over two days to explore and shape the long-term vision for space technologies. More information on this symposium can be found at:</w:t>
            </w:r>
            <w:r w:rsidR="007F13DA" w:rsidRPr="00CA1E2C">
              <w:rPr>
                <w:rFonts w:cstheme="minorHAnsi"/>
                <w:bCs/>
                <w:szCs w:val="22"/>
                <w:u w:val="single"/>
              </w:rPr>
              <w:t xml:space="preserve"> </w:t>
            </w:r>
            <w:hyperlink r:id="rId28" w:tooltip="https://www.dst.defence.gov.au/NextGenTechFund/emerging-disruptive-technology-assessment-symposium-edtas" w:history="1">
              <w:r w:rsidR="007F13DA" w:rsidRPr="00CA1E2C">
                <w:rPr>
                  <w:rFonts w:cstheme="minorHAnsi"/>
                  <w:bCs/>
                  <w:color w:val="004976" w:themeColor="hyperlink"/>
                  <w:szCs w:val="22"/>
                  <w:u w:val="single"/>
                </w:rPr>
                <w:t>https://www.dst.defence.gov.au/NextGenTechFund/emerging-disruptive-technology-assessment-symposium-edtas</w:t>
              </w:r>
            </w:hyperlink>
          </w:p>
          <w:p w14:paraId="5EA86775" w14:textId="48D975F5" w:rsidR="004C57C6" w:rsidRDefault="007F13DA" w:rsidP="00A71F0F">
            <w:pPr>
              <w:jc w:val="left"/>
              <w:cnfStyle w:val="000000010000" w:firstRow="0" w:lastRow="0" w:firstColumn="0" w:lastColumn="0" w:oddVBand="0" w:evenVBand="0" w:oddHBand="0" w:evenHBand="1" w:firstRowFirstColumn="0" w:firstRowLastColumn="0" w:lastRowFirstColumn="0" w:lastRowLastColumn="0"/>
              <w:rPr>
                <w:rFonts w:cstheme="minorHAnsi"/>
                <w:szCs w:val="22"/>
                <w:u w:val="single"/>
              </w:rPr>
            </w:pPr>
            <w:r w:rsidRPr="00CA1E2C">
              <w:rPr>
                <w:rFonts w:cstheme="minorHAnsi"/>
                <w:szCs w:val="22"/>
                <w:u w:val="single"/>
              </w:rPr>
              <w:t xml:space="preserve">The Defence Innovation Hub </w:t>
            </w:r>
          </w:p>
          <w:p w14:paraId="273CF8F9" w14:textId="7D95E278" w:rsidR="007F13DA" w:rsidRPr="00CA1E2C" w:rsidRDefault="007F13DA" w:rsidP="00A71F0F">
            <w:pPr>
              <w:jc w:val="left"/>
              <w:cnfStyle w:val="000000010000" w:firstRow="0" w:lastRow="0" w:firstColumn="0" w:lastColumn="0" w:oddVBand="0" w:evenVBand="0" w:oddHBand="0" w:evenHBand="1" w:firstRowFirstColumn="0" w:firstRowLastColumn="0" w:lastRowFirstColumn="0" w:lastRowLastColumn="0"/>
              <w:rPr>
                <w:rFonts w:cstheme="minorHAnsi"/>
                <w:szCs w:val="22"/>
              </w:rPr>
            </w:pPr>
            <w:r w:rsidRPr="00CA1E2C">
              <w:rPr>
                <w:rFonts w:cstheme="minorHAnsi"/>
                <w:szCs w:val="22"/>
              </w:rPr>
              <w:t xml:space="preserve">Since its launch, the Defence Innovation Hub has invested over $21.5 million </w:t>
            </w:r>
            <w:r w:rsidR="00E05282">
              <w:rPr>
                <w:rFonts w:cstheme="minorHAnsi"/>
                <w:szCs w:val="22"/>
              </w:rPr>
              <w:t xml:space="preserve">in </w:t>
            </w:r>
            <w:r w:rsidRPr="00CA1E2C">
              <w:rPr>
                <w:rFonts w:cstheme="minorHAnsi"/>
                <w:szCs w:val="22"/>
              </w:rPr>
              <w:t>space related innovation projects. This includes:</w:t>
            </w:r>
          </w:p>
          <w:p w14:paraId="69284298" w14:textId="77777777" w:rsidR="007F13DA" w:rsidRPr="00A71F0F" w:rsidRDefault="007F13DA" w:rsidP="00A71F0F">
            <w:pPr>
              <w:pStyle w:val="ListBullet"/>
              <w:jc w:val="left"/>
              <w:cnfStyle w:val="000000010000" w:firstRow="0" w:lastRow="0" w:firstColumn="0" w:lastColumn="0" w:oddVBand="0" w:evenVBand="0" w:oddHBand="0" w:evenHBand="1" w:firstRowFirstColumn="0" w:firstRowLastColumn="0" w:lastRowFirstColumn="0" w:lastRowLastColumn="0"/>
            </w:pPr>
            <w:r w:rsidRPr="00A71F0F">
              <w:t xml:space="preserve">A $5.5 million innovation contract with Western Sydney University to develop neuromorphic vision systems for next-generation space situational awareness capability. The project will develop an optical imager designed for space surveillance based on dynamic range asynchronous array imaging technologies. </w:t>
            </w:r>
          </w:p>
          <w:p w14:paraId="488FAEC4" w14:textId="58207018" w:rsidR="007F13DA" w:rsidRPr="00A71F0F" w:rsidRDefault="007F13DA" w:rsidP="00A71F0F">
            <w:pPr>
              <w:pStyle w:val="ListBullet"/>
              <w:jc w:val="left"/>
              <w:cnfStyle w:val="000000010000" w:firstRow="0" w:lastRow="0" w:firstColumn="0" w:lastColumn="0" w:oddVBand="0" w:evenVBand="0" w:oddHBand="0" w:evenHBand="1" w:firstRowFirstColumn="0" w:firstRowLastColumn="0" w:lastRowFirstColumn="0" w:lastRowLastColumn="0"/>
            </w:pPr>
            <w:r w:rsidRPr="00A71F0F">
              <w:t xml:space="preserve">An innovation contract with </w:t>
            </w:r>
            <w:proofErr w:type="spellStart"/>
            <w:r w:rsidRPr="00A71F0F">
              <w:t>Inovor</w:t>
            </w:r>
            <w:proofErr w:type="spellEnd"/>
            <w:r w:rsidRPr="00A71F0F">
              <w:t xml:space="preserve"> Technologies to deliver a prototype nanosatellite that will enhanc</w:t>
            </w:r>
            <w:r w:rsidR="00A71F0F">
              <w:t xml:space="preserve">e space situational awareness. </w:t>
            </w:r>
            <w:r w:rsidRPr="00A71F0F">
              <w:t xml:space="preserve">This $5.7m investment will continue to expand Australia’s growing space capability and has potential to contribute to supporting the global space surveillance network. </w:t>
            </w:r>
          </w:p>
          <w:p w14:paraId="4B305E1C" w14:textId="77777777" w:rsidR="007F13DA" w:rsidRPr="00A71F0F" w:rsidRDefault="007F13DA" w:rsidP="00A71F0F">
            <w:pPr>
              <w:pStyle w:val="ListBullet"/>
              <w:jc w:val="left"/>
              <w:cnfStyle w:val="000000010000" w:firstRow="0" w:lastRow="0" w:firstColumn="0" w:lastColumn="0" w:oddVBand="0" w:evenVBand="0" w:oddHBand="0" w:evenHBand="1" w:firstRowFirstColumn="0" w:firstRowLastColumn="0" w:lastRowFirstColumn="0" w:lastRowLastColumn="0"/>
            </w:pPr>
            <w:r w:rsidRPr="00A71F0F">
              <w:t xml:space="preserve">Support for Defence satellite communications through two Innovation Hub contracts with EM Solutions for test and demonstrating a prototype communications antenna on Navy vessels ($5.8m) and to develop a low profile, flat panel antenna system ($1.9m).  </w:t>
            </w:r>
          </w:p>
          <w:p w14:paraId="199727E6" w14:textId="77777777" w:rsidR="007F13DA" w:rsidRPr="00A71F0F" w:rsidRDefault="007F13DA" w:rsidP="00A71F0F">
            <w:pPr>
              <w:pStyle w:val="ListBullet"/>
              <w:jc w:val="left"/>
              <w:cnfStyle w:val="000000010000" w:firstRow="0" w:lastRow="0" w:firstColumn="0" w:lastColumn="0" w:oddVBand="0" w:evenVBand="0" w:oddHBand="0" w:evenHBand="1" w:firstRowFirstColumn="0" w:firstRowLastColumn="0" w:lastRowFirstColumn="0" w:lastRowLastColumn="0"/>
            </w:pPr>
            <w:r w:rsidRPr="00A71F0F">
              <w:t>An innovation contract valued at $1.5 million with Saber Astronautics to develop and demonstrate technology that can autonomously identify and model electronic signals. This innovation has the potential to provide an enhanced electromagnetic spectrum operations decision support capability.</w:t>
            </w:r>
          </w:p>
          <w:p w14:paraId="56E26038" w14:textId="77777777" w:rsidR="007F13DA" w:rsidRPr="00A71F0F" w:rsidRDefault="007F13DA" w:rsidP="00A71F0F">
            <w:pPr>
              <w:pStyle w:val="ListBullet"/>
              <w:jc w:val="left"/>
              <w:cnfStyle w:val="000000010000" w:firstRow="0" w:lastRow="0" w:firstColumn="0" w:lastColumn="0" w:oddVBand="0" w:evenVBand="0" w:oddHBand="0" w:evenHBand="1" w:firstRowFirstColumn="0" w:firstRowLastColumn="0" w:lastRowFirstColumn="0" w:lastRowLastColumn="0"/>
            </w:pPr>
            <w:r w:rsidRPr="00A71F0F">
              <w:t xml:space="preserve">An $800,000 Phase 1 concept exploration contract with </w:t>
            </w:r>
            <w:proofErr w:type="spellStart"/>
            <w:r w:rsidRPr="00A71F0F">
              <w:t>Silentium</w:t>
            </w:r>
            <w:proofErr w:type="spellEnd"/>
            <w:r w:rsidRPr="00A71F0F">
              <w:t xml:space="preserve"> Defence to advance the concept of a system to enhance space situational awareness. </w:t>
            </w:r>
          </w:p>
          <w:p w14:paraId="459230FD" w14:textId="17B37CA8" w:rsidR="007F13DA" w:rsidRPr="00CA1E2C" w:rsidRDefault="007F13DA" w:rsidP="00A71F0F">
            <w:pPr>
              <w:jc w:val="left"/>
              <w:cnfStyle w:val="000000010000" w:firstRow="0" w:lastRow="0" w:firstColumn="0" w:lastColumn="0" w:oddVBand="0" w:evenVBand="0" w:oddHBand="0" w:evenHBand="1" w:firstRowFirstColumn="0" w:firstRowLastColumn="0" w:lastRowFirstColumn="0" w:lastRowLastColumn="0"/>
              <w:rPr>
                <w:rFonts w:cstheme="minorHAnsi"/>
                <w:szCs w:val="22"/>
              </w:rPr>
            </w:pPr>
            <w:r w:rsidRPr="00CA1E2C">
              <w:rPr>
                <w:rFonts w:cstheme="minorHAnsi"/>
                <w:szCs w:val="22"/>
              </w:rPr>
              <w:t>The Hub has also made investments in a range of other innovations wi</w:t>
            </w:r>
            <w:r w:rsidR="00A71F0F">
              <w:rPr>
                <w:rFonts w:cstheme="minorHAnsi"/>
                <w:szCs w:val="22"/>
              </w:rPr>
              <w:t xml:space="preserve">th space related applications. </w:t>
            </w:r>
            <w:r w:rsidRPr="00CA1E2C">
              <w:rPr>
                <w:rFonts w:cstheme="minorHAnsi"/>
                <w:szCs w:val="22"/>
              </w:rPr>
              <w:t>Australian industry can leverage opportunities for investment in space capabilities through the Defence Innovation Hub.</w:t>
            </w:r>
          </w:p>
          <w:p w14:paraId="758F15B4" w14:textId="1A5D32E9" w:rsidR="004C57C6" w:rsidRPr="005D7667" w:rsidRDefault="004C57C6" w:rsidP="00A71F0F">
            <w:pPr>
              <w:jc w:val="left"/>
              <w:cnfStyle w:val="000000010000" w:firstRow="0" w:lastRow="0" w:firstColumn="0" w:lastColumn="0" w:oddVBand="0" w:evenVBand="0" w:oddHBand="0" w:evenHBand="1" w:firstRowFirstColumn="0" w:firstRowLastColumn="0" w:lastRowFirstColumn="0" w:lastRowLastColumn="0"/>
              <w:rPr>
                <w:u w:val="single"/>
              </w:rPr>
            </w:pPr>
            <w:r w:rsidRPr="005D7667">
              <w:rPr>
                <w:u w:val="single"/>
              </w:rPr>
              <w:lastRenderedPageBreak/>
              <w:t>Other Defence Activities</w:t>
            </w:r>
          </w:p>
          <w:p w14:paraId="012CF9C4" w14:textId="77777777" w:rsidR="004C57C6" w:rsidRDefault="004C57C6" w:rsidP="004C57C6">
            <w:pPr>
              <w:jc w:val="left"/>
              <w:cnfStyle w:val="000000010000" w:firstRow="0" w:lastRow="0" w:firstColumn="0" w:lastColumn="0" w:oddVBand="0" w:evenVBand="0" w:oddHBand="0" w:evenHBand="1" w:firstRowFirstColumn="0" w:firstRowLastColumn="0" w:lastRowFirstColumn="0" w:lastRowLastColumn="0"/>
              <w:rPr>
                <w:rFonts w:cstheme="minorHAnsi"/>
                <w:bCs/>
                <w:szCs w:val="22"/>
              </w:rPr>
            </w:pPr>
            <w:r w:rsidRPr="00CA1E2C">
              <w:rPr>
                <w:rFonts w:cstheme="minorHAnsi"/>
                <w:bCs/>
                <w:szCs w:val="22"/>
              </w:rPr>
              <w:t>Defence is half-way through a three-year space research and development program between the University of New South Wales at the Australian Defence Force Academy in Canberra and the Royal Australian Air Force (RAAF) to deliver world-class space education to Defence personnel and inform the future direction of Defence space capability.</w:t>
            </w:r>
          </w:p>
          <w:p w14:paraId="664222EB" w14:textId="287B4D56" w:rsidR="00966420" w:rsidRPr="005D7667" w:rsidRDefault="004C57C6" w:rsidP="004C57C6">
            <w:pPr>
              <w:jc w:val="left"/>
              <w:cnfStyle w:val="000000010000" w:firstRow="0" w:lastRow="0" w:firstColumn="0" w:lastColumn="0" w:oddVBand="0" w:evenVBand="0" w:oddHBand="0" w:evenHBand="1" w:firstRowFirstColumn="0" w:firstRowLastColumn="0" w:lastRowFirstColumn="0" w:lastRowLastColumn="0"/>
              <w:rPr>
                <w:rFonts w:cstheme="minorHAnsi"/>
                <w:szCs w:val="22"/>
              </w:rPr>
            </w:pPr>
            <w:r w:rsidRPr="00CA1E2C">
              <w:t xml:space="preserve">Defence’s strategic and coordinated approach to the defence industry is </w:t>
            </w:r>
            <w:r>
              <w:t xml:space="preserve">also </w:t>
            </w:r>
            <w:r w:rsidRPr="00CA1E2C">
              <w:t>delivering greater support to the space sector. Notably, the Centre for Defence Industry Capability delivers advice and support to industry and intelligence, surveillance, reconnaissance, space and cyber have been identified as priority investment areas for both the Defence Innovation Hub and the Next Generation Technologies Fund.</w:t>
            </w:r>
          </w:p>
        </w:tc>
      </w:tr>
      <w:tr w:rsidR="00966420" w:rsidRPr="00CA1E2C" w14:paraId="01F65BF9" w14:textId="77777777" w:rsidTr="0074140F">
        <w:tc>
          <w:tcPr>
            <w:cnfStyle w:val="001000000000" w:firstRow="0" w:lastRow="0" w:firstColumn="1" w:lastColumn="0" w:oddVBand="0" w:evenVBand="0" w:oddHBand="0" w:evenHBand="0" w:firstRowFirstColumn="0" w:firstRowLastColumn="0" w:lastRowFirstColumn="0" w:lastRowLastColumn="0"/>
            <w:tcW w:w="1303" w:type="pct"/>
          </w:tcPr>
          <w:p w14:paraId="198DA2FD" w14:textId="0D4091FB" w:rsidR="00966420" w:rsidRPr="008A7D08" w:rsidRDefault="00966420" w:rsidP="007F13DA">
            <w:pPr>
              <w:pStyle w:val="TableText"/>
              <w:rPr>
                <w:rFonts w:ascii="Calibri" w:hAnsi="Calibri"/>
                <w:b w:val="0"/>
                <w:color w:val="FFFFFF" w:themeColor="background1"/>
                <w:szCs w:val="22"/>
              </w:rPr>
            </w:pPr>
            <w:r>
              <w:rPr>
                <w:rFonts w:ascii="Calibri" w:hAnsi="Calibri"/>
                <w:b w:val="0"/>
                <w:color w:val="FFFFFF" w:themeColor="background1"/>
                <w:szCs w:val="22"/>
              </w:rPr>
              <w:lastRenderedPageBreak/>
              <w:t xml:space="preserve">Department of </w:t>
            </w:r>
            <w:r w:rsidR="007F13DA">
              <w:rPr>
                <w:rFonts w:ascii="Calibri" w:hAnsi="Calibri"/>
                <w:b w:val="0"/>
                <w:color w:val="FFFFFF" w:themeColor="background1"/>
                <w:szCs w:val="22"/>
              </w:rPr>
              <w:t>Infrastructure, Regional Development and Cities</w:t>
            </w:r>
          </w:p>
        </w:tc>
        <w:tc>
          <w:tcPr>
            <w:tcW w:w="3697" w:type="pct"/>
          </w:tcPr>
          <w:p w14:paraId="69B28DCA" w14:textId="1D52AC45" w:rsidR="00966420" w:rsidRPr="00A71F0F" w:rsidRDefault="007F13DA" w:rsidP="00A71F0F">
            <w:pPr>
              <w:jc w:val="left"/>
              <w:cnfStyle w:val="000000000000" w:firstRow="0" w:lastRow="0" w:firstColumn="0" w:lastColumn="0" w:oddVBand="0" w:evenVBand="0" w:oddHBand="0" w:evenHBand="0" w:firstRowFirstColumn="0" w:firstRowLastColumn="0" w:lastRowFirstColumn="0" w:lastRowLastColumn="0"/>
              <w:rPr>
                <w:rFonts w:cstheme="minorHAnsi"/>
                <w:szCs w:val="22"/>
              </w:rPr>
            </w:pPr>
            <w:proofErr w:type="spellStart"/>
            <w:r w:rsidRPr="00CA1E2C">
              <w:rPr>
                <w:rFonts w:cstheme="minorHAnsi"/>
                <w:szCs w:val="22"/>
              </w:rPr>
              <w:t>Airservices</w:t>
            </w:r>
            <w:proofErr w:type="spellEnd"/>
            <w:r w:rsidRPr="00CA1E2C">
              <w:rPr>
                <w:rFonts w:cstheme="minorHAnsi"/>
                <w:szCs w:val="22"/>
              </w:rPr>
              <w:t xml:space="preserve"> Australia </w:t>
            </w:r>
            <w:r w:rsidR="00755985">
              <w:rPr>
                <w:rFonts w:cstheme="minorHAnsi"/>
                <w:szCs w:val="22"/>
              </w:rPr>
              <w:t>is</w:t>
            </w:r>
            <w:r w:rsidRPr="00CA1E2C">
              <w:rPr>
                <w:rFonts w:cstheme="minorHAnsi"/>
                <w:szCs w:val="22"/>
              </w:rPr>
              <w:t xml:space="preserve"> monitoring the development of a satellite based surveillance and communications capability. This capability would likely be the introduction of Automatic Dependent Surveillance - Broadcast (ADSB) predominantly for oceanic airspace surveillance and very high frequency (VHF) radio as a replacement for high frequency (HF) radio.</w:t>
            </w:r>
          </w:p>
        </w:tc>
      </w:tr>
      <w:tr w:rsidR="00966420" w:rsidRPr="00CA1E2C" w14:paraId="5CCC3DDA" w14:textId="77777777" w:rsidTr="007414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63330DE9" w14:textId="77777777" w:rsidR="00966420" w:rsidRPr="008A7D08" w:rsidRDefault="00966420" w:rsidP="0074140F">
            <w:pPr>
              <w:pStyle w:val="TableText"/>
              <w:rPr>
                <w:rFonts w:ascii="Calibri" w:hAnsi="Calibri"/>
                <w:b w:val="0"/>
                <w:color w:val="FFFFFF" w:themeColor="background1"/>
                <w:szCs w:val="22"/>
              </w:rPr>
            </w:pPr>
            <w:r w:rsidRPr="008A7D08">
              <w:rPr>
                <w:rFonts w:ascii="Calibri" w:hAnsi="Calibri"/>
                <w:b w:val="0"/>
                <w:color w:val="FFFFFF" w:themeColor="background1"/>
                <w:szCs w:val="22"/>
              </w:rPr>
              <w:t>Geoscience Australia</w:t>
            </w:r>
          </w:p>
        </w:tc>
        <w:tc>
          <w:tcPr>
            <w:tcW w:w="3697" w:type="pct"/>
          </w:tcPr>
          <w:p w14:paraId="4CE73683" w14:textId="43B95189" w:rsidR="00EA3FD0" w:rsidRPr="00CA1E2C" w:rsidRDefault="00EA3FD0" w:rsidP="00A71F0F">
            <w:pPr>
              <w:jc w:val="left"/>
              <w:cnfStyle w:val="000000010000" w:firstRow="0" w:lastRow="0" w:firstColumn="0" w:lastColumn="0" w:oddVBand="0" w:evenVBand="0" w:oddHBand="0" w:evenHBand="1" w:firstRowFirstColumn="0" w:firstRowLastColumn="0" w:lastRowFirstColumn="0" w:lastRowLastColumn="0"/>
              <w:rPr>
                <w:szCs w:val="22"/>
              </w:rPr>
            </w:pPr>
            <w:r w:rsidRPr="00CA1E2C">
              <w:rPr>
                <w:szCs w:val="22"/>
              </w:rPr>
              <w:t xml:space="preserve">During 2018-19, DEA significantly increased its engagement with Australian businesses, especially in the agricultural sector. In March 2019, DEA released its Industry Strategy, developed in consultation with over 500 individuals from across a range of industry sectors. The </w:t>
            </w:r>
            <w:r w:rsidR="00F76312">
              <w:rPr>
                <w:szCs w:val="22"/>
              </w:rPr>
              <w:t xml:space="preserve">Industry </w:t>
            </w:r>
            <w:r w:rsidRPr="00CA1E2C">
              <w:rPr>
                <w:szCs w:val="22"/>
              </w:rPr>
              <w:t>Strategy articulates how DEA plans to maximise the benefits of EOS across the Australian economy and ensure the market for Australian-made EOS products and services grows significantly.</w:t>
            </w:r>
          </w:p>
          <w:p w14:paraId="5D23123C" w14:textId="77777777" w:rsidR="00EA3FD0" w:rsidRPr="00CA1E2C" w:rsidRDefault="00EA3FD0" w:rsidP="00A71F0F">
            <w:pPr>
              <w:jc w:val="left"/>
              <w:cnfStyle w:val="000000010000" w:firstRow="0" w:lastRow="0" w:firstColumn="0" w:lastColumn="0" w:oddVBand="0" w:evenVBand="0" w:oddHBand="0" w:evenHBand="1" w:firstRowFirstColumn="0" w:firstRowLastColumn="0" w:lastRowFirstColumn="0" w:lastRowLastColumn="0"/>
              <w:rPr>
                <w:szCs w:val="22"/>
              </w:rPr>
            </w:pPr>
            <w:r w:rsidRPr="00CA1E2C">
              <w:rPr>
                <w:szCs w:val="22"/>
              </w:rPr>
              <w:t xml:space="preserve">The first and most visible part of the DEA Industry Strategy - DEA Labs – was announced in May 2019. DEA Labs is a small-scale incubator program designed to accelerate the adoption of DEA services and technology by Australian businesses. The program supports businesses to prototype, test, refine and operationalise solutions that solve existing problems or gaps in domestic markets across sectors. </w:t>
            </w:r>
          </w:p>
          <w:p w14:paraId="257F6F0D" w14:textId="4D8DF8B9" w:rsidR="00EA3FD0" w:rsidRPr="00CA1E2C" w:rsidRDefault="00EA3FD0" w:rsidP="00A71F0F">
            <w:pPr>
              <w:jc w:val="left"/>
              <w:cnfStyle w:val="000000010000" w:firstRow="0" w:lastRow="0" w:firstColumn="0" w:lastColumn="0" w:oddVBand="0" w:evenVBand="0" w:oddHBand="0" w:evenHBand="1" w:firstRowFirstColumn="0" w:firstRowLastColumn="0" w:lastRowFirstColumn="0" w:lastRowLastColumn="0"/>
              <w:rPr>
                <w:szCs w:val="22"/>
              </w:rPr>
            </w:pPr>
            <w:r w:rsidRPr="00CA1E2C">
              <w:rPr>
                <w:szCs w:val="22"/>
              </w:rPr>
              <w:t xml:space="preserve">In its pilot round, DEA received over 30 expressions of interest. Three businesses were successful in their bids: </w:t>
            </w:r>
            <w:proofErr w:type="spellStart"/>
            <w:r w:rsidRPr="00CA1E2C">
              <w:rPr>
                <w:szCs w:val="22"/>
              </w:rPr>
              <w:t>Cibo</w:t>
            </w:r>
            <w:proofErr w:type="spellEnd"/>
            <w:r w:rsidRPr="00CA1E2C">
              <w:rPr>
                <w:szCs w:val="22"/>
              </w:rPr>
              <w:t xml:space="preserve"> Labs Pty Ltd, </w:t>
            </w:r>
            <w:proofErr w:type="spellStart"/>
            <w:r w:rsidRPr="00CA1E2C">
              <w:rPr>
                <w:szCs w:val="22"/>
              </w:rPr>
              <w:t>DataFarming</w:t>
            </w:r>
            <w:proofErr w:type="spellEnd"/>
            <w:r w:rsidRPr="00CA1E2C">
              <w:rPr>
                <w:szCs w:val="22"/>
              </w:rPr>
              <w:t xml:space="preserve"> Pty Ltd, and NGIS Pty Ltd. Each business receive</w:t>
            </w:r>
            <w:r w:rsidR="00CA3226">
              <w:rPr>
                <w:szCs w:val="22"/>
              </w:rPr>
              <w:t>s</w:t>
            </w:r>
            <w:r w:rsidRPr="00CA1E2C">
              <w:rPr>
                <w:szCs w:val="22"/>
              </w:rPr>
              <w:t xml:space="preserve"> $50,000 and access to DEA expertise to test and develop their proposal and deliver products for commercial release. A further five shortlisted proposals will receive non</w:t>
            </w:r>
            <w:r w:rsidRPr="00CA1E2C">
              <w:rPr>
                <w:rFonts w:ascii="Cambria Math" w:hAnsi="Cambria Math" w:cs="Cambria Math"/>
                <w:szCs w:val="22"/>
              </w:rPr>
              <w:t>‑</w:t>
            </w:r>
            <w:r w:rsidRPr="00CA1E2C">
              <w:rPr>
                <w:szCs w:val="22"/>
              </w:rPr>
              <w:t xml:space="preserve">financial technical support and advice from DEA experts. </w:t>
            </w:r>
          </w:p>
          <w:p w14:paraId="24D404BD" w14:textId="77777777" w:rsidR="00EA3FD0" w:rsidRPr="00CA1E2C" w:rsidRDefault="00EA3FD0" w:rsidP="00A71F0F">
            <w:pPr>
              <w:jc w:val="left"/>
              <w:cnfStyle w:val="000000010000" w:firstRow="0" w:lastRow="0" w:firstColumn="0" w:lastColumn="0" w:oddVBand="0" w:evenVBand="0" w:oddHBand="0" w:evenHBand="1" w:firstRowFirstColumn="0" w:firstRowLastColumn="0" w:lastRowFirstColumn="0" w:lastRowLastColumn="0"/>
            </w:pPr>
            <w:r w:rsidRPr="00CA1E2C">
              <w:t xml:space="preserve">GA works closely with the research community and established networks, </w:t>
            </w:r>
            <w:r w:rsidRPr="00CA1E2C">
              <w:rPr>
                <w:szCs w:val="22"/>
              </w:rPr>
              <w:t>like the Terrestrial Ecosystem Research Network (TERN) facility of the National Collaborative Research Infrastructure Strategy (NCRIS)</w:t>
            </w:r>
            <w:r w:rsidRPr="00CA1E2C">
              <w:t>, to help identify areas where Earth observation datasets and applications will be of future interest to Australian Government users and the private sector.</w:t>
            </w:r>
          </w:p>
          <w:p w14:paraId="38A9952A" w14:textId="3DA060D7" w:rsidR="00966420" w:rsidRPr="00CA3226" w:rsidRDefault="00EA3FD0" w:rsidP="00A71F0F">
            <w:pPr>
              <w:jc w:val="left"/>
              <w:cnfStyle w:val="000000010000" w:firstRow="0" w:lastRow="0" w:firstColumn="0" w:lastColumn="0" w:oddVBand="0" w:evenVBand="0" w:oddHBand="0" w:evenHBand="1" w:firstRowFirstColumn="0" w:firstRowLastColumn="0" w:lastRowFirstColumn="0" w:lastRowLastColumn="0"/>
              <w:rPr>
                <w:szCs w:val="22"/>
              </w:rPr>
            </w:pPr>
            <w:r w:rsidRPr="00CA1E2C">
              <w:rPr>
                <w:szCs w:val="22"/>
              </w:rPr>
              <w:t>GA works closely with users and employees within the NCRIS facilities to ensure that EOS datasets are consistent across resea</w:t>
            </w:r>
            <w:r w:rsidR="00CA3226">
              <w:rPr>
                <w:szCs w:val="22"/>
              </w:rPr>
              <w:t xml:space="preserve">rch and operational platforms. </w:t>
            </w:r>
          </w:p>
        </w:tc>
      </w:tr>
    </w:tbl>
    <w:p w14:paraId="15C48281" w14:textId="6ADF680F" w:rsidR="00755985" w:rsidRDefault="00755985">
      <w:pPr>
        <w:spacing w:after="0"/>
        <w:rPr>
          <w:rFonts w:asciiTheme="majorHAnsi" w:hAnsiTheme="majorHAnsi" w:cstheme="majorHAnsi"/>
          <w:b/>
          <w:bCs/>
          <w:color w:val="004976" w:themeColor="background2"/>
          <w:sz w:val="32"/>
          <w:szCs w:val="26"/>
        </w:rPr>
      </w:pPr>
    </w:p>
    <w:p w14:paraId="19EE3FD6" w14:textId="08573CCF" w:rsidR="00B20CEF" w:rsidRPr="00CA1E2C" w:rsidRDefault="00B20CEF" w:rsidP="0086627A">
      <w:pPr>
        <w:pStyle w:val="Heading3"/>
      </w:pPr>
      <w:r w:rsidRPr="00CA1E2C">
        <w:lastRenderedPageBreak/>
        <w:t>Robotics and Automation</w:t>
      </w:r>
    </w:p>
    <w:p w14:paraId="7077B185" w14:textId="67D0F7C2" w:rsidR="0086627A" w:rsidRPr="005F263D" w:rsidRDefault="0086627A" w:rsidP="005F263D">
      <w:pPr>
        <w:pStyle w:val="TableText"/>
        <w:rPr>
          <w:i/>
        </w:rPr>
      </w:pPr>
      <w:r w:rsidRPr="005F263D">
        <w:rPr>
          <w:i/>
        </w:rPr>
        <w:t xml:space="preserve">Australia is a world leader in remote asset management in industries including mining, oil and gas, transport, agriculture, and fisheries. Australia can leverage its expertise in </w:t>
      </w:r>
      <w:r w:rsidR="005F263D" w:rsidRPr="005F263D">
        <w:rPr>
          <w:i/>
        </w:rPr>
        <w:t>robotics technology and systems for remote operation and exploration in space. Such systems are becoming more accessible with the lowering cost to access space.</w:t>
      </w:r>
    </w:p>
    <w:p w14:paraId="5ABB9068" w14:textId="46641B34" w:rsidR="008C410A" w:rsidRDefault="00111D58" w:rsidP="00454F9F">
      <w:r w:rsidRPr="00CA1E2C">
        <w:t xml:space="preserve">Robotics and automation will play an increasing role in space activities in the coming decade. To support this capability, one of the initial projects supported by the </w:t>
      </w:r>
      <w:r w:rsidR="00CF6151">
        <w:t>SIF</w:t>
      </w:r>
      <w:r w:rsidRPr="00CA1E2C">
        <w:t xml:space="preserve"> will be a Robotics, Automation and AI Command and Control Centre located in Western Australi</w:t>
      </w:r>
      <w:r w:rsidR="005F263D">
        <w:t xml:space="preserve">a to commence in 2019-20 </w:t>
      </w:r>
      <w:r w:rsidR="005F263D" w:rsidRPr="00CA1E2C">
        <w:t xml:space="preserve">to enable developments in </w:t>
      </w:r>
      <w:r w:rsidR="008C410A">
        <w:t xml:space="preserve">space-related robotics and AI. </w:t>
      </w:r>
    </w:p>
    <w:p w14:paraId="69396918" w14:textId="268FD5AB" w:rsidR="00A52E32" w:rsidRPr="004E38FF" w:rsidRDefault="008C410A" w:rsidP="005D7667">
      <w:r>
        <w:rPr>
          <w:rFonts w:cstheme="minorHAnsi"/>
          <w:szCs w:val="22"/>
        </w:rPr>
        <w:t xml:space="preserve">The Agency </w:t>
      </w:r>
      <w:r w:rsidR="00CF6151">
        <w:rPr>
          <w:rFonts w:cstheme="minorHAnsi"/>
          <w:szCs w:val="22"/>
        </w:rPr>
        <w:t xml:space="preserve">also </w:t>
      </w:r>
      <w:r>
        <w:rPr>
          <w:rFonts w:cstheme="minorHAnsi"/>
          <w:szCs w:val="22"/>
        </w:rPr>
        <w:t>f</w:t>
      </w:r>
      <w:r w:rsidRPr="00CA1E2C">
        <w:rPr>
          <w:rFonts w:cstheme="minorHAnsi"/>
          <w:szCs w:val="22"/>
        </w:rPr>
        <w:t>acilitat</w:t>
      </w:r>
      <w:r>
        <w:rPr>
          <w:rFonts w:cstheme="minorHAnsi"/>
          <w:szCs w:val="22"/>
        </w:rPr>
        <w:t>ed a Priority Area workshop on robotics and a</w:t>
      </w:r>
      <w:r w:rsidRPr="00CA1E2C">
        <w:rPr>
          <w:rFonts w:cstheme="minorHAnsi"/>
          <w:szCs w:val="22"/>
        </w:rPr>
        <w:t>utomation</w:t>
      </w:r>
      <w:r>
        <w:rPr>
          <w:rFonts w:cstheme="minorHAnsi"/>
          <w:szCs w:val="22"/>
        </w:rPr>
        <w:t xml:space="preserve">. </w:t>
      </w:r>
      <w:r w:rsidR="00183826">
        <w:t xml:space="preserve">This was the first workshop hosted across the government, research, education and private sectors. The workshop was organised to understand Australia’s capabilities and consider opportunities for the future. The results were used to inform the </w:t>
      </w:r>
      <w:r w:rsidR="00183826" w:rsidRPr="0039620C">
        <w:rPr>
          <w:i/>
        </w:rPr>
        <w:t>Australian Space Civil Strategy</w:t>
      </w:r>
      <w:r w:rsidR="00183826">
        <w:t xml:space="preserve"> and to inform the development of a roadmap to highlight opportunities for Australia.</w:t>
      </w:r>
      <w:r w:rsidR="004E38FF">
        <w:t xml:space="preserve"> </w:t>
      </w:r>
      <w:r w:rsidR="005F263D">
        <w:t xml:space="preserve">The </w:t>
      </w:r>
      <w:r w:rsidR="00F76312" w:rsidRPr="005D7667">
        <w:rPr>
          <w:i/>
        </w:rPr>
        <w:t xml:space="preserve">Australian Civil Space </w:t>
      </w:r>
      <w:r w:rsidR="005F263D" w:rsidRPr="005D7667">
        <w:rPr>
          <w:i/>
        </w:rPr>
        <w:t>Strategy</w:t>
      </w:r>
      <w:r w:rsidR="005F263D">
        <w:t xml:space="preserve"> identifies this Priority Area as part of Phase 3 (2021-2028), delivering success.</w:t>
      </w:r>
    </w:p>
    <w:p w14:paraId="3008EFF4" w14:textId="42FE0340" w:rsidR="00B20CEF" w:rsidRDefault="00B20CEF" w:rsidP="00A52E32">
      <w:pPr>
        <w:pStyle w:val="Heading3"/>
      </w:pPr>
      <w:r w:rsidRPr="00CA1E2C">
        <w:t>Access to space</w:t>
      </w:r>
    </w:p>
    <w:p w14:paraId="226DCCFB" w14:textId="665C3A1C" w:rsidR="00966420" w:rsidRPr="00240509" w:rsidRDefault="00A52E32" w:rsidP="00240509">
      <w:pPr>
        <w:pStyle w:val="TableText"/>
        <w:rPr>
          <w:i/>
        </w:rPr>
      </w:pPr>
      <w:r w:rsidRPr="00240509">
        <w:rPr>
          <w:i/>
        </w:rPr>
        <w:t xml:space="preserve">There are emerging opportunities for Australia to leverage international space missions and commercial launch activities from Australian territory to support industry growth. Protecting national safety and meeting international and national obligations will be critical before domestic launch </w:t>
      </w:r>
      <w:r w:rsidR="00240509">
        <w:rPr>
          <w:i/>
        </w:rPr>
        <w:t>c</w:t>
      </w:r>
      <w:r w:rsidRPr="00240509">
        <w:rPr>
          <w:i/>
        </w:rPr>
        <w:t xml:space="preserve">an occur. </w:t>
      </w:r>
    </w:p>
    <w:p w14:paraId="57A39022" w14:textId="599FF981" w:rsidR="009509FA" w:rsidRPr="005D7667" w:rsidRDefault="009509FA" w:rsidP="00240509">
      <w:pPr>
        <w:rPr>
          <w:rFonts w:eastAsia="Times New Roman" w:cstheme="minorHAnsi"/>
          <w:color w:val="auto"/>
          <w:szCs w:val="22"/>
        </w:rPr>
      </w:pPr>
      <w:r w:rsidRPr="005D7667">
        <w:rPr>
          <w:rFonts w:eastAsia="Times New Roman" w:cstheme="minorHAnsi"/>
          <w:color w:val="auto"/>
          <w:szCs w:val="22"/>
        </w:rPr>
        <w:t>The global space sector is being transformed, opening up opportunities for companies small, medium and large.</w:t>
      </w:r>
      <w:r w:rsidR="008059C1" w:rsidRPr="005D7667">
        <w:rPr>
          <w:rFonts w:eastAsia="Times New Roman" w:cstheme="minorHAnsi"/>
          <w:color w:val="auto"/>
          <w:szCs w:val="22"/>
        </w:rPr>
        <w:t xml:space="preserve"> </w:t>
      </w:r>
      <w:r w:rsidRPr="005D7667">
        <w:rPr>
          <w:rFonts w:eastAsia="Times New Roman" w:cstheme="minorHAnsi"/>
          <w:color w:val="auto"/>
          <w:szCs w:val="22"/>
        </w:rPr>
        <w:t>To keep pace with these changes, the Australian Government has reviewed the regulatory framework to ensure it remains appropriate for the Australian context.</w:t>
      </w:r>
      <w:r w:rsidR="009868C6" w:rsidRPr="005D7667">
        <w:rPr>
          <w:rFonts w:eastAsia="Times New Roman" w:cstheme="minorHAnsi"/>
          <w:color w:val="auto"/>
          <w:szCs w:val="22"/>
        </w:rPr>
        <w:t xml:space="preserve"> The findings of the review </w:t>
      </w:r>
      <w:r w:rsidR="0073015F">
        <w:rPr>
          <w:rFonts w:eastAsia="Times New Roman" w:cstheme="minorHAnsi"/>
          <w:color w:val="auto"/>
          <w:szCs w:val="22"/>
        </w:rPr>
        <w:t>will be</w:t>
      </w:r>
      <w:r w:rsidR="009868C6" w:rsidRPr="005D7667">
        <w:rPr>
          <w:rFonts w:eastAsia="Times New Roman" w:cstheme="minorHAnsi"/>
          <w:color w:val="auto"/>
          <w:szCs w:val="22"/>
        </w:rPr>
        <w:t xml:space="preserve"> implemented in the </w:t>
      </w:r>
      <w:r w:rsidR="009868C6" w:rsidRPr="005D7667">
        <w:rPr>
          <w:i/>
          <w:color w:val="auto"/>
        </w:rPr>
        <w:t>Space (Launches and Returns) Act 2018.</w:t>
      </w:r>
      <w:r w:rsidR="009868C6" w:rsidRPr="005D7667">
        <w:rPr>
          <w:color w:val="auto"/>
        </w:rPr>
        <w:t xml:space="preserve"> </w:t>
      </w:r>
      <w:r w:rsidR="009868C6" w:rsidRPr="005D7667">
        <w:rPr>
          <w:rFonts w:eastAsia="Times New Roman" w:cstheme="minorHAnsi"/>
          <w:color w:val="auto"/>
          <w:szCs w:val="22"/>
        </w:rPr>
        <w:t xml:space="preserve"> </w:t>
      </w:r>
    </w:p>
    <w:p w14:paraId="38DD578C" w14:textId="77777777" w:rsidR="009509FA" w:rsidRPr="005D7667" w:rsidRDefault="009509FA" w:rsidP="00240509">
      <w:pPr>
        <w:rPr>
          <w:rFonts w:eastAsia="Times New Roman" w:cstheme="minorHAnsi"/>
          <w:color w:val="auto"/>
          <w:szCs w:val="22"/>
        </w:rPr>
      </w:pPr>
      <w:r w:rsidRPr="005D7667">
        <w:rPr>
          <w:rFonts w:eastAsia="Times New Roman" w:cstheme="minorHAnsi"/>
          <w:color w:val="auto"/>
          <w:szCs w:val="22"/>
        </w:rPr>
        <w:t>The updated framework provides greater clarity and flexibility for the Australian space industry and ensures there is appropriate consideration of:</w:t>
      </w:r>
    </w:p>
    <w:p w14:paraId="1E745E9E" w14:textId="77777777" w:rsidR="009509FA" w:rsidRPr="005D7667" w:rsidRDefault="009509FA" w:rsidP="00240509">
      <w:pPr>
        <w:pStyle w:val="ListBullet"/>
        <w:rPr>
          <w:color w:val="auto"/>
        </w:rPr>
      </w:pPr>
      <w:r w:rsidRPr="005D7667">
        <w:rPr>
          <w:color w:val="auto"/>
        </w:rPr>
        <w:t>the removal of barriers to participation, encouraging innovation and entrepreneurship</w:t>
      </w:r>
    </w:p>
    <w:p w14:paraId="715E952F" w14:textId="77777777" w:rsidR="009509FA" w:rsidRPr="005D7667" w:rsidRDefault="009509FA" w:rsidP="00240509">
      <w:pPr>
        <w:pStyle w:val="ListBullet"/>
        <w:rPr>
          <w:color w:val="auto"/>
        </w:rPr>
      </w:pPr>
      <w:r w:rsidRPr="005D7667">
        <w:rPr>
          <w:color w:val="auto"/>
        </w:rPr>
        <w:t>the safety of space activities and the risk of damage to persons or property as a result of these activities</w:t>
      </w:r>
    </w:p>
    <w:p w14:paraId="548E1858" w14:textId="49411D2B" w:rsidR="009509FA" w:rsidRPr="005D7667" w:rsidRDefault="009509FA" w:rsidP="00240509">
      <w:pPr>
        <w:pStyle w:val="ListBullet"/>
        <w:rPr>
          <w:color w:val="auto"/>
        </w:rPr>
      </w:pPr>
      <w:proofErr w:type="gramStart"/>
      <w:r w:rsidRPr="005D7667">
        <w:rPr>
          <w:color w:val="auto"/>
        </w:rPr>
        <w:t>the</w:t>
      </w:r>
      <w:proofErr w:type="gramEnd"/>
      <w:r w:rsidRPr="005D7667">
        <w:rPr>
          <w:color w:val="auto"/>
        </w:rPr>
        <w:t xml:space="preserve"> implementation of certain obligations under the UN Space Treaties</w:t>
      </w:r>
      <w:r w:rsidR="00627E31">
        <w:rPr>
          <w:color w:val="auto"/>
        </w:rPr>
        <w:t>.</w:t>
      </w:r>
    </w:p>
    <w:p w14:paraId="61EA2BCB" w14:textId="28C71A47" w:rsidR="00B20CEF" w:rsidRDefault="009509FA" w:rsidP="00240509">
      <w:pPr>
        <w:rPr>
          <w:rFonts w:eastAsia="Times New Roman" w:cstheme="minorHAnsi"/>
          <w:color w:val="000000" w:themeColor="text1"/>
          <w:szCs w:val="22"/>
        </w:rPr>
      </w:pPr>
      <w:r w:rsidRPr="005D7667">
        <w:rPr>
          <w:rFonts w:eastAsia="Times New Roman" w:cstheme="minorHAnsi"/>
          <w:color w:val="auto"/>
          <w:szCs w:val="22"/>
        </w:rPr>
        <w:t xml:space="preserve">The updated </w:t>
      </w:r>
      <w:r w:rsidR="00627E31">
        <w:rPr>
          <w:color w:val="auto"/>
        </w:rPr>
        <w:t xml:space="preserve">Act </w:t>
      </w:r>
      <w:r w:rsidR="00B049A5" w:rsidRPr="005D7667">
        <w:rPr>
          <w:rFonts w:eastAsia="Times New Roman" w:cstheme="minorHAnsi"/>
          <w:color w:val="auto"/>
          <w:szCs w:val="22"/>
        </w:rPr>
        <w:t>also</w:t>
      </w:r>
      <w:r w:rsidRPr="005D7667">
        <w:rPr>
          <w:rFonts w:eastAsia="Times New Roman" w:cstheme="minorHAnsi"/>
          <w:color w:val="auto"/>
          <w:szCs w:val="22"/>
        </w:rPr>
        <w:t xml:space="preserve"> broadens </w:t>
      </w:r>
      <w:r w:rsidRPr="001968AE">
        <w:rPr>
          <w:rFonts w:eastAsia="Times New Roman" w:cstheme="minorHAnsi"/>
          <w:color w:val="000000" w:themeColor="text1"/>
          <w:szCs w:val="22"/>
        </w:rPr>
        <w:t>the regulatory framework to include launches from aircraft in flight and high power rockets. It streamlines the approvals processes and adjusts the insurance requirements appropriate to risk levels for launches and returns.</w:t>
      </w:r>
    </w:p>
    <w:p w14:paraId="5E9FE804" w14:textId="5409CA19" w:rsidR="00240509" w:rsidRDefault="002E0CDF" w:rsidP="00240509">
      <w:pPr>
        <w:rPr>
          <w:color w:val="000000" w:themeColor="text1"/>
        </w:rPr>
      </w:pPr>
      <w:r>
        <w:rPr>
          <w:rFonts w:eastAsia="Times New Roman" w:cstheme="minorHAnsi"/>
          <w:color w:val="000000" w:themeColor="text1"/>
          <w:szCs w:val="22"/>
        </w:rPr>
        <w:t xml:space="preserve">More discussion of the Act and the work of the Agency is outlined under the ‘Responsible’ Pillar. </w:t>
      </w:r>
      <w:r w:rsidR="00240509" w:rsidRPr="001968AE">
        <w:rPr>
          <w:color w:val="000000" w:themeColor="text1"/>
        </w:rPr>
        <w:t xml:space="preserve">The </w:t>
      </w:r>
      <w:r w:rsidR="00F76312" w:rsidRPr="005D7667">
        <w:rPr>
          <w:i/>
        </w:rPr>
        <w:t xml:space="preserve">Australian Civil Space </w:t>
      </w:r>
      <w:r w:rsidR="00240509" w:rsidRPr="005D7667">
        <w:rPr>
          <w:i/>
          <w:color w:val="000000" w:themeColor="text1"/>
        </w:rPr>
        <w:t>Strategy</w:t>
      </w:r>
      <w:r w:rsidR="00240509" w:rsidRPr="001968AE">
        <w:rPr>
          <w:color w:val="000000" w:themeColor="text1"/>
        </w:rPr>
        <w:t xml:space="preserve"> identifies this Priority Area as part of Phase 3 (2021-2028), delivering success.</w:t>
      </w:r>
    </w:p>
    <w:p w14:paraId="409C23F3" w14:textId="77777777" w:rsidR="00E0357A" w:rsidRDefault="00E0357A" w:rsidP="00240509">
      <w:pPr>
        <w:rPr>
          <w:color w:val="000000" w:themeColor="text1"/>
        </w:rPr>
      </w:pPr>
    </w:p>
    <w:p w14:paraId="411C06CE" w14:textId="417C645F" w:rsidR="00E0357A" w:rsidRDefault="00E0357A" w:rsidP="00B35D05">
      <w:pPr>
        <w:pStyle w:val="Heading2"/>
      </w:pPr>
      <w:r>
        <w:t>State and Territory Engagement</w:t>
      </w:r>
    </w:p>
    <w:p w14:paraId="229DBFF9" w14:textId="19E6DDAA" w:rsidR="00D4665A" w:rsidRDefault="00D4665A" w:rsidP="00E0357A">
      <w:r>
        <w:t xml:space="preserve">The Head of the Agency met with First Ministers or their relevant counterparts in May and June 2018, prior to the establishment of the Agency on 1 July 2018. </w:t>
      </w:r>
      <w:r w:rsidR="000D5D4D">
        <w:t>The meetings were an opportunity to outline the vision of the Agency and to explore investment opportunities across Australia. The next series of meetings</w:t>
      </w:r>
      <w:r>
        <w:t xml:space="preserve"> occurred in March 2019</w:t>
      </w:r>
      <w:r w:rsidR="000D5D4D">
        <w:t>. These meetings were an opportunity to provide an update on the activities of the Agency, gain an understanding of space activities underway in each jurisdiction and explore investment opportunities</w:t>
      </w:r>
      <w:r w:rsidR="00AE49CA">
        <w:t xml:space="preserve"> to grow and transform Australia’s space industry</w:t>
      </w:r>
      <w:r>
        <w:t xml:space="preserve">. These meetings </w:t>
      </w:r>
      <w:r w:rsidR="00AA05B7">
        <w:t xml:space="preserve">are an important mechanism to understand the opportunities for the space sector across Australia, and provide an important channel for </w:t>
      </w:r>
      <w:r>
        <w:t xml:space="preserve">States and Territories </w:t>
      </w:r>
      <w:r w:rsidR="00AA05B7">
        <w:t>to engage with the Agency</w:t>
      </w:r>
      <w:r>
        <w:t xml:space="preserve">. </w:t>
      </w:r>
    </w:p>
    <w:p w14:paraId="769D52A5" w14:textId="70A00CE9" w:rsidR="00987B8A" w:rsidRPr="004E38FF" w:rsidRDefault="00183826" w:rsidP="00987B8A">
      <w:r>
        <w:lastRenderedPageBreak/>
        <w:t xml:space="preserve">As part of its Charter, the Agency formally established the State and Territory Committee with the first meeting held in December 2018. Memorandums of understanding are being progressed with each jurisdiction and </w:t>
      </w:r>
      <w:r w:rsidR="003C706C">
        <w:t>MoUs with the ACT</w:t>
      </w:r>
      <w:r w:rsidR="00987B8A">
        <w:t xml:space="preserve"> (refer to </w:t>
      </w:r>
      <w:r w:rsidR="00363EA5">
        <w:fldChar w:fldCharType="begin"/>
      </w:r>
      <w:r w:rsidR="00363EA5">
        <w:instrText xml:space="preserve"> REF _Ref36389698 \h </w:instrText>
      </w:r>
      <w:r w:rsidR="00363EA5">
        <w:fldChar w:fldCharType="separate"/>
      </w:r>
      <w:r w:rsidR="00C35904" w:rsidRPr="00CA1E2C">
        <w:t xml:space="preserve">Figure </w:t>
      </w:r>
      <w:r w:rsidR="00C35904">
        <w:rPr>
          <w:noProof/>
        </w:rPr>
        <w:t>6</w:t>
      </w:r>
      <w:r w:rsidR="00363EA5">
        <w:fldChar w:fldCharType="end"/>
      </w:r>
      <w:r w:rsidR="00987B8A">
        <w:t>)</w:t>
      </w:r>
      <w:r w:rsidR="003C706C">
        <w:t xml:space="preserve"> and NSW were completed by </w:t>
      </w:r>
      <w:r>
        <w:t>30 June 2019</w:t>
      </w:r>
      <w:r w:rsidR="003C706C">
        <w:t>.</w:t>
      </w:r>
    </w:p>
    <w:p w14:paraId="3FF704C5" w14:textId="70133F8F" w:rsidR="00987B8A" w:rsidRDefault="00E24785" w:rsidP="00987B8A">
      <w:r>
        <w:rPr>
          <w:noProof/>
        </w:rPr>
        <w:drawing>
          <wp:inline distT="0" distB="0" distL="0" distR="0" wp14:anchorId="2D7A3714" wp14:editId="1CF95349">
            <wp:extent cx="6263640" cy="2042160"/>
            <wp:effectExtent l="0" t="0" r="3810" b="0"/>
            <wp:docPr id="11" name="Picture 11" title="Signing of MOUs with ACT and NS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MoU - ACT NSW-01.png"/>
                    <pic:cNvPicPr/>
                  </pic:nvPicPr>
                  <pic:blipFill>
                    <a:blip r:embed="rId29">
                      <a:extLst>
                        <a:ext uri="{28A0092B-C50C-407E-A947-70E740481C1C}">
                          <a14:useLocalDpi xmlns:a14="http://schemas.microsoft.com/office/drawing/2010/main" val="0"/>
                        </a:ext>
                      </a:extLst>
                    </a:blip>
                    <a:stretch>
                      <a:fillRect/>
                    </a:stretch>
                  </pic:blipFill>
                  <pic:spPr>
                    <a:xfrm>
                      <a:off x="0" y="0"/>
                      <a:ext cx="6263640" cy="2042160"/>
                    </a:xfrm>
                    <a:prstGeom prst="rect">
                      <a:avLst/>
                    </a:prstGeom>
                  </pic:spPr>
                </pic:pic>
              </a:graphicData>
            </a:graphic>
          </wp:inline>
        </w:drawing>
      </w:r>
    </w:p>
    <w:p w14:paraId="027EE1B9" w14:textId="4D3CD460" w:rsidR="00987B8A" w:rsidRDefault="00987B8A" w:rsidP="00345EF7">
      <w:pPr>
        <w:pStyle w:val="Caption"/>
      </w:pPr>
      <w:bookmarkStart w:id="46" w:name="_Ref36389698"/>
      <w:bookmarkStart w:id="47" w:name="_Toc41464109"/>
      <w:r w:rsidRPr="00CA1E2C">
        <w:t xml:space="preserve">Figure </w:t>
      </w:r>
      <w:r w:rsidRPr="00CA1E2C">
        <w:fldChar w:fldCharType="begin"/>
      </w:r>
      <w:r w:rsidRPr="00CA1E2C">
        <w:instrText xml:space="preserve"> SEQ Figure \* ARABIC </w:instrText>
      </w:r>
      <w:r w:rsidRPr="00CA1E2C">
        <w:fldChar w:fldCharType="separate"/>
      </w:r>
      <w:r w:rsidR="00C35904">
        <w:rPr>
          <w:noProof/>
        </w:rPr>
        <w:t>6</w:t>
      </w:r>
      <w:r w:rsidRPr="00CA1E2C">
        <w:fldChar w:fldCharType="end"/>
      </w:r>
      <w:bookmarkEnd w:id="46"/>
      <w:r w:rsidRPr="00CA1E2C">
        <w:t xml:space="preserve"> – </w:t>
      </w:r>
      <w:r>
        <w:t>Signing of jurisdictional MoU</w:t>
      </w:r>
      <w:r w:rsidR="006361D5">
        <w:t>s with</w:t>
      </w:r>
      <w:r w:rsidR="00E24785">
        <w:t xml:space="preserve"> ACT and NSW</w:t>
      </w:r>
      <w:r w:rsidR="006361D5">
        <w:t xml:space="preserve"> Governments</w:t>
      </w:r>
      <w:bookmarkEnd w:id="47"/>
    </w:p>
    <w:p w14:paraId="1EC0DCB4" w14:textId="77777777" w:rsidR="00987B8A" w:rsidRPr="000F7E67" w:rsidRDefault="00987B8A" w:rsidP="00240509"/>
    <w:p w14:paraId="5C2372E4" w14:textId="261E567A" w:rsidR="00E0357A" w:rsidRDefault="00E0357A" w:rsidP="00B35D05">
      <w:pPr>
        <w:pStyle w:val="Heading2"/>
      </w:pPr>
      <w:r>
        <w:t>Industry partnerships</w:t>
      </w:r>
    </w:p>
    <w:p w14:paraId="1EC31A07" w14:textId="0929931A" w:rsidR="005B2214" w:rsidRPr="005B2214" w:rsidRDefault="00183826" w:rsidP="005B2214">
      <w:r>
        <w:t>As outlined in the summary of Achievement, t</w:t>
      </w:r>
      <w:r w:rsidR="005B2214" w:rsidRPr="005B2214">
        <w:t>he Agency signed</w:t>
      </w:r>
      <w:r>
        <w:t xml:space="preserve"> its first</w:t>
      </w:r>
      <w:r w:rsidR="005B2214" w:rsidRPr="005B2214">
        <w:t xml:space="preserve"> Joint Statements of Strategic Intent and Cooperation with industry. The statements:</w:t>
      </w:r>
    </w:p>
    <w:p w14:paraId="3DCA4966" w14:textId="77777777" w:rsidR="005B2214" w:rsidRPr="005B2214" w:rsidRDefault="005B2214" w:rsidP="005B2214">
      <w:pPr>
        <w:pStyle w:val="ListBullet"/>
      </w:pPr>
      <w:r w:rsidRPr="005B2214">
        <w:t>highlight areas of investment and growth for Australia</w:t>
      </w:r>
    </w:p>
    <w:p w14:paraId="146E9324" w14:textId="77777777" w:rsidR="005B2214" w:rsidRPr="005B2214" w:rsidRDefault="005B2214" w:rsidP="005B2214">
      <w:pPr>
        <w:pStyle w:val="ListBullet"/>
      </w:pPr>
      <w:r w:rsidRPr="005B2214">
        <w:t>build upon Australia’s unique potential including space research and development, and commercial applications</w:t>
      </w:r>
    </w:p>
    <w:p w14:paraId="710F91AF" w14:textId="77777777" w:rsidR="005B2214" w:rsidRPr="005B2214" w:rsidRDefault="005B2214" w:rsidP="005B2214">
      <w:pPr>
        <w:pStyle w:val="ListBullet"/>
      </w:pPr>
      <w:r w:rsidRPr="005B2214">
        <w:t>are impartial and offer no additional benefit to our department or the Agency</w:t>
      </w:r>
    </w:p>
    <w:p w14:paraId="44A8DF6D" w14:textId="6E516038" w:rsidR="009F6137" w:rsidRDefault="009F6137" w:rsidP="009F6137">
      <w:r w:rsidRPr="00CA1E2C">
        <w:t xml:space="preserve">In September 2018, the Agency signed its first Statement of Strategic Intent and Cooperation (SSI) with European aerospace manufacturer Airbus Defence and Space SAS. Another five SSI’s were signed by </w:t>
      </w:r>
      <w:r w:rsidR="00183826">
        <w:t xml:space="preserve">30 </w:t>
      </w:r>
      <w:r w:rsidRPr="00CA1E2C">
        <w:t xml:space="preserve">June 2019: Italian satellite company, </w:t>
      </w:r>
      <w:proofErr w:type="spellStart"/>
      <w:r w:rsidRPr="00CA1E2C">
        <w:t>Sitael</w:t>
      </w:r>
      <w:proofErr w:type="spellEnd"/>
      <w:r w:rsidRPr="00CA1E2C">
        <w:t xml:space="preserve"> (October 2018); Australian space and defence company, Nova Systems (December 2018); US aerospace companies Lockheed Martin (January 2019) and Boeing (March 2019); space communications company </w:t>
      </w:r>
      <w:proofErr w:type="spellStart"/>
      <w:r w:rsidRPr="00CA1E2C">
        <w:t>Goonhilly</w:t>
      </w:r>
      <w:proofErr w:type="spellEnd"/>
      <w:r w:rsidRPr="00CA1E2C">
        <w:t xml:space="preserve"> Earth Station (February 2019) and Australian oil and gas company Woodside Energy (March 2019).</w:t>
      </w:r>
    </w:p>
    <w:p w14:paraId="3DDA3F31" w14:textId="77777777" w:rsidR="009F6137" w:rsidRDefault="009F6137" w:rsidP="009F6137"/>
    <w:p w14:paraId="37FF7CBA" w14:textId="58EB6369" w:rsidR="00287560" w:rsidRDefault="004C6C22" w:rsidP="009F6137">
      <w:r>
        <w:rPr>
          <w:noProof/>
        </w:rPr>
        <w:drawing>
          <wp:inline distT="0" distB="0" distL="0" distR="0" wp14:anchorId="595187F6" wp14:editId="7B7571E1">
            <wp:extent cx="6263640" cy="2092960"/>
            <wp:effectExtent l="0" t="0" r="3810" b="2540"/>
            <wp:docPr id="14" name="Picture 14" title="Signing of Statements of Strategic Intent with Airbus, Nova and Sita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SSI Signings-01.png"/>
                    <pic:cNvPicPr/>
                  </pic:nvPicPr>
                  <pic:blipFill>
                    <a:blip r:embed="rId30">
                      <a:extLst>
                        <a:ext uri="{28A0092B-C50C-407E-A947-70E740481C1C}">
                          <a14:useLocalDpi xmlns:a14="http://schemas.microsoft.com/office/drawing/2010/main" val="0"/>
                        </a:ext>
                      </a:extLst>
                    </a:blip>
                    <a:stretch>
                      <a:fillRect/>
                    </a:stretch>
                  </pic:blipFill>
                  <pic:spPr>
                    <a:xfrm>
                      <a:off x="0" y="0"/>
                      <a:ext cx="6263640" cy="2092960"/>
                    </a:xfrm>
                    <a:prstGeom prst="rect">
                      <a:avLst/>
                    </a:prstGeom>
                  </pic:spPr>
                </pic:pic>
              </a:graphicData>
            </a:graphic>
          </wp:inline>
        </w:drawing>
      </w:r>
    </w:p>
    <w:p w14:paraId="1F65349A" w14:textId="18E2E66C" w:rsidR="00287560" w:rsidRDefault="00287560" w:rsidP="00345EF7">
      <w:pPr>
        <w:pStyle w:val="Caption"/>
      </w:pPr>
      <w:bookmarkStart w:id="48" w:name="_Toc41464110"/>
      <w:r w:rsidRPr="00CA1E2C">
        <w:t xml:space="preserve">Figure </w:t>
      </w:r>
      <w:r w:rsidRPr="00CA1E2C">
        <w:fldChar w:fldCharType="begin"/>
      </w:r>
      <w:r w:rsidRPr="00CA1E2C">
        <w:instrText xml:space="preserve"> SEQ Figure \* ARABIC </w:instrText>
      </w:r>
      <w:r w:rsidRPr="00CA1E2C">
        <w:fldChar w:fldCharType="separate"/>
      </w:r>
      <w:r w:rsidR="00C35904">
        <w:rPr>
          <w:noProof/>
        </w:rPr>
        <w:t>7</w:t>
      </w:r>
      <w:r w:rsidRPr="00CA1E2C">
        <w:fldChar w:fldCharType="end"/>
      </w:r>
      <w:r w:rsidRPr="00CA1E2C">
        <w:t xml:space="preserve"> – </w:t>
      </w:r>
      <w:r>
        <w:t>Signing of first SSI</w:t>
      </w:r>
      <w:r w:rsidR="00085FFF">
        <w:t>s</w:t>
      </w:r>
      <w:r w:rsidR="006361D5">
        <w:t xml:space="preserve"> (</w:t>
      </w:r>
      <w:r w:rsidR="00085FFF" w:rsidRPr="00085FFF">
        <w:t xml:space="preserve">L-R: Airbus, Nova Systems and </w:t>
      </w:r>
      <w:proofErr w:type="spellStart"/>
      <w:r w:rsidR="00085FFF" w:rsidRPr="00085FFF">
        <w:t>Sitael</w:t>
      </w:r>
      <w:proofErr w:type="spellEnd"/>
      <w:r w:rsidR="006361D5">
        <w:t>)</w:t>
      </w:r>
      <w:bookmarkEnd w:id="48"/>
    </w:p>
    <w:p w14:paraId="74E8403D" w14:textId="1AC6AB45" w:rsidR="00E0357A" w:rsidRDefault="00E0357A" w:rsidP="00B35D05">
      <w:pPr>
        <w:pStyle w:val="Heading2"/>
      </w:pPr>
      <w:r>
        <w:lastRenderedPageBreak/>
        <w:t>Space Infrastructure Fund</w:t>
      </w:r>
    </w:p>
    <w:p w14:paraId="275F7257" w14:textId="7F696F16" w:rsidR="00E0357A" w:rsidRDefault="00E0357A" w:rsidP="00E0357A">
      <w:r w:rsidRPr="00B35D05">
        <w:t xml:space="preserve">In </w:t>
      </w:r>
      <w:r w:rsidRPr="00B35D05">
        <w:rPr>
          <w:szCs w:val="22"/>
        </w:rPr>
        <w:t xml:space="preserve">the </w:t>
      </w:r>
      <w:r w:rsidRPr="00B35D05">
        <w:t xml:space="preserve">2019-20 Budget, the Australian Government allocated an additional </w:t>
      </w:r>
      <w:r w:rsidRPr="00B35D05">
        <w:rPr>
          <w:rFonts w:eastAsia="Calibri"/>
          <w:lang w:eastAsia="en-US"/>
        </w:rPr>
        <w:t xml:space="preserve">$19.5 million for the SIF to support Australia’s emerging domestic space industry. </w:t>
      </w:r>
      <w:r w:rsidRPr="00B35D05">
        <w:t>The SIF will fill space infrastructure gaps to support businesses and researchers to participate in the global space economy.</w:t>
      </w:r>
    </w:p>
    <w:p w14:paraId="1D903D74" w14:textId="54D74CA3" w:rsidR="009F6137" w:rsidRDefault="009F6137" w:rsidP="00E0357A">
      <w:pPr>
        <w:rPr>
          <w:rFonts w:eastAsia="Calibri"/>
          <w:lang w:eastAsia="en-US"/>
        </w:rPr>
      </w:pPr>
      <w:r w:rsidRPr="009F6137">
        <w:rPr>
          <w:rFonts w:eastAsia="Calibri"/>
          <w:lang w:eastAsia="en-US"/>
        </w:rPr>
        <w:t>Filling gaps in Australia’s space infrastructure allows businesses and researchers to focus on growing and developing their day-to-day operations, and providing space-related solutions to drive economic benefit across the whole economy – providing new tools for farmers, supporting emergency services and helping manage drought. It also provides the tools businesses need to access international opportunities – opening doors for Australia internationally.</w:t>
      </w:r>
    </w:p>
    <w:p w14:paraId="4C9985E1" w14:textId="77777777" w:rsidR="009F6137" w:rsidRDefault="009F6137" w:rsidP="00E0357A">
      <w:pPr>
        <w:rPr>
          <w:rFonts w:eastAsia="Calibri"/>
          <w:lang w:eastAsia="en-US"/>
        </w:rPr>
      </w:pPr>
    </w:p>
    <w:p w14:paraId="7B4AAB60" w14:textId="7A9D76AF" w:rsidR="009F6137" w:rsidRDefault="009F6137" w:rsidP="009F6137">
      <w:pPr>
        <w:pStyle w:val="Heading3"/>
        <w:rPr>
          <w:lang w:eastAsia="en-US"/>
        </w:rPr>
      </w:pPr>
      <w:r>
        <w:rPr>
          <w:lang w:eastAsia="en-US"/>
        </w:rPr>
        <w:t>Projects to be delivered</w:t>
      </w:r>
    </w:p>
    <w:p w14:paraId="59FAB670" w14:textId="5EBA6493" w:rsidR="00B71995" w:rsidRPr="00B71995" w:rsidRDefault="00B71995" w:rsidP="00B71995">
      <w:pPr>
        <w:rPr>
          <w:lang w:eastAsia="en-US"/>
        </w:rPr>
      </w:pPr>
      <w:r>
        <w:rPr>
          <w:lang w:eastAsia="en-US"/>
        </w:rPr>
        <w:t>There are seven SIF projects identified</w:t>
      </w:r>
      <w:r w:rsidR="00C224E2">
        <w:rPr>
          <w:lang w:eastAsia="en-US"/>
        </w:rPr>
        <w:t>. An</w:t>
      </w:r>
      <w:r>
        <w:rPr>
          <w:lang w:eastAsia="en-US"/>
        </w:rPr>
        <w:t xml:space="preserve"> outline is shown in </w:t>
      </w:r>
      <w:r>
        <w:rPr>
          <w:lang w:eastAsia="en-US"/>
        </w:rPr>
        <w:fldChar w:fldCharType="begin"/>
      </w:r>
      <w:r>
        <w:rPr>
          <w:lang w:eastAsia="en-US"/>
        </w:rPr>
        <w:instrText xml:space="preserve"> REF _Ref36389278 \h </w:instrText>
      </w:r>
      <w:r>
        <w:rPr>
          <w:lang w:eastAsia="en-US"/>
        </w:rPr>
      </w:r>
      <w:r>
        <w:rPr>
          <w:lang w:eastAsia="en-US"/>
        </w:rPr>
        <w:fldChar w:fldCharType="separate"/>
      </w:r>
      <w:r w:rsidR="00C35904" w:rsidRPr="00CA1E2C">
        <w:t xml:space="preserve">Figure </w:t>
      </w:r>
      <w:r w:rsidR="00C35904">
        <w:rPr>
          <w:noProof/>
        </w:rPr>
        <w:t>8</w:t>
      </w:r>
      <w:r>
        <w:rPr>
          <w:lang w:eastAsia="en-US"/>
        </w:rPr>
        <w:fldChar w:fldCharType="end"/>
      </w:r>
      <w:r>
        <w:rPr>
          <w:lang w:eastAsia="en-US"/>
        </w:rPr>
        <w:t xml:space="preserve"> and a summary of each project highlighted below.</w:t>
      </w:r>
    </w:p>
    <w:p w14:paraId="248B3323" w14:textId="79506A93" w:rsidR="009F6137" w:rsidRDefault="009F6137" w:rsidP="00E0357A">
      <w:pPr>
        <w:rPr>
          <w:rFonts w:eastAsia="Calibri"/>
          <w:lang w:eastAsia="en-US"/>
        </w:rPr>
      </w:pPr>
      <w:r>
        <w:rPr>
          <w:rFonts w:eastAsia="Calibri"/>
          <w:noProof/>
        </w:rPr>
        <w:drawing>
          <wp:inline distT="0" distB="0" distL="0" distR="0" wp14:anchorId="1D15820A" wp14:editId="0DD42293">
            <wp:extent cx="5181172" cy="2767355"/>
            <wp:effectExtent l="0" t="0" r="635" b="0"/>
            <wp:docPr id="2" name="Picture 2" title="Australian map highlighting Space Infrastucture proj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pace-infrastructure-fund-project-map.png"/>
                    <pic:cNvPicPr/>
                  </pic:nvPicPr>
                  <pic:blipFill>
                    <a:blip r:embed="rId31">
                      <a:extLst>
                        <a:ext uri="{28A0092B-C50C-407E-A947-70E740481C1C}">
                          <a14:useLocalDpi xmlns:a14="http://schemas.microsoft.com/office/drawing/2010/main" val="0"/>
                        </a:ext>
                      </a:extLst>
                    </a:blip>
                    <a:stretch>
                      <a:fillRect/>
                    </a:stretch>
                  </pic:blipFill>
                  <pic:spPr>
                    <a:xfrm>
                      <a:off x="0" y="0"/>
                      <a:ext cx="5181172" cy="2767355"/>
                    </a:xfrm>
                    <a:prstGeom prst="rect">
                      <a:avLst/>
                    </a:prstGeom>
                  </pic:spPr>
                </pic:pic>
              </a:graphicData>
            </a:graphic>
          </wp:inline>
        </w:drawing>
      </w:r>
    </w:p>
    <w:p w14:paraId="742C5BCB" w14:textId="5F5324BF" w:rsidR="009F6137" w:rsidRDefault="002E7101" w:rsidP="002E7101">
      <w:pPr>
        <w:pStyle w:val="Caption"/>
        <w:rPr>
          <w:rFonts w:eastAsia="Calibri"/>
          <w:lang w:eastAsia="en-US"/>
        </w:rPr>
      </w:pPr>
      <w:bookmarkStart w:id="49" w:name="_Ref36389278"/>
      <w:bookmarkStart w:id="50" w:name="_Toc41464111"/>
      <w:r w:rsidRPr="00CA1E2C">
        <w:t xml:space="preserve">Figure </w:t>
      </w:r>
      <w:r w:rsidRPr="00CA1E2C">
        <w:fldChar w:fldCharType="begin"/>
      </w:r>
      <w:r w:rsidRPr="00CA1E2C">
        <w:instrText xml:space="preserve"> SEQ Figure \* ARABIC </w:instrText>
      </w:r>
      <w:r w:rsidRPr="00CA1E2C">
        <w:fldChar w:fldCharType="separate"/>
      </w:r>
      <w:r w:rsidR="00C35904">
        <w:rPr>
          <w:noProof/>
        </w:rPr>
        <w:t>8</w:t>
      </w:r>
      <w:r w:rsidRPr="00CA1E2C">
        <w:fldChar w:fldCharType="end"/>
      </w:r>
      <w:bookmarkEnd w:id="49"/>
      <w:r w:rsidRPr="00CA1E2C">
        <w:t xml:space="preserve"> – </w:t>
      </w:r>
      <w:r>
        <w:t>Map of SIF projects</w:t>
      </w:r>
      <w:bookmarkEnd w:id="50"/>
    </w:p>
    <w:p w14:paraId="0B359105" w14:textId="77777777" w:rsidR="009F6137" w:rsidRDefault="009F6137" w:rsidP="00E0357A">
      <w:pPr>
        <w:rPr>
          <w:rFonts w:eastAsia="Calibri"/>
          <w:lang w:eastAsia="en-US"/>
        </w:rPr>
      </w:pPr>
    </w:p>
    <w:p w14:paraId="2F554841" w14:textId="77777777" w:rsidR="009F6137" w:rsidRPr="009F6137" w:rsidRDefault="009F6137" w:rsidP="009F6137">
      <w:pPr>
        <w:pStyle w:val="TableHeading"/>
        <w:rPr>
          <w:rFonts w:asciiTheme="minorHAnsi" w:eastAsia="Calibri" w:hAnsiTheme="minorHAnsi"/>
          <w:color w:val="000000" w:themeColor="text2"/>
          <w:lang w:eastAsia="en-US"/>
        </w:rPr>
      </w:pPr>
      <w:r w:rsidRPr="009F6137">
        <w:rPr>
          <w:rFonts w:eastAsia="Calibri"/>
          <w:lang w:eastAsia="en-US"/>
        </w:rPr>
        <w:t>Space manufacturing facilities (NSW, $2 million)</w:t>
      </w:r>
    </w:p>
    <w:p w14:paraId="75C1AE71" w14:textId="77777777" w:rsidR="009F6137" w:rsidRPr="009F6137" w:rsidRDefault="009F6137" w:rsidP="009F6137">
      <w:pPr>
        <w:rPr>
          <w:rFonts w:eastAsia="Calibri"/>
          <w:lang w:eastAsia="en-US"/>
        </w:rPr>
      </w:pPr>
      <w:r w:rsidRPr="009F6137">
        <w:rPr>
          <w:rFonts w:eastAsia="Calibri"/>
          <w:lang w:eastAsia="en-US"/>
        </w:rPr>
        <w:t>Supporting the delivery of future space manufacturing capability, and development of high-tech skills and new space objects.</w:t>
      </w:r>
    </w:p>
    <w:p w14:paraId="224E142C" w14:textId="77777777" w:rsidR="009F6137" w:rsidRPr="009F6137" w:rsidRDefault="009F6137" w:rsidP="009F6137">
      <w:pPr>
        <w:pStyle w:val="TableHeading"/>
        <w:rPr>
          <w:rFonts w:asciiTheme="minorHAnsi" w:eastAsia="Calibri" w:hAnsiTheme="minorHAnsi"/>
          <w:color w:val="000000" w:themeColor="text2"/>
          <w:lang w:eastAsia="en-US"/>
        </w:rPr>
      </w:pPr>
      <w:r w:rsidRPr="009F6137">
        <w:rPr>
          <w:rFonts w:eastAsia="Calibri"/>
          <w:lang w:eastAsia="en-US"/>
        </w:rPr>
        <w:t>Mission control (SA, $6 million)</w:t>
      </w:r>
    </w:p>
    <w:p w14:paraId="28689DD9" w14:textId="77777777" w:rsidR="009F6137" w:rsidRPr="009F6137" w:rsidRDefault="009F6137" w:rsidP="009F6137">
      <w:pPr>
        <w:rPr>
          <w:rFonts w:eastAsia="Calibri"/>
          <w:lang w:eastAsia="en-US"/>
        </w:rPr>
      </w:pPr>
      <w:r w:rsidRPr="009F6137">
        <w:rPr>
          <w:rFonts w:eastAsia="Calibri"/>
          <w:lang w:eastAsia="en-US"/>
        </w:rPr>
        <w:t>A platform for SMEs and researchers to control small satellite missions, enabling real-time testing and accelerated improvement of satellite technology.</w:t>
      </w:r>
    </w:p>
    <w:p w14:paraId="507C5AB5" w14:textId="77777777" w:rsidR="009F6137" w:rsidRPr="009F6137" w:rsidRDefault="009F6137" w:rsidP="009F6137">
      <w:pPr>
        <w:pStyle w:val="TableHeading"/>
        <w:rPr>
          <w:rFonts w:asciiTheme="minorHAnsi" w:eastAsia="Calibri" w:hAnsiTheme="minorHAnsi"/>
          <w:color w:val="000000" w:themeColor="text2"/>
          <w:lang w:eastAsia="en-US"/>
        </w:rPr>
      </w:pPr>
      <w:r w:rsidRPr="009F6137">
        <w:rPr>
          <w:rFonts w:eastAsia="Calibri"/>
          <w:lang w:eastAsia="en-US"/>
        </w:rPr>
        <w:t>Tracking facilities upgrade (TAS, $1.2 million)</w:t>
      </w:r>
    </w:p>
    <w:p w14:paraId="4DB0B987" w14:textId="77777777" w:rsidR="009F6137" w:rsidRPr="009F6137" w:rsidRDefault="009F6137" w:rsidP="009F6137">
      <w:pPr>
        <w:rPr>
          <w:rFonts w:eastAsia="Calibri"/>
          <w:lang w:eastAsia="en-US"/>
        </w:rPr>
      </w:pPr>
      <w:r w:rsidRPr="009F6137">
        <w:rPr>
          <w:rFonts w:eastAsia="Calibri"/>
          <w:lang w:eastAsia="en-US"/>
        </w:rPr>
        <w:t>Upgrading infrastructure to support precision tracking of satellites and spacecraft.</w:t>
      </w:r>
    </w:p>
    <w:p w14:paraId="0FCA5FD7" w14:textId="77777777" w:rsidR="009F6137" w:rsidRPr="009F6137" w:rsidRDefault="009F6137" w:rsidP="009F6137">
      <w:pPr>
        <w:pStyle w:val="TableHeading"/>
        <w:rPr>
          <w:rFonts w:asciiTheme="minorHAnsi" w:eastAsia="Calibri" w:hAnsiTheme="minorHAnsi"/>
          <w:color w:val="000000" w:themeColor="text2"/>
          <w:lang w:eastAsia="en-US"/>
        </w:rPr>
      </w:pPr>
      <w:r w:rsidRPr="009F6137">
        <w:rPr>
          <w:rFonts w:eastAsia="Calibri"/>
          <w:lang w:eastAsia="en-US"/>
        </w:rPr>
        <w:t>Robotics, automation and AI command and control (WA, $4.5 million)</w:t>
      </w:r>
    </w:p>
    <w:p w14:paraId="61CB6EE1" w14:textId="77777777" w:rsidR="009F6137" w:rsidRPr="009F6137" w:rsidRDefault="009F6137" w:rsidP="009F6137">
      <w:pPr>
        <w:rPr>
          <w:rFonts w:eastAsia="Calibri"/>
          <w:lang w:eastAsia="en-US"/>
        </w:rPr>
      </w:pPr>
      <w:r w:rsidRPr="009F6137">
        <w:rPr>
          <w:rFonts w:eastAsia="Calibri"/>
          <w:lang w:eastAsia="en-US"/>
        </w:rPr>
        <w:t>Allowing SMEs and researchers control over autonomous operations in space; building capability in space technologies.</w:t>
      </w:r>
    </w:p>
    <w:p w14:paraId="54699B48" w14:textId="77777777" w:rsidR="009F6137" w:rsidRPr="009F6137" w:rsidRDefault="009F6137" w:rsidP="009F6137">
      <w:pPr>
        <w:pStyle w:val="TableHeading"/>
        <w:rPr>
          <w:rFonts w:asciiTheme="minorHAnsi" w:eastAsia="Calibri" w:hAnsiTheme="minorHAnsi"/>
          <w:color w:val="000000" w:themeColor="text2"/>
          <w:lang w:eastAsia="en-US"/>
        </w:rPr>
      </w:pPr>
      <w:r w:rsidRPr="009F6137">
        <w:rPr>
          <w:rFonts w:eastAsia="Calibri"/>
          <w:lang w:eastAsia="en-US"/>
        </w:rPr>
        <w:t>Space data analysis facilities (WA, $1.5 million)</w:t>
      </w:r>
    </w:p>
    <w:p w14:paraId="7277086C" w14:textId="77777777" w:rsidR="009F6137" w:rsidRPr="009F6137" w:rsidRDefault="009F6137" w:rsidP="009F6137">
      <w:pPr>
        <w:rPr>
          <w:rFonts w:eastAsia="Calibri"/>
          <w:lang w:eastAsia="en-US"/>
        </w:rPr>
      </w:pPr>
      <w:r w:rsidRPr="009F6137">
        <w:rPr>
          <w:rFonts w:eastAsia="Calibri"/>
          <w:lang w:eastAsia="en-US"/>
        </w:rPr>
        <w:lastRenderedPageBreak/>
        <w:t>Providing SMEs and researchers with space data analysis capability for agriculture, mining, emergency services and maritime surveillance.</w:t>
      </w:r>
    </w:p>
    <w:p w14:paraId="5B8B0D52" w14:textId="77777777" w:rsidR="009F6137" w:rsidRPr="009F6137" w:rsidRDefault="009F6137" w:rsidP="009F6137">
      <w:pPr>
        <w:pStyle w:val="TableHeading"/>
        <w:rPr>
          <w:rFonts w:asciiTheme="minorHAnsi" w:eastAsia="Calibri" w:hAnsiTheme="minorHAnsi"/>
          <w:color w:val="000000" w:themeColor="text2"/>
          <w:lang w:eastAsia="en-US"/>
        </w:rPr>
      </w:pPr>
      <w:r w:rsidRPr="009F6137">
        <w:rPr>
          <w:rFonts w:eastAsia="Calibri"/>
          <w:lang w:eastAsia="en-US"/>
        </w:rPr>
        <w:t>Space payload qualification facilities ($2.5 million)</w:t>
      </w:r>
    </w:p>
    <w:p w14:paraId="008AE6D3" w14:textId="77777777" w:rsidR="009F6137" w:rsidRPr="009F6137" w:rsidRDefault="009F6137" w:rsidP="009F6137">
      <w:pPr>
        <w:rPr>
          <w:rFonts w:eastAsia="Calibri"/>
          <w:lang w:eastAsia="en-US"/>
        </w:rPr>
      </w:pPr>
      <w:r w:rsidRPr="009F6137">
        <w:rPr>
          <w:rFonts w:eastAsia="Calibri"/>
          <w:lang w:eastAsia="en-US"/>
        </w:rPr>
        <w:t>Providing capability for SMEs and researchers to test space equipment and have it mission-ready in Australia.</w:t>
      </w:r>
    </w:p>
    <w:p w14:paraId="6BC5CC92" w14:textId="77777777" w:rsidR="009F6137" w:rsidRPr="009F6137" w:rsidRDefault="009F6137" w:rsidP="009F6137">
      <w:pPr>
        <w:pStyle w:val="TableHeading"/>
        <w:rPr>
          <w:rFonts w:asciiTheme="minorHAnsi" w:eastAsia="Calibri" w:hAnsiTheme="minorHAnsi"/>
          <w:color w:val="000000" w:themeColor="text2"/>
          <w:lang w:eastAsia="en-US"/>
        </w:rPr>
      </w:pPr>
      <w:r w:rsidRPr="009F6137">
        <w:rPr>
          <w:rFonts w:eastAsia="Calibri"/>
          <w:lang w:eastAsia="en-US"/>
        </w:rPr>
        <w:t>Pathway to launch ($0.9 million)</w:t>
      </w:r>
    </w:p>
    <w:p w14:paraId="0BF53F0C" w14:textId="0A1623CC" w:rsidR="00113847" w:rsidRDefault="009F6137" w:rsidP="00240509">
      <w:pPr>
        <w:rPr>
          <w:color w:val="000000" w:themeColor="text1"/>
        </w:rPr>
      </w:pPr>
      <w:r w:rsidRPr="009F6137">
        <w:rPr>
          <w:rFonts w:eastAsia="Calibri"/>
          <w:lang w:eastAsia="en-US"/>
        </w:rPr>
        <w:t>Undertake work to address the active interest and growing readiness in industry for launch in Australia, while ensuring safety on Earth and in space.</w:t>
      </w:r>
    </w:p>
    <w:p w14:paraId="0B2B741B" w14:textId="18B584BB" w:rsidR="00113847" w:rsidRPr="00CA1E2C" w:rsidRDefault="00ED3ED3" w:rsidP="00113847">
      <w:pPr>
        <w:pStyle w:val="Heading2"/>
      </w:pPr>
      <w:r>
        <w:t xml:space="preserve">Defence and </w:t>
      </w:r>
      <w:r w:rsidR="00113847" w:rsidRPr="00CA1E2C">
        <w:t>National Security</w:t>
      </w:r>
    </w:p>
    <w:p w14:paraId="1D11ED07" w14:textId="77777777" w:rsidR="00113847" w:rsidRPr="00CA1E2C" w:rsidRDefault="00113847" w:rsidP="00113847">
      <w:r w:rsidRPr="00CA1E2C">
        <w:t xml:space="preserve">Australia’s space businesses deliver a wide range of products and services that touch on all areas of the economy. Many of these technologies and services are ‘dual-use’, meaning they support defence capability as well as civil capability. </w:t>
      </w:r>
    </w:p>
    <w:p w14:paraId="53BEE861" w14:textId="09C60C57" w:rsidR="00113847" w:rsidRPr="00CA1E2C" w:rsidRDefault="00113847" w:rsidP="00113847">
      <w:r w:rsidRPr="00CA1E2C">
        <w:t xml:space="preserve">The Agency is committed to </w:t>
      </w:r>
      <w:r w:rsidR="0054331B">
        <w:t>transforming and growing our</w:t>
      </w:r>
      <w:r w:rsidRPr="00CA1E2C">
        <w:t xml:space="preserve"> civil space industry, </w:t>
      </w:r>
      <w:r w:rsidR="0054331B">
        <w:t>and recognise that this can</w:t>
      </w:r>
      <w:r w:rsidRPr="00CA1E2C">
        <w:t xml:space="preserve"> also support a defence outcome. To achieve its purpose to grow Australia’s space industry, the Agency has developed a close working relationship with the Department of Defe</w:t>
      </w:r>
      <w:r>
        <w:t>nce</w:t>
      </w:r>
      <w:r w:rsidRPr="00CA1E2C">
        <w:t xml:space="preserve">. This ensures alignment between Australia’s civil and Defence related space activities, and that our efforts to support the growth of the sector are complementary. </w:t>
      </w:r>
    </w:p>
    <w:p w14:paraId="4F036E63" w14:textId="588686B0" w:rsidR="00113847" w:rsidRDefault="00113847" w:rsidP="00113847">
      <w:r>
        <w:t>Across the SCC membership, there are a number of national security initiatives.</w:t>
      </w:r>
      <w:r w:rsidR="0054331B">
        <w:t xml:space="preserve"> </w:t>
      </w:r>
    </w:p>
    <w:p w14:paraId="687FE454" w14:textId="4F8E3B78" w:rsidR="00B049A5" w:rsidRDefault="00B049A5" w:rsidP="00B049A5">
      <w:pPr>
        <w:pStyle w:val="Caption"/>
      </w:pPr>
      <w:bookmarkStart w:id="51" w:name="_Toc40946026"/>
      <w:r>
        <w:t xml:space="preserve">Table </w:t>
      </w:r>
      <w:r>
        <w:fldChar w:fldCharType="begin"/>
      </w:r>
      <w:r>
        <w:instrText xml:space="preserve"> SEQ Table \* ARABIC </w:instrText>
      </w:r>
      <w:r>
        <w:fldChar w:fldCharType="separate"/>
      </w:r>
      <w:r w:rsidR="00C35904">
        <w:rPr>
          <w:noProof/>
        </w:rPr>
        <w:t>8</w:t>
      </w:r>
      <w:r>
        <w:fldChar w:fldCharType="end"/>
      </w:r>
      <w:r>
        <w:t xml:space="preserve"> – SCC </w:t>
      </w:r>
      <w:r w:rsidR="000D2439">
        <w:t>n</w:t>
      </w:r>
      <w:r>
        <w:t>ational security activities</w:t>
      </w:r>
      <w:bookmarkEnd w:id="51"/>
    </w:p>
    <w:tbl>
      <w:tblPr>
        <w:tblStyle w:val="ASATable"/>
        <w:tblW w:w="4958" w:type="pct"/>
        <w:tblInd w:w="2" w:type="dxa"/>
        <w:tblLook w:val="04A0" w:firstRow="1" w:lastRow="0" w:firstColumn="1" w:lastColumn="0" w:noHBand="0" w:noVBand="1"/>
        <w:tblCaption w:val="Table 8 – SCC national security activities"/>
      </w:tblPr>
      <w:tblGrid>
        <w:gridCol w:w="2547"/>
        <w:gridCol w:w="7228"/>
      </w:tblGrid>
      <w:tr w:rsidR="00113847" w:rsidRPr="00CA1E2C" w14:paraId="4CB41E74" w14:textId="77777777" w:rsidTr="0085716A">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303" w:type="pct"/>
          </w:tcPr>
          <w:p w14:paraId="51AE9A44" w14:textId="77777777" w:rsidR="00113847" w:rsidRPr="00CA1E2C" w:rsidRDefault="00113847" w:rsidP="0085716A">
            <w:pPr>
              <w:pStyle w:val="TableHeading"/>
              <w:rPr>
                <w:b/>
                <w:color w:val="FFFFFF" w:themeColor="background1"/>
                <w:szCs w:val="22"/>
              </w:rPr>
            </w:pPr>
            <w:r w:rsidRPr="00CA1E2C">
              <w:rPr>
                <w:b/>
                <w:color w:val="FFFFFF" w:themeColor="background1"/>
                <w:szCs w:val="22"/>
              </w:rPr>
              <w:t>Organisation</w:t>
            </w:r>
          </w:p>
        </w:tc>
        <w:tc>
          <w:tcPr>
            <w:tcW w:w="3697" w:type="pct"/>
          </w:tcPr>
          <w:p w14:paraId="3260F56D" w14:textId="77777777" w:rsidR="00113847" w:rsidRPr="00CA1E2C" w:rsidRDefault="00113847" w:rsidP="0085716A">
            <w:pPr>
              <w:pStyle w:val="TableHeading"/>
              <w:jc w:val="left"/>
              <w:cnfStyle w:val="100000000000" w:firstRow="1" w:lastRow="0" w:firstColumn="0" w:lastColumn="0" w:oddVBand="0" w:evenVBand="0" w:oddHBand="0" w:evenHBand="0" w:firstRowFirstColumn="0" w:firstRowLastColumn="0" w:lastRowFirstColumn="0" w:lastRowLastColumn="0"/>
            </w:pPr>
            <w:r w:rsidRPr="00CA1E2C">
              <w:t>Summary of activity</w:t>
            </w:r>
          </w:p>
        </w:tc>
      </w:tr>
      <w:tr w:rsidR="00113847" w:rsidRPr="00CA1E2C" w14:paraId="4E230193" w14:textId="77777777" w:rsidTr="0085716A">
        <w:tc>
          <w:tcPr>
            <w:cnfStyle w:val="001000000000" w:firstRow="0" w:lastRow="0" w:firstColumn="1" w:lastColumn="0" w:oddVBand="0" w:evenVBand="0" w:oddHBand="0" w:evenHBand="0" w:firstRowFirstColumn="0" w:firstRowLastColumn="0" w:lastRowFirstColumn="0" w:lastRowLastColumn="0"/>
            <w:tcW w:w="1303" w:type="pct"/>
          </w:tcPr>
          <w:p w14:paraId="35012966" w14:textId="77777777" w:rsidR="00113847" w:rsidRPr="00CA1E2C" w:rsidRDefault="00113847" w:rsidP="0085716A">
            <w:pPr>
              <w:pStyle w:val="TableText"/>
              <w:rPr>
                <w:color w:val="FFFFFF" w:themeColor="background1"/>
                <w:szCs w:val="22"/>
              </w:rPr>
            </w:pPr>
            <w:r w:rsidRPr="00CA1E2C">
              <w:rPr>
                <w:rFonts w:ascii="Calibri" w:hAnsi="Calibri"/>
                <w:b w:val="0"/>
                <w:color w:val="FFFFFF" w:themeColor="background1"/>
                <w:szCs w:val="22"/>
              </w:rPr>
              <w:t>Bureau of Meteorology</w:t>
            </w:r>
          </w:p>
        </w:tc>
        <w:tc>
          <w:tcPr>
            <w:tcW w:w="3697" w:type="pct"/>
          </w:tcPr>
          <w:p w14:paraId="089DFF0E" w14:textId="638316E8" w:rsidR="00113847" w:rsidRPr="00CA1E2C" w:rsidRDefault="0036495C" w:rsidP="0085716A">
            <w:pPr>
              <w:jc w:val="left"/>
              <w:cnfStyle w:val="000000000000" w:firstRow="0" w:lastRow="0" w:firstColumn="0" w:lastColumn="0" w:oddVBand="0" w:evenVBand="0" w:oddHBand="0" w:evenHBand="0" w:firstRowFirstColumn="0" w:firstRowLastColumn="0" w:lastRowFirstColumn="0" w:lastRowLastColumn="0"/>
            </w:pPr>
            <w:r>
              <w:t>The Bureau</w:t>
            </w:r>
            <w:r w:rsidR="00113847" w:rsidRPr="00CA1E2C">
              <w:t xml:space="preserve">’s ionospheric forecasts support defence communications, comprising the JP2043 Defence HF Communications System (DHFCS) and JP9101 Extended-DHFCS, and defence radar operations (JP2025 JORN – Jindalee Operational Radar Network). </w:t>
            </w:r>
          </w:p>
          <w:p w14:paraId="304E7D20" w14:textId="77777777" w:rsidR="00113847" w:rsidRPr="00CA1E2C" w:rsidRDefault="00113847" w:rsidP="0085716A">
            <w:pPr>
              <w:jc w:val="left"/>
              <w:cnfStyle w:val="000000000000" w:firstRow="0" w:lastRow="0" w:firstColumn="0" w:lastColumn="0" w:oddVBand="0" w:evenVBand="0" w:oddHBand="0" w:evenHBand="0" w:firstRowFirstColumn="0" w:firstRowLastColumn="0" w:lastRowFirstColumn="0" w:lastRowLastColumn="0"/>
            </w:pPr>
            <w:r w:rsidRPr="00CA1E2C">
              <w:t>The Bureau’s Space Weather Services provides expert advice on the risk assessment of space weather impacts on Australia’s critical infrastructure. This assessment is led by the Critical Infrastructure Program for Modelling and Analysis (CIPMA) section of the Trusted Infor</w:t>
            </w:r>
            <w:r>
              <w:t xml:space="preserve">mation Sharing Network (TISN). </w:t>
            </w:r>
          </w:p>
        </w:tc>
      </w:tr>
      <w:tr w:rsidR="00113847" w:rsidRPr="00CA1E2C" w14:paraId="44144B62" w14:textId="77777777" w:rsidTr="008571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30005326" w14:textId="77777777" w:rsidR="00113847" w:rsidRPr="008A7D08" w:rsidRDefault="00113847" w:rsidP="0085716A">
            <w:pPr>
              <w:pStyle w:val="TableText"/>
              <w:rPr>
                <w:rFonts w:ascii="Calibri" w:hAnsi="Calibri"/>
                <w:b w:val="0"/>
                <w:color w:val="FFFFFF" w:themeColor="background1"/>
                <w:szCs w:val="22"/>
              </w:rPr>
            </w:pPr>
            <w:r w:rsidRPr="008A7D08">
              <w:rPr>
                <w:rFonts w:ascii="Calibri" w:hAnsi="Calibri"/>
                <w:b w:val="0"/>
                <w:color w:val="FFFFFF" w:themeColor="background1"/>
                <w:szCs w:val="22"/>
              </w:rPr>
              <w:t>Department of Defence</w:t>
            </w:r>
          </w:p>
        </w:tc>
        <w:tc>
          <w:tcPr>
            <w:tcW w:w="3697" w:type="pct"/>
          </w:tcPr>
          <w:p w14:paraId="17829E1E" w14:textId="77777777" w:rsidR="00113847" w:rsidRPr="00CA1E2C" w:rsidRDefault="00113847" w:rsidP="0085716A">
            <w:pPr>
              <w:jc w:val="left"/>
              <w:cnfStyle w:val="000000010000" w:firstRow="0" w:lastRow="0" w:firstColumn="0" w:lastColumn="0" w:oddVBand="0" w:evenVBand="0" w:oddHBand="0" w:evenHBand="1" w:firstRowFirstColumn="0" w:firstRowLastColumn="0" w:lastRowFirstColumn="0" w:lastRowLastColumn="0"/>
            </w:pPr>
            <w:r w:rsidRPr="00CA1E2C">
              <w:t>All Defence activities directly contribute to Australia’s national security objectives. In 2018, the Australian Government released the Defence Industrial Capability Plan, which outlines the long-term vision to build a robust, resilient and internationally competitive Australian industry base that is better able to meet defence capability requirements. The plan identifies space-based intelligence and surveillance as sovereign capabilities under the following Sovereign Industrial Capability Priorities: surveillance and intelligence data collection, analysis dissemination and complex systems integration, which includes developing and upgrading sensors and software, and space situational awareness systems to enhance data collection, analysis or dissemination; and enhanced active and passive phased array radar capability. Implementation plans for each of the Sovereign Industrial Capability Priorities will be released from mid-2019.</w:t>
            </w:r>
          </w:p>
          <w:p w14:paraId="08F8990D" w14:textId="77777777" w:rsidR="00113847" w:rsidRPr="008A7D08" w:rsidRDefault="00113847" w:rsidP="0085716A">
            <w:pPr>
              <w:jc w:val="left"/>
              <w:cnfStyle w:val="000000010000" w:firstRow="0" w:lastRow="0" w:firstColumn="0" w:lastColumn="0" w:oddVBand="0" w:evenVBand="0" w:oddHBand="0" w:evenHBand="1" w:firstRowFirstColumn="0" w:firstRowLastColumn="0" w:lastRowFirstColumn="0" w:lastRowLastColumn="0"/>
            </w:pPr>
            <w:r w:rsidRPr="00CA1E2C">
              <w:t>Defence works to secure radiofrequency spectrum resources for defence satellite networks and to manage interference to and from other countries’ satellite networks and terrestrial systems</w:t>
            </w:r>
            <w:r>
              <w:t>, in accordance with ITU rules.</w:t>
            </w:r>
          </w:p>
        </w:tc>
      </w:tr>
      <w:tr w:rsidR="00113847" w:rsidRPr="00CA1E2C" w14:paraId="383FE00A" w14:textId="77777777" w:rsidTr="0085716A">
        <w:tc>
          <w:tcPr>
            <w:cnfStyle w:val="001000000000" w:firstRow="0" w:lastRow="0" w:firstColumn="1" w:lastColumn="0" w:oddVBand="0" w:evenVBand="0" w:oddHBand="0" w:evenHBand="0" w:firstRowFirstColumn="0" w:firstRowLastColumn="0" w:lastRowFirstColumn="0" w:lastRowLastColumn="0"/>
            <w:tcW w:w="1303" w:type="pct"/>
          </w:tcPr>
          <w:p w14:paraId="599CC943" w14:textId="77777777" w:rsidR="00113847" w:rsidRPr="008A7D08" w:rsidRDefault="00113847" w:rsidP="0085716A">
            <w:pPr>
              <w:pStyle w:val="TableText"/>
              <w:rPr>
                <w:rFonts w:ascii="Calibri" w:hAnsi="Calibri"/>
                <w:b w:val="0"/>
                <w:color w:val="FFFFFF" w:themeColor="background1"/>
                <w:szCs w:val="22"/>
              </w:rPr>
            </w:pPr>
            <w:r>
              <w:rPr>
                <w:rFonts w:ascii="Calibri" w:hAnsi="Calibri"/>
                <w:b w:val="0"/>
                <w:color w:val="FFFFFF" w:themeColor="background1"/>
                <w:szCs w:val="22"/>
              </w:rPr>
              <w:lastRenderedPageBreak/>
              <w:t>Department of Foreign Affairs and Trade</w:t>
            </w:r>
          </w:p>
        </w:tc>
        <w:tc>
          <w:tcPr>
            <w:tcW w:w="3697" w:type="pct"/>
          </w:tcPr>
          <w:p w14:paraId="6EE2074C" w14:textId="09A18A38" w:rsidR="00113847" w:rsidRPr="00CA1E2C" w:rsidRDefault="00113847" w:rsidP="0085716A">
            <w:pPr>
              <w:jc w:val="left"/>
              <w:cnfStyle w:val="000000000000" w:firstRow="0" w:lastRow="0" w:firstColumn="0" w:lastColumn="0" w:oddVBand="0" w:evenVBand="0" w:oddHBand="0" w:evenHBand="0" w:firstRowFirstColumn="0" w:firstRowLastColumn="0" w:lastRowFirstColumn="0" w:lastRowLastColumn="0"/>
            </w:pPr>
            <w:r w:rsidRPr="00CA1E2C">
              <w:t xml:space="preserve">In August 2018 and March 2019, Australia participated as part of the United Nations Group of Governmental Experts (GGE) on further practical measures for the prevention of an arms race in outer space, which was established through the General Assembly Resolution 72/250 in 2017. The 25 experts were mandated to consider and make recommendations on substantial elements of an international legally binding instrument on the prevention of an arms race in outer space, including, inter alia, on the prevention of the placement of weapons in outer space. </w:t>
            </w:r>
            <w:r w:rsidR="00C03E26" w:rsidRPr="00C03E26">
              <w:t>The March meeting ended without agreement after Experts were unable to reach consensus on a set of recommendations. The GGE has now concluded its work.</w:t>
            </w:r>
          </w:p>
          <w:p w14:paraId="703EE764" w14:textId="77777777" w:rsidR="00113847" w:rsidRPr="00CA1E2C" w:rsidRDefault="00113847" w:rsidP="0085716A">
            <w:pPr>
              <w:jc w:val="left"/>
              <w:cnfStyle w:val="000000000000" w:firstRow="0" w:lastRow="0" w:firstColumn="0" w:lastColumn="0" w:oddVBand="0" w:evenVBand="0" w:oddHBand="0" w:evenHBand="0" w:firstRowFirstColumn="0" w:firstRowLastColumn="0" w:lastRowFirstColumn="0" w:lastRowLastColumn="0"/>
            </w:pPr>
            <w:r w:rsidRPr="00CA1E2C">
              <w:t xml:space="preserve">In October 2018, DFAT participated in the US-led </w:t>
            </w:r>
            <w:proofErr w:type="spellStart"/>
            <w:r w:rsidRPr="00CA1E2C">
              <w:t>Schriever</w:t>
            </w:r>
            <w:proofErr w:type="spellEnd"/>
            <w:r w:rsidRPr="00CA1E2C">
              <w:t xml:space="preserve"> Wargame, which explored critical space and cyberspace issues in depth and in October-November, it coordinated Australia’s responses to First Co</w:t>
            </w:r>
            <w:r>
              <w:t xml:space="preserve">mmittee resolutions on space.  </w:t>
            </w:r>
          </w:p>
        </w:tc>
      </w:tr>
      <w:tr w:rsidR="00113847" w:rsidRPr="00CA1E2C" w14:paraId="6E373724" w14:textId="77777777" w:rsidTr="008571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0582AB17" w14:textId="77777777" w:rsidR="00113847" w:rsidRPr="008A7D08" w:rsidRDefault="00113847" w:rsidP="0085716A">
            <w:pPr>
              <w:pStyle w:val="TableText"/>
              <w:rPr>
                <w:rFonts w:ascii="Calibri" w:hAnsi="Calibri"/>
                <w:b w:val="0"/>
                <w:color w:val="FFFFFF" w:themeColor="background1"/>
                <w:szCs w:val="22"/>
              </w:rPr>
            </w:pPr>
            <w:r w:rsidRPr="008A7D08">
              <w:rPr>
                <w:rFonts w:ascii="Calibri" w:hAnsi="Calibri"/>
                <w:b w:val="0"/>
                <w:color w:val="FFFFFF" w:themeColor="background1"/>
                <w:szCs w:val="22"/>
              </w:rPr>
              <w:t>Department of Home Affairs</w:t>
            </w:r>
          </w:p>
          <w:p w14:paraId="00EA4177" w14:textId="77777777" w:rsidR="00113847" w:rsidRPr="008A7D08" w:rsidRDefault="00113847" w:rsidP="0085716A">
            <w:pPr>
              <w:pStyle w:val="TableText"/>
              <w:rPr>
                <w:rFonts w:ascii="Calibri" w:hAnsi="Calibri"/>
                <w:b w:val="0"/>
                <w:color w:val="FFFFFF" w:themeColor="background1"/>
                <w:szCs w:val="22"/>
              </w:rPr>
            </w:pPr>
          </w:p>
        </w:tc>
        <w:tc>
          <w:tcPr>
            <w:tcW w:w="3697" w:type="pct"/>
          </w:tcPr>
          <w:p w14:paraId="35DE16DF" w14:textId="19236E13" w:rsidR="00113847" w:rsidRDefault="00113847" w:rsidP="0085716A">
            <w:pPr>
              <w:jc w:val="left"/>
              <w:cnfStyle w:val="000000010000" w:firstRow="0" w:lastRow="0" w:firstColumn="0" w:lastColumn="0" w:oddVBand="0" w:evenVBand="0" w:oddHBand="0" w:evenHBand="1" w:firstRowFirstColumn="0" w:firstRowLastColumn="0" w:lastRowFirstColumn="0" w:lastRowLastColumn="0"/>
            </w:pPr>
            <w:r w:rsidRPr="00CA1E2C">
              <w:t xml:space="preserve">Within the Department of Home Affairs, the Critical Infrastructure Centre (CIC) manages national security risks </w:t>
            </w:r>
            <w:r w:rsidR="00DD4038">
              <w:t xml:space="preserve">within Australia’s </w:t>
            </w:r>
            <w:r w:rsidRPr="00CA1E2C">
              <w:t>critical infrastructure, including space-related infrastructure. The CIC engages with critical infrastructure owners and operators through the Trusted Information Sharing Network (TISN), which is comprised of eight sector groups (Banking and Finance; Health; Food and Grocery; Transport; Communications; Water Services; Energy; Commonwealth Government) with members including owners and operators of critical infrastructure, Commonwealth, state and territory government agency representatives and peak and national bodies.</w:t>
            </w:r>
          </w:p>
          <w:p w14:paraId="24203C09" w14:textId="0D6618E8" w:rsidR="00113847" w:rsidRPr="00CA1E2C" w:rsidRDefault="00113847" w:rsidP="0085716A">
            <w:pPr>
              <w:jc w:val="left"/>
              <w:cnfStyle w:val="000000010000" w:firstRow="0" w:lastRow="0" w:firstColumn="0" w:lastColumn="0" w:oddVBand="0" w:evenVBand="0" w:oddHBand="0" w:evenHBand="1" w:firstRowFirstColumn="0" w:firstRowLastColumn="0" w:lastRowFirstColumn="0" w:lastRowLastColumn="0"/>
            </w:pPr>
            <w:r>
              <w:t>The Space Cross Sect</w:t>
            </w:r>
            <w:r w:rsidR="00DD4038">
              <w:t>or</w:t>
            </w:r>
            <w:r>
              <w:t xml:space="preserve"> Interest Group</w:t>
            </w:r>
            <w:r w:rsidR="00DD4038">
              <w:t xml:space="preserve"> (</w:t>
            </w:r>
            <w:r w:rsidR="006F6C47">
              <w:t>Space-</w:t>
            </w:r>
            <w:r w:rsidR="00DD4038">
              <w:t>CSIG)</w:t>
            </w:r>
            <w:r>
              <w:t xml:space="preserve"> is an active and valued member</w:t>
            </w:r>
            <w:r w:rsidR="00DD4038">
              <w:t xml:space="preserve"> of TISN</w:t>
            </w:r>
            <w:r>
              <w:t xml:space="preserve">. The Agency provides secretariat support services to the </w:t>
            </w:r>
            <w:r w:rsidR="00785B9C">
              <w:t>S</w:t>
            </w:r>
            <w:r>
              <w:t>pace</w:t>
            </w:r>
            <w:r w:rsidR="00DD4038">
              <w:t>-</w:t>
            </w:r>
            <w:r>
              <w:t xml:space="preserve">CSIG. </w:t>
            </w:r>
          </w:p>
          <w:p w14:paraId="03ABEE1B" w14:textId="77777777" w:rsidR="00113847" w:rsidRPr="00CA1E2C" w:rsidRDefault="00113847" w:rsidP="0085716A">
            <w:pPr>
              <w:jc w:val="left"/>
              <w:cnfStyle w:val="000000010000" w:firstRow="0" w:lastRow="0" w:firstColumn="0" w:lastColumn="0" w:oddVBand="0" w:evenVBand="0" w:oddHBand="0" w:evenHBand="1" w:firstRowFirstColumn="0" w:firstRowLastColumn="0" w:lastRowFirstColumn="0" w:lastRowLastColumn="0"/>
            </w:pPr>
            <w:r w:rsidRPr="00CA1E2C">
              <w:t xml:space="preserve">Home Affairs’ </w:t>
            </w:r>
            <w:r w:rsidRPr="00CA1E2C">
              <w:rPr>
                <w:i/>
              </w:rPr>
              <w:t>Critical Infrastructure Resilience Strategy</w:t>
            </w:r>
            <w:r w:rsidRPr="00CA1E2C">
              <w:t xml:space="preserve"> seeks to ensure the continued operation of critical infrastructure, including space-related infrastructure, in the face of all hazards. More resilient critical infrastructure will help achieve the continued provision of essential services to businesses, governments and the community, as well as to other critical infrastructure sectors. </w:t>
            </w:r>
          </w:p>
          <w:p w14:paraId="75DA2433" w14:textId="77777777" w:rsidR="00113847" w:rsidRPr="00CA1E2C" w:rsidRDefault="00113847" w:rsidP="0085716A">
            <w:pPr>
              <w:jc w:val="left"/>
              <w:cnfStyle w:val="000000010000" w:firstRow="0" w:lastRow="0" w:firstColumn="0" w:lastColumn="0" w:oddVBand="0" w:evenVBand="0" w:oddHBand="0" w:evenHBand="1" w:firstRowFirstColumn="0" w:firstRowLastColumn="0" w:lastRowFirstColumn="0" w:lastRowLastColumn="0"/>
            </w:pPr>
            <w:r w:rsidRPr="00CA1E2C">
              <w:t>There are four key outcomes in the strategy:</w:t>
            </w:r>
          </w:p>
          <w:p w14:paraId="4CABA0AD" w14:textId="77777777" w:rsidR="00113847" w:rsidRPr="00CA1E2C" w:rsidRDefault="00113847" w:rsidP="0085716A">
            <w:pPr>
              <w:pStyle w:val="ListNumber"/>
              <w:numPr>
                <w:ilvl w:val="0"/>
                <w:numId w:val="20"/>
              </w:numPr>
              <w:jc w:val="left"/>
              <w:cnfStyle w:val="000000010000" w:firstRow="0" w:lastRow="0" w:firstColumn="0" w:lastColumn="0" w:oddVBand="0" w:evenVBand="0" w:oddHBand="0" w:evenHBand="1" w:firstRowFirstColumn="0" w:firstRowLastColumn="0" w:lastRowFirstColumn="0" w:lastRowLastColumn="0"/>
            </w:pPr>
            <w:r w:rsidRPr="00CA1E2C">
              <w:t>A strong and effective business-government partnership.</w:t>
            </w:r>
          </w:p>
          <w:p w14:paraId="6F3FF944" w14:textId="77777777" w:rsidR="00113847" w:rsidRPr="00CA1E2C" w:rsidRDefault="00113847" w:rsidP="0085716A">
            <w:pPr>
              <w:pStyle w:val="ListNumber"/>
              <w:numPr>
                <w:ilvl w:val="0"/>
                <w:numId w:val="20"/>
              </w:numPr>
              <w:jc w:val="left"/>
              <w:cnfStyle w:val="000000010000" w:firstRow="0" w:lastRow="0" w:firstColumn="0" w:lastColumn="0" w:oddVBand="0" w:evenVBand="0" w:oddHBand="0" w:evenHBand="1" w:firstRowFirstColumn="0" w:firstRowLastColumn="0" w:lastRowFirstColumn="0" w:lastRowLastColumn="0"/>
            </w:pPr>
            <w:r w:rsidRPr="00CA1E2C">
              <w:t>Enhanced risk management of the operating environment.</w:t>
            </w:r>
          </w:p>
          <w:p w14:paraId="044A9F8A" w14:textId="77777777" w:rsidR="00113847" w:rsidRPr="00CA1E2C" w:rsidRDefault="00113847" w:rsidP="0085716A">
            <w:pPr>
              <w:pStyle w:val="ListNumber"/>
              <w:numPr>
                <w:ilvl w:val="0"/>
                <w:numId w:val="20"/>
              </w:numPr>
              <w:jc w:val="left"/>
              <w:cnfStyle w:val="000000010000" w:firstRow="0" w:lastRow="0" w:firstColumn="0" w:lastColumn="0" w:oddVBand="0" w:evenVBand="0" w:oddHBand="0" w:evenHBand="1" w:firstRowFirstColumn="0" w:firstRowLastColumn="0" w:lastRowFirstColumn="0" w:lastRowLastColumn="0"/>
            </w:pPr>
            <w:r w:rsidRPr="00CA1E2C">
              <w:t>Effective understanding and management of strategic issues.</w:t>
            </w:r>
          </w:p>
          <w:p w14:paraId="3DD73219" w14:textId="77777777" w:rsidR="00113847" w:rsidRPr="00CA1E2C" w:rsidRDefault="00113847" w:rsidP="0085716A">
            <w:pPr>
              <w:pStyle w:val="ListNumber"/>
              <w:numPr>
                <w:ilvl w:val="0"/>
                <w:numId w:val="20"/>
              </w:numPr>
              <w:jc w:val="left"/>
              <w:cnfStyle w:val="000000010000" w:firstRow="0" w:lastRow="0" w:firstColumn="0" w:lastColumn="0" w:oddVBand="0" w:evenVBand="0" w:oddHBand="0" w:evenHBand="1" w:firstRowFirstColumn="0" w:firstRowLastColumn="0" w:lastRowFirstColumn="0" w:lastRowLastColumn="0"/>
            </w:pPr>
            <w:r w:rsidRPr="00CA1E2C">
              <w:t>A mature understanding and application of organisational resilience.</w:t>
            </w:r>
          </w:p>
          <w:p w14:paraId="03A9AF12" w14:textId="77777777" w:rsidR="00113847" w:rsidRDefault="00113847" w:rsidP="0085716A">
            <w:pPr>
              <w:jc w:val="left"/>
              <w:cnfStyle w:val="000000010000" w:firstRow="0" w:lastRow="0" w:firstColumn="0" w:lastColumn="0" w:oddVBand="0" w:evenVBand="0" w:oddHBand="0" w:evenHBand="1" w:firstRowFirstColumn="0" w:firstRowLastColumn="0" w:lastRowFirstColumn="0" w:lastRowLastColumn="0"/>
            </w:pPr>
            <w:r w:rsidRPr="00CA1E2C">
              <w:t xml:space="preserve">In 2019 the Critical Infrastructure Resilience Strategy is being refreshed, coinciding with a series of initiatives to refresh TISN. </w:t>
            </w:r>
          </w:p>
          <w:p w14:paraId="1FADEBAE" w14:textId="6A06D0BB" w:rsidR="00113847" w:rsidRPr="00CA1E2C" w:rsidRDefault="00113847" w:rsidP="00DD4038">
            <w:pPr>
              <w:jc w:val="left"/>
              <w:cnfStyle w:val="000000010000" w:firstRow="0" w:lastRow="0" w:firstColumn="0" w:lastColumn="0" w:oddVBand="0" w:evenVBand="0" w:oddHBand="0" w:evenHBand="1" w:firstRowFirstColumn="0" w:firstRowLastColumn="0" w:lastRowFirstColumn="0" w:lastRowLastColumn="0"/>
            </w:pPr>
            <w:r w:rsidRPr="00CA1E2C">
              <w:t>The Space</w:t>
            </w:r>
            <w:r w:rsidR="00DD4038">
              <w:t>-CSIG</w:t>
            </w:r>
            <w:r w:rsidRPr="00CA1E2C">
              <w:t xml:space="preserve"> is closely involved in and consulted on these changes to ensure the critical role of the sector is well c</w:t>
            </w:r>
            <w:r>
              <w:t xml:space="preserve">aptured in these arrangements. </w:t>
            </w:r>
          </w:p>
        </w:tc>
      </w:tr>
    </w:tbl>
    <w:p w14:paraId="3D0AC262" w14:textId="7A697009" w:rsidR="00E51A7C" w:rsidRDefault="00E51A7C" w:rsidP="00817676"/>
    <w:p w14:paraId="6B884661" w14:textId="0414247D" w:rsidR="004C4BAE" w:rsidRPr="00CA1E2C" w:rsidRDefault="004C4BAE" w:rsidP="00B5473C">
      <w:pPr>
        <w:pStyle w:val="Heading1"/>
      </w:pPr>
      <w:bookmarkStart w:id="52" w:name="_Toc40946046"/>
      <w:r w:rsidRPr="00CA1E2C">
        <w:lastRenderedPageBreak/>
        <w:t>Re</w:t>
      </w:r>
      <w:r w:rsidR="0049252B" w:rsidRPr="00CA1E2C">
        <w:t>sponsible</w:t>
      </w:r>
      <w:bookmarkEnd w:id="52"/>
    </w:p>
    <w:p w14:paraId="03EC167C" w14:textId="05E484E3" w:rsidR="0049252B" w:rsidRPr="00CA1E2C" w:rsidRDefault="00890185" w:rsidP="00817676">
      <w:pPr>
        <w:pStyle w:val="IntroCopy"/>
        <w:spacing w:after="240"/>
        <w:rPr>
          <w:i/>
        </w:rPr>
      </w:pPr>
      <w:r>
        <w:rPr>
          <w:i/>
        </w:rPr>
        <w:t>Promote a s</w:t>
      </w:r>
      <w:r w:rsidR="0049252B" w:rsidRPr="00CA1E2C">
        <w:rPr>
          <w:i/>
        </w:rPr>
        <w:t>pace sector culture that is globally respecte</w:t>
      </w:r>
      <w:r>
        <w:rPr>
          <w:i/>
        </w:rPr>
        <w:t>d, ensures national safety and s</w:t>
      </w:r>
      <w:r w:rsidR="0049252B" w:rsidRPr="00CA1E2C">
        <w:rPr>
          <w:i/>
        </w:rPr>
        <w:t>ecurity u</w:t>
      </w:r>
      <w:r>
        <w:rPr>
          <w:i/>
        </w:rPr>
        <w:t>nder an appropriate regulatory framework, and meet</w:t>
      </w:r>
      <w:r w:rsidR="0049252B" w:rsidRPr="00CA1E2C">
        <w:rPr>
          <w:i/>
        </w:rPr>
        <w:t>s international obligations and norms.</w:t>
      </w:r>
    </w:p>
    <w:p w14:paraId="40389407" w14:textId="10F755A8" w:rsidR="008E4B4F" w:rsidRPr="00CA1E2C" w:rsidRDefault="008E4B4F" w:rsidP="00D40E91">
      <w:pPr>
        <w:pStyle w:val="Heading2"/>
      </w:pPr>
      <w:r w:rsidRPr="00CA1E2C">
        <w:t xml:space="preserve">Regulation </w:t>
      </w:r>
      <w:r w:rsidR="00BF0F44" w:rsidRPr="00CA1E2C">
        <w:t>associated with space activities</w:t>
      </w:r>
    </w:p>
    <w:p w14:paraId="5593B46C" w14:textId="2125464C" w:rsidR="008E4B4F" w:rsidRDefault="00F57151" w:rsidP="00351FDF">
      <w:pPr>
        <w:rPr>
          <w:rFonts w:cstheme="minorHAnsi"/>
          <w:szCs w:val="22"/>
        </w:rPr>
      </w:pPr>
      <w:r w:rsidRPr="00CA1E2C">
        <w:rPr>
          <w:rFonts w:cstheme="minorHAnsi"/>
          <w:szCs w:val="22"/>
        </w:rPr>
        <w:t xml:space="preserve">The Agency is responsible for </w:t>
      </w:r>
      <w:r w:rsidR="00631B1D">
        <w:rPr>
          <w:rFonts w:cstheme="minorHAnsi"/>
          <w:szCs w:val="22"/>
        </w:rPr>
        <w:t>regulating civil space activities under the</w:t>
      </w:r>
      <w:r w:rsidR="004D21C4">
        <w:rPr>
          <w:rFonts w:cstheme="minorHAnsi"/>
          <w:szCs w:val="22"/>
        </w:rPr>
        <w:t xml:space="preserve"> </w:t>
      </w:r>
      <w:r w:rsidR="004D21C4" w:rsidRPr="005D7667">
        <w:rPr>
          <w:rFonts w:cstheme="minorHAnsi"/>
          <w:i/>
          <w:szCs w:val="22"/>
        </w:rPr>
        <w:t>Space Activities Act 1998</w:t>
      </w:r>
      <w:r w:rsidR="004D21C4">
        <w:rPr>
          <w:rFonts w:cstheme="minorHAnsi"/>
          <w:szCs w:val="22"/>
        </w:rPr>
        <w:t xml:space="preserve"> (amended to become the</w:t>
      </w:r>
      <w:r w:rsidR="00631B1D">
        <w:rPr>
          <w:rFonts w:cstheme="minorHAnsi"/>
          <w:szCs w:val="22"/>
        </w:rPr>
        <w:t xml:space="preserve"> </w:t>
      </w:r>
      <w:r w:rsidR="00631B1D" w:rsidRPr="005D7667">
        <w:rPr>
          <w:rFonts w:cstheme="minorHAnsi"/>
          <w:i/>
          <w:szCs w:val="22"/>
        </w:rPr>
        <w:t>Space (Launches and Returns) Act 2018</w:t>
      </w:r>
      <w:r w:rsidR="004D21C4">
        <w:rPr>
          <w:rFonts w:cstheme="minorHAnsi"/>
          <w:i/>
          <w:szCs w:val="22"/>
        </w:rPr>
        <w:t xml:space="preserve"> </w:t>
      </w:r>
      <w:r w:rsidR="004D21C4">
        <w:rPr>
          <w:rFonts w:cstheme="minorHAnsi"/>
          <w:szCs w:val="22"/>
        </w:rPr>
        <w:t>from August 2019)</w:t>
      </w:r>
      <w:r w:rsidRPr="00CA1E2C">
        <w:rPr>
          <w:rFonts w:cstheme="minorHAnsi"/>
          <w:szCs w:val="22"/>
        </w:rPr>
        <w:t>.</w:t>
      </w:r>
      <w:r w:rsidR="0048512F">
        <w:rPr>
          <w:rFonts w:cstheme="minorHAnsi"/>
          <w:szCs w:val="22"/>
        </w:rPr>
        <w:t xml:space="preserve"> </w:t>
      </w:r>
      <w:r w:rsidR="0048512F">
        <w:t xml:space="preserve">This includes regulating the launch of space objects, launches from Australia and from mid-2020 High Power Rockets. </w:t>
      </w:r>
      <w:r w:rsidRPr="00CA1E2C">
        <w:rPr>
          <w:rFonts w:cstheme="minorHAnsi"/>
          <w:szCs w:val="22"/>
        </w:rPr>
        <w:t xml:space="preserve"> It </w:t>
      </w:r>
      <w:r w:rsidR="00631B1D">
        <w:rPr>
          <w:rFonts w:cstheme="minorHAnsi"/>
          <w:szCs w:val="22"/>
        </w:rPr>
        <w:t xml:space="preserve">also </w:t>
      </w:r>
      <w:r w:rsidRPr="00CA1E2C">
        <w:rPr>
          <w:rFonts w:cstheme="minorHAnsi"/>
          <w:szCs w:val="22"/>
        </w:rPr>
        <w:t xml:space="preserve">has responsibility for implementing Australia’s obligations under the United Nations space treaties. The Agency and other Commonwealth organisations </w:t>
      </w:r>
      <w:r w:rsidR="00631B1D">
        <w:rPr>
          <w:rFonts w:cstheme="minorHAnsi"/>
          <w:szCs w:val="22"/>
        </w:rPr>
        <w:t>also</w:t>
      </w:r>
      <w:r w:rsidR="00631B1D" w:rsidRPr="00CA1E2C">
        <w:rPr>
          <w:rFonts w:cstheme="minorHAnsi"/>
          <w:szCs w:val="22"/>
        </w:rPr>
        <w:t xml:space="preserve"> </w:t>
      </w:r>
      <w:r w:rsidRPr="00CA1E2C">
        <w:rPr>
          <w:rFonts w:cstheme="minorHAnsi"/>
          <w:szCs w:val="22"/>
        </w:rPr>
        <w:t>cooperate in the implementation of the UNCOPUOS Long-Term Sustainability of Outer Space Activiti</w:t>
      </w:r>
      <w:r w:rsidR="00817676">
        <w:rPr>
          <w:rFonts w:cstheme="minorHAnsi"/>
          <w:szCs w:val="22"/>
        </w:rPr>
        <w:t>es Guidelines (LTS Guidelines).</w:t>
      </w:r>
      <w:r w:rsidRPr="00CA1E2C">
        <w:rPr>
          <w:rFonts w:cstheme="minorHAnsi"/>
          <w:szCs w:val="22"/>
        </w:rPr>
        <w:t xml:space="preserve"> </w:t>
      </w:r>
      <w:r w:rsidR="00631B1D">
        <w:rPr>
          <w:rFonts w:cstheme="minorHAnsi"/>
          <w:szCs w:val="22"/>
        </w:rPr>
        <w:t xml:space="preserve">The below table highlights the space-related regulatory activity of </w:t>
      </w:r>
      <w:r>
        <w:rPr>
          <w:rFonts w:cstheme="minorHAnsi"/>
          <w:szCs w:val="22"/>
        </w:rPr>
        <w:t>SCC members.</w:t>
      </w:r>
    </w:p>
    <w:p w14:paraId="6FF8542B" w14:textId="2743F3F9" w:rsidR="00F57151" w:rsidRDefault="00B049A5" w:rsidP="00B049A5">
      <w:pPr>
        <w:pStyle w:val="Caption"/>
        <w:rPr>
          <w:rFonts w:cstheme="minorHAnsi"/>
          <w:szCs w:val="22"/>
        </w:rPr>
      </w:pPr>
      <w:bookmarkStart w:id="53" w:name="_Toc40946027"/>
      <w:r>
        <w:t xml:space="preserve">Table </w:t>
      </w:r>
      <w:r>
        <w:fldChar w:fldCharType="begin"/>
      </w:r>
      <w:r>
        <w:instrText xml:space="preserve"> SEQ Table \* ARABIC </w:instrText>
      </w:r>
      <w:r>
        <w:fldChar w:fldCharType="separate"/>
      </w:r>
      <w:r w:rsidR="00C35904">
        <w:rPr>
          <w:noProof/>
        </w:rPr>
        <w:t>9</w:t>
      </w:r>
      <w:r>
        <w:fldChar w:fldCharType="end"/>
      </w:r>
      <w:r w:rsidR="000D2439">
        <w:t xml:space="preserve"> – SCC s</w:t>
      </w:r>
      <w:r>
        <w:t>pace regulation activities</w:t>
      </w:r>
      <w:bookmarkEnd w:id="53"/>
    </w:p>
    <w:tbl>
      <w:tblPr>
        <w:tblStyle w:val="ASATable"/>
        <w:tblW w:w="4958" w:type="pct"/>
        <w:tblInd w:w="2" w:type="dxa"/>
        <w:tblLook w:val="04A0" w:firstRow="1" w:lastRow="0" w:firstColumn="1" w:lastColumn="0" w:noHBand="0" w:noVBand="1"/>
        <w:tblCaption w:val="Table 9 – SCC space regulation activities"/>
      </w:tblPr>
      <w:tblGrid>
        <w:gridCol w:w="2547"/>
        <w:gridCol w:w="7228"/>
      </w:tblGrid>
      <w:tr w:rsidR="00F57151" w:rsidRPr="00CA1E2C" w14:paraId="06E76174" w14:textId="77777777" w:rsidTr="00351FD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303" w:type="pct"/>
          </w:tcPr>
          <w:p w14:paraId="63E85B7C" w14:textId="77777777" w:rsidR="00F57151" w:rsidRPr="00CA1E2C" w:rsidRDefault="00F57151" w:rsidP="00351FDF">
            <w:pPr>
              <w:pStyle w:val="TableHeading"/>
              <w:rPr>
                <w:b/>
                <w:color w:val="FFFFFF" w:themeColor="background1"/>
                <w:szCs w:val="22"/>
              </w:rPr>
            </w:pPr>
            <w:r w:rsidRPr="00CA1E2C">
              <w:rPr>
                <w:b/>
                <w:color w:val="FFFFFF" w:themeColor="background1"/>
                <w:szCs w:val="22"/>
              </w:rPr>
              <w:t>Organisation</w:t>
            </w:r>
          </w:p>
        </w:tc>
        <w:tc>
          <w:tcPr>
            <w:tcW w:w="3697" w:type="pct"/>
          </w:tcPr>
          <w:p w14:paraId="640AA1A0" w14:textId="77777777" w:rsidR="00F57151" w:rsidRPr="00CA1E2C" w:rsidRDefault="00F57151" w:rsidP="00351FDF">
            <w:pPr>
              <w:pStyle w:val="TableHeading"/>
              <w:jc w:val="left"/>
              <w:cnfStyle w:val="100000000000" w:firstRow="1" w:lastRow="0" w:firstColumn="0" w:lastColumn="0" w:oddVBand="0" w:evenVBand="0" w:oddHBand="0" w:evenHBand="0" w:firstRowFirstColumn="0" w:firstRowLastColumn="0" w:lastRowFirstColumn="0" w:lastRowLastColumn="0"/>
            </w:pPr>
            <w:r w:rsidRPr="00CA1E2C">
              <w:t>Summary of activity</w:t>
            </w:r>
          </w:p>
        </w:tc>
      </w:tr>
      <w:tr w:rsidR="00F57151" w:rsidRPr="00CA1E2C" w14:paraId="257A764F" w14:textId="77777777" w:rsidTr="00351FDF">
        <w:tc>
          <w:tcPr>
            <w:cnfStyle w:val="001000000000" w:firstRow="0" w:lastRow="0" w:firstColumn="1" w:lastColumn="0" w:oddVBand="0" w:evenVBand="0" w:oddHBand="0" w:evenHBand="0" w:firstRowFirstColumn="0" w:firstRowLastColumn="0" w:lastRowFirstColumn="0" w:lastRowLastColumn="0"/>
            <w:tcW w:w="1303" w:type="pct"/>
          </w:tcPr>
          <w:p w14:paraId="4F464F2F" w14:textId="77777777" w:rsidR="00F57151" w:rsidRDefault="00F57151" w:rsidP="00351FDF">
            <w:pPr>
              <w:pStyle w:val="TableText"/>
              <w:rPr>
                <w:rFonts w:ascii="Calibri" w:hAnsi="Calibri"/>
                <w:b w:val="0"/>
                <w:color w:val="FFFFFF" w:themeColor="background1"/>
                <w:szCs w:val="22"/>
              </w:rPr>
            </w:pPr>
            <w:r w:rsidRPr="008A7D08">
              <w:rPr>
                <w:rFonts w:ascii="Calibri" w:hAnsi="Calibri"/>
                <w:b w:val="0"/>
                <w:color w:val="FFFFFF" w:themeColor="background1"/>
                <w:szCs w:val="22"/>
              </w:rPr>
              <w:t>Department of Communications and the Arts</w:t>
            </w:r>
            <w:r>
              <w:rPr>
                <w:rFonts w:ascii="Calibri" w:hAnsi="Calibri"/>
                <w:b w:val="0"/>
                <w:color w:val="FFFFFF" w:themeColor="background1"/>
                <w:szCs w:val="22"/>
              </w:rPr>
              <w:t>; and</w:t>
            </w:r>
          </w:p>
          <w:p w14:paraId="1182E0E6" w14:textId="7D974257" w:rsidR="00F57151" w:rsidRPr="008A7D08" w:rsidRDefault="00F57151" w:rsidP="00351FDF">
            <w:pPr>
              <w:pStyle w:val="TableText"/>
              <w:rPr>
                <w:rFonts w:ascii="Calibri" w:hAnsi="Calibri"/>
                <w:b w:val="0"/>
                <w:color w:val="FFFFFF" w:themeColor="background1"/>
                <w:szCs w:val="22"/>
              </w:rPr>
            </w:pPr>
            <w:r w:rsidRPr="00CA1E2C">
              <w:rPr>
                <w:rFonts w:ascii="Calibri" w:hAnsi="Calibri"/>
                <w:b w:val="0"/>
                <w:color w:val="FFFFFF" w:themeColor="background1"/>
                <w:szCs w:val="22"/>
              </w:rPr>
              <w:t>Australian Communications and Media Authority</w:t>
            </w:r>
          </w:p>
          <w:p w14:paraId="57589EF5" w14:textId="77777777" w:rsidR="00F57151" w:rsidRPr="008A7D08" w:rsidRDefault="00F57151" w:rsidP="00351FDF">
            <w:pPr>
              <w:pStyle w:val="TableText"/>
              <w:rPr>
                <w:rFonts w:ascii="Calibri" w:hAnsi="Calibri"/>
                <w:b w:val="0"/>
                <w:color w:val="FFFFFF" w:themeColor="background1"/>
                <w:szCs w:val="22"/>
              </w:rPr>
            </w:pPr>
          </w:p>
        </w:tc>
        <w:tc>
          <w:tcPr>
            <w:tcW w:w="3697" w:type="pct"/>
          </w:tcPr>
          <w:p w14:paraId="195E3123" w14:textId="01134803" w:rsidR="00F57151" w:rsidRDefault="00F57151" w:rsidP="00F57151">
            <w:pPr>
              <w:pStyle w:val="TableText-Diagram"/>
              <w:jc w:val="left"/>
              <w:cnfStyle w:val="000000000000" w:firstRow="0" w:lastRow="0" w:firstColumn="0" w:lastColumn="0" w:oddVBand="0" w:evenVBand="0" w:oddHBand="0" w:evenHBand="0" w:firstRowFirstColumn="0" w:firstRowLastColumn="0" w:lastRowFirstColumn="0" w:lastRowLastColumn="0"/>
              <w:rPr>
                <w:lang w:val="en-AU"/>
              </w:rPr>
            </w:pPr>
            <w:proofErr w:type="spellStart"/>
            <w:r w:rsidRPr="00F57151">
              <w:rPr>
                <w:lang w:val="en-AU"/>
              </w:rPr>
              <w:t>DoCA</w:t>
            </w:r>
            <w:proofErr w:type="spellEnd"/>
            <w:r w:rsidRPr="00F57151">
              <w:rPr>
                <w:lang w:val="en-AU"/>
              </w:rPr>
              <w:t xml:space="preserve"> and the ACMA are both involved in the regulation and management of the radiofrequency spectrum</w:t>
            </w:r>
            <w:r w:rsidR="008015B3">
              <w:rPr>
                <w:lang w:val="en-AU"/>
              </w:rPr>
              <w:t xml:space="preserve">, </w:t>
            </w:r>
            <w:r w:rsidR="008015B3" w:rsidRPr="008015B3">
              <w:rPr>
                <w:lang w:val="en-AU"/>
              </w:rPr>
              <w:t>primarily domestic management of the radiofrequency spectrum.</w:t>
            </w:r>
            <w:r w:rsidRPr="00F57151">
              <w:rPr>
                <w:lang w:val="en-AU"/>
              </w:rPr>
              <w:t xml:space="preserve"> </w:t>
            </w:r>
            <w:proofErr w:type="spellStart"/>
            <w:r w:rsidRPr="00F57151">
              <w:rPr>
                <w:lang w:val="en-AU"/>
              </w:rPr>
              <w:t>DoCA</w:t>
            </w:r>
            <w:proofErr w:type="spellEnd"/>
            <w:r w:rsidRPr="00F57151">
              <w:rPr>
                <w:lang w:val="en-AU"/>
              </w:rPr>
              <w:t xml:space="preserve"> leads Australia’s engagement in key policy making international </w:t>
            </w:r>
            <w:proofErr w:type="spellStart"/>
            <w:r w:rsidRPr="00F57151">
              <w:rPr>
                <w:lang w:val="en-AU"/>
              </w:rPr>
              <w:t>radiocommunications</w:t>
            </w:r>
            <w:proofErr w:type="spellEnd"/>
            <w:r w:rsidRPr="00F57151">
              <w:rPr>
                <w:lang w:val="en-AU"/>
              </w:rPr>
              <w:t xml:space="preserve"> fora, including discussions at the </w:t>
            </w:r>
            <w:r w:rsidR="00280F24">
              <w:rPr>
                <w:lang w:val="en-AU"/>
              </w:rPr>
              <w:t>ITU</w:t>
            </w:r>
            <w:r w:rsidRPr="00F57151">
              <w:rPr>
                <w:lang w:val="en-AU"/>
              </w:rPr>
              <w:t xml:space="preserve"> on revisions to the treaty</w:t>
            </w:r>
            <w:r w:rsidR="00785B9C">
              <w:rPr>
                <w:lang w:val="en-AU"/>
              </w:rPr>
              <w:t>-</w:t>
            </w:r>
            <w:r w:rsidRPr="00F57151">
              <w:rPr>
                <w:lang w:val="en-AU"/>
              </w:rPr>
              <w:t xml:space="preserve">level Radio Regulations which govern international use of the radio frequency spectrum and satellite orbits. </w:t>
            </w:r>
          </w:p>
          <w:p w14:paraId="4D8FDA04" w14:textId="0AF11306" w:rsidR="00F57151" w:rsidRDefault="00F57151" w:rsidP="00F57151">
            <w:pPr>
              <w:pStyle w:val="TableText-Diagram"/>
              <w:jc w:val="left"/>
              <w:cnfStyle w:val="000000000000" w:firstRow="0" w:lastRow="0" w:firstColumn="0" w:lastColumn="0" w:oddVBand="0" w:evenVBand="0" w:oddHBand="0" w:evenHBand="0" w:firstRowFirstColumn="0" w:firstRowLastColumn="0" w:lastRowFirstColumn="0" w:lastRowLastColumn="0"/>
              <w:rPr>
                <w:lang w:val="en-AU"/>
              </w:rPr>
            </w:pPr>
            <w:r w:rsidRPr="00CA1E2C">
              <w:rPr>
                <w:lang w:val="en-AU"/>
              </w:rPr>
              <w:t xml:space="preserve">During 2018-19, </w:t>
            </w:r>
            <w:proofErr w:type="spellStart"/>
            <w:r w:rsidRPr="00CA1E2C">
              <w:rPr>
                <w:lang w:val="en-AU"/>
              </w:rPr>
              <w:t>DoCA</w:t>
            </w:r>
            <w:proofErr w:type="spellEnd"/>
            <w:r w:rsidRPr="00CA1E2C">
              <w:rPr>
                <w:lang w:val="en-AU"/>
              </w:rPr>
              <w:t xml:space="preserve">, worked closely with the ACMA and Australia’s multi-stakeholder </w:t>
            </w:r>
            <w:proofErr w:type="spellStart"/>
            <w:r w:rsidRPr="00CA1E2C">
              <w:rPr>
                <w:lang w:val="en-AU"/>
              </w:rPr>
              <w:t>radiocommunications</w:t>
            </w:r>
            <w:proofErr w:type="spellEnd"/>
            <w:r w:rsidRPr="00CA1E2C">
              <w:rPr>
                <w:lang w:val="en-AU"/>
              </w:rPr>
              <w:t xml:space="preserve"> expert group to develop </w:t>
            </w:r>
            <w:r w:rsidR="008015B3">
              <w:rPr>
                <w:lang w:val="en-AU"/>
              </w:rPr>
              <w:t xml:space="preserve">Australian positions </w:t>
            </w:r>
            <w:r w:rsidRPr="00CA1E2C">
              <w:rPr>
                <w:lang w:val="en-AU"/>
              </w:rPr>
              <w:t xml:space="preserve">on more than 30 </w:t>
            </w:r>
            <w:proofErr w:type="spellStart"/>
            <w:r w:rsidRPr="00CA1E2C">
              <w:rPr>
                <w:lang w:val="en-AU"/>
              </w:rPr>
              <w:t>radiocommunications</w:t>
            </w:r>
            <w:proofErr w:type="spellEnd"/>
            <w:r w:rsidRPr="00CA1E2C">
              <w:rPr>
                <w:lang w:val="en-AU"/>
              </w:rPr>
              <w:t xml:space="preserve"> issues. Many have implications for satellite communications, including:</w:t>
            </w:r>
          </w:p>
          <w:p w14:paraId="22AB9E2D" w14:textId="125F61E8" w:rsidR="00F57151" w:rsidRPr="008161FE" w:rsidRDefault="00F57151" w:rsidP="008161FE">
            <w:pPr>
              <w:pStyle w:val="TableBullet"/>
              <w:jc w:val="left"/>
              <w:cnfStyle w:val="000000000000" w:firstRow="0" w:lastRow="0" w:firstColumn="0" w:lastColumn="0" w:oddVBand="0" w:evenVBand="0" w:oddHBand="0" w:evenHBand="0" w:firstRowFirstColumn="0" w:firstRowLastColumn="0" w:lastRowFirstColumn="0" w:lastRowLastColumn="0"/>
            </w:pPr>
            <w:r w:rsidRPr="008161FE">
              <w:t>spectrum allocation for Earth-to-space uplink in the fixed satellite service;</w:t>
            </w:r>
          </w:p>
          <w:p w14:paraId="2CDFEC35" w14:textId="45118628" w:rsidR="00F57151" w:rsidRPr="008161FE" w:rsidRDefault="00F57151" w:rsidP="008161FE">
            <w:pPr>
              <w:pStyle w:val="TableBullet"/>
              <w:jc w:val="left"/>
              <w:cnfStyle w:val="000000000000" w:firstRow="0" w:lastRow="0" w:firstColumn="0" w:lastColumn="0" w:oddVBand="0" w:evenVBand="0" w:oddHBand="0" w:evenHBand="0" w:firstRowFirstColumn="0" w:firstRowLastColumn="0" w:lastRowFirstColumn="0" w:lastRowLastColumn="0"/>
            </w:pPr>
            <w:r w:rsidRPr="008161FE">
              <w:t>a milestone-based approach for deployment of non-</w:t>
            </w:r>
            <w:r w:rsidR="00183826">
              <w:rPr>
                <w:rFonts w:cstheme="minorHAnsi"/>
                <w:szCs w:val="22"/>
              </w:rPr>
              <w:t>geosynchronous o</w:t>
            </w:r>
            <w:r w:rsidR="00183826" w:rsidRPr="00CA1E2C">
              <w:rPr>
                <w:rFonts w:cstheme="minorHAnsi"/>
                <w:szCs w:val="22"/>
              </w:rPr>
              <w:t>rbit</w:t>
            </w:r>
            <w:r w:rsidR="00183826" w:rsidRPr="008161FE">
              <w:t xml:space="preserve"> </w:t>
            </w:r>
            <w:r w:rsidR="00183826">
              <w:t xml:space="preserve">(GSO) </w:t>
            </w:r>
            <w:r w:rsidRPr="008161FE">
              <w:t>satellite systems;</w:t>
            </w:r>
          </w:p>
          <w:p w14:paraId="25756826" w14:textId="3B48F3EA" w:rsidR="00F57151" w:rsidRPr="008161FE" w:rsidRDefault="00F57151" w:rsidP="008161FE">
            <w:pPr>
              <w:pStyle w:val="TableBullet"/>
              <w:jc w:val="left"/>
              <w:cnfStyle w:val="000000000000" w:firstRow="0" w:lastRow="0" w:firstColumn="0" w:lastColumn="0" w:oddVBand="0" w:evenVBand="0" w:oddHBand="0" w:evenHBand="0" w:firstRowFirstColumn="0" w:firstRowLastColumn="0" w:lastRowFirstColumn="0" w:lastRowLastColumn="0"/>
            </w:pPr>
            <w:r w:rsidRPr="008161FE">
              <w:t xml:space="preserve">technical and operational requirements for </w:t>
            </w:r>
            <w:r w:rsidR="00280F24" w:rsidRPr="008161FE">
              <w:t>Earth Stations in Motion (ESIM)</w:t>
            </w:r>
            <w:r w:rsidRPr="008161FE">
              <w:t xml:space="preserve">, commonly fitted on aeroplanes and ships to provide passenger Wi-Fi; </w:t>
            </w:r>
          </w:p>
          <w:p w14:paraId="24294ACE" w14:textId="03FED0F9" w:rsidR="00F57151" w:rsidRPr="008161FE" w:rsidRDefault="00F57151" w:rsidP="00FD2F02">
            <w:pPr>
              <w:pStyle w:val="TableBullet"/>
              <w:jc w:val="left"/>
              <w:cnfStyle w:val="000000000000" w:firstRow="0" w:lastRow="0" w:firstColumn="0" w:lastColumn="0" w:oddVBand="0" w:evenVBand="0" w:oddHBand="0" w:evenHBand="0" w:firstRowFirstColumn="0" w:firstRowLastColumn="0" w:lastRowFirstColumn="0" w:lastRowLastColumn="0"/>
            </w:pPr>
            <w:r w:rsidRPr="008161FE">
              <w:t>regulatory requirements enabling shared use of certain frequency bands by non-GSO and GSO fixed satellite services;</w:t>
            </w:r>
            <w:r w:rsidR="00FD2F02">
              <w:t xml:space="preserve"> </w:t>
            </w:r>
          </w:p>
          <w:p w14:paraId="5F2781DF" w14:textId="77777777" w:rsidR="00F57151" w:rsidRPr="008161FE" w:rsidRDefault="00F57151" w:rsidP="008161FE">
            <w:pPr>
              <w:pStyle w:val="TableBullet"/>
              <w:jc w:val="left"/>
              <w:cnfStyle w:val="000000000000" w:firstRow="0" w:lastRow="0" w:firstColumn="0" w:lastColumn="0" w:oddVBand="0" w:evenVBand="0" w:oddHBand="0" w:evenHBand="0" w:firstRowFirstColumn="0" w:firstRowLastColumn="0" w:lastRowFirstColumn="0" w:lastRowLastColumn="0"/>
            </w:pPr>
            <w:r w:rsidRPr="008161FE">
              <w:t>elevation to primary status of meteorological and earth exploration satellite services in specific bands;</w:t>
            </w:r>
          </w:p>
          <w:p w14:paraId="09AE3B54" w14:textId="08D0E052" w:rsidR="00F57151" w:rsidRPr="008161FE" w:rsidRDefault="00F57151" w:rsidP="008161FE">
            <w:pPr>
              <w:pStyle w:val="TableBullet"/>
              <w:jc w:val="left"/>
              <w:cnfStyle w:val="000000000000" w:firstRow="0" w:lastRow="0" w:firstColumn="0" w:lastColumn="0" w:oddVBand="0" w:evenVBand="0" w:oddHBand="0" w:evenHBand="0" w:firstRowFirstColumn="0" w:firstRowLastColumn="0" w:lastRowFirstColumn="0" w:lastRowLastColumn="0"/>
            </w:pPr>
            <w:r w:rsidRPr="008161FE">
              <w:t>global identification of spectrum for 5G mobile broadband applications;</w:t>
            </w:r>
            <w:r w:rsidR="00FD2F02">
              <w:t xml:space="preserve"> </w:t>
            </w:r>
          </w:p>
          <w:p w14:paraId="7C26CDE5" w14:textId="5BF82C04" w:rsidR="00F57151" w:rsidRPr="008161FE" w:rsidRDefault="00F57151" w:rsidP="008161FE">
            <w:pPr>
              <w:pStyle w:val="TableBullet"/>
              <w:jc w:val="left"/>
              <w:cnfStyle w:val="000000000000" w:firstRow="0" w:lastRow="0" w:firstColumn="0" w:lastColumn="0" w:oddVBand="0" w:evenVBand="0" w:oddHBand="0" w:evenHBand="0" w:firstRowFirstColumn="0" w:firstRowLastColumn="0" w:lastRowFirstColumn="0" w:lastRowLastColumn="0"/>
            </w:pPr>
            <w:r w:rsidRPr="008161FE">
              <w:t>a second satellite provider for the Global Maritime Di</w:t>
            </w:r>
            <w:r w:rsidR="00280F24" w:rsidRPr="008161FE">
              <w:t>stress and Safety System</w:t>
            </w:r>
            <w:r w:rsidRPr="008161FE">
              <w:t xml:space="preserve">; </w:t>
            </w:r>
          </w:p>
          <w:p w14:paraId="110EB9E0" w14:textId="3060889F" w:rsidR="00F57151" w:rsidRPr="008161FE" w:rsidRDefault="00F57151" w:rsidP="008161FE">
            <w:pPr>
              <w:pStyle w:val="TableBullet"/>
              <w:jc w:val="left"/>
              <w:cnfStyle w:val="000000000000" w:firstRow="0" w:lastRow="0" w:firstColumn="0" w:lastColumn="0" w:oddVBand="0" w:evenVBand="0" w:oddHBand="0" w:evenHBand="0" w:firstRowFirstColumn="0" w:firstRowLastColumn="0" w:lastRowFirstColumn="0" w:lastRowLastColumn="0"/>
            </w:pPr>
            <w:proofErr w:type="gramStart"/>
            <w:r w:rsidRPr="008161FE">
              <w:t>regulation</w:t>
            </w:r>
            <w:proofErr w:type="gramEnd"/>
            <w:r w:rsidRPr="008161FE">
              <w:t xml:space="preserve"> of</w:t>
            </w:r>
            <w:r w:rsidR="00785B9C">
              <w:t>,</w:t>
            </w:r>
            <w:r w:rsidRPr="008161FE">
              <w:t xml:space="preserve"> and spectrum allocation for</w:t>
            </w:r>
            <w:r w:rsidR="00785B9C">
              <w:t>,</w:t>
            </w:r>
            <w:r w:rsidRPr="008161FE">
              <w:t xml:space="preserve"> short duration mission satellites. </w:t>
            </w:r>
          </w:p>
          <w:p w14:paraId="39FC7753" w14:textId="60B5F965" w:rsidR="008015B3" w:rsidRPr="00CA1E2C" w:rsidRDefault="00F57151" w:rsidP="00FD2F02">
            <w:pPr>
              <w:pStyle w:val="TableText-Diagram"/>
              <w:jc w:val="left"/>
              <w:cnfStyle w:val="000000000000" w:firstRow="0" w:lastRow="0" w:firstColumn="0" w:lastColumn="0" w:oddVBand="0" w:evenVBand="0" w:oddHBand="0" w:evenHBand="0" w:firstRowFirstColumn="0" w:firstRowLastColumn="0" w:lastRowFirstColumn="0" w:lastRowLastColumn="0"/>
              <w:rPr>
                <w:lang w:val="en-AU"/>
              </w:rPr>
            </w:pPr>
            <w:proofErr w:type="spellStart"/>
            <w:r w:rsidRPr="00F57151">
              <w:rPr>
                <w:lang w:val="en-AU"/>
              </w:rPr>
              <w:t>DoCA</w:t>
            </w:r>
            <w:proofErr w:type="spellEnd"/>
            <w:r w:rsidRPr="00F57151">
              <w:rPr>
                <w:lang w:val="en-AU"/>
              </w:rPr>
              <w:t xml:space="preserve"> </w:t>
            </w:r>
            <w:r w:rsidR="00FD2F02" w:rsidRPr="00FD2F02">
              <w:rPr>
                <w:lang w:val="en-AU"/>
              </w:rPr>
              <w:t xml:space="preserve">leads the Australian delegation to the World </w:t>
            </w:r>
            <w:proofErr w:type="spellStart"/>
            <w:r w:rsidR="00FD2F02" w:rsidRPr="00FD2F02">
              <w:rPr>
                <w:lang w:val="en-AU"/>
              </w:rPr>
              <w:t>Radiocommunication</w:t>
            </w:r>
            <w:proofErr w:type="spellEnd"/>
            <w:r w:rsidR="00FD2F02" w:rsidRPr="00FD2F02">
              <w:rPr>
                <w:lang w:val="en-AU"/>
              </w:rPr>
              <w:t xml:space="preserve"> Conference (WRC), which makes adjustments to the Radio Regulations Treaty governing radio frequency spectrum and satellite orbits (including satellite filing and coordination procedures)</w:t>
            </w:r>
            <w:r w:rsidRPr="00F57151">
              <w:rPr>
                <w:lang w:val="en-AU"/>
              </w:rPr>
              <w:t xml:space="preserve">. </w:t>
            </w:r>
            <w:r w:rsidRPr="00CA1E2C">
              <w:rPr>
                <w:lang w:val="en-AU"/>
              </w:rPr>
              <w:t xml:space="preserve">There is a standing agenda item in WRCs that </w:t>
            </w:r>
            <w:r w:rsidRPr="00CA1E2C">
              <w:rPr>
                <w:lang w:val="en-AU"/>
              </w:rPr>
              <w:lastRenderedPageBreak/>
              <w:t xml:space="preserve">deals with improvements in regulatory arrangements for space services. For WRC-19 there are more than 10 separate issues under consideration in this agenda item. Regulatory changes for satellite services under consideration as part of a number of WRC-19 agenda items </w:t>
            </w:r>
            <w:r w:rsidR="00FD2F02">
              <w:rPr>
                <w:lang w:val="en-AU"/>
              </w:rPr>
              <w:t xml:space="preserve">include those related to </w:t>
            </w:r>
            <w:r w:rsidRPr="00CA1E2C">
              <w:rPr>
                <w:lang w:val="en-AU"/>
              </w:rPr>
              <w:t>non-GSO short duration missions.</w:t>
            </w:r>
          </w:p>
        </w:tc>
      </w:tr>
      <w:tr w:rsidR="00F57151" w:rsidRPr="00CA1E2C" w14:paraId="71071363" w14:textId="77777777" w:rsidTr="00351FD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66196F4B" w14:textId="77777777" w:rsidR="00F57151" w:rsidRPr="008A7D08" w:rsidRDefault="00F57151" w:rsidP="00351FDF">
            <w:pPr>
              <w:pStyle w:val="TableText"/>
              <w:rPr>
                <w:rFonts w:ascii="Calibri" w:hAnsi="Calibri"/>
                <w:b w:val="0"/>
                <w:color w:val="FFFFFF" w:themeColor="background1"/>
                <w:szCs w:val="22"/>
              </w:rPr>
            </w:pPr>
            <w:r w:rsidRPr="008A7D08">
              <w:rPr>
                <w:rFonts w:ascii="Calibri" w:hAnsi="Calibri"/>
                <w:b w:val="0"/>
                <w:color w:val="FFFFFF" w:themeColor="background1"/>
                <w:szCs w:val="22"/>
              </w:rPr>
              <w:lastRenderedPageBreak/>
              <w:t>Department of Defence</w:t>
            </w:r>
          </w:p>
        </w:tc>
        <w:tc>
          <w:tcPr>
            <w:tcW w:w="3697" w:type="pct"/>
          </w:tcPr>
          <w:p w14:paraId="30146F66" w14:textId="6A0EE899" w:rsidR="00F57151" w:rsidRPr="00F57151" w:rsidRDefault="00F57151" w:rsidP="00F57151">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F57151">
              <w:rPr>
                <w:lang w:val="en-AU"/>
              </w:rPr>
              <w:t xml:space="preserve">Defence works to secure radiofrequency spectrum resources for defence satellite networks and to manage interference to and from other countries’ satellite networks and terrestrial systems, in accordance with </w:t>
            </w:r>
            <w:r>
              <w:rPr>
                <w:lang w:val="en-AU"/>
              </w:rPr>
              <w:t>ITU</w:t>
            </w:r>
            <w:r w:rsidRPr="00F57151">
              <w:rPr>
                <w:lang w:val="en-AU"/>
              </w:rPr>
              <w:t xml:space="preserve"> rules and regulations. Defence must ensure access to satellite communications, which enables communication for network-enabled operations. Emerging challenges include the risk of interference to other space systems from large constellations of GSO satellites and non-GSO satellites that support </w:t>
            </w:r>
            <w:r w:rsidR="00280F24">
              <w:rPr>
                <w:lang w:val="en-AU"/>
              </w:rPr>
              <w:t>ESIMs</w:t>
            </w:r>
            <w:r w:rsidRPr="00F57151">
              <w:rPr>
                <w:lang w:val="en-AU"/>
              </w:rPr>
              <w:t>.</w:t>
            </w:r>
          </w:p>
          <w:p w14:paraId="488B82B3" w14:textId="3FDDB803" w:rsidR="00F57151" w:rsidRPr="00F57151" w:rsidRDefault="00F57151" w:rsidP="00F57151">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F57151">
              <w:rPr>
                <w:lang w:val="en-AU"/>
              </w:rPr>
              <w:t xml:space="preserve">Defence staff will be accredited as delegates and will participate as part of the Australian Delegation to </w:t>
            </w:r>
            <w:r w:rsidR="00FE0B44">
              <w:rPr>
                <w:lang w:val="en-AU"/>
              </w:rPr>
              <w:t>WRC-</w:t>
            </w:r>
            <w:r w:rsidRPr="00F57151">
              <w:rPr>
                <w:lang w:val="en-AU"/>
              </w:rPr>
              <w:t>19</w:t>
            </w:r>
            <w:r w:rsidR="00FE0B44">
              <w:rPr>
                <w:lang w:val="en-AU"/>
              </w:rPr>
              <w:t xml:space="preserve"> (further details above)</w:t>
            </w:r>
            <w:r w:rsidRPr="00F57151">
              <w:rPr>
                <w:lang w:val="en-AU"/>
              </w:rPr>
              <w:t xml:space="preserve">. </w:t>
            </w:r>
          </w:p>
          <w:p w14:paraId="4EC242E6" w14:textId="250936C7" w:rsidR="00F57151" w:rsidRPr="00F57151" w:rsidRDefault="00F57151" w:rsidP="00F57151">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F57151">
              <w:rPr>
                <w:lang w:val="en-AU"/>
              </w:rPr>
              <w:t>The Defence Export Controls (DEC) regulate the transfer of defence and strategic goods and technologies, which includes sensitive space-related technologies. Examples include the export of Australian satellites to foreign launch service providers and the intangible transfer of space-related technology to foreign entities through commercial arrangements or research collaborations.</w:t>
            </w:r>
            <w:r>
              <w:rPr>
                <w:lang w:val="en-AU"/>
              </w:rPr>
              <w:t xml:space="preserve"> </w:t>
            </w:r>
          </w:p>
          <w:p w14:paraId="24EB46C7" w14:textId="400A82EB" w:rsidR="00F57151" w:rsidRPr="008A7D08" w:rsidRDefault="00F57151" w:rsidP="00F57151">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F57151">
              <w:rPr>
                <w:lang w:val="en-AU"/>
              </w:rPr>
              <w:t>Defence will contribute to international efforts to understand the application of international law to military space operations through a grant to the University of Adelaide to develop the Woomera Manual on International Law of Military Space Operations.</w:t>
            </w:r>
          </w:p>
        </w:tc>
      </w:tr>
      <w:tr w:rsidR="00F57151" w:rsidRPr="00CA1E2C" w14:paraId="73589B3E" w14:textId="77777777" w:rsidTr="00351FDF">
        <w:tc>
          <w:tcPr>
            <w:cnfStyle w:val="001000000000" w:firstRow="0" w:lastRow="0" w:firstColumn="1" w:lastColumn="0" w:oddVBand="0" w:evenVBand="0" w:oddHBand="0" w:evenHBand="0" w:firstRowFirstColumn="0" w:firstRowLastColumn="0" w:lastRowFirstColumn="0" w:lastRowLastColumn="0"/>
            <w:tcW w:w="1303" w:type="pct"/>
          </w:tcPr>
          <w:p w14:paraId="377FA7AA" w14:textId="64D830DE" w:rsidR="00F57151" w:rsidRPr="008A7D08" w:rsidRDefault="00F57151" w:rsidP="00351FDF">
            <w:pPr>
              <w:pStyle w:val="TableText"/>
              <w:rPr>
                <w:rFonts w:ascii="Calibri" w:hAnsi="Calibri"/>
                <w:b w:val="0"/>
                <w:color w:val="FFFFFF" w:themeColor="background1"/>
                <w:szCs w:val="22"/>
              </w:rPr>
            </w:pPr>
            <w:r w:rsidRPr="008A7D08">
              <w:rPr>
                <w:rFonts w:ascii="Calibri" w:hAnsi="Calibri"/>
                <w:b w:val="0"/>
                <w:color w:val="FFFFFF" w:themeColor="background1"/>
                <w:szCs w:val="22"/>
              </w:rPr>
              <w:t xml:space="preserve">Department </w:t>
            </w:r>
            <w:r>
              <w:rPr>
                <w:rFonts w:ascii="Calibri" w:hAnsi="Calibri"/>
                <w:b w:val="0"/>
                <w:color w:val="FFFFFF" w:themeColor="background1"/>
                <w:szCs w:val="22"/>
              </w:rPr>
              <w:t>of Foreign Affairs and Trade</w:t>
            </w:r>
          </w:p>
          <w:p w14:paraId="374FF169" w14:textId="77777777" w:rsidR="00F57151" w:rsidRPr="008A7D08" w:rsidRDefault="00F57151" w:rsidP="00351FDF">
            <w:pPr>
              <w:pStyle w:val="TableText"/>
              <w:rPr>
                <w:rFonts w:ascii="Calibri" w:hAnsi="Calibri"/>
                <w:b w:val="0"/>
                <w:color w:val="FFFFFF" w:themeColor="background1"/>
                <w:szCs w:val="22"/>
              </w:rPr>
            </w:pPr>
          </w:p>
        </w:tc>
        <w:tc>
          <w:tcPr>
            <w:tcW w:w="3697" w:type="pct"/>
          </w:tcPr>
          <w:p w14:paraId="10ED1C05" w14:textId="6BA55067" w:rsidR="00F57151" w:rsidRPr="00F57151" w:rsidRDefault="00F57151" w:rsidP="00F57151">
            <w:pPr>
              <w:pStyle w:val="TableText-Diagram"/>
              <w:jc w:val="left"/>
              <w:cnfStyle w:val="000000000000" w:firstRow="0" w:lastRow="0" w:firstColumn="0" w:lastColumn="0" w:oddVBand="0" w:evenVBand="0" w:oddHBand="0" w:evenHBand="0" w:firstRowFirstColumn="0" w:firstRowLastColumn="0" w:lastRowFirstColumn="0" w:lastRowLastColumn="0"/>
              <w:rPr>
                <w:lang w:val="en-AU"/>
              </w:rPr>
            </w:pPr>
            <w:r w:rsidRPr="00F57151">
              <w:rPr>
                <w:lang w:val="en-AU"/>
              </w:rPr>
              <w:t>DFAT was part of the Australian delegations to the United Nations COPUOS in June 2018 and June 2019. The key achievement of the 2019 meeting was agreement to the voluntary guidelines on the Long-term Sustainability of Outer Space.</w:t>
            </w:r>
            <w:r>
              <w:rPr>
                <w:lang w:val="en-AU"/>
              </w:rPr>
              <w:t xml:space="preserve"> </w:t>
            </w:r>
            <w:r w:rsidRPr="00F57151">
              <w:rPr>
                <w:lang w:val="en-AU"/>
              </w:rPr>
              <w:t>DFAT also participates on the Space Law I</w:t>
            </w:r>
            <w:r>
              <w:rPr>
                <w:lang w:val="en-AU"/>
              </w:rPr>
              <w:t>nter-Departmental Working Group, a subcommittee of the SCC.</w:t>
            </w:r>
          </w:p>
        </w:tc>
      </w:tr>
      <w:tr w:rsidR="00F57151" w:rsidRPr="00CA1E2C" w14:paraId="18B56589" w14:textId="77777777" w:rsidTr="00351FD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294898E7" w14:textId="402D02EC" w:rsidR="00F57151" w:rsidRPr="008A7D08" w:rsidRDefault="00F57151" w:rsidP="00351FDF">
            <w:pPr>
              <w:pStyle w:val="TableText"/>
              <w:rPr>
                <w:rFonts w:ascii="Calibri" w:hAnsi="Calibri"/>
                <w:b w:val="0"/>
                <w:color w:val="FFFFFF" w:themeColor="background1"/>
                <w:szCs w:val="22"/>
              </w:rPr>
            </w:pPr>
            <w:r w:rsidRPr="00F57151">
              <w:rPr>
                <w:rFonts w:ascii="Calibri" w:hAnsi="Calibri"/>
                <w:b w:val="0"/>
                <w:color w:val="FFFFFF" w:themeColor="background1"/>
                <w:szCs w:val="22"/>
              </w:rPr>
              <w:t>Department of Infrastructure, Regional Development and Cities</w:t>
            </w:r>
          </w:p>
        </w:tc>
        <w:tc>
          <w:tcPr>
            <w:tcW w:w="3697" w:type="pct"/>
          </w:tcPr>
          <w:p w14:paraId="4AB2E54F" w14:textId="3CBB06FF" w:rsidR="00F57151" w:rsidRPr="00F57151" w:rsidRDefault="00F57151" w:rsidP="00351FDF">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F57151">
              <w:rPr>
                <w:lang w:val="en-AU"/>
              </w:rPr>
              <w:t xml:space="preserve">CASA’s </w:t>
            </w:r>
            <w:r w:rsidRPr="00F57151">
              <w:rPr>
                <w:i/>
                <w:lang w:val="en-AU"/>
              </w:rPr>
              <w:t>Civil Aviation Safety Regulations Part 101</w:t>
            </w:r>
            <w:r w:rsidRPr="00F57151">
              <w:rPr>
                <w:lang w:val="en-AU"/>
              </w:rPr>
              <w:t xml:space="preserve"> (CASR 101) applies regulatory restrictions to the operation of unmanned aircraft and rockets (including high powered rockets) in the interest of aviation safety. CASR Part 101 provides, among other things, that a person needs to seek CASA approval of an area for the operation of rockets transiting from surface to 100</w:t>
            </w:r>
            <w:r>
              <w:rPr>
                <w:lang w:val="en-AU"/>
              </w:rPr>
              <w:t xml:space="preserve"> </w:t>
            </w:r>
            <w:r w:rsidRPr="00F57151">
              <w:rPr>
                <w:lang w:val="en-AU"/>
              </w:rPr>
              <w:t xml:space="preserve">km and their return. </w:t>
            </w:r>
          </w:p>
          <w:p w14:paraId="4C13D3C0" w14:textId="36D140EA" w:rsidR="00F57151" w:rsidRPr="00F57151" w:rsidRDefault="00F57151" w:rsidP="00351FDF">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F57151">
              <w:rPr>
                <w:lang w:val="en-AU"/>
              </w:rPr>
              <w:t>CASA has oversighting responsibility for assessment and approval of rocket (including High Power rocket) launches within Australia</w:t>
            </w:r>
            <w:r w:rsidR="001F7F7F">
              <w:rPr>
                <w:lang w:val="en-AU"/>
              </w:rPr>
              <w:t xml:space="preserve"> </w:t>
            </w:r>
            <w:r w:rsidRPr="00F57151">
              <w:rPr>
                <w:lang w:val="en-AU"/>
              </w:rPr>
              <w:t>and collaborates with internal and external stakeholders to ensure that all high-altitude aviation activities do not impact the safety of all airspace users and to consider the impact of launch and recovery activity on the efficient and equitable use of airspace for all airspace users. CASA must also consider national security when considering airspace changes.</w:t>
            </w:r>
            <w:r w:rsidR="001F7F7F">
              <w:rPr>
                <w:lang w:val="en-AU"/>
              </w:rPr>
              <w:t xml:space="preserve"> </w:t>
            </w:r>
          </w:p>
          <w:p w14:paraId="2FAF549A" w14:textId="08F077E7" w:rsidR="00F57151" w:rsidRPr="00F57151" w:rsidRDefault="00F57151" w:rsidP="00351FDF">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F57151">
              <w:rPr>
                <w:lang w:val="en-AU"/>
              </w:rPr>
              <w:t xml:space="preserve">CASA has previously assessed applications for overflight and emergency landing requirements for high-altitude aviation activity (such as balloons and long duration aircraft flights) within Australia. There is an increasing demand for approvals to enable high altitude </w:t>
            </w:r>
            <w:r w:rsidRPr="00183826">
              <w:rPr>
                <w:lang w:val="en-AU"/>
              </w:rPr>
              <w:t xml:space="preserve">operations. The </w:t>
            </w:r>
            <w:r w:rsidR="00183826" w:rsidRPr="00183826">
              <w:rPr>
                <w:rFonts w:cstheme="minorHAnsi"/>
                <w:szCs w:val="22"/>
                <w:lang w:val="en-AU"/>
              </w:rPr>
              <w:t>Office of Airspace Regulation</w:t>
            </w:r>
            <w:r w:rsidR="00183826" w:rsidRPr="00183826">
              <w:rPr>
                <w:lang w:val="en-AU"/>
              </w:rPr>
              <w:t xml:space="preserve"> (OAR) </w:t>
            </w:r>
            <w:r w:rsidRPr="00183826">
              <w:rPr>
                <w:lang w:val="en-AU"/>
              </w:rPr>
              <w:t>within CAS</w:t>
            </w:r>
            <w:r w:rsidRPr="00F57151">
              <w:rPr>
                <w:lang w:val="en-AU"/>
              </w:rPr>
              <w:t xml:space="preserve">A assesses applications for high altitude activity to determine any potential residual risk and the need for airspace solutions to mitigate the </w:t>
            </w:r>
            <w:r w:rsidRPr="00F57151">
              <w:rPr>
                <w:lang w:val="en-AU"/>
              </w:rPr>
              <w:lastRenderedPageBreak/>
              <w:t>risks.  This could include declaration of Temporary Danger Areas or Temporary Restricted Areas.</w:t>
            </w:r>
          </w:p>
          <w:p w14:paraId="744D6857" w14:textId="56876FC5" w:rsidR="00F57151" w:rsidRPr="00183826" w:rsidRDefault="00F57151" w:rsidP="00351FDF">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F57151">
              <w:rPr>
                <w:lang w:val="en-AU"/>
              </w:rPr>
              <w:t>CASA contributes as required to assist the Agency in implementing the relevant provisions of the amended Space Activities Act, which will come into force on 31 August, 2019</w:t>
            </w:r>
            <w:r w:rsidR="00D7047F">
              <w:rPr>
                <w:lang w:val="en-AU"/>
              </w:rPr>
              <w:t xml:space="preserve"> (to be known as the </w:t>
            </w:r>
            <w:r w:rsidR="00D7047F" w:rsidRPr="005D7667">
              <w:rPr>
                <w:i/>
                <w:lang w:val="en-AU"/>
              </w:rPr>
              <w:t>Space (Launches and Returns) Act 2018</w:t>
            </w:r>
            <w:r w:rsidR="00D7047F">
              <w:rPr>
                <w:lang w:val="en-AU"/>
              </w:rPr>
              <w:t>)</w:t>
            </w:r>
            <w:r w:rsidRPr="00F57151">
              <w:rPr>
                <w:lang w:val="en-AU"/>
              </w:rPr>
              <w:t xml:space="preserve">, acknowledging that the nature of space related activity is evolving to include sub-orbital flights, high-altitude surveillance capabilities, high-altitude communication systems, low earth orbit </w:t>
            </w:r>
            <w:r w:rsidRPr="00183826">
              <w:rPr>
                <w:lang w:val="en-AU"/>
              </w:rPr>
              <w:t xml:space="preserve">balloon and </w:t>
            </w:r>
            <w:r w:rsidR="00183826" w:rsidRPr="00183826">
              <w:rPr>
                <w:rFonts w:cstheme="minorHAnsi"/>
                <w:szCs w:val="22"/>
                <w:lang w:val="en-AU"/>
              </w:rPr>
              <w:t>Remotely Piloted Aircraft Systems</w:t>
            </w:r>
            <w:r w:rsidR="00183826" w:rsidRPr="00183826">
              <w:rPr>
                <w:lang w:val="en-AU"/>
              </w:rPr>
              <w:t xml:space="preserve"> (</w:t>
            </w:r>
            <w:r w:rsidRPr="00183826">
              <w:rPr>
                <w:lang w:val="en-AU"/>
              </w:rPr>
              <w:t>RPAS</w:t>
            </w:r>
            <w:r w:rsidR="00183826" w:rsidRPr="00183826">
              <w:rPr>
                <w:lang w:val="en-AU"/>
              </w:rPr>
              <w:t>)</w:t>
            </w:r>
            <w:r w:rsidRPr="00183826">
              <w:rPr>
                <w:lang w:val="en-AU"/>
              </w:rPr>
              <w:t xml:space="preserve"> activities.  </w:t>
            </w:r>
          </w:p>
          <w:p w14:paraId="14F511B7" w14:textId="24D7CB35" w:rsidR="00F57151" w:rsidRPr="00CA1E2C" w:rsidRDefault="00F57151" w:rsidP="00C53988">
            <w:pPr>
              <w:pStyle w:val="TableText-Diagram"/>
              <w:jc w:val="left"/>
              <w:cnfStyle w:val="000000010000" w:firstRow="0" w:lastRow="0" w:firstColumn="0" w:lastColumn="0" w:oddVBand="0" w:evenVBand="0" w:oddHBand="0" w:evenHBand="1" w:firstRowFirstColumn="0" w:firstRowLastColumn="0" w:lastRowFirstColumn="0" w:lastRowLastColumn="0"/>
              <w:rPr>
                <w:lang w:val="en-AU"/>
              </w:rPr>
            </w:pPr>
            <w:r w:rsidRPr="00F57151">
              <w:rPr>
                <w:lang w:val="en-AU"/>
              </w:rPr>
              <w:t xml:space="preserve">The OAR within CASA will assess applications for high altitude activity including potential residual risk and the need for airspace solutions to mitigate the risks in relation to airspace solutions </w:t>
            </w:r>
            <w:r w:rsidR="00C53988">
              <w:rPr>
                <w:lang w:val="en-AU"/>
              </w:rPr>
              <w:t xml:space="preserve">for </w:t>
            </w:r>
            <w:r w:rsidRPr="00F57151">
              <w:rPr>
                <w:lang w:val="en-AU"/>
              </w:rPr>
              <w:t>rocket flights from surface to 100km and the return of those rockets. These solutions could include declaration of Temporary Danger Areas or Temporary Restricted Areas</w:t>
            </w:r>
          </w:p>
        </w:tc>
      </w:tr>
      <w:tr w:rsidR="00F57151" w:rsidRPr="00CA1E2C" w14:paraId="290CE16A" w14:textId="77777777" w:rsidTr="00351FDF">
        <w:tc>
          <w:tcPr>
            <w:cnfStyle w:val="001000000000" w:firstRow="0" w:lastRow="0" w:firstColumn="1" w:lastColumn="0" w:oddVBand="0" w:evenVBand="0" w:oddHBand="0" w:evenHBand="0" w:firstRowFirstColumn="0" w:firstRowLastColumn="0" w:lastRowFirstColumn="0" w:lastRowLastColumn="0"/>
            <w:tcW w:w="1303" w:type="pct"/>
          </w:tcPr>
          <w:p w14:paraId="6ECC124D" w14:textId="6E306D95" w:rsidR="00F57151" w:rsidRPr="00F57151" w:rsidRDefault="00F57151" w:rsidP="00351FDF">
            <w:pPr>
              <w:pStyle w:val="TableText"/>
              <w:rPr>
                <w:rFonts w:ascii="Calibri" w:hAnsi="Calibri"/>
                <w:b w:val="0"/>
                <w:color w:val="FFFFFF" w:themeColor="background1"/>
                <w:szCs w:val="22"/>
              </w:rPr>
            </w:pPr>
            <w:r w:rsidRPr="00F57151">
              <w:rPr>
                <w:rFonts w:ascii="Calibri" w:hAnsi="Calibri"/>
                <w:b w:val="0"/>
                <w:color w:val="FFFFFF" w:themeColor="background1"/>
                <w:szCs w:val="22"/>
              </w:rPr>
              <w:lastRenderedPageBreak/>
              <w:t>Geoscience Australia</w:t>
            </w:r>
          </w:p>
        </w:tc>
        <w:tc>
          <w:tcPr>
            <w:tcW w:w="3697" w:type="pct"/>
          </w:tcPr>
          <w:p w14:paraId="25E6F9E1" w14:textId="63E7552A" w:rsidR="00F57151" w:rsidRPr="00F57151" w:rsidRDefault="00F57151" w:rsidP="00351FDF">
            <w:pPr>
              <w:pStyle w:val="TableText-Diagram"/>
              <w:jc w:val="left"/>
              <w:cnfStyle w:val="000000000000" w:firstRow="0" w:lastRow="0" w:firstColumn="0" w:lastColumn="0" w:oddVBand="0" w:evenVBand="0" w:oddHBand="0" w:evenHBand="0" w:firstRowFirstColumn="0" w:firstRowLastColumn="0" w:lastRowFirstColumn="0" w:lastRowLastColumn="0"/>
              <w:rPr>
                <w:lang w:val="en-AU"/>
              </w:rPr>
            </w:pPr>
            <w:r w:rsidRPr="00F57151">
              <w:rPr>
                <w:lang w:val="en-AU"/>
              </w:rPr>
              <w:t xml:space="preserve">GA is appointed as a legal metrology authority under the </w:t>
            </w:r>
            <w:r w:rsidRPr="00F57151">
              <w:rPr>
                <w:i/>
                <w:lang w:val="en-AU"/>
              </w:rPr>
              <w:t>National Measurement Act (1960)</w:t>
            </w:r>
            <w:r w:rsidRPr="00F57151">
              <w:rPr>
                <w:lang w:val="en-AU"/>
              </w:rPr>
              <w:t xml:space="preserve"> to provide legal chains of traceability for satellite-derived positions of GNSS tacking stations.</w:t>
            </w:r>
          </w:p>
        </w:tc>
      </w:tr>
    </w:tbl>
    <w:p w14:paraId="24C1F3BA" w14:textId="77777777" w:rsidR="00F57151" w:rsidRDefault="00F57151" w:rsidP="00454F9F">
      <w:pPr>
        <w:rPr>
          <w:rFonts w:cstheme="minorHAnsi"/>
          <w:szCs w:val="22"/>
        </w:rPr>
      </w:pPr>
    </w:p>
    <w:p w14:paraId="66E348C6" w14:textId="77777777" w:rsidR="004664E5" w:rsidRPr="00CA1E2C" w:rsidRDefault="004664E5" w:rsidP="00D40E91">
      <w:pPr>
        <w:pStyle w:val="Heading2"/>
      </w:pPr>
      <w:r w:rsidRPr="00CA1E2C">
        <w:t>Reform of the Space Activities Act 1998</w:t>
      </w:r>
    </w:p>
    <w:p w14:paraId="386BD076" w14:textId="0BAE5A0F" w:rsidR="004664E5" w:rsidRPr="00CA1E2C" w:rsidRDefault="004664E5" w:rsidP="00351FDF">
      <w:r w:rsidRPr="00CA1E2C">
        <w:rPr>
          <w:rFonts w:eastAsia="Arial"/>
        </w:rPr>
        <w:t xml:space="preserve">A review of the </w:t>
      </w:r>
      <w:r w:rsidRPr="00CA1E2C">
        <w:rPr>
          <w:rFonts w:eastAsia="Arial"/>
          <w:i/>
        </w:rPr>
        <w:t>Sp</w:t>
      </w:r>
      <w:r w:rsidRPr="00CA1E2C">
        <w:rPr>
          <w:i/>
        </w:rPr>
        <w:t>ace Activities Act 1998</w:t>
      </w:r>
      <w:r w:rsidRPr="00CA1E2C">
        <w:t xml:space="preserve"> was announced by the then Minister for Industry, Innovation and Science in October 2015. The review’s aim was to ensure that Australia’s space regulation is appropriate to technology advancements and does not unnecessarily inhibit innovation in Australia’s space capabilities. The review indicated that greater flexibility and streamlining of requirements would be beneficial. Public consultation</w:t>
      </w:r>
      <w:r w:rsidR="00C53988">
        <w:t>s</w:t>
      </w:r>
      <w:r w:rsidRPr="00CA1E2C">
        <w:t xml:space="preserve"> on aspects of the reform were held in 2016 and 2017. </w:t>
      </w:r>
    </w:p>
    <w:p w14:paraId="1B29145D" w14:textId="759BD086" w:rsidR="004664E5" w:rsidRPr="00CA1E2C" w:rsidRDefault="004664E5" w:rsidP="00351FDF">
      <w:r w:rsidRPr="00CA1E2C">
        <w:t xml:space="preserve">On its establishment, the Agency assumed responsibility for administering space activities legislation, including carriage of the amendments to the </w:t>
      </w:r>
      <w:r w:rsidRPr="00CA1E2C">
        <w:rPr>
          <w:i/>
        </w:rPr>
        <w:t>Space Activities Act 1998</w:t>
      </w:r>
      <w:r w:rsidRPr="00CA1E2C">
        <w:t xml:space="preserve">. The </w:t>
      </w:r>
      <w:r w:rsidRPr="00CA1E2C">
        <w:rPr>
          <w:i/>
        </w:rPr>
        <w:t>Space Activities Amendment (Launches and Returns) Act 2018</w:t>
      </w:r>
      <w:r w:rsidRPr="00CA1E2C">
        <w:t xml:space="preserve"> passed both Houses of Parliament and rec</w:t>
      </w:r>
      <w:r>
        <w:t>eived Royal Assent on 31 August </w:t>
      </w:r>
      <w:r w:rsidRPr="00CA1E2C">
        <w:t>2018</w:t>
      </w:r>
      <w:r w:rsidR="008B3ECA">
        <w:t xml:space="preserve">, coming into </w:t>
      </w:r>
      <w:r w:rsidRPr="00CA1E2C">
        <w:t>force on 31 August 2019.</w:t>
      </w:r>
    </w:p>
    <w:p w14:paraId="11FEF0EE" w14:textId="763C012A" w:rsidR="004664E5" w:rsidRPr="00CA1E2C" w:rsidRDefault="004664E5" w:rsidP="00351FDF">
      <w:r w:rsidRPr="00CA1E2C">
        <w:t xml:space="preserve">The amended Act (renamed the </w:t>
      </w:r>
      <w:r w:rsidRPr="00CA1E2C">
        <w:rPr>
          <w:i/>
        </w:rPr>
        <w:t>Space (Launches and Returns) Act 2018</w:t>
      </w:r>
      <w:r w:rsidRPr="00CA1E2C">
        <w:t>)</w:t>
      </w:r>
      <w:r w:rsidR="00F136D9">
        <w:t>)</w:t>
      </w:r>
      <w:r w:rsidR="008B3ECA">
        <w:t xml:space="preserve">, together with its supporting subordinate legislation, </w:t>
      </w:r>
      <w:r>
        <w:t xml:space="preserve">ensures </w:t>
      </w:r>
      <w:r w:rsidRPr="00CA1E2C">
        <w:t>that Australia's space regulation supports the growth of our capabilities while ensuring safe and responsible activities. It remo</w:t>
      </w:r>
      <w:r>
        <w:t xml:space="preserve">ves barriers to participation, </w:t>
      </w:r>
      <w:r w:rsidRPr="00CA1E2C">
        <w:t>encourages innovation and entrepreneurship, and implements certain obligation</w:t>
      </w:r>
      <w:r>
        <w:t xml:space="preserve">s under the UN Space Treaties. </w:t>
      </w:r>
      <w:r w:rsidRPr="00CA1E2C">
        <w:t xml:space="preserve">A refreshed Flight Safety Code and Maximum Probable Loss Methodology </w:t>
      </w:r>
      <w:r w:rsidR="00F136D9">
        <w:t xml:space="preserve">will </w:t>
      </w:r>
      <w:r>
        <w:t>also</w:t>
      </w:r>
      <w:r w:rsidR="00F136D9">
        <w:t xml:space="preserve"> be</w:t>
      </w:r>
      <w:r>
        <w:t xml:space="preserve"> published</w:t>
      </w:r>
      <w:r w:rsidRPr="00CA1E2C">
        <w:t xml:space="preserve">.  </w:t>
      </w:r>
    </w:p>
    <w:p w14:paraId="7C6D9653" w14:textId="76373303" w:rsidR="004664E5" w:rsidRPr="00CA1E2C" w:rsidRDefault="004664E5" w:rsidP="00351FDF">
      <w:pPr>
        <w:rPr>
          <w:bCs/>
        </w:rPr>
      </w:pPr>
      <w:r w:rsidRPr="00CA1E2C">
        <w:rPr>
          <w:bCs/>
        </w:rPr>
        <w:t xml:space="preserve">Rockets that do not exceed 100 km altitude are currently regulated by the </w:t>
      </w:r>
      <w:r w:rsidR="00F136D9">
        <w:rPr>
          <w:bCs/>
        </w:rPr>
        <w:t>CASA</w:t>
      </w:r>
      <w:r w:rsidRPr="00CA1E2C">
        <w:rPr>
          <w:bCs/>
        </w:rPr>
        <w:t xml:space="preserve">. Requirements for </w:t>
      </w:r>
      <w:r w:rsidR="00F136D9">
        <w:rPr>
          <w:bCs/>
        </w:rPr>
        <w:t>High Power Rockets</w:t>
      </w:r>
      <w:r w:rsidRPr="00CA1E2C">
        <w:rPr>
          <w:bCs/>
        </w:rPr>
        <w:t>, as defined in subordinate legislation (which commences in June 2020)</w:t>
      </w:r>
      <w:r w:rsidR="00F136D9">
        <w:rPr>
          <w:bCs/>
        </w:rPr>
        <w:t>,</w:t>
      </w:r>
      <w:r w:rsidRPr="00CA1E2C">
        <w:rPr>
          <w:bCs/>
        </w:rPr>
        <w:t xml:space="preserve"> will pass to the Agency.</w:t>
      </w:r>
    </w:p>
    <w:p w14:paraId="132CF361" w14:textId="77777777" w:rsidR="004664E5" w:rsidRPr="00CA1E2C" w:rsidRDefault="004664E5" w:rsidP="00D40E91">
      <w:pPr>
        <w:pStyle w:val="Heading2"/>
      </w:pPr>
      <w:r w:rsidRPr="00CA1E2C">
        <w:t xml:space="preserve">Reform of the </w:t>
      </w:r>
      <w:proofErr w:type="spellStart"/>
      <w:r w:rsidRPr="00CA1E2C">
        <w:t>Radiocommunications</w:t>
      </w:r>
      <w:proofErr w:type="spellEnd"/>
      <w:r w:rsidRPr="00CA1E2C">
        <w:t xml:space="preserve"> Act 1992</w:t>
      </w:r>
    </w:p>
    <w:p w14:paraId="502B44BE" w14:textId="7E11778A" w:rsidR="00183826" w:rsidRDefault="005F3892" w:rsidP="00817676">
      <w:pPr>
        <w:rPr>
          <w:rFonts w:asciiTheme="majorHAnsi" w:hAnsiTheme="majorHAnsi" w:cstheme="majorHAnsi"/>
          <w:b/>
          <w:bCs/>
          <w:color w:val="004976" w:themeColor="background2"/>
          <w:kern w:val="32"/>
          <w:sz w:val="56"/>
          <w:szCs w:val="32"/>
        </w:rPr>
      </w:pPr>
      <w:r w:rsidRPr="005F3892">
        <w:rPr>
          <w:bCs/>
        </w:rPr>
        <w:t xml:space="preserve">Following the 2015 Spectrum Review, the Government announced that it would reform and modernise the spectrum legislative framework. Reform will be undertaken through staged amendments to the </w:t>
      </w:r>
      <w:proofErr w:type="spellStart"/>
      <w:r w:rsidRPr="005F3892">
        <w:rPr>
          <w:bCs/>
        </w:rPr>
        <w:t>Radiocommunications</w:t>
      </w:r>
      <w:proofErr w:type="spellEnd"/>
      <w:r w:rsidRPr="005F3892">
        <w:rPr>
          <w:bCs/>
        </w:rPr>
        <w:t xml:space="preserve"> Act 1992 in order to deliver tangible improvements to the current arrangements and a more efficient regulatory framework. </w:t>
      </w:r>
      <w:proofErr w:type="spellStart"/>
      <w:r w:rsidR="004664E5" w:rsidRPr="00CA1E2C">
        <w:t>DoCA</w:t>
      </w:r>
      <w:proofErr w:type="spellEnd"/>
      <w:r w:rsidR="004664E5" w:rsidRPr="00CA1E2C">
        <w:t xml:space="preserve"> recognises the importance of space research activities and the protection from interference that these activities require. In developing the proposed draft legislation, </w:t>
      </w:r>
      <w:proofErr w:type="spellStart"/>
      <w:r w:rsidR="004664E5" w:rsidRPr="00CA1E2C">
        <w:t>DoCA</w:t>
      </w:r>
      <w:proofErr w:type="spellEnd"/>
      <w:r w:rsidR="004664E5" w:rsidRPr="00CA1E2C">
        <w:t xml:space="preserve"> will continue to work with industry, including the space industry, to make sure that any reforms are fit for purpose and deliver a public policy benefit to the community.</w:t>
      </w:r>
      <w:r w:rsidR="00183826">
        <w:br w:type="page"/>
      </w:r>
    </w:p>
    <w:p w14:paraId="0A0E808C" w14:textId="4128AABF" w:rsidR="001D44C3" w:rsidRPr="00CA1E2C" w:rsidRDefault="001D44C3" w:rsidP="004F6E76">
      <w:pPr>
        <w:pStyle w:val="Heading1"/>
      </w:pPr>
      <w:bookmarkStart w:id="54" w:name="_Toc40946047"/>
      <w:r w:rsidRPr="00CA1E2C">
        <w:lastRenderedPageBreak/>
        <w:t>Inspire</w:t>
      </w:r>
      <w:bookmarkEnd w:id="54"/>
    </w:p>
    <w:p w14:paraId="0BF16C59" w14:textId="6DCBADCF" w:rsidR="001D44C3" w:rsidRDefault="001D44C3" w:rsidP="00BA4122">
      <w:pPr>
        <w:pStyle w:val="IntroCopy"/>
        <w:spacing w:after="240"/>
        <w:rPr>
          <w:i/>
        </w:rPr>
      </w:pPr>
      <w:r w:rsidRPr="00CA1E2C">
        <w:rPr>
          <w:i/>
        </w:rPr>
        <w:t xml:space="preserve">Partner in a vision to build an Australian space sector that inspires industry, researchers, government and the Australian community to grow the next generation of </w:t>
      </w:r>
      <w:r w:rsidR="00351FDF">
        <w:rPr>
          <w:i/>
        </w:rPr>
        <w:t xml:space="preserve">the </w:t>
      </w:r>
      <w:r w:rsidRPr="00CA1E2C">
        <w:rPr>
          <w:i/>
        </w:rPr>
        <w:t>space workforce.</w:t>
      </w:r>
    </w:p>
    <w:p w14:paraId="4D7D8F68" w14:textId="321F379D" w:rsidR="0078773E" w:rsidRDefault="00F277CC" w:rsidP="00F277CC">
      <w:r>
        <w:t>Inspire is a stand-alone pillar</w:t>
      </w:r>
      <w:r w:rsidR="00A776EA">
        <w:t xml:space="preserve"> in the </w:t>
      </w:r>
      <w:r w:rsidR="00A776EA" w:rsidRPr="005D7667">
        <w:rPr>
          <w:i/>
        </w:rPr>
        <w:t>Australian Civil Space Strategy</w:t>
      </w:r>
      <w:r>
        <w:t xml:space="preserve">, recognising </w:t>
      </w:r>
      <w:r w:rsidR="003015BE">
        <w:t xml:space="preserve">the important role space can play </w:t>
      </w:r>
      <w:r w:rsidR="004D554F">
        <w:t>in inspiring our community and encouraging our students to engage in</w:t>
      </w:r>
      <w:r>
        <w:t xml:space="preserve"> S</w:t>
      </w:r>
      <w:r w:rsidR="007A40B7">
        <w:t>cience Technology Engineering and Mathematics (ST</w:t>
      </w:r>
      <w:r>
        <w:t>EM</w:t>
      </w:r>
      <w:r w:rsidR="007A40B7">
        <w:t>)</w:t>
      </w:r>
      <w:r>
        <w:t xml:space="preserve">. With a target of growing the workforce by 20,000 additional jobs by 2030, </w:t>
      </w:r>
      <w:r w:rsidR="00A736D7">
        <w:t xml:space="preserve">it is important that Australia builds a strong workforce </w:t>
      </w:r>
      <w:r>
        <w:t xml:space="preserve">pipeline </w:t>
      </w:r>
      <w:r w:rsidR="00A736D7">
        <w:t xml:space="preserve">to support the future needs of </w:t>
      </w:r>
      <w:r>
        <w:t xml:space="preserve">the space industry. Future </w:t>
      </w:r>
      <w:r w:rsidRPr="009E6F74">
        <w:rPr>
          <w:i/>
        </w:rPr>
        <w:t>State of Space</w:t>
      </w:r>
      <w:r>
        <w:t xml:space="preserve"> reports will </w:t>
      </w:r>
      <w:r w:rsidR="00A736D7">
        <w:t xml:space="preserve">highlight the </w:t>
      </w:r>
      <w:r>
        <w:t>inspiration</w:t>
      </w:r>
      <w:r w:rsidR="00A736D7">
        <w:t>al</w:t>
      </w:r>
      <w:r>
        <w:t xml:space="preserve"> and STEM activities </w:t>
      </w:r>
      <w:r w:rsidR="00A736D7">
        <w:t>supported by t</w:t>
      </w:r>
      <w:r>
        <w:t>he SCC membership.</w:t>
      </w:r>
      <w:r w:rsidR="00BA4122">
        <w:t xml:space="preserve"> </w:t>
      </w:r>
      <w:r w:rsidR="0078773E">
        <w:t>The Agency’s focus in its first 12 months has been in understand</w:t>
      </w:r>
      <w:r w:rsidR="00FF2E13">
        <w:t>ing</w:t>
      </w:r>
      <w:r w:rsidR="0078773E">
        <w:t xml:space="preserve"> the opportunities, engaging the nation through media and amplifying communications. Key activities included:</w:t>
      </w:r>
    </w:p>
    <w:p w14:paraId="21850203" w14:textId="710B2B10" w:rsidR="009B7D13" w:rsidRPr="00F277CC" w:rsidRDefault="0078773E" w:rsidP="0078773E">
      <w:pPr>
        <w:pStyle w:val="ListBullet"/>
      </w:pPr>
      <w:r>
        <w:t xml:space="preserve">Supporting NASA with its expansion of the </w:t>
      </w:r>
      <w:r w:rsidRPr="0078773E">
        <w:t>Global Learning and Observat</w:t>
      </w:r>
      <w:r>
        <w:t xml:space="preserve">ion to Benefit the Environment (GLOBE) </w:t>
      </w:r>
      <w:r w:rsidR="009B7D13">
        <w:t>program</w:t>
      </w:r>
      <w:r>
        <w:t xml:space="preserve"> in Australia. </w:t>
      </w:r>
      <w:r w:rsidR="009B7D13">
        <w:t>The Agency, working with CSIRO, has reinvigorated the GLOBE program which will commence in 2019-20.</w:t>
      </w:r>
    </w:p>
    <w:p w14:paraId="21B23879" w14:textId="50F69BCB" w:rsidR="009E2622" w:rsidRPr="00CA1E2C" w:rsidRDefault="00B3028C" w:rsidP="0078773E">
      <w:pPr>
        <w:pStyle w:val="ListBullet"/>
      </w:pPr>
      <w:r w:rsidRPr="00CA1E2C">
        <w:t xml:space="preserve">The Agency established its social media presence on Twitter and LinkedIn in September 2018 and commenced the Agency fortnightly email newsletter. </w:t>
      </w:r>
      <w:r w:rsidR="009E2622" w:rsidRPr="00CA1E2C">
        <w:t>The cumulative audience reach through media to 30 June 2019 was over 71 million, meaning that most Australians have read or seen Agency related activities</w:t>
      </w:r>
      <w:r w:rsidR="00F259DB">
        <w:t xml:space="preserve"> (in many cases, more than once)</w:t>
      </w:r>
      <w:r w:rsidR="009E2622" w:rsidRPr="00CA1E2C">
        <w:t>.</w:t>
      </w:r>
    </w:p>
    <w:p w14:paraId="29044808" w14:textId="3755CCCF" w:rsidR="00B3028C" w:rsidRPr="00CA1E2C" w:rsidRDefault="009E2622" w:rsidP="0078773E">
      <w:pPr>
        <w:pStyle w:val="ListBullet"/>
      </w:pPr>
      <w:r w:rsidRPr="00CA1E2C">
        <w:rPr>
          <w:rFonts w:ascii="Calibri" w:hAnsi="Calibri" w:cs="Calibri"/>
          <w:szCs w:val="22"/>
        </w:rPr>
        <w:t xml:space="preserve">Major media interviews were featured in national and international media including the New York Times, Politico and Florida Today. Locally, the Agency </w:t>
      </w:r>
      <w:r w:rsidR="00B3028C" w:rsidRPr="00CA1E2C">
        <w:t>also responded to hundreds o</w:t>
      </w:r>
      <w:r w:rsidR="00F277CC">
        <w:t>f public enquiries through its e</w:t>
      </w:r>
      <w:r w:rsidR="00B3028C" w:rsidRPr="00CA1E2C">
        <w:t xml:space="preserve">nquiries inbox and phone line. </w:t>
      </w:r>
    </w:p>
    <w:p w14:paraId="2C438656" w14:textId="323FA13C" w:rsidR="00F9588E" w:rsidRDefault="00F9588E" w:rsidP="0078773E">
      <w:pPr>
        <w:pStyle w:val="ListBullet"/>
      </w:pPr>
      <w:r w:rsidRPr="00CA1E2C">
        <w:t xml:space="preserve">9 October 2018 marked 100 days </w:t>
      </w:r>
      <w:r w:rsidR="002B5A9E">
        <w:t xml:space="preserve">from </w:t>
      </w:r>
      <w:r w:rsidRPr="00CA1E2C">
        <w:t>the</w:t>
      </w:r>
      <w:r w:rsidR="00F259DB">
        <w:t xml:space="preserve"> establishment of the</w:t>
      </w:r>
      <w:r w:rsidRPr="00CA1E2C">
        <w:t xml:space="preserve"> Agency. This milestone occurred within World Space Week</w:t>
      </w:r>
      <w:r w:rsidR="00085FFF">
        <w:t>,</w:t>
      </w:r>
      <w:r w:rsidR="00F259DB">
        <w:t xml:space="preserve"> 4 – </w:t>
      </w:r>
      <w:r w:rsidRPr="00CA1E2C">
        <w:t>10 Oct</w:t>
      </w:r>
      <w:r w:rsidR="00F259DB">
        <w:t>ober</w:t>
      </w:r>
      <w:r w:rsidRPr="00CA1E2C">
        <w:t xml:space="preserve">, a global celebration of the benefits of space, in which the Agency participated. </w:t>
      </w:r>
    </w:p>
    <w:p w14:paraId="5DB48119" w14:textId="4FEF4D4B" w:rsidR="00B9049E" w:rsidRPr="00CA1E2C" w:rsidRDefault="00B9049E" w:rsidP="0078773E">
      <w:pPr>
        <w:pStyle w:val="ListBullet"/>
      </w:pPr>
      <w:r>
        <w:t xml:space="preserve">The release of the inaugural Agency merchandise in </w:t>
      </w:r>
      <w:r w:rsidR="006A051C">
        <w:t>February 2019</w:t>
      </w:r>
      <w:r>
        <w:t xml:space="preserve"> in partnership with Questacon was met with excitement in the </w:t>
      </w:r>
      <w:r w:rsidR="00085FFF">
        <w:t>sector</w:t>
      </w:r>
      <w:r>
        <w:t xml:space="preserve">. </w:t>
      </w:r>
    </w:p>
    <w:p w14:paraId="35856E27" w14:textId="104FE301" w:rsidR="00F9588E" w:rsidRPr="00CA1E2C" w:rsidRDefault="00F9588E" w:rsidP="0078773E">
      <w:pPr>
        <w:pStyle w:val="ListBullet"/>
      </w:pPr>
      <w:r w:rsidRPr="00CA1E2C">
        <w:t>The Agency provided support for</w:t>
      </w:r>
      <w:r w:rsidR="005C0E7A" w:rsidRPr="00CA1E2C">
        <w:t xml:space="preserve"> a number of STEM-focussed events, including</w:t>
      </w:r>
      <w:r w:rsidR="00597B63" w:rsidRPr="00CA1E2C">
        <w:t xml:space="preserve">: </w:t>
      </w:r>
      <w:r w:rsidRPr="00CA1E2C">
        <w:t>Australian Youth Aerospace Association (AYAA), Victorian Space Science Education Centre (VSSEC)</w:t>
      </w:r>
      <w:r w:rsidR="00597B63" w:rsidRPr="00CA1E2C">
        <w:t>,</w:t>
      </w:r>
      <w:r w:rsidRPr="00CA1E2C">
        <w:t xml:space="preserve"> National Youth Science Forum</w:t>
      </w:r>
      <w:r w:rsidR="00597B63" w:rsidRPr="00CA1E2C">
        <w:t xml:space="preserve">, </w:t>
      </w:r>
      <w:r w:rsidR="00597B63" w:rsidRPr="00CA1E2C">
        <w:rPr>
          <w:rFonts w:ascii="Calibri" w:hAnsi="Calibri" w:cs="Calibri"/>
          <w:szCs w:val="22"/>
        </w:rPr>
        <w:t>Australian Space Design Competition</w:t>
      </w:r>
      <w:r w:rsidR="005C0E7A" w:rsidRPr="00CA1E2C">
        <w:rPr>
          <w:rFonts w:ascii="Calibri" w:hAnsi="Calibri" w:cs="Calibri"/>
          <w:szCs w:val="22"/>
        </w:rPr>
        <w:t xml:space="preserve">, Code Like a Girl, STEM X Academy (teacher professional learning program provided by the Australian Science Teachers Association, CSIRO and Questacon), Sydney Festival and the Southern Hemisphere Space Studies </w:t>
      </w:r>
      <w:r w:rsidR="00085FFF">
        <w:rPr>
          <w:rFonts w:ascii="Calibri" w:hAnsi="Calibri" w:cs="Calibri"/>
          <w:szCs w:val="22"/>
        </w:rPr>
        <w:t>P</w:t>
      </w:r>
      <w:r w:rsidR="005C0E7A" w:rsidRPr="00CA1E2C">
        <w:rPr>
          <w:rFonts w:ascii="Calibri" w:hAnsi="Calibri" w:cs="Calibri"/>
          <w:szCs w:val="22"/>
        </w:rPr>
        <w:t xml:space="preserve">rogram (in association with the International Space University) </w:t>
      </w:r>
    </w:p>
    <w:p w14:paraId="40D7986B" w14:textId="051E6463" w:rsidR="00387DCD" w:rsidRPr="00CA1E2C" w:rsidRDefault="00085FFF" w:rsidP="00085FFF">
      <w:pPr>
        <w:pStyle w:val="ListBullet"/>
      </w:pPr>
      <w:r>
        <w:t>T</w:t>
      </w:r>
      <w:r w:rsidRPr="00085FFF">
        <w:t xml:space="preserve">he Agency </w:t>
      </w:r>
      <w:r w:rsidR="00F24C7A">
        <w:t xml:space="preserve">has </w:t>
      </w:r>
      <w:r w:rsidRPr="00085FFF">
        <w:t>joined with Questacon and CSIRO’s Parkes radio telescope for the promotion of the 50th anniversary of the Apollo 11 Moon landing in July 2019. In late 2018 Questacon opened an exhibit about the Moon, as part of its Apollo 50th events.</w:t>
      </w:r>
      <w:r w:rsidR="00F24C7A">
        <w:t xml:space="preserve"> </w:t>
      </w:r>
    </w:p>
    <w:p w14:paraId="5E8E3FBC" w14:textId="3F0F3B79" w:rsidR="009E2622" w:rsidRPr="00CA1E2C" w:rsidRDefault="009E2622" w:rsidP="0078773E">
      <w:pPr>
        <w:pStyle w:val="ListBullet"/>
        <w:rPr>
          <w:rFonts w:ascii="Calibri" w:hAnsi="Calibri" w:cs="Calibri"/>
          <w:szCs w:val="22"/>
        </w:rPr>
      </w:pPr>
      <w:r w:rsidRPr="00CA1E2C">
        <w:t xml:space="preserve">With $6 million in funding through the Adelaide City Deal, </w:t>
      </w:r>
      <w:r w:rsidR="002B5A9E">
        <w:rPr>
          <w:rFonts w:ascii="Calibri" w:hAnsi="Calibri" w:cs="Calibri"/>
          <w:szCs w:val="22"/>
        </w:rPr>
        <w:t>t</w:t>
      </w:r>
      <w:r w:rsidRPr="00CA1E2C">
        <w:rPr>
          <w:rFonts w:ascii="Calibri" w:hAnsi="Calibri" w:cs="Calibri"/>
          <w:szCs w:val="22"/>
        </w:rPr>
        <w:t xml:space="preserve">he Agency is partnering with Questacon to develop the Space Discovery Centre and create a user experience </w:t>
      </w:r>
      <w:r w:rsidR="002B5A9E">
        <w:rPr>
          <w:rFonts w:ascii="Calibri" w:hAnsi="Calibri" w:cs="Calibri"/>
          <w:szCs w:val="22"/>
        </w:rPr>
        <w:t xml:space="preserve">that will </w:t>
      </w:r>
      <w:r w:rsidRPr="00CA1E2C">
        <w:rPr>
          <w:rFonts w:ascii="Calibri" w:hAnsi="Calibri" w:cs="Calibri"/>
          <w:szCs w:val="22"/>
        </w:rPr>
        <w:t xml:space="preserve">foster an understanding of Australia’s role in the space sector. The </w:t>
      </w:r>
      <w:r w:rsidR="00F259DB">
        <w:rPr>
          <w:rFonts w:ascii="Calibri" w:hAnsi="Calibri" w:cs="Calibri"/>
          <w:szCs w:val="22"/>
        </w:rPr>
        <w:t xml:space="preserve">Discovery </w:t>
      </w:r>
      <w:r w:rsidRPr="00CA1E2C">
        <w:rPr>
          <w:rFonts w:ascii="Calibri" w:hAnsi="Calibri" w:cs="Calibri"/>
          <w:szCs w:val="22"/>
        </w:rPr>
        <w:t>Centre will provide STEM education, engagement, and inspiration for young Australians, as well as activities such as mission simulation and training for tertiary education.</w:t>
      </w:r>
    </w:p>
    <w:p w14:paraId="0D799A31" w14:textId="466977C2" w:rsidR="009E2622" w:rsidRDefault="009E2622" w:rsidP="0078773E">
      <w:pPr>
        <w:pStyle w:val="ListBullet"/>
        <w:rPr>
          <w:rFonts w:ascii="Calibri" w:hAnsi="Calibri" w:cs="Calibri"/>
          <w:szCs w:val="22"/>
        </w:rPr>
      </w:pPr>
      <w:r w:rsidRPr="00CA1E2C">
        <w:rPr>
          <w:rFonts w:ascii="Calibri" w:hAnsi="Calibri" w:cs="Calibri"/>
          <w:szCs w:val="22"/>
        </w:rPr>
        <w:t>The Agency is working to understand the breadth of advocacy groups and support amateur, university and school groups are raising the profile of space careers.</w:t>
      </w:r>
    </w:p>
    <w:p w14:paraId="270FC694" w14:textId="57242F68" w:rsidR="00946583" w:rsidRDefault="00946583" w:rsidP="00351FDF">
      <w:pPr>
        <w:rPr>
          <w:rFonts w:ascii="Calibri" w:hAnsi="Calibri" w:cs="Calibri"/>
          <w:szCs w:val="22"/>
        </w:rPr>
      </w:pPr>
      <w:r>
        <w:rPr>
          <w:rFonts w:ascii="Calibri" w:hAnsi="Calibri" w:cs="Calibri"/>
          <w:szCs w:val="22"/>
        </w:rPr>
        <w:lastRenderedPageBreak/>
        <w:t xml:space="preserve">A summary of other inspirational events by SCC members is outlined </w:t>
      </w:r>
      <w:r w:rsidR="002B5A9E">
        <w:rPr>
          <w:rFonts w:ascii="Calibri" w:hAnsi="Calibri" w:cs="Calibri"/>
          <w:szCs w:val="22"/>
        </w:rPr>
        <w:t>below</w:t>
      </w:r>
      <w:r>
        <w:rPr>
          <w:rFonts w:ascii="Calibri" w:hAnsi="Calibri" w:cs="Calibri"/>
          <w:szCs w:val="22"/>
        </w:rPr>
        <w:t>.</w:t>
      </w:r>
    </w:p>
    <w:p w14:paraId="1C670F78" w14:textId="1C7C7D53" w:rsidR="00B049A5" w:rsidRDefault="00B049A5" w:rsidP="00B049A5">
      <w:pPr>
        <w:pStyle w:val="Caption"/>
        <w:rPr>
          <w:rFonts w:ascii="Calibri" w:hAnsi="Calibri" w:cs="Calibri"/>
          <w:szCs w:val="22"/>
        </w:rPr>
      </w:pPr>
      <w:bookmarkStart w:id="55" w:name="_Toc40946028"/>
      <w:r>
        <w:t xml:space="preserve">Table </w:t>
      </w:r>
      <w:r>
        <w:fldChar w:fldCharType="begin"/>
      </w:r>
      <w:r>
        <w:instrText xml:space="preserve"> SEQ Table \* ARABIC </w:instrText>
      </w:r>
      <w:r>
        <w:fldChar w:fldCharType="separate"/>
      </w:r>
      <w:r w:rsidR="00C35904">
        <w:rPr>
          <w:noProof/>
        </w:rPr>
        <w:t>10</w:t>
      </w:r>
      <w:r>
        <w:fldChar w:fldCharType="end"/>
      </w:r>
      <w:r>
        <w:t xml:space="preserve"> – SCC inspirational activities</w:t>
      </w:r>
      <w:bookmarkEnd w:id="55"/>
      <w:r>
        <w:t xml:space="preserve"> </w:t>
      </w:r>
    </w:p>
    <w:tbl>
      <w:tblPr>
        <w:tblStyle w:val="ASATable"/>
        <w:tblW w:w="4958" w:type="pct"/>
        <w:tblInd w:w="2" w:type="dxa"/>
        <w:tblLook w:val="04A0" w:firstRow="1" w:lastRow="0" w:firstColumn="1" w:lastColumn="0" w:noHBand="0" w:noVBand="1"/>
        <w:tblCaption w:val="Table 10 – SCC inspirational activities "/>
      </w:tblPr>
      <w:tblGrid>
        <w:gridCol w:w="2547"/>
        <w:gridCol w:w="7228"/>
      </w:tblGrid>
      <w:tr w:rsidR="00BA58B4" w:rsidRPr="00CA1E2C" w14:paraId="5D67EA04" w14:textId="77777777" w:rsidTr="0085716A">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303" w:type="pct"/>
          </w:tcPr>
          <w:p w14:paraId="63D58164" w14:textId="77777777" w:rsidR="00BA58B4" w:rsidRPr="00CA1E2C" w:rsidRDefault="00BA58B4" w:rsidP="0085716A">
            <w:pPr>
              <w:pStyle w:val="TableHeading"/>
              <w:rPr>
                <w:b/>
                <w:color w:val="FFFFFF" w:themeColor="background1"/>
                <w:szCs w:val="22"/>
              </w:rPr>
            </w:pPr>
            <w:r w:rsidRPr="00CA1E2C">
              <w:rPr>
                <w:b/>
                <w:color w:val="FFFFFF" w:themeColor="background1"/>
                <w:szCs w:val="22"/>
              </w:rPr>
              <w:t>Organisation</w:t>
            </w:r>
          </w:p>
        </w:tc>
        <w:tc>
          <w:tcPr>
            <w:tcW w:w="3697" w:type="pct"/>
          </w:tcPr>
          <w:p w14:paraId="10D1D869" w14:textId="77777777" w:rsidR="00BA58B4" w:rsidRPr="00CA1E2C" w:rsidRDefault="00BA58B4" w:rsidP="0085716A">
            <w:pPr>
              <w:pStyle w:val="TableHeading"/>
              <w:jc w:val="left"/>
              <w:cnfStyle w:val="100000000000" w:firstRow="1" w:lastRow="0" w:firstColumn="0" w:lastColumn="0" w:oddVBand="0" w:evenVBand="0" w:oddHBand="0" w:evenHBand="0" w:firstRowFirstColumn="0" w:firstRowLastColumn="0" w:lastRowFirstColumn="0" w:lastRowLastColumn="0"/>
            </w:pPr>
            <w:r w:rsidRPr="00CA1E2C">
              <w:t>Summary of activity</w:t>
            </w:r>
          </w:p>
        </w:tc>
      </w:tr>
      <w:tr w:rsidR="00BA58B4" w:rsidRPr="00CA1E2C" w14:paraId="2E82A8C6" w14:textId="77777777" w:rsidTr="0085716A">
        <w:tc>
          <w:tcPr>
            <w:cnfStyle w:val="001000000000" w:firstRow="0" w:lastRow="0" w:firstColumn="1" w:lastColumn="0" w:oddVBand="0" w:evenVBand="0" w:oddHBand="0" w:evenHBand="0" w:firstRowFirstColumn="0" w:firstRowLastColumn="0" w:lastRowFirstColumn="0" w:lastRowLastColumn="0"/>
            <w:tcW w:w="1303" w:type="pct"/>
          </w:tcPr>
          <w:p w14:paraId="2FD72C30" w14:textId="77777777" w:rsidR="00BA58B4" w:rsidRPr="007F13DA" w:rsidRDefault="00BA58B4" w:rsidP="0085716A">
            <w:pPr>
              <w:pStyle w:val="TableText"/>
              <w:rPr>
                <w:b w:val="0"/>
                <w:color w:val="FFFFFF" w:themeColor="background1"/>
                <w:szCs w:val="22"/>
              </w:rPr>
            </w:pPr>
            <w:r w:rsidRPr="007F13DA">
              <w:rPr>
                <w:b w:val="0"/>
                <w:color w:val="FFFFFF" w:themeColor="background1"/>
                <w:szCs w:val="22"/>
              </w:rPr>
              <w:t>CSIRO</w:t>
            </w:r>
          </w:p>
        </w:tc>
        <w:tc>
          <w:tcPr>
            <w:tcW w:w="3697" w:type="pct"/>
          </w:tcPr>
          <w:p w14:paraId="7FE95407" w14:textId="77777777" w:rsidR="00BA58B4" w:rsidRPr="00CA1E2C" w:rsidRDefault="00BA58B4" w:rsidP="002A726E">
            <w:pPr>
              <w:jc w:val="left"/>
              <w:cnfStyle w:val="000000000000" w:firstRow="0" w:lastRow="0" w:firstColumn="0" w:lastColumn="0" w:oddVBand="0" w:evenVBand="0" w:oddHBand="0" w:evenHBand="0" w:firstRowFirstColumn="0" w:firstRowLastColumn="0" w:lastRowFirstColumn="0" w:lastRowLastColumn="0"/>
              <w:rPr>
                <w:rFonts w:eastAsiaTheme="minorHAnsi"/>
                <w:color w:val="auto"/>
              </w:rPr>
            </w:pPr>
            <w:r w:rsidRPr="00CA1E2C">
              <w:t>CSIRO has carried out numerous education and outreach activities related to space throughout 2018-19. In particular:</w:t>
            </w:r>
          </w:p>
          <w:p w14:paraId="35498A3A" w14:textId="77777777" w:rsidR="00BA58B4" w:rsidRPr="00CA1E2C" w:rsidRDefault="00BA58B4" w:rsidP="002A726E">
            <w:pPr>
              <w:pStyle w:val="ListBullet"/>
              <w:jc w:val="left"/>
              <w:cnfStyle w:val="000000000000" w:firstRow="0" w:lastRow="0" w:firstColumn="0" w:lastColumn="0" w:oddVBand="0" w:evenVBand="0" w:oddHBand="0" w:evenHBand="0" w:firstRowFirstColumn="0" w:firstRowLastColumn="0" w:lastRowFirstColumn="0" w:lastRowLastColumn="0"/>
            </w:pPr>
            <w:r w:rsidRPr="00CA1E2C">
              <w:t>CSIRO worked closely with ABC TV and BBC Studios on the second Stargazing Live series in Australia, which went to air 22-24 May 2018 and featured CSIRO staff and the Parkes radio telescope.</w:t>
            </w:r>
          </w:p>
          <w:p w14:paraId="6AFA61AF" w14:textId="77777777" w:rsidR="004576D4" w:rsidRDefault="00BA58B4" w:rsidP="00FF09EF">
            <w:pPr>
              <w:pStyle w:val="ListBullet"/>
              <w:jc w:val="left"/>
              <w:cnfStyle w:val="000000000000" w:firstRow="0" w:lastRow="0" w:firstColumn="0" w:lastColumn="0" w:oddVBand="0" w:evenVBand="0" w:oddHBand="0" w:evenHBand="0" w:firstRowFirstColumn="0" w:firstRowLastColumn="0" w:lastRowFirstColumn="0" w:lastRowLastColumn="0"/>
            </w:pPr>
            <w:r w:rsidRPr="00CA1E2C">
              <w:t xml:space="preserve">The Parkes radio telescope and CDSCC together attracted more than 100,000 public visitors to their sites, inspiring students and families to understand astronomy and space sciences. </w:t>
            </w:r>
          </w:p>
          <w:p w14:paraId="12708377" w14:textId="2282755B" w:rsidR="004576D4" w:rsidRDefault="004576D4" w:rsidP="00FF09EF">
            <w:pPr>
              <w:pStyle w:val="ListBullet"/>
              <w:jc w:val="left"/>
              <w:cnfStyle w:val="000000000000" w:firstRow="0" w:lastRow="0" w:firstColumn="0" w:lastColumn="0" w:oddVBand="0" w:evenVBand="0" w:oddHBand="0" w:evenHBand="0" w:firstRowFirstColumn="0" w:firstRowLastColumn="0" w:lastRowFirstColumn="0" w:lastRowLastColumn="0"/>
            </w:pPr>
            <w:r>
              <w:t xml:space="preserve">The </w:t>
            </w:r>
            <w:proofErr w:type="spellStart"/>
            <w:r>
              <w:t>Pulse@Parkes</w:t>
            </w:r>
            <w:proofErr w:type="spellEnd"/>
            <w:r>
              <w:t xml:space="preserve"> program enables senior high school students to remotely operate the Parkes radio telescope to observe pulsars.</w:t>
            </w:r>
          </w:p>
          <w:p w14:paraId="3C07395A" w14:textId="77777777" w:rsidR="00BA58B4" w:rsidRPr="00CA1E2C" w:rsidRDefault="00BA58B4" w:rsidP="002A726E">
            <w:pPr>
              <w:pStyle w:val="ListBullet"/>
              <w:jc w:val="left"/>
              <w:cnfStyle w:val="000000000000" w:firstRow="0" w:lastRow="0" w:firstColumn="0" w:lastColumn="0" w:oddVBand="0" w:evenVBand="0" w:oddHBand="0" w:evenHBand="0" w:firstRowFirstColumn="0" w:firstRowLastColumn="0" w:lastRowFirstColumn="0" w:lastRowLastColumn="0"/>
            </w:pPr>
            <w:r w:rsidRPr="00CA1E2C">
              <w:t>Regular space-related stories are published in CSIRO’s ‘Double Helix’ magazine for kids aged 8-14 years.</w:t>
            </w:r>
          </w:p>
          <w:p w14:paraId="7C3005B0" w14:textId="77777777" w:rsidR="00BA58B4" w:rsidRPr="00CA1E2C" w:rsidRDefault="00BA58B4" w:rsidP="002A726E">
            <w:pPr>
              <w:pStyle w:val="ListBullet"/>
              <w:jc w:val="left"/>
              <w:cnfStyle w:val="000000000000" w:firstRow="0" w:lastRow="0" w:firstColumn="0" w:lastColumn="0" w:oddVBand="0" w:evenVBand="0" w:oddHBand="0" w:evenHBand="0" w:firstRowFirstColumn="0" w:firstRowLastColumn="0" w:lastRowFirstColumn="0" w:lastRowLastColumn="0"/>
              <w:rPr>
                <w:bCs/>
              </w:rPr>
            </w:pPr>
            <w:r w:rsidRPr="00CA1E2C">
              <w:t>CSIRO hosted a sold-out panel event on the future of space exploration as part of Sydney’s ‘VIVID Ideas’ Festival on 26 May 2019.</w:t>
            </w:r>
          </w:p>
          <w:p w14:paraId="59572287" w14:textId="127E72D4" w:rsidR="00BA58B4" w:rsidRPr="00CA1E2C" w:rsidRDefault="00BA58B4" w:rsidP="002A726E">
            <w:pPr>
              <w:pStyle w:val="ListBullet"/>
              <w:jc w:val="left"/>
              <w:cnfStyle w:val="000000000000" w:firstRow="0" w:lastRow="0" w:firstColumn="0" w:lastColumn="0" w:oddVBand="0" w:evenVBand="0" w:oddHBand="0" w:evenHBand="0" w:firstRowFirstColumn="0" w:firstRowLastColumn="0" w:lastRowFirstColumn="0" w:lastRowLastColumn="0"/>
              <w:rPr>
                <w:bCs/>
              </w:rPr>
            </w:pPr>
            <w:r w:rsidRPr="00CA1E2C">
              <w:t xml:space="preserve">CSIRO </w:t>
            </w:r>
            <w:r w:rsidR="002B5A9E">
              <w:t xml:space="preserve">has </w:t>
            </w:r>
            <w:r w:rsidRPr="00CA1E2C">
              <w:t>worked closely with the Agency, US Embassy and other partners to celebrate the 50</w:t>
            </w:r>
            <w:r w:rsidRPr="004576D4">
              <w:rPr>
                <w:vertAlign w:val="superscript"/>
              </w:rPr>
              <w:t>th</w:t>
            </w:r>
            <w:r w:rsidRPr="00CA1E2C">
              <w:t xml:space="preserve"> anniversary of the Apollo 11 Moon landing. In 2018-19 this </w:t>
            </w:r>
            <w:r w:rsidR="002B5A9E">
              <w:t xml:space="preserve">has </w:t>
            </w:r>
            <w:r w:rsidRPr="00CA1E2C">
              <w:t xml:space="preserve">included production of a dedicated website </w:t>
            </w:r>
            <w:r w:rsidR="004576D4" w:rsidRPr="00CA1E2C">
              <w:t>(</w:t>
            </w:r>
            <w:hyperlink r:id="rId32" w:tooltip="www.csiro.au/apollo11" w:history="1">
              <w:r w:rsidR="004576D4" w:rsidRPr="00AB12FB">
                <w:rPr>
                  <w:rStyle w:val="Hyperlink"/>
                  <w:rFonts w:cs="Times New Roman"/>
                </w:rPr>
                <w:t>www.csiro.au/apollo11</w:t>
              </w:r>
            </w:hyperlink>
            <w:r w:rsidR="004576D4" w:rsidRPr="00CA1E2C">
              <w:t xml:space="preserve">), </w:t>
            </w:r>
            <w:r w:rsidRPr="00CA1E2C">
              <w:t>collaboration with the Royal Australian Mint on the packaging and promotion of their commemorative Apollo 11 coins (4 June 2019), and sponsorship of the Powerhouse Museum’s ‘Apollo 11’ exhibition in Sydney that opened on 28 June 2019.</w:t>
            </w:r>
          </w:p>
          <w:p w14:paraId="5F17C8E3" w14:textId="223B9222" w:rsidR="00BA58B4" w:rsidRPr="002A726E" w:rsidRDefault="00BA58B4" w:rsidP="002B5A9E">
            <w:pPr>
              <w:pStyle w:val="ListBullet"/>
              <w:jc w:val="left"/>
              <w:cnfStyle w:val="000000000000" w:firstRow="0" w:lastRow="0" w:firstColumn="0" w:lastColumn="0" w:oddVBand="0" w:evenVBand="0" w:oddHBand="0" w:evenHBand="0" w:firstRowFirstColumn="0" w:firstRowLastColumn="0" w:lastRowFirstColumn="0" w:lastRowLastColumn="0"/>
              <w:rPr>
                <w:bCs/>
              </w:rPr>
            </w:pPr>
            <w:r w:rsidRPr="00CA1E2C">
              <w:rPr>
                <w:bCs/>
              </w:rPr>
              <w:t>The Breakthrough Prize Foundation has signed a multi-million dollar agreement to use CSIRO’s 64-m Parkes radio telescope to search for extra-terrestrial intelligence.</w:t>
            </w:r>
          </w:p>
        </w:tc>
      </w:tr>
      <w:tr w:rsidR="00BA58B4" w:rsidRPr="00CA1E2C" w14:paraId="742EB912" w14:textId="77777777" w:rsidTr="008571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3" w:type="pct"/>
          </w:tcPr>
          <w:p w14:paraId="46B0541E" w14:textId="77777777" w:rsidR="00BA58B4" w:rsidRPr="008A7D08" w:rsidRDefault="00BA58B4" w:rsidP="0085716A">
            <w:pPr>
              <w:pStyle w:val="TableText"/>
              <w:rPr>
                <w:rFonts w:ascii="Calibri" w:hAnsi="Calibri"/>
                <w:b w:val="0"/>
                <w:color w:val="FFFFFF" w:themeColor="background1"/>
                <w:szCs w:val="22"/>
              </w:rPr>
            </w:pPr>
            <w:r w:rsidRPr="008A7D08">
              <w:rPr>
                <w:rFonts w:ascii="Calibri" w:hAnsi="Calibri"/>
                <w:b w:val="0"/>
                <w:color w:val="FFFFFF" w:themeColor="background1"/>
                <w:szCs w:val="22"/>
              </w:rPr>
              <w:t>Department of Defence</w:t>
            </w:r>
          </w:p>
        </w:tc>
        <w:tc>
          <w:tcPr>
            <w:tcW w:w="3697" w:type="pct"/>
          </w:tcPr>
          <w:p w14:paraId="12EE392F" w14:textId="1EBBE439" w:rsidR="006019A2" w:rsidRPr="006019A2" w:rsidRDefault="006019A2" w:rsidP="006019A2">
            <w:pPr>
              <w:jc w:val="left"/>
              <w:cnfStyle w:val="000000010000" w:firstRow="0" w:lastRow="0" w:firstColumn="0" w:lastColumn="0" w:oddVBand="0" w:evenVBand="0" w:oddHBand="0" w:evenHBand="1" w:firstRowFirstColumn="0" w:firstRowLastColumn="0" w:lastRowFirstColumn="0" w:lastRowLastColumn="0"/>
              <w:rPr>
                <w:rFonts w:cstheme="minorHAnsi"/>
                <w:szCs w:val="22"/>
              </w:rPr>
            </w:pPr>
            <w:r w:rsidRPr="00CA1E2C">
              <w:rPr>
                <w:rFonts w:cstheme="minorHAnsi"/>
                <w:szCs w:val="22"/>
              </w:rPr>
              <w:t xml:space="preserve">Defence’s Next Generation Technologies Fund supported the </w:t>
            </w:r>
            <w:proofErr w:type="spellStart"/>
            <w:r w:rsidRPr="00CA1E2C">
              <w:rPr>
                <w:rFonts w:cstheme="minorHAnsi"/>
                <w:szCs w:val="22"/>
              </w:rPr>
              <w:t>SmartSat</w:t>
            </w:r>
            <w:proofErr w:type="spellEnd"/>
            <w:r w:rsidRPr="00CA1E2C">
              <w:rPr>
                <w:rFonts w:cstheme="minorHAnsi"/>
                <w:szCs w:val="22"/>
              </w:rPr>
              <w:t xml:space="preserve"> </w:t>
            </w:r>
            <w:r>
              <w:rPr>
                <w:rFonts w:cstheme="minorHAnsi"/>
                <w:szCs w:val="22"/>
              </w:rPr>
              <w:t>CRC</w:t>
            </w:r>
            <w:r w:rsidRPr="00CA1E2C">
              <w:rPr>
                <w:rFonts w:cstheme="minorHAnsi"/>
                <w:szCs w:val="22"/>
              </w:rPr>
              <w:t xml:space="preserve"> bid with a commitment for a Defence tied fund. This CRC has now been established, with DST as a core partner. The </w:t>
            </w:r>
            <w:proofErr w:type="spellStart"/>
            <w:r w:rsidRPr="00CA1E2C">
              <w:rPr>
                <w:rFonts w:cstheme="minorHAnsi"/>
                <w:szCs w:val="22"/>
              </w:rPr>
              <w:t>SmartSat</w:t>
            </w:r>
            <w:proofErr w:type="spellEnd"/>
            <w:r w:rsidRPr="00CA1E2C">
              <w:rPr>
                <w:rFonts w:cstheme="minorHAnsi"/>
                <w:szCs w:val="22"/>
              </w:rPr>
              <w:t xml:space="preserve"> CRC will be the S&amp;T engine for both Defence and commercial programs in Australia.</w:t>
            </w:r>
          </w:p>
          <w:p w14:paraId="02306898" w14:textId="548051B9" w:rsidR="00BA58B4" w:rsidRPr="00CA1E2C" w:rsidRDefault="00BA58B4" w:rsidP="002A726E">
            <w:pPr>
              <w:jc w:val="left"/>
              <w:cnfStyle w:val="000000010000" w:firstRow="0" w:lastRow="0" w:firstColumn="0" w:lastColumn="0" w:oddVBand="0" w:evenVBand="0" w:oddHBand="0" w:evenHBand="1" w:firstRowFirstColumn="0" w:firstRowLastColumn="0" w:lastRowFirstColumn="0" w:lastRowLastColumn="0"/>
            </w:pPr>
            <w:r w:rsidRPr="00CA1E2C">
              <w:t>The program for this CRC includes public engagement and STEM pipeline support with over 70 PhD sponsorships.</w:t>
            </w:r>
          </w:p>
          <w:p w14:paraId="162942C6" w14:textId="4724DAAE" w:rsidR="00BA58B4" w:rsidRPr="00CA1E2C" w:rsidRDefault="00BA58B4" w:rsidP="002A726E">
            <w:pPr>
              <w:jc w:val="left"/>
              <w:cnfStyle w:val="000000010000" w:firstRow="0" w:lastRow="0" w:firstColumn="0" w:lastColumn="0" w:oddVBand="0" w:evenVBand="0" w:oddHBand="0" w:evenHBand="1" w:firstRowFirstColumn="0" w:firstRowLastColumn="0" w:lastRowFirstColumn="0" w:lastRowLastColumn="0"/>
            </w:pPr>
            <w:r w:rsidRPr="00CA1E2C">
              <w:t xml:space="preserve">In addition, DST is providing support to the Australian Research Council’s Training Centre for </w:t>
            </w:r>
            <w:proofErr w:type="spellStart"/>
            <w:r w:rsidRPr="00CA1E2C">
              <w:t>CubeSats</w:t>
            </w:r>
            <w:proofErr w:type="spellEnd"/>
            <w:r w:rsidRPr="00CA1E2C">
              <w:t>, UAVs and their Applications (CUAVA) that is sponsoring PhD and post graduate</w:t>
            </w:r>
            <w:r w:rsidR="002B5A9E">
              <w:t xml:space="preserve"> students </w:t>
            </w:r>
            <w:r w:rsidRPr="00CA1E2C">
              <w:t xml:space="preserve">to develop skills for payloads of interest and flight on UAVs and satellite platforms. </w:t>
            </w:r>
          </w:p>
          <w:p w14:paraId="77D652AD" w14:textId="52BE5FB9" w:rsidR="00BA58B4" w:rsidRPr="008A7D08" w:rsidRDefault="00BA58B4" w:rsidP="002A726E">
            <w:pPr>
              <w:jc w:val="left"/>
              <w:cnfStyle w:val="000000010000" w:firstRow="0" w:lastRow="0" w:firstColumn="0" w:lastColumn="0" w:oddVBand="0" w:evenVBand="0" w:oddHBand="0" w:evenHBand="1" w:firstRowFirstColumn="0" w:firstRowLastColumn="0" w:lastRowFirstColumn="0" w:lastRowLastColumn="0"/>
            </w:pPr>
            <w:r w:rsidRPr="00CA1E2C">
              <w:t>The Australian Government released its Defence Industry Skilling and STEM Strategy in February 2019. A skilled workforce for defence industry will be critical with the increasingly vital role industry will play in the modernisation of Australia’s Defence capability</w:t>
            </w:r>
            <w:r w:rsidR="00F76312">
              <w:t>. The measures outlined in the s</w:t>
            </w:r>
            <w:r w:rsidRPr="00CA1E2C">
              <w:t>trategy may have beneficial spill over effects for parallel industries, including Australia’s space industry.</w:t>
            </w:r>
          </w:p>
        </w:tc>
      </w:tr>
    </w:tbl>
    <w:p w14:paraId="015DD218" w14:textId="77777777" w:rsidR="001D44C3" w:rsidRPr="00CA1E2C" w:rsidRDefault="001D44C3" w:rsidP="00454F9F"/>
    <w:p w14:paraId="3C5CCD1B" w14:textId="05C416B5" w:rsidR="00892E76" w:rsidRPr="00CA1E2C" w:rsidRDefault="00892E76" w:rsidP="00454F9F">
      <w:pPr>
        <w:sectPr w:rsidR="00892E76" w:rsidRPr="00CA1E2C" w:rsidSect="00F75434">
          <w:pgSz w:w="11906" w:h="16838" w:code="9"/>
          <w:pgMar w:top="1077" w:right="1021" w:bottom="1701" w:left="1021" w:header="454" w:footer="539" w:gutter="0"/>
          <w:cols w:space="708"/>
          <w:docGrid w:linePitch="360"/>
        </w:sectPr>
      </w:pPr>
    </w:p>
    <w:p w14:paraId="5359EFA2" w14:textId="77777777" w:rsidR="00EC15D2" w:rsidRPr="00CA1E2C" w:rsidRDefault="00EC15D2" w:rsidP="00454F9F">
      <w:pPr>
        <w:pStyle w:val="Heading1"/>
      </w:pPr>
      <w:bookmarkStart w:id="56" w:name="_Toc40946048"/>
      <w:bookmarkStart w:id="57" w:name="_Toc19265762"/>
      <w:r w:rsidRPr="00CA1E2C">
        <w:lastRenderedPageBreak/>
        <w:t>Appendices</w:t>
      </w:r>
      <w:bookmarkEnd w:id="56"/>
    </w:p>
    <w:p w14:paraId="3C4AFEDB" w14:textId="35EF8132" w:rsidR="00EC15D2" w:rsidRPr="00B049A5" w:rsidRDefault="00EC15D2" w:rsidP="00B049A5">
      <w:pPr>
        <w:pStyle w:val="Heading2"/>
      </w:pPr>
      <w:bookmarkStart w:id="58" w:name="_Ref19266688"/>
      <w:bookmarkStart w:id="59" w:name="_Toc19281547"/>
      <w:r w:rsidRPr="00B049A5">
        <w:t xml:space="preserve">Appendix </w:t>
      </w:r>
      <w:bookmarkEnd w:id="58"/>
      <w:r w:rsidR="00B049A5">
        <w:t xml:space="preserve">1 </w:t>
      </w:r>
      <w:r w:rsidRPr="00B049A5">
        <w:t>- Government response to ERG recommendations</w:t>
      </w:r>
      <w:bookmarkEnd w:id="59"/>
    </w:p>
    <w:p w14:paraId="6D833472" w14:textId="29D11320" w:rsidR="004F6E76" w:rsidRPr="004F6E76" w:rsidRDefault="00B049A5" w:rsidP="00B049A5">
      <w:pPr>
        <w:pStyle w:val="Caption"/>
      </w:pPr>
      <w:bookmarkStart w:id="60" w:name="_Toc40946029"/>
      <w:r>
        <w:t xml:space="preserve">Table </w:t>
      </w:r>
      <w:r>
        <w:fldChar w:fldCharType="begin"/>
      </w:r>
      <w:r>
        <w:instrText xml:space="preserve"> SEQ Table \* ARABIC </w:instrText>
      </w:r>
      <w:r>
        <w:fldChar w:fldCharType="separate"/>
      </w:r>
      <w:r w:rsidR="00C35904">
        <w:rPr>
          <w:noProof/>
        </w:rPr>
        <w:t>11</w:t>
      </w:r>
      <w:r>
        <w:fldChar w:fldCharType="end"/>
      </w:r>
      <w:r>
        <w:t xml:space="preserve"> – Government response to ERG recommendations</w:t>
      </w:r>
      <w:bookmarkEnd w:id="60"/>
    </w:p>
    <w:tbl>
      <w:tblPr>
        <w:tblStyle w:val="ASATable"/>
        <w:tblW w:w="5000" w:type="pct"/>
        <w:tblLook w:val="04A0" w:firstRow="1" w:lastRow="0" w:firstColumn="1" w:lastColumn="0" w:noHBand="0" w:noVBand="1"/>
        <w:tblCaption w:val="Table 11 – Government response to ERG recommendations"/>
      </w:tblPr>
      <w:tblGrid>
        <w:gridCol w:w="474"/>
        <w:gridCol w:w="3519"/>
        <w:gridCol w:w="3187"/>
        <w:gridCol w:w="2678"/>
      </w:tblGrid>
      <w:tr w:rsidR="00EC15D2" w:rsidRPr="00CA1E2C" w14:paraId="708B5CCC" w14:textId="77777777" w:rsidTr="007E7F42">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35" w:type="pct"/>
          </w:tcPr>
          <w:p w14:paraId="241FEBB5" w14:textId="77777777" w:rsidR="00EC15D2" w:rsidRPr="00CA1E2C" w:rsidRDefault="00EC15D2" w:rsidP="00454F9F">
            <w:pPr>
              <w:pStyle w:val="TableHeading"/>
              <w:rPr>
                <w:b/>
              </w:rPr>
            </w:pPr>
            <w:r w:rsidRPr="00CA1E2C">
              <w:rPr>
                <w:b/>
              </w:rPr>
              <w:t>No</w:t>
            </w:r>
          </w:p>
        </w:tc>
        <w:tc>
          <w:tcPr>
            <w:tcW w:w="1787" w:type="pct"/>
          </w:tcPr>
          <w:p w14:paraId="77A2318D" w14:textId="77777777" w:rsidR="00EC15D2" w:rsidRPr="00CA1E2C" w:rsidRDefault="00EC15D2" w:rsidP="00454F9F">
            <w:pPr>
              <w:pStyle w:val="TableHeading"/>
              <w:jc w:val="left"/>
              <w:cnfStyle w:val="100000000000" w:firstRow="1" w:lastRow="0" w:firstColumn="0" w:lastColumn="0" w:oddVBand="0" w:evenVBand="0" w:oddHBand="0" w:evenHBand="0" w:firstRowFirstColumn="0" w:firstRowLastColumn="0" w:lastRowFirstColumn="0" w:lastRowLastColumn="0"/>
            </w:pPr>
            <w:r w:rsidRPr="00CA1E2C">
              <w:t>Recommendation</w:t>
            </w:r>
          </w:p>
        </w:tc>
        <w:tc>
          <w:tcPr>
            <w:tcW w:w="1618" w:type="pct"/>
          </w:tcPr>
          <w:p w14:paraId="2453F445" w14:textId="77777777" w:rsidR="00EC15D2" w:rsidRPr="00CA1E2C" w:rsidRDefault="00EC15D2" w:rsidP="00454F9F">
            <w:pPr>
              <w:pStyle w:val="TableHeading"/>
              <w:jc w:val="left"/>
              <w:cnfStyle w:val="100000000000" w:firstRow="1" w:lastRow="0" w:firstColumn="0" w:lastColumn="0" w:oddVBand="0" w:evenVBand="0" w:oddHBand="0" w:evenHBand="0" w:firstRowFirstColumn="0" w:firstRowLastColumn="0" w:lastRowFirstColumn="0" w:lastRowLastColumn="0"/>
            </w:pPr>
            <w:r w:rsidRPr="00CA1E2C">
              <w:t>Australian Government Response</w:t>
            </w:r>
          </w:p>
        </w:tc>
        <w:tc>
          <w:tcPr>
            <w:tcW w:w="1360" w:type="pct"/>
          </w:tcPr>
          <w:p w14:paraId="43CED342" w14:textId="77777777" w:rsidR="00EC15D2" w:rsidRPr="00CA1E2C" w:rsidRDefault="00EC15D2" w:rsidP="00454F9F">
            <w:pPr>
              <w:pStyle w:val="TableHeading"/>
              <w:jc w:val="left"/>
              <w:cnfStyle w:val="100000000000" w:firstRow="1" w:lastRow="0" w:firstColumn="0" w:lastColumn="0" w:oddVBand="0" w:evenVBand="0" w:oddHBand="0" w:evenHBand="0" w:firstRowFirstColumn="0" w:firstRowLastColumn="0" w:lastRowFirstColumn="0" w:lastRowLastColumn="0"/>
            </w:pPr>
            <w:r w:rsidRPr="00CA1E2C">
              <w:t>Update</w:t>
            </w:r>
          </w:p>
        </w:tc>
      </w:tr>
      <w:tr w:rsidR="00EC15D2" w:rsidRPr="00CA1E2C" w14:paraId="06F1C0AA" w14:textId="77777777" w:rsidTr="007E7F42">
        <w:tc>
          <w:tcPr>
            <w:cnfStyle w:val="001000000000" w:firstRow="0" w:lastRow="0" w:firstColumn="1" w:lastColumn="0" w:oddVBand="0" w:evenVBand="0" w:oddHBand="0" w:evenHBand="0" w:firstRowFirstColumn="0" w:firstRowLastColumn="0" w:lastRowFirstColumn="0" w:lastRowLastColumn="0"/>
            <w:tcW w:w="235" w:type="pct"/>
          </w:tcPr>
          <w:p w14:paraId="2D73E570" w14:textId="77777777" w:rsidR="00EC15D2" w:rsidRPr="00CA1E2C" w:rsidRDefault="00EC15D2" w:rsidP="00454F9F">
            <w:pPr>
              <w:pStyle w:val="TableText"/>
            </w:pPr>
            <w:r w:rsidRPr="00CA1E2C">
              <w:t>1</w:t>
            </w:r>
          </w:p>
        </w:tc>
        <w:tc>
          <w:tcPr>
            <w:tcW w:w="1787" w:type="pct"/>
          </w:tcPr>
          <w:p w14:paraId="5235BFBF" w14:textId="77777777" w:rsidR="00EC15D2" w:rsidRPr="00CA1E2C" w:rsidRDefault="00EC15D2" w:rsidP="00454F9F">
            <w:pPr>
              <w:pStyle w:val="TableText-Diagram"/>
              <w:jc w:val="left"/>
              <w:cnfStyle w:val="000000000000" w:firstRow="0" w:lastRow="0" w:firstColumn="0" w:lastColumn="0" w:oddVBand="0" w:evenVBand="0" w:oddHBand="0" w:evenHBand="0" w:firstRowFirstColumn="0" w:firstRowLastColumn="0" w:lastRowFirstColumn="0" w:lastRowLastColumn="0"/>
              <w:rPr>
                <w:rFonts w:eastAsia="GothamNarrow-Light"/>
                <w:lang w:val="en-AU"/>
              </w:rPr>
            </w:pPr>
            <w:r w:rsidRPr="00CA1E2C">
              <w:rPr>
                <w:rFonts w:eastAsia="GothamNarrow-Light"/>
                <w:lang w:val="en-AU"/>
              </w:rPr>
              <w:t>The Agency is responsible for the development of a national space industry strategy, and that strategy gives priority to areas that build on Australia’s strengths and utilises national competitive advantage and capabilities, in particular:</w:t>
            </w:r>
          </w:p>
          <w:p w14:paraId="7309D5DB" w14:textId="77777777" w:rsidR="00EC15D2" w:rsidRPr="00CA1E2C" w:rsidRDefault="00EC15D2" w:rsidP="00454F9F">
            <w:pPr>
              <w:pStyle w:val="TableBulle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color w:val="1B9590"/>
                <w:spacing w:val="-91"/>
                <w:lang w:bidi="en-US"/>
              </w:rPr>
              <w:t xml:space="preserve"> </w:t>
            </w:r>
            <w:r w:rsidRPr="00CA1E2C">
              <w:rPr>
                <w:rFonts w:eastAsia="GothamNarrow-Light"/>
                <w:lang w:bidi="en-US"/>
              </w:rPr>
              <w:t>communication technologies and services, satellite ground stations, and deep space communications network ground stations;</w:t>
            </w:r>
          </w:p>
          <w:p w14:paraId="5B5E19BC" w14:textId="77777777" w:rsidR="00EC15D2" w:rsidRPr="00CA1E2C" w:rsidRDefault="00EC15D2" w:rsidP="00454F9F">
            <w:pPr>
              <w:pStyle w:val="TableBulle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color w:val="1B9590"/>
                <w:spacing w:val="-102"/>
                <w:lang w:bidi="en-US"/>
              </w:rPr>
              <w:t xml:space="preserve"> </w:t>
            </w:r>
            <w:r w:rsidRPr="00CA1E2C">
              <w:rPr>
                <w:rFonts w:eastAsia="GothamNarrow-Light"/>
                <w:lang w:bidi="en-US"/>
              </w:rPr>
              <w:t>Space Situational Awareness and debris monitoring as part of global networks;</w:t>
            </w:r>
          </w:p>
          <w:p w14:paraId="440E1FC8" w14:textId="77777777" w:rsidR="00EC15D2" w:rsidRPr="00CA1E2C" w:rsidRDefault="00EC15D2" w:rsidP="00454F9F">
            <w:pPr>
              <w:pStyle w:val="TableBulle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color w:val="1B9590"/>
                <w:spacing w:val="-105"/>
                <w:lang w:bidi="en-US"/>
              </w:rPr>
              <w:t xml:space="preserve"> </w:t>
            </w:r>
            <w:r w:rsidRPr="00CA1E2C">
              <w:rPr>
                <w:rFonts w:eastAsia="GothamNarrow-Light"/>
                <w:lang w:bidi="en-US"/>
              </w:rPr>
              <w:t>Positioning, Navigation, and Timing infrastructure to enhance the competitiveness of the broader economy including agriculture, transport, fisheries, emergency services, mining and oil and gas, and national security;</w:t>
            </w:r>
          </w:p>
          <w:p w14:paraId="6CE6175E" w14:textId="77777777" w:rsidR="00EC15D2" w:rsidRPr="00CA1E2C" w:rsidRDefault="00EC15D2" w:rsidP="00454F9F">
            <w:pPr>
              <w:pStyle w:val="TableBulle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lang w:bidi="en-US"/>
              </w:rPr>
              <w:t>the application of advanced integrated Earth observation satellite data for the benefit of</w:t>
            </w:r>
            <w:r w:rsidRPr="00CA1E2C">
              <w:rPr>
                <w:rFonts w:eastAsia="GothamNarrow-Light"/>
                <w:spacing w:val="-16"/>
                <w:lang w:bidi="en-US"/>
              </w:rPr>
              <w:t xml:space="preserve"> </w:t>
            </w:r>
            <w:r w:rsidRPr="00CA1E2C">
              <w:rPr>
                <w:rFonts w:eastAsia="GothamNarrow-Light"/>
                <w:lang w:bidi="en-US"/>
              </w:rPr>
              <w:t>all Australians and the broader economy, and to increase Australian exports of these</w:t>
            </w:r>
            <w:r w:rsidRPr="00CA1E2C">
              <w:rPr>
                <w:rFonts w:eastAsia="GothamNarrow-Light"/>
                <w:spacing w:val="-18"/>
                <w:lang w:bidi="en-US"/>
              </w:rPr>
              <w:t xml:space="preserve"> </w:t>
            </w:r>
            <w:r w:rsidRPr="00CA1E2C">
              <w:rPr>
                <w:rFonts w:eastAsia="GothamNarrow-Light"/>
                <w:lang w:bidi="en-US"/>
              </w:rPr>
              <w:t>services;</w:t>
            </w:r>
          </w:p>
          <w:p w14:paraId="521B5793" w14:textId="77777777" w:rsidR="00EC15D2" w:rsidRPr="00CA1E2C" w:rsidRDefault="00EC15D2" w:rsidP="00454F9F">
            <w:pPr>
              <w:pStyle w:val="TableBulle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lang w:bidi="en-US"/>
              </w:rPr>
              <w:t xml:space="preserve">research and development in areas of national strength to support Australian participation in joint space missions, space tourism, and industry applications, for example, space and remote medicine, space physics, planetary science, astronomy, quantum communications and technologies, artificial intelligence, advanced </w:t>
            </w:r>
            <w:r w:rsidRPr="00CA1E2C">
              <w:rPr>
                <w:rFonts w:eastAsia="GothamNarrow-Light"/>
                <w:lang w:bidi="en-US"/>
              </w:rPr>
              <w:lastRenderedPageBreak/>
              <w:t>antenna and sensor technology; and</w:t>
            </w:r>
          </w:p>
          <w:p w14:paraId="7DFB87ED" w14:textId="77777777" w:rsidR="00EC15D2" w:rsidRPr="00CA1E2C" w:rsidRDefault="00EC15D2" w:rsidP="00454F9F">
            <w:pPr>
              <w:pStyle w:val="TableBullet"/>
              <w:jc w:val="left"/>
              <w:cnfStyle w:val="000000000000" w:firstRow="0" w:lastRow="0" w:firstColumn="0" w:lastColumn="0" w:oddVBand="0" w:evenVBand="0" w:oddHBand="0" w:evenHBand="0" w:firstRowFirstColumn="0" w:firstRowLastColumn="0" w:lastRowFirstColumn="0" w:lastRowLastColumn="0"/>
            </w:pPr>
            <w:proofErr w:type="gramStart"/>
            <w:r w:rsidRPr="00CA1E2C">
              <w:rPr>
                <w:rFonts w:eastAsia="GothamNarrow-Light"/>
                <w:lang w:bidi="en-US"/>
              </w:rPr>
              <w:t>robotics</w:t>
            </w:r>
            <w:proofErr w:type="gramEnd"/>
            <w:r w:rsidRPr="00CA1E2C">
              <w:rPr>
                <w:rFonts w:eastAsia="GothamNarrow-Light"/>
                <w:lang w:bidi="en-US"/>
              </w:rPr>
              <w:t xml:space="preserve"> and autonomous systems for remote asset management on Earth and in space across the broader economy.</w:t>
            </w:r>
          </w:p>
        </w:tc>
        <w:tc>
          <w:tcPr>
            <w:tcW w:w="1618" w:type="pct"/>
          </w:tcPr>
          <w:p w14:paraId="359A9405" w14:textId="77777777" w:rsidR="00EC15D2" w:rsidRPr="00CA1E2C"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b/>
                <w:lang w:bidi="en-US"/>
              </w:rPr>
              <w:lastRenderedPageBreak/>
              <w:t>Supported.</w:t>
            </w:r>
            <w:r w:rsidRPr="00CA1E2C">
              <w:rPr>
                <w:rFonts w:eastAsia="GothamNarrow-Light"/>
                <w:lang w:bidi="en-US"/>
              </w:rPr>
              <w:t xml:space="preserve"> The Australian Government will establish the Australian Space Agency, which will be an ongoing entity, with initial funding of $26 million over four years. The Agency will prepare a national civil space industry strategy (the Strategy) that is aligned with the Government’s current policy priorities.</w:t>
            </w:r>
          </w:p>
          <w:p w14:paraId="062D66A7" w14:textId="77777777" w:rsidR="00EC15D2" w:rsidRPr="00CA1E2C"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pPr>
            <w:r w:rsidRPr="00CA1E2C">
              <w:rPr>
                <w:rFonts w:eastAsia="GothamNarrow-Light"/>
                <w:lang w:bidi="en-US"/>
              </w:rPr>
              <w:t>In developing the Strategy, the Australian Space Agency will take into consideration the</w:t>
            </w:r>
            <w:r w:rsidRPr="00CA1E2C">
              <w:rPr>
                <w:rFonts w:eastAsia="GothamNarrow-Light"/>
                <w:spacing w:val="-24"/>
                <w:lang w:bidi="en-US"/>
              </w:rPr>
              <w:t xml:space="preserve"> </w:t>
            </w:r>
            <w:r w:rsidRPr="00CA1E2C">
              <w:rPr>
                <w:rFonts w:eastAsia="GothamNarrow-Light"/>
                <w:lang w:bidi="en-US"/>
              </w:rPr>
              <w:t>priorities identified in this</w:t>
            </w:r>
            <w:r w:rsidRPr="00CA1E2C">
              <w:rPr>
                <w:rFonts w:eastAsia="GothamNarrow-Light"/>
                <w:spacing w:val="-2"/>
                <w:lang w:bidi="en-US"/>
              </w:rPr>
              <w:t xml:space="preserve"> </w:t>
            </w:r>
            <w:r w:rsidRPr="00CA1E2C">
              <w:rPr>
                <w:rFonts w:eastAsia="GothamNarrow-Light"/>
                <w:lang w:bidi="en-US"/>
              </w:rPr>
              <w:t>recommendation.</w:t>
            </w:r>
          </w:p>
        </w:tc>
        <w:tc>
          <w:tcPr>
            <w:tcW w:w="1360" w:type="pct"/>
          </w:tcPr>
          <w:p w14:paraId="16C7B830" w14:textId="39BD7121" w:rsidR="00EC15D2" w:rsidRPr="00CA1E2C" w:rsidRDefault="00EC15D2" w:rsidP="004576D4">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b/>
                <w:lang w:bidi="en-US"/>
              </w:rPr>
            </w:pPr>
            <w:r w:rsidRPr="00CA1E2C">
              <w:rPr>
                <w:rFonts w:eastAsia="GothamNarrow-Light"/>
                <w:b/>
                <w:lang w:bidi="en-US"/>
              </w:rPr>
              <w:t xml:space="preserve">Completed. </w:t>
            </w:r>
            <w:r w:rsidRPr="00CA1E2C">
              <w:rPr>
                <w:rFonts w:eastAsia="GothamNarrow-Light"/>
                <w:lang w:bidi="en-US"/>
              </w:rPr>
              <w:t xml:space="preserve">The Agency </w:t>
            </w:r>
            <w:r w:rsidR="004576D4">
              <w:rPr>
                <w:rFonts w:eastAsia="GothamNarrow-Light"/>
                <w:lang w:bidi="en-US"/>
              </w:rPr>
              <w:t xml:space="preserve">has been </w:t>
            </w:r>
            <w:r w:rsidRPr="00CA1E2C">
              <w:rPr>
                <w:rFonts w:eastAsia="GothamNarrow-Light"/>
                <w:lang w:bidi="en-US"/>
              </w:rPr>
              <w:t xml:space="preserve">established and the </w:t>
            </w:r>
            <w:r w:rsidRPr="00CA1E2C">
              <w:rPr>
                <w:rFonts w:eastAsia="GothamNarrow-Light"/>
                <w:i/>
                <w:lang w:bidi="en-US"/>
              </w:rPr>
              <w:t>Advancing Space: Australian Civil Space Strategy 2019-</w:t>
            </w:r>
            <w:r w:rsidR="00FF2E13">
              <w:rPr>
                <w:rFonts w:eastAsia="GothamNarrow-Light"/>
                <w:i/>
                <w:lang w:bidi="en-US"/>
              </w:rPr>
              <w:t> </w:t>
            </w:r>
            <w:r w:rsidRPr="00CA1E2C">
              <w:rPr>
                <w:rFonts w:eastAsia="GothamNarrow-Light"/>
                <w:i/>
                <w:lang w:bidi="en-US"/>
              </w:rPr>
              <w:t>2028</w:t>
            </w:r>
            <w:r w:rsidRPr="00CA1E2C">
              <w:rPr>
                <w:rFonts w:eastAsia="GothamNarrow-Light"/>
                <w:lang w:bidi="en-US"/>
              </w:rPr>
              <w:t xml:space="preserve"> was released in April 2019 which includes seven priority areas</w:t>
            </w:r>
            <w:r w:rsidR="004F51AA">
              <w:rPr>
                <w:rFonts w:eastAsia="GothamNarrow-Light"/>
                <w:lang w:bidi="en-US"/>
              </w:rPr>
              <w:t xml:space="preserve"> (including the priorities identified by the ERG)</w:t>
            </w:r>
            <w:r w:rsidRPr="00CA1E2C">
              <w:rPr>
                <w:rFonts w:eastAsia="GothamNarrow-Light"/>
                <w:lang w:bidi="en-US"/>
              </w:rPr>
              <w:t>.</w:t>
            </w:r>
          </w:p>
        </w:tc>
      </w:tr>
      <w:tr w:rsidR="00EC15D2" w:rsidRPr="00CA1E2C" w14:paraId="6A8C22D1" w14:textId="77777777" w:rsidTr="007E7F4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5" w:type="pct"/>
          </w:tcPr>
          <w:p w14:paraId="0378E838" w14:textId="77777777" w:rsidR="00EC15D2" w:rsidRPr="00CA1E2C" w:rsidRDefault="00EC15D2" w:rsidP="00454F9F">
            <w:pPr>
              <w:pStyle w:val="TableText"/>
            </w:pPr>
            <w:r w:rsidRPr="00CA1E2C">
              <w:t>2</w:t>
            </w:r>
          </w:p>
        </w:tc>
        <w:tc>
          <w:tcPr>
            <w:tcW w:w="1787" w:type="pct"/>
          </w:tcPr>
          <w:p w14:paraId="50715122" w14:textId="77777777" w:rsidR="00EC15D2" w:rsidRPr="00CA1E2C" w:rsidRDefault="00EC15D2" w:rsidP="00454F9F">
            <w:pPr>
              <w:pStyle w:val="TableText"/>
              <w:jc w:val="left"/>
              <w:cnfStyle w:val="000000010000" w:firstRow="0" w:lastRow="0" w:firstColumn="0" w:lastColumn="0" w:oddVBand="0" w:evenVBand="0" w:oddHBand="0" w:evenHBand="1" w:firstRowFirstColumn="0" w:firstRowLastColumn="0" w:lastRowFirstColumn="0" w:lastRowLastColumn="0"/>
            </w:pPr>
            <w:r w:rsidRPr="00CA1E2C">
              <w:rPr>
                <w:rFonts w:eastAsia="GothamNarrow-Light"/>
                <w:lang w:bidi="en-US"/>
              </w:rPr>
              <w:t>The national space industry strategy gives importance to emerging frontiers where Australia can leapfrog into areas of future competitive advantage, including the application of artificial intelligence, robotics, and big data analytics to space systems and</w:t>
            </w:r>
            <w:r w:rsidRPr="00CA1E2C">
              <w:rPr>
                <w:rFonts w:eastAsia="GothamNarrow-Light"/>
                <w:spacing w:val="-26"/>
                <w:lang w:bidi="en-US"/>
              </w:rPr>
              <w:t xml:space="preserve"> </w:t>
            </w:r>
            <w:r w:rsidRPr="00CA1E2C">
              <w:rPr>
                <w:rFonts w:eastAsia="GothamNarrow-Light"/>
                <w:lang w:bidi="en-US"/>
              </w:rPr>
              <w:t>space-derived information; next-generation communication technologies, including optical, hybrid optical radio, and quantum communications, to enable secure, broadband space-based communications; innovative sensors, antennae, and instrumentation. Australia should also take advantage of the global space technology paradigm shift towards constellations of miniaturised spacecraft for communications and Earth observations, and next-generation rocket and spacecraft propulsion</w:t>
            </w:r>
            <w:r w:rsidRPr="00CA1E2C">
              <w:rPr>
                <w:rFonts w:eastAsia="GothamNarrow-Light"/>
                <w:spacing w:val="-2"/>
                <w:lang w:bidi="en-US"/>
              </w:rPr>
              <w:t xml:space="preserve"> </w:t>
            </w:r>
            <w:r w:rsidRPr="00CA1E2C">
              <w:rPr>
                <w:rFonts w:eastAsia="GothamNarrow-Light"/>
                <w:lang w:bidi="en-US"/>
              </w:rPr>
              <w:t>systems.</w:t>
            </w:r>
          </w:p>
        </w:tc>
        <w:tc>
          <w:tcPr>
            <w:tcW w:w="1618" w:type="pct"/>
          </w:tcPr>
          <w:p w14:paraId="26426650" w14:textId="77777777" w:rsidR="00EC15D2" w:rsidRPr="00CA1E2C" w:rsidRDefault="00EC15D2" w:rsidP="00454F9F">
            <w:pPr>
              <w:pStyle w:val="TableText"/>
              <w:jc w:val="left"/>
              <w:cnfStyle w:val="000000010000" w:firstRow="0" w:lastRow="0" w:firstColumn="0" w:lastColumn="0" w:oddVBand="0" w:evenVBand="0" w:oddHBand="0" w:evenHBand="1" w:firstRowFirstColumn="0" w:firstRowLastColumn="0" w:lastRowFirstColumn="0" w:lastRowLastColumn="0"/>
              <w:rPr>
                <w:rFonts w:eastAsia="GothamNarrow-Light"/>
                <w:lang w:bidi="en-US"/>
              </w:rPr>
            </w:pPr>
            <w:r w:rsidRPr="00CA1E2C">
              <w:rPr>
                <w:rFonts w:eastAsia="GothamNarrow-Light"/>
                <w:b/>
                <w:lang w:bidi="en-US"/>
              </w:rPr>
              <w:t>Supported.</w:t>
            </w:r>
            <w:r w:rsidRPr="00CA1E2C">
              <w:rPr>
                <w:rFonts w:eastAsia="GothamNarrow-Light"/>
                <w:lang w:bidi="en-US"/>
              </w:rPr>
              <w:t xml:space="preserve"> The Australian Space Agency will prepare the Strategy, ensuring that it is aligned with the Government’s current policy priorities.</w:t>
            </w:r>
          </w:p>
          <w:p w14:paraId="5C5BC02F" w14:textId="77777777" w:rsidR="00EC15D2" w:rsidRPr="00CA1E2C" w:rsidRDefault="00EC15D2" w:rsidP="00454F9F">
            <w:pPr>
              <w:pStyle w:val="TableText"/>
              <w:jc w:val="left"/>
              <w:cnfStyle w:val="000000010000" w:firstRow="0" w:lastRow="0" w:firstColumn="0" w:lastColumn="0" w:oddVBand="0" w:evenVBand="0" w:oddHBand="0" w:evenHBand="1" w:firstRowFirstColumn="0" w:firstRowLastColumn="0" w:lastRowFirstColumn="0" w:lastRowLastColumn="0"/>
            </w:pPr>
            <w:r w:rsidRPr="00CA1E2C">
              <w:rPr>
                <w:rFonts w:eastAsia="GothamNarrow-Light"/>
                <w:lang w:bidi="en-US"/>
              </w:rPr>
              <w:t>In developing the Strategy, the Australian Space Agency will give consideration to the priorities identified in this recommendation.</w:t>
            </w:r>
          </w:p>
        </w:tc>
        <w:tc>
          <w:tcPr>
            <w:tcW w:w="1360" w:type="pct"/>
          </w:tcPr>
          <w:p w14:paraId="46E8C2F6" w14:textId="67B74751" w:rsidR="00EC15D2" w:rsidRPr="00CA1E2C" w:rsidRDefault="00EC15D2">
            <w:pPr>
              <w:pStyle w:val="TableText"/>
              <w:jc w:val="left"/>
              <w:cnfStyle w:val="000000010000" w:firstRow="0" w:lastRow="0" w:firstColumn="0" w:lastColumn="0" w:oddVBand="0" w:evenVBand="0" w:oddHBand="0" w:evenHBand="1" w:firstRowFirstColumn="0" w:firstRowLastColumn="0" w:lastRowFirstColumn="0" w:lastRowLastColumn="0"/>
              <w:rPr>
                <w:rFonts w:eastAsia="GothamNarrow-Light"/>
                <w:b/>
                <w:lang w:bidi="en-US"/>
              </w:rPr>
            </w:pPr>
            <w:r w:rsidRPr="00CA1E2C">
              <w:rPr>
                <w:rFonts w:eastAsia="GothamNarrow-Light"/>
                <w:b/>
                <w:lang w:bidi="en-US"/>
              </w:rPr>
              <w:t xml:space="preserve">Completed. </w:t>
            </w:r>
            <w:r w:rsidRPr="00CA1E2C">
              <w:rPr>
                <w:rFonts w:eastAsia="GothamNarrow-Light"/>
                <w:lang w:bidi="en-US"/>
              </w:rPr>
              <w:t xml:space="preserve">The </w:t>
            </w:r>
            <w:r w:rsidRPr="00CA1E2C">
              <w:rPr>
                <w:rFonts w:eastAsia="GothamNarrow-Light"/>
                <w:i/>
                <w:lang w:bidi="en-US"/>
              </w:rPr>
              <w:t>Advancing Space: Australian Civil Space Strategy 2019-2028</w:t>
            </w:r>
            <w:r w:rsidRPr="00CA1E2C">
              <w:rPr>
                <w:rFonts w:eastAsia="GothamNarrow-Light"/>
                <w:lang w:bidi="en-US"/>
              </w:rPr>
              <w:t xml:space="preserve"> was released in April 2019 which includes</w:t>
            </w:r>
            <w:r w:rsidR="009502D6">
              <w:rPr>
                <w:rFonts w:eastAsia="GothamNarrow-Light"/>
                <w:lang w:bidi="en-US"/>
              </w:rPr>
              <w:t xml:space="preserve"> consideration of emerging frontiers, leapfrog technologies and R&amp;D</w:t>
            </w:r>
            <w:r w:rsidRPr="00CA1E2C">
              <w:rPr>
                <w:rFonts w:eastAsia="GothamNarrow-Light"/>
                <w:lang w:bidi="en-US"/>
              </w:rPr>
              <w:t>.</w:t>
            </w:r>
          </w:p>
        </w:tc>
      </w:tr>
      <w:tr w:rsidR="00EC15D2" w:rsidRPr="00CA1E2C" w14:paraId="29D058D1" w14:textId="77777777" w:rsidTr="007E7F42">
        <w:tc>
          <w:tcPr>
            <w:cnfStyle w:val="001000000000" w:firstRow="0" w:lastRow="0" w:firstColumn="1" w:lastColumn="0" w:oddVBand="0" w:evenVBand="0" w:oddHBand="0" w:evenHBand="0" w:firstRowFirstColumn="0" w:firstRowLastColumn="0" w:lastRowFirstColumn="0" w:lastRowLastColumn="0"/>
            <w:tcW w:w="235" w:type="pct"/>
          </w:tcPr>
          <w:p w14:paraId="1D20A8C2" w14:textId="77777777" w:rsidR="00EC15D2" w:rsidRPr="00CA1E2C" w:rsidRDefault="00EC15D2" w:rsidP="00454F9F">
            <w:pPr>
              <w:pStyle w:val="TableText"/>
            </w:pPr>
            <w:r w:rsidRPr="00CA1E2C">
              <w:t>3</w:t>
            </w:r>
          </w:p>
        </w:tc>
        <w:tc>
          <w:tcPr>
            <w:tcW w:w="1787" w:type="pct"/>
          </w:tcPr>
          <w:p w14:paraId="08F6E57C" w14:textId="77777777" w:rsidR="00EC15D2" w:rsidRPr="00CA1E2C"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pPr>
            <w:r w:rsidRPr="00CA1E2C">
              <w:rPr>
                <w:rFonts w:eastAsia="GothamNarrow-Light"/>
                <w:lang w:bidi="en-US"/>
              </w:rPr>
              <w:t>The Government will establish a dedicated, ongoing, and whole-of-government statutory agency (the Agency) to realise Australia’s civil ambitions in space, and that interim arrangements are made to establish the Agency immediately. The Agency will be responsible for civil space strategic policy direction setting, international representation, coordination of national civilian activities, and strategies to facilitate the growth of the Australian space industry sector as set out under the Agency Charter.</w:t>
            </w:r>
          </w:p>
        </w:tc>
        <w:tc>
          <w:tcPr>
            <w:tcW w:w="1618" w:type="pct"/>
          </w:tcPr>
          <w:p w14:paraId="02CE72B5" w14:textId="77777777" w:rsidR="00EC15D2" w:rsidRPr="00CA1E2C"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b/>
                <w:lang w:bidi="en-US"/>
              </w:rPr>
              <w:t>Supported</w:t>
            </w:r>
            <w:r w:rsidRPr="00CA1E2C">
              <w:rPr>
                <w:rFonts w:eastAsia="GothamNarrow-Light"/>
                <w:lang w:bidi="en-US"/>
              </w:rPr>
              <w:t>. On 1 July 2018, the Australian Government will establish the Australian Space Agency on an ongoing basis. It will perform its functions as set out in the Agency’s Charter, which will be finalised within three months of commencing operations.</w:t>
            </w:r>
          </w:p>
          <w:p w14:paraId="4513471F" w14:textId="77777777" w:rsidR="00EC15D2" w:rsidRPr="00CA1E2C"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lang w:bidi="en-US"/>
              </w:rPr>
              <w:t xml:space="preserve">The Australian Space Agency will be located within the Department of Industry, Innovation and Science. In addition, the Australian Space Agency will develop close linkages with federal departments and agencies as well as state and territory governments and international agencies to ensure a whole of </w:t>
            </w:r>
            <w:r w:rsidRPr="00CA1E2C">
              <w:rPr>
                <w:rFonts w:eastAsia="GothamNarrow-Light"/>
                <w:lang w:bidi="en-US"/>
              </w:rPr>
              <w:lastRenderedPageBreak/>
              <w:t>government approach is taken in respect of civil space activities.</w:t>
            </w:r>
          </w:p>
          <w:p w14:paraId="0F9C410A" w14:textId="77777777" w:rsidR="00EC15D2" w:rsidRPr="00CA1E2C"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pPr>
            <w:r w:rsidRPr="00CA1E2C">
              <w:rPr>
                <w:rFonts w:eastAsia="GothamNarrow-Light"/>
                <w:lang w:bidi="en-US"/>
              </w:rPr>
              <w:t>The establishment of a statutory basis for the Australian Space Agency will be considered after a review of its operations that will commence within four years of the establishment of the Australian Space Agency.</w:t>
            </w:r>
          </w:p>
        </w:tc>
        <w:tc>
          <w:tcPr>
            <w:tcW w:w="1360" w:type="pct"/>
          </w:tcPr>
          <w:p w14:paraId="26E52CB7" w14:textId="290526CF" w:rsidR="00026354" w:rsidRDefault="00EC15D2">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b/>
                <w:lang w:bidi="en-US"/>
              </w:rPr>
              <w:lastRenderedPageBreak/>
              <w:t xml:space="preserve">Completed. </w:t>
            </w:r>
            <w:r w:rsidRPr="00CA1E2C">
              <w:rPr>
                <w:rFonts w:eastAsia="GothamNarrow-Light"/>
                <w:lang w:bidi="en-US"/>
              </w:rPr>
              <w:t xml:space="preserve">The </w:t>
            </w:r>
            <w:r w:rsidR="00A100C4">
              <w:rPr>
                <w:rFonts w:eastAsia="GothamNarrow-Light"/>
                <w:lang w:bidi="en-US"/>
              </w:rPr>
              <w:t>Agency was established on 1</w:t>
            </w:r>
            <w:r w:rsidR="00FF2E13">
              <w:rPr>
                <w:rFonts w:eastAsia="GothamNarrow-Light"/>
                <w:lang w:bidi="en-US"/>
              </w:rPr>
              <w:t> </w:t>
            </w:r>
            <w:r w:rsidR="00A100C4">
              <w:rPr>
                <w:rFonts w:eastAsia="GothamNarrow-Light"/>
                <w:lang w:bidi="en-US"/>
              </w:rPr>
              <w:t>July</w:t>
            </w:r>
            <w:r w:rsidR="00FF2E13">
              <w:rPr>
                <w:rFonts w:eastAsia="GothamNarrow-Light"/>
                <w:lang w:bidi="en-US"/>
              </w:rPr>
              <w:t> </w:t>
            </w:r>
            <w:r w:rsidR="00A100C4">
              <w:rPr>
                <w:rFonts w:eastAsia="GothamNarrow-Light"/>
                <w:lang w:bidi="en-US"/>
              </w:rPr>
              <w:t xml:space="preserve">2018. </w:t>
            </w:r>
          </w:p>
          <w:p w14:paraId="006553E7" w14:textId="77777777" w:rsidR="00027C44" w:rsidRDefault="00A100C4">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Pr>
                <w:rFonts w:eastAsia="GothamNarrow-Light"/>
                <w:lang w:bidi="en-US"/>
              </w:rPr>
              <w:t xml:space="preserve">The </w:t>
            </w:r>
            <w:r w:rsidR="00EC15D2" w:rsidRPr="00CA1E2C">
              <w:rPr>
                <w:rFonts w:eastAsia="GothamNarrow-Light"/>
                <w:lang w:bidi="en-US"/>
              </w:rPr>
              <w:t>Charter was released in October 2018</w:t>
            </w:r>
            <w:r w:rsidR="00026354">
              <w:rPr>
                <w:rFonts w:eastAsia="GothamNarrow-Light"/>
                <w:lang w:bidi="en-US"/>
              </w:rPr>
              <w:t xml:space="preserve">. </w:t>
            </w:r>
          </w:p>
          <w:p w14:paraId="7877DFC4" w14:textId="629A0CE3" w:rsidR="00EC15D2" w:rsidRPr="005D7667" w:rsidRDefault="00026354">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Pr>
                <w:rFonts w:eastAsia="GothamNarrow-Light"/>
                <w:lang w:bidi="en-US"/>
              </w:rPr>
              <w:t>The Charter includes that the</w:t>
            </w:r>
            <w:r w:rsidR="00A100C4" w:rsidRPr="00CA1E2C">
              <w:rPr>
                <w:rFonts w:eastAsia="GothamNarrow-Light"/>
                <w:lang w:bidi="en-US"/>
              </w:rPr>
              <w:t xml:space="preserve"> statutory basis for the Australian Space Agency will be considered after a review of its operations that will commence within four years of the establishment of the Australian Space Agency.</w:t>
            </w:r>
          </w:p>
        </w:tc>
      </w:tr>
      <w:tr w:rsidR="00EC15D2" w:rsidRPr="00CA1E2C" w14:paraId="65A4A1EF" w14:textId="77777777" w:rsidTr="007E7F4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5" w:type="pct"/>
          </w:tcPr>
          <w:p w14:paraId="38EC1215" w14:textId="677188EB" w:rsidR="00EC15D2" w:rsidRPr="00CA1E2C" w:rsidRDefault="00EC15D2" w:rsidP="00454F9F">
            <w:pPr>
              <w:pStyle w:val="TableText"/>
            </w:pPr>
            <w:r w:rsidRPr="00CA1E2C">
              <w:t>4</w:t>
            </w:r>
          </w:p>
        </w:tc>
        <w:tc>
          <w:tcPr>
            <w:tcW w:w="1787" w:type="pct"/>
          </w:tcPr>
          <w:p w14:paraId="537E8665" w14:textId="77777777" w:rsidR="00EC15D2" w:rsidRPr="00CA1E2C" w:rsidRDefault="00EC15D2" w:rsidP="00454F9F">
            <w:pPr>
              <w:pStyle w:val="TableText"/>
              <w:jc w:val="left"/>
              <w:cnfStyle w:val="000000010000" w:firstRow="0" w:lastRow="0" w:firstColumn="0" w:lastColumn="0" w:oddVBand="0" w:evenVBand="0" w:oddHBand="0" w:evenHBand="1" w:firstRowFirstColumn="0" w:firstRowLastColumn="0" w:lastRowFirstColumn="0" w:lastRowLastColumn="0"/>
              <w:rPr>
                <w:rFonts w:eastAsia="GothamNarrow-Light"/>
                <w:lang w:bidi="en-US"/>
              </w:rPr>
            </w:pPr>
            <w:r w:rsidRPr="00CA1E2C">
              <w:rPr>
                <w:rFonts w:eastAsia="GothamNarrow-Light"/>
                <w:lang w:bidi="en-US"/>
              </w:rPr>
              <w:t xml:space="preserve">The Government provides ongoing, core operational funding to the Agency to enable its establishment and effective operation… </w:t>
            </w:r>
          </w:p>
          <w:p w14:paraId="37F6B792" w14:textId="77777777" w:rsidR="00EC15D2" w:rsidRPr="00CA1E2C" w:rsidRDefault="00EC15D2" w:rsidP="00454F9F">
            <w:pPr>
              <w:pStyle w:val="TableText"/>
              <w:jc w:val="left"/>
              <w:cnfStyle w:val="000000010000" w:firstRow="0" w:lastRow="0" w:firstColumn="0" w:lastColumn="0" w:oddVBand="0" w:evenVBand="0" w:oddHBand="0" w:evenHBand="1" w:firstRowFirstColumn="0" w:firstRowLastColumn="0" w:lastRowFirstColumn="0" w:lastRowLastColumn="0"/>
            </w:pPr>
          </w:p>
        </w:tc>
        <w:tc>
          <w:tcPr>
            <w:tcW w:w="1618" w:type="pct"/>
          </w:tcPr>
          <w:p w14:paraId="0EED1E94" w14:textId="77777777" w:rsidR="00EC15D2" w:rsidRPr="00CA1E2C" w:rsidRDefault="00EC15D2" w:rsidP="00454F9F">
            <w:pPr>
              <w:pStyle w:val="TableText"/>
              <w:jc w:val="left"/>
              <w:cnfStyle w:val="000000010000" w:firstRow="0" w:lastRow="0" w:firstColumn="0" w:lastColumn="0" w:oddVBand="0" w:evenVBand="0" w:oddHBand="0" w:evenHBand="1" w:firstRowFirstColumn="0" w:firstRowLastColumn="0" w:lastRowFirstColumn="0" w:lastRowLastColumn="0"/>
              <w:rPr>
                <w:rFonts w:eastAsia="GothamNarrow-Light"/>
                <w:lang w:bidi="en-US"/>
              </w:rPr>
            </w:pPr>
            <w:r w:rsidRPr="00CA1E2C">
              <w:rPr>
                <w:rFonts w:eastAsia="GothamNarrow-Light"/>
                <w:b/>
                <w:lang w:bidi="en-US"/>
              </w:rPr>
              <w:t>Supported</w:t>
            </w:r>
            <w:r w:rsidRPr="00CA1E2C">
              <w:rPr>
                <w:rFonts w:eastAsia="GothamNarrow-Light"/>
                <w:lang w:bidi="en-US"/>
              </w:rPr>
              <w:t>. The Australian Government will establish the Australian Space Agency as an ongoing entity, with initial funding of $26 million over four years.</w:t>
            </w:r>
          </w:p>
          <w:p w14:paraId="39BAD2A2" w14:textId="77777777" w:rsidR="00EC15D2" w:rsidRPr="00CA1E2C" w:rsidRDefault="00EC15D2" w:rsidP="00454F9F">
            <w:pPr>
              <w:pStyle w:val="TableText"/>
              <w:jc w:val="left"/>
              <w:cnfStyle w:val="000000010000" w:firstRow="0" w:lastRow="0" w:firstColumn="0" w:lastColumn="0" w:oddVBand="0" w:evenVBand="0" w:oddHBand="0" w:evenHBand="1" w:firstRowFirstColumn="0" w:firstRowLastColumn="0" w:lastRowFirstColumn="0" w:lastRowLastColumn="0"/>
            </w:pPr>
          </w:p>
        </w:tc>
        <w:tc>
          <w:tcPr>
            <w:tcW w:w="1360" w:type="pct"/>
          </w:tcPr>
          <w:p w14:paraId="4F2F538A" w14:textId="77777777" w:rsidR="00EC15D2" w:rsidRPr="00CA1E2C" w:rsidRDefault="00EC15D2" w:rsidP="00454F9F">
            <w:pPr>
              <w:pStyle w:val="TableText"/>
              <w:jc w:val="left"/>
              <w:cnfStyle w:val="000000010000" w:firstRow="0" w:lastRow="0" w:firstColumn="0" w:lastColumn="0" w:oddVBand="0" w:evenVBand="0" w:oddHBand="0" w:evenHBand="1" w:firstRowFirstColumn="0" w:firstRowLastColumn="0" w:lastRowFirstColumn="0" w:lastRowLastColumn="0"/>
              <w:rPr>
                <w:rFonts w:eastAsia="GothamNarrow-Light"/>
                <w:b/>
                <w:lang w:bidi="en-US"/>
              </w:rPr>
            </w:pPr>
            <w:r w:rsidRPr="00CA1E2C">
              <w:rPr>
                <w:rFonts w:eastAsia="GothamNarrow-Light"/>
                <w:b/>
                <w:lang w:bidi="en-US"/>
              </w:rPr>
              <w:t>Completed.</w:t>
            </w:r>
          </w:p>
        </w:tc>
      </w:tr>
      <w:tr w:rsidR="00EC15D2" w:rsidRPr="00CA1E2C" w14:paraId="61EAAD94" w14:textId="77777777" w:rsidTr="007E7F42">
        <w:tc>
          <w:tcPr>
            <w:cnfStyle w:val="001000000000" w:firstRow="0" w:lastRow="0" w:firstColumn="1" w:lastColumn="0" w:oddVBand="0" w:evenVBand="0" w:oddHBand="0" w:evenHBand="0" w:firstRowFirstColumn="0" w:firstRowLastColumn="0" w:lastRowFirstColumn="0" w:lastRowLastColumn="0"/>
            <w:tcW w:w="235" w:type="pct"/>
          </w:tcPr>
          <w:p w14:paraId="77E52EA1" w14:textId="77777777" w:rsidR="00EC15D2" w:rsidRPr="00CA1E2C" w:rsidRDefault="00EC15D2" w:rsidP="00454F9F">
            <w:pPr>
              <w:pStyle w:val="TableText"/>
            </w:pPr>
          </w:p>
        </w:tc>
        <w:tc>
          <w:tcPr>
            <w:tcW w:w="1787" w:type="pct"/>
          </w:tcPr>
          <w:p w14:paraId="2E3ACA67" w14:textId="77777777" w:rsidR="00EC15D2" w:rsidRPr="00CA1E2C"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lang w:bidi="en-US"/>
              </w:rPr>
              <w:t xml:space="preserve">… </w:t>
            </w:r>
            <w:proofErr w:type="gramStart"/>
            <w:r w:rsidRPr="00CA1E2C">
              <w:rPr>
                <w:rFonts w:eastAsia="GothamNarrow-Light"/>
                <w:lang w:bidi="en-US"/>
              </w:rPr>
              <w:t>with</w:t>
            </w:r>
            <w:proofErr w:type="gramEnd"/>
            <w:r w:rsidRPr="00CA1E2C">
              <w:rPr>
                <w:rFonts w:eastAsia="GothamNarrow-Light"/>
                <w:lang w:bidi="en-US"/>
              </w:rPr>
              <w:t xml:space="preserve"> additional funding for an ongoing Space Industry Development Fund once the Agency</w:t>
            </w:r>
            <w:r w:rsidRPr="00CA1E2C">
              <w:rPr>
                <w:rFonts w:eastAsia="GothamNarrow-Light"/>
                <w:spacing w:val="-24"/>
                <w:lang w:bidi="en-US"/>
              </w:rPr>
              <w:t xml:space="preserve"> </w:t>
            </w:r>
            <w:r w:rsidRPr="00CA1E2C">
              <w:rPr>
                <w:rFonts w:eastAsia="GothamNarrow-Light"/>
                <w:lang w:bidi="en-US"/>
              </w:rPr>
              <w:t>is fully</w:t>
            </w:r>
            <w:r w:rsidRPr="00CA1E2C">
              <w:rPr>
                <w:rFonts w:eastAsia="GothamNarrow-Light"/>
                <w:spacing w:val="-1"/>
                <w:lang w:bidi="en-US"/>
              </w:rPr>
              <w:t xml:space="preserve"> </w:t>
            </w:r>
            <w:r w:rsidRPr="00CA1E2C">
              <w:rPr>
                <w:rFonts w:eastAsia="GothamNarrow-Light"/>
                <w:lang w:bidi="en-US"/>
              </w:rPr>
              <w:t>operational.</w:t>
            </w:r>
          </w:p>
          <w:p w14:paraId="2073AB42" w14:textId="77777777" w:rsidR="00EC15D2" w:rsidRPr="00CA1E2C"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lang w:bidi="en-US"/>
              </w:rPr>
              <w:t>This Fund will invest in: international partnerships to enable increased industry participation; industry-led collaborative research and development in the areas of strategic priority and leapfrog technologies; and support for national nodes in partnership with State and Territory governments and their industries. It will also provide early stimulus to national infrastructure such as enabling commercial ground stations and shared test facilities for satellite manufacture and equipment verification.</w:t>
            </w:r>
          </w:p>
        </w:tc>
        <w:tc>
          <w:tcPr>
            <w:tcW w:w="1618" w:type="pct"/>
          </w:tcPr>
          <w:p w14:paraId="107DD4A7" w14:textId="77777777" w:rsidR="00EC15D2" w:rsidRPr="00CA1E2C"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b/>
                <w:lang w:bidi="en-US"/>
              </w:rPr>
              <w:t>Noted.</w:t>
            </w:r>
            <w:r w:rsidRPr="00CA1E2C">
              <w:rPr>
                <w:rFonts w:eastAsia="GothamNarrow-Light"/>
                <w:lang w:bidi="en-US"/>
              </w:rPr>
              <w:t xml:space="preserve"> The Australian Space Agency will prepare a detailed investment plan for consideration by the Government as part of its Strategy for the development of the space industry within the first six months after it commences operation.</w:t>
            </w:r>
          </w:p>
          <w:p w14:paraId="4653BDB2" w14:textId="77777777" w:rsidR="00EC15D2" w:rsidRPr="00CA1E2C"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b/>
                <w:lang w:bidi="en-US"/>
              </w:rPr>
            </w:pPr>
            <w:r w:rsidRPr="00CA1E2C">
              <w:rPr>
                <w:rFonts w:eastAsia="GothamNarrow-Light"/>
                <w:lang w:bidi="en-US"/>
              </w:rPr>
              <w:t>This will include principles and models for space industry development, including providing the Government with its analysis of the costs and benefits of creating a Space Industry Development Fund.</w:t>
            </w:r>
          </w:p>
        </w:tc>
        <w:tc>
          <w:tcPr>
            <w:tcW w:w="1360" w:type="pct"/>
          </w:tcPr>
          <w:p w14:paraId="3037BD18" w14:textId="4AED4D7C" w:rsidR="004844A5"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b/>
                <w:lang w:bidi="en-US"/>
              </w:rPr>
              <w:t xml:space="preserve">Completed. </w:t>
            </w:r>
            <w:r w:rsidR="008E42F8">
              <w:rPr>
                <w:rFonts w:eastAsia="GothamNarrow-Light"/>
                <w:lang w:bidi="en-US"/>
              </w:rPr>
              <w:t>T</w:t>
            </w:r>
            <w:r w:rsidRPr="00CA1E2C">
              <w:rPr>
                <w:rFonts w:eastAsia="GothamNarrow-Light"/>
                <w:lang w:bidi="en-US"/>
              </w:rPr>
              <w:t xml:space="preserve">he </w:t>
            </w:r>
            <w:r w:rsidRPr="00CA1E2C">
              <w:rPr>
                <w:rFonts w:eastAsia="GothamNarrow-Light"/>
                <w:i/>
                <w:lang w:bidi="en-US"/>
              </w:rPr>
              <w:t>Advancing Space: Australian Civil Space Strategy 2019-2028</w:t>
            </w:r>
            <w:r w:rsidR="008E42F8">
              <w:rPr>
                <w:rFonts w:eastAsia="GothamNarrow-Light"/>
                <w:lang w:bidi="en-US"/>
              </w:rPr>
              <w:t xml:space="preserve"> includes an implementation plan which outlines areas of potential investment in the future.</w:t>
            </w:r>
          </w:p>
          <w:p w14:paraId="15A123E4" w14:textId="655E20CD" w:rsidR="00EC15D2" w:rsidRPr="004844A5"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b/>
                <w:lang w:bidi="en-US"/>
              </w:rPr>
            </w:pPr>
          </w:p>
        </w:tc>
      </w:tr>
      <w:tr w:rsidR="00EC15D2" w:rsidRPr="00CA1E2C" w14:paraId="37109C33" w14:textId="77777777" w:rsidTr="007E7F4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5" w:type="pct"/>
          </w:tcPr>
          <w:p w14:paraId="0311F91C" w14:textId="77777777" w:rsidR="00EC15D2" w:rsidRPr="00CA1E2C" w:rsidRDefault="00EC15D2" w:rsidP="00454F9F">
            <w:pPr>
              <w:pStyle w:val="TableText"/>
            </w:pPr>
          </w:p>
        </w:tc>
        <w:tc>
          <w:tcPr>
            <w:tcW w:w="1787" w:type="pct"/>
          </w:tcPr>
          <w:p w14:paraId="638E61B0" w14:textId="77777777" w:rsidR="00EC15D2" w:rsidRPr="00CA1E2C" w:rsidRDefault="00EC15D2" w:rsidP="00454F9F">
            <w:pPr>
              <w:pStyle w:val="TableText"/>
              <w:jc w:val="left"/>
              <w:cnfStyle w:val="000000010000" w:firstRow="0" w:lastRow="0" w:firstColumn="0" w:lastColumn="0" w:oddVBand="0" w:evenVBand="0" w:oddHBand="0" w:evenHBand="1" w:firstRowFirstColumn="0" w:firstRowLastColumn="0" w:lastRowFirstColumn="0" w:lastRowLastColumn="0"/>
            </w:pPr>
            <w:r w:rsidRPr="00CA1E2C">
              <w:rPr>
                <w:rFonts w:eastAsia="GothamNarrow-Light"/>
                <w:lang w:bidi="en-US"/>
              </w:rPr>
              <w:t>The Government provides scope for the Agency to bring forward for dedicated funding every three to four years, major national space projects such as satellite projects, to meet national and international terrestrial and marine needs, and to participate in discovery science missions as part of international consortia and national space competition missions.</w:t>
            </w:r>
          </w:p>
        </w:tc>
        <w:tc>
          <w:tcPr>
            <w:tcW w:w="1618" w:type="pct"/>
          </w:tcPr>
          <w:p w14:paraId="684697D2" w14:textId="77777777" w:rsidR="00EC15D2" w:rsidRPr="00CA1E2C" w:rsidRDefault="00EC15D2" w:rsidP="00454F9F">
            <w:pPr>
              <w:pStyle w:val="TableText"/>
              <w:jc w:val="left"/>
              <w:cnfStyle w:val="000000010000" w:firstRow="0" w:lastRow="0" w:firstColumn="0" w:lastColumn="0" w:oddVBand="0" w:evenVBand="0" w:oddHBand="0" w:evenHBand="1" w:firstRowFirstColumn="0" w:firstRowLastColumn="0" w:lastRowFirstColumn="0" w:lastRowLastColumn="0"/>
            </w:pPr>
            <w:r w:rsidRPr="00CA1E2C">
              <w:rPr>
                <w:rFonts w:eastAsia="GothamNarrow-Light"/>
                <w:b/>
                <w:lang w:bidi="en-US"/>
              </w:rPr>
              <w:t>Supported in Principle.</w:t>
            </w:r>
            <w:r w:rsidRPr="00CA1E2C">
              <w:rPr>
                <w:rFonts w:eastAsia="GothamNarrow-Light"/>
                <w:lang w:bidi="en-US"/>
              </w:rPr>
              <w:t xml:space="preserve"> The Australian Space</w:t>
            </w:r>
            <w:r w:rsidRPr="00CA1E2C">
              <w:rPr>
                <w:rFonts w:eastAsia="GothamNarrow-Light"/>
                <w:spacing w:val="-25"/>
                <w:lang w:bidi="en-US"/>
              </w:rPr>
              <w:t xml:space="preserve"> </w:t>
            </w:r>
            <w:r w:rsidRPr="00CA1E2C">
              <w:rPr>
                <w:rFonts w:eastAsia="GothamNarrow-Light"/>
                <w:lang w:bidi="en-US"/>
              </w:rPr>
              <w:t>Agency has the capacity to seek to bring forward requests for funding, including to support</w:t>
            </w:r>
            <w:r w:rsidRPr="00CA1E2C">
              <w:rPr>
                <w:rFonts w:eastAsia="GothamNarrow-Light"/>
                <w:spacing w:val="-1"/>
                <w:lang w:bidi="en-US"/>
              </w:rPr>
              <w:t xml:space="preserve"> </w:t>
            </w:r>
            <w:r w:rsidRPr="00CA1E2C">
              <w:rPr>
                <w:rFonts w:eastAsia="GothamNarrow-Light"/>
                <w:lang w:bidi="en-US"/>
              </w:rPr>
              <w:t>major space-related projects.</w:t>
            </w:r>
          </w:p>
        </w:tc>
        <w:tc>
          <w:tcPr>
            <w:tcW w:w="1360" w:type="pct"/>
          </w:tcPr>
          <w:p w14:paraId="773B3FEF" w14:textId="0CC272E7" w:rsidR="00EC15D2" w:rsidRPr="00CA1E2C" w:rsidRDefault="00EC15D2">
            <w:pPr>
              <w:pStyle w:val="TableText"/>
              <w:jc w:val="left"/>
              <w:cnfStyle w:val="000000010000" w:firstRow="0" w:lastRow="0" w:firstColumn="0" w:lastColumn="0" w:oddVBand="0" w:evenVBand="0" w:oddHBand="0" w:evenHBand="1" w:firstRowFirstColumn="0" w:firstRowLastColumn="0" w:lastRowFirstColumn="0" w:lastRowLastColumn="0"/>
              <w:rPr>
                <w:rFonts w:eastAsia="GothamNarrow-Light"/>
                <w:b/>
                <w:lang w:bidi="en-US"/>
              </w:rPr>
            </w:pPr>
            <w:r w:rsidRPr="00CA1E2C">
              <w:rPr>
                <w:rFonts w:eastAsia="GothamNarrow-Light"/>
                <w:b/>
                <w:lang w:bidi="en-US"/>
              </w:rPr>
              <w:t xml:space="preserve">Ongoing. </w:t>
            </w:r>
            <w:r w:rsidR="004844A5">
              <w:rPr>
                <w:rFonts w:eastAsia="GothamNarrow-Light"/>
                <w:lang w:bidi="en-US"/>
              </w:rPr>
              <w:t>T</w:t>
            </w:r>
            <w:r w:rsidRPr="00CA1E2C">
              <w:rPr>
                <w:rFonts w:eastAsia="GothamNarrow-Light"/>
                <w:lang w:bidi="en-US"/>
              </w:rPr>
              <w:t>he 2019-20 Budget provided $19.5 million for Space Infrastructure Fund projects and $6 million through the Adelaide City Deal for the Australian Space Discovery Centre.</w:t>
            </w:r>
          </w:p>
        </w:tc>
      </w:tr>
      <w:tr w:rsidR="00EC15D2" w:rsidRPr="00CA1E2C" w14:paraId="24D9D703" w14:textId="77777777" w:rsidTr="007E7F42">
        <w:tc>
          <w:tcPr>
            <w:cnfStyle w:val="001000000000" w:firstRow="0" w:lastRow="0" w:firstColumn="1" w:lastColumn="0" w:oddVBand="0" w:evenVBand="0" w:oddHBand="0" w:evenHBand="0" w:firstRowFirstColumn="0" w:firstRowLastColumn="0" w:lastRowFirstColumn="0" w:lastRowLastColumn="0"/>
            <w:tcW w:w="235" w:type="pct"/>
          </w:tcPr>
          <w:p w14:paraId="13452B6B" w14:textId="77777777" w:rsidR="00EC15D2" w:rsidRPr="00CA1E2C" w:rsidRDefault="00EC15D2" w:rsidP="00454F9F">
            <w:pPr>
              <w:pStyle w:val="TableText"/>
            </w:pPr>
            <w:r w:rsidRPr="00CA1E2C">
              <w:t>5</w:t>
            </w:r>
          </w:p>
        </w:tc>
        <w:tc>
          <w:tcPr>
            <w:tcW w:w="1787" w:type="pct"/>
          </w:tcPr>
          <w:p w14:paraId="5F9F6802" w14:textId="77777777" w:rsidR="00EC15D2" w:rsidRPr="00CA1E2C"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lang w:bidi="en-US"/>
              </w:rPr>
              <w:t xml:space="preserve">The Government extends existing partnership and treaty-level </w:t>
            </w:r>
            <w:r w:rsidRPr="00CA1E2C">
              <w:rPr>
                <w:rFonts w:eastAsia="GothamNarrow-Light"/>
                <w:lang w:bidi="en-US"/>
              </w:rPr>
              <w:lastRenderedPageBreak/>
              <w:t>agreements, and establishes new partnerships to increase the participation of Australian industry and research, particularly by:</w:t>
            </w:r>
          </w:p>
          <w:p w14:paraId="01660127" w14:textId="77777777" w:rsidR="00EC15D2" w:rsidRPr="00CA1E2C" w:rsidRDefault="00EC15D2" w:rsidP="00454F9F">
            <w:pPr>
              <w:pStyle w:val="TableBulle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lang w:bidi="en-US"/>
              </w:rPr>
              <w:t>strengthening partnerships in space to allow greater technology transfer and technology development in Australia;</w:t>
            </w:r>
          </w:p>
          <w:p w14:paraId="4146E246" w14:textId="77777777" w:rsidR="00EC15D2" w:rsidRPr="00CA1E2C" w:rsidRDefault="00EC15D2" w:rsidP="00454F9F">
            <w:pPr>
              <w:pStyle w:val="TableBulle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lang w:bidi="en-US"/>
              </w:rPr>
              <w:t>extending existing partnerships and treaty-level agreements, as well as promoting commercial arrangements to allow increased participation of Australian industry on missions;</w:t>
            </w:r>
          </w:p>
          <w:p w14:paraId="57637E9B" w14:textId="77777777" w:rsidR="00EC15D2" w:rsidRPr="00CA1E2C" w:rsidRDefault="00EC15D2" w:rsidP="00454F9F">
            <w:pPr>
              <w:pStyle w:val="TableBulle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lang w:bidi="en-US"/>
              </w:rPr>
              <w:t>securing existing and establishing new ground stations and deep space communications centres in Australia;</w:t>
            </w:r>
          </w:p>
          <w:p w14:paraId="1EFCEA2F" w14:textId="77777777" w:rsidR="00EC15D2" w:rsidRPr="00CA1E2C" w:rsidRDefault="00EC15D2" w:rsidP="00454F9F">
            <w:pPr>
              <w:pStyle w:val="TableBulle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color w:val="1B9590"/>
                <w:spacing w:val="-91"/>
                <w:lang w:bidi="en-US"/>
              </w:rPr>
              <w:t xml:space="preserve"> </w:t>
            </w:r>
            <w:r w:rsidRPr="00CA1E2C">
              <w:rPr>
                <w:rFonts w:eastAsia="GothamNarrow-Light"/>
                <w:lang w:bidi="en-US"/>
              </w:rPr>
              <w:t xml:space="preserve">securing new partnership agreements with </w:t>
            </w:r>
            <w:r w:rsidRPr="00CA1E2C">
              <w:rPr>
                <w:rFonts w:eastAsia="GothamNarrow-Light"/>
                <w:spacing w:val="-4"/>
                <w:lang w:bidi="en-US"/>
              </w:rPr>
              <w:t xml:space="preserve">key </w:t>
            </w:r>
            <w:r w:rsidRPr="00CA1E2C">
              <w:rPr>
                <w:rFonts w:eastAsia="GothamNarrow-Light"/>
                <w:lang w:bidi="en-US"/>
              </w:rPr>
              <w:t>space agencies and commercial partners in the global space sector, including in Asia and Oceania; and</w:t>
            </w:r>
          </w:p>
          <w:p w14:paraId="67B0D9CC" w14:textId="77777777" w:rsidR="00EC15D2" w:rsidRPr="00CA1E2C" w:rsidRDefault="00EC15D2" w:rsidP="00454F9F">
            <w:pPr>
              <w:pStyle w:val="TableBullet"/>
              <w:jc w:val="left"/>
              <w:cnfStyle w:val="000000000000" w:firstRow="0" w:lastRow="0" w:firstColumn="0" w:lastColumn="0" w:oddVBand="0" w:evenVBand="0" w:oddHBand="0" w:evenHBand="0" w:firstRowFirstColumn="0" w:firstRowLastColumn="0" w:lastRowFirstColumn="0" w:lastRowLastColumn="0"/>
            </w:pPr>
            <w:proofErr w:type="gramStart"/>
            <w:r w:rsidRPr="00CA1E2C">
              <w:rPr>
                <w:rFonts w:eastAsia="GothamNarrow-Light"/>
                <w:lang w:bidi="en-US"/>
              </w:rPr>
              <w:t>securing</w:t>
            </w:r>
            <w:proofErr w:type="gramEnd"/>
            <w:r w:rsidRPr="00CA1E2C">
              <w:rPr>
                <w:rFonts w:eastAsia="GothamNarrow-Light"/>
                <w:lang w:bidi="en-US"/>
              </w:rPr>
              <w:t xml:space="preserve"> cooperation agreements for access to critical national Earth observation data, including for weather, land and oceans, and emergency and disaster management.</w:t>
            </w:r>
          </w:p>
        </w:tc>
        <w:tc>
          <w:tcPr>
            <w:tcW w:w="1618" w:type="pct"/>
          </w:tcPr>
          <w:p w14:paraId="06A06751" w14:textId="77777777" w:rsidR="00EC15D2" w:rsidRPr="00CA1E2C"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b/>
                <w:lang w:bidi="en-US"/>
              </w:rPr>
              <w:lastRenderedPageBreak/>
              <w:t>Supported.</w:t>
            </w:r>
            <w:r w:rsidRPr="00CA1E2C">
              <w:rPr>
                <w:rFonts w:eastAsia="GothamNarrow-Light"/>
                <w:lang w:bidi="en-US"/>
              </w:rPr>
              <w:t xml:space="preserve"> The Australian Government will be proactive in </w:t>
            </w:r>
            <w:r w:rsidRPr="00CA1E2C">
              <w:rPr>
                <w:rFonts w:eastAsia="GothamNarrow-Light"/>
                <w:lang w:bidi="en-US"/>
              </w:rPr>
              <w:lastRenderedPageBreak/>
              <w:t>its international engagement to build and develop its international partnerships relevant to the space industry, consistent with the Foreign Policy White Paper, in consultation with the Department of Foreign Affairs and Trade and other affected commonwealth agencies, and supported by the Australian Space Agency.</w:t>
            </w:r>
          </w:p>
          <w:p w14:paraId="52A839BC" w14:textId="77777777" w:rsidR="00EC15D2" w:rsidRPr="00CA1E2C"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pPr>
            <w:r w:rsidRPr="00CA1E2C">
              <w:rPr>
                <w:rFonts w:eastAsia="GothamNarrow-Light"/>
                <w:lang w:bidi="en-US"/>
              </w:rPr>
              <w:t>The Australian Government is investing $15 million over three years from 2019–20 to enable the Australian Space Agency to partner with international space agencies on strategic projects. This investment will provide Australian businesses opportunities to be involved in established international space programs.</w:t>
            </w:r>
          </w:p>
        </w:tc>
        <w:tc>
          <w:tcPr>
            <w:tcW w:w="1360" w:type="pct"/>
          </w:tcPr>
          <w:p w14:paraId="7C99A702" w14:textId="24F68309" w:rsidR="008E42F8"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b/>
                <w:lang w:bidi="en-US"/>
              </w:rPr>
              <w:lastRenderedPageBreak/>
              <w:t xml:space="preserve">Ongoing. </w:t>
            </w:r>
            <w:r w:rsidRPr="00CA1E2C">
              <w:rPr>
                <w:rFonts w:eastAsia="GothamNarrow-Light"/>
                <w:lang w:bidi="en-US"/>
              </w:rPr>
              <w:t xml:space="preserve">The Agency has progressed MoUs </w:t>
            </w:r>
            <w:r w:rsidR="005A0C06">
              <w:rPr>
                <w:rFonts w:eastAsia="GothamNarrow-Light"/>
                <w:lang w:bidi="en-US"/>
              </w:rPr>
              <w:t xml:space="preserve">and other </w:t>
            </w:r>
            <w:r w:rsidR="005A0C06">
              <w:rPr>
                <w:rFonts w:eastAsia="GothamNarrow-Light"/>
                <w:lang w:bidi="en-US"/>
              </w:rPr>
              <w:lastRenderedPageBreak/>
              <w:t xml:space="preserve">arrangements </w:t>
            </w:r>
            <w:r w:rsidRPr="00CA1E2C">
              <w:rPr>
                <w:rFonts w:eastAsia="GothamNarrow-Light"/>
                <w:lang w:bidi="en-US"/>
              </w:rPr>
              <w:t>with space agencies</w:t>
            </w:r>
            <w:r w:rsidR="005A0C06">
              <w:rPr>
                <w:rFonts w:eastAsia="GothamNarrow-Light"/>
                <w:lang w:bidi="en-US"/>
              </w:rPr>
              <w:t xml:space="preserve">. </w:t>
            </w:r>
          </w:p>
          <w:p w14:paraId="1ABBBAB0" w14:textId="200DA8D8" w:rsidR="00EC15D2" w:rsidRPr="00CA1E2C" w:rsidRDefault="005A0C06"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Pr>
                <w:rFonts w:eastAsia="GothamNarrow-Light"/>
                <w:lang w:bidi="en-US"/>
              </w:rPr>
              <w:t xml:space="preserve">The Agency is also progressing arrangements within the international space industry, for example </w:t>
            </w:r>
            <w:r w:rsidR="006C059F">
              <w:rPr>
                <w:rFonts w:eastAsia="GothamNarrow-Light"/>
                <w:lang w:bidi="en-US"/>
              </w:rPr>
              <w:t xml:space="preserve">through the </w:t>
            </w:r>
            <w:r w:rsidR="00EC15D2" w:rsidRPr="00CA1E2C">
              <w:rPr>
                <w:rFonts w:eastAsia="GothamNarrow-Light"/>
                <w:lang w:bidi="en-US"/>
              </w:rPr>
              <w:t>signing of SSIs.</w:t>
            </w:r>
          </w:p>
          <w:p w14:paraId="2EF5C02A" w14:textId="43A34167" w:rsidR="00EC15D2" w:rsidRPr="00CA1E2C" w:rsidRDefault="005A0C06" w:rsidP="006125F1">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b/>
                <w:lang w:bidi="en-US"/>
              </w:rPr>
            </w:pPr>
            <w:r>
              <w:rPr>
                <w:rFonts w:eastAsia="GothamNarrow-Light"/>
                <w:lang w:bidi="en-US"/>
              </w:rPr>
              <w:t xml:space="preserve">The ISI </w:t>
            </w:r>
            <w:r w:rsidR="005A591E">
              <w:rPr>
                <w:rFonts w:eastAsia="GothamNarrow-Light"/>
                <w:lang w:bidi="en-US"/>
              </w:rPr>
              <w:t xml:space="preserve">initiative </w:t>
            </w:r>
            <w:r>
              <w:rPr>
                <w:rFonts w:eastAsia="GothamNarrow-Light"/>
                <w:lang w:bidi="en-US"/>
              </w:rPr>
              <w:t>will commence in late 2019.</w:t>
            </w:r>
            <w:r w:rsidR="00EC15D2" w:rsidRPr="00CA1E2C">
              <w:rPr>
                <w:rFonts w:eastAsia="GothamNarrow-Light"/>
                <w:lang w:bidi="en-US"/>
              </w:rPr>
              <w:t xml:space="preserve">  </w:t>
            </w:r>
          </w:p>
        </w:tc>
      </w:tr>
      <w:tr w:rsidR="00EC15D2" w:rsidRPr="00CA1E2C" w14:paraId="5DFE9AA6" w14:textId="77777777" w:rsidTr="007E7F4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5" w:type="pct"/>
          </w:tcPr>
          <w:p w14:paraId="541A5A11" w14:textId="77777777" w:rsidR="00EC15D2" w:rsidRPr="00CA1E2C" w:rsidRDefault="00EC15D2" w:rsidP="00454F9F">
            <w:pPr>
              <w:pStyle w:val="TableText"/>
            </w:pPr>
            <w:r w:rsidRPr="00CA1E2C">
              <w:lastRenderedPageBreak/>
              <w:t>6</w:t>
            </w:r>
          </w:p>
        </w:tc>
        <w:tc>
          <w:tcPr>
            <w:tcW w:w="1787" w:type="pct"/>
          </w:tcPr>
          <w:p w14:paraId="11FE1F10" w14:textId="77777777" w:rsidR="00EC15D2" w:rsidRPr="00CA1E2C" w:rsidRDefault="00EC15D2" w:rsidP="00454F9F">
            <w:pPr>
              <w:pStyle w:val="TableText"/>
              <w:jc w:val="left"/>
              <w:cnfStyle w:val="000000010000" w:firstRow="0" w:lastRow="0" w:firstColumn="0" w:lastColumn="0" w:oddVBand="0" w:evenVBand="0" w:oddHBand="0" w:evenHBand="1" w:firstRowFirstColumn="0" w:firstRowLastColumn="0" w:lastRowFirstColumn="0" w:lastRowLastColumn="0"/>
              <w:rPr>
                <w:rFonts w:eastAsia="GothamNarrow-Light"/>
                <w:lang w:bidi="en-US"/>
              </w:rPr>
            </w:pPr>
            <w:r w:rsidRPr="00CA1E2C">
              <w:rPr>
                <w:rFonts w:eastAsia="GothamNarrow-Light"/>
                <w:lang w:bidi="en-US"/>
              </w:rPr>
              <w:t>The Agency works with other Government departments across a range of portfolio areas, such as agriculture, environment, and communications, to emulate the Australian Defence Innovation Hub Investment program and the US’ SBIR and STTR programs to link both large and small business to the purchasing needs for civil Government projects and investments, including the space-related investments.</w:t>
            </w:r>
          </w:p>
        </w:tc>
        <w:tc>
          <w:tcPr>
            <w:tcW w:w="1618" w:type="pct"/>
          </w:tcPr>
          <w:p w14:paraId="5CFA56F8" w14:textId="77777777" w:rsidR="00EC15D2" w:rsidRPr="00CA1E2C" w:rsidRDefault="00EC15D2" w:rsidP="00454F9F">
            <w:pPr>
              <w:pStyle w:val="TableText"/>
              <w:jc w:val="left"/>
              <w:cnfStyle w:val="000000010000" w:firstRow="0" w:lastRow="0" w:firstColumn="0" w:lastColumn="0" w:oddVBand="0" w:evenVBand="0" w:oddHBand="0" w:evenHBand="1" w:firstRowFirstColumn="0" w:firstRowLastColumn="0" w:lastRowFirstColumn="0" w:lastRowLastColumn="0"/>
              <w:rPr>
                <w:rFonts w:eastAsia="GothamNarrow-Light"/>
                <w:lang w:bidi="en-US"/>
              </w:rPr>
            </w:pPr>
            <w:r w:rsidRPr="00CA1E2C">
              <w:rPr>
                <w:rFonts w:eastAsia="GothamNarrow-Light"/>
                <w:b/>
                <w:lang w:bidi="en-US"/>
              </w:rPr>
              <w:t xml:space="preserve">Supported in Principle. </w:t>
            </w:r>
            <w:r w:rsidRPr="00CA1E2C">
              <w:rPr>
                <w:rFonts w:eastAsia="GothamNarrow-Light"/>
                <w:lang w:bidi="en-US"/>
              </w:rPr>
              <w:t>The Australian Space Agency will examine opportunities to link the Australian space industry to the purchasing needs of government but the procurement requirements of individual portfolios will remain the priority.</w:t>
            </w:r>
          </w:p>
          <w:p w14:paraId="0AE73DBE" w14:textId="77777777" w:rsidR="00EC15D2" w:rsidRPr="00CA1E2C" w:rsidRDefault="00EC15D2" w:rsidP="00454F9F">
            <w:pPr>
              <w:pStyle w:val="TableText"/>
              <w:jc w:val="left"/>
              <w:cnfStyle w:val="000000010000" w:firstRow="0" w:lastRow="0" w:firstColumn="0" w:lastColumn="0" w:oddVBand="0" w:evenVBand="0" w:oddHBand="0" w:evenHBand="1" w:firstRowFirstColumn="0" w:firstRowLastColumn="0" w:lastRowFirstColumn="0" w:lastRowLastColumn="0"/>
              <w:rPr>
                <w:rFonts w:eastAsia="GothamNarrow-Light"/>
                <w:b/>
                <w:lang w:bidi="en-US"/>
              </w:rPr>
            </w:pPr>
            <w:r w:rsidRPr="00CA1E2C">
              <w:rPr>
                <w:rFonts w:eastAsia="GothamNarrow-Light"/>
                <w:lang w:bidi="en-US"/>
              </w:rPr>
              <w:t xml:space="preserve">The Government has introduced a number of cutting- edge programs that facilitate government engagement with innovative businesses such as the Business Research and Innovation Initiative that can lead to greater opportunities for such businesses in government procurement </w:t>
            </w:r>
            <w:r w:rsidRPr="00CA1E2C">
              <w:rPr>
                <w:rFonts w:eastAsia="GothamNarrow-Light"/>
                <w:lang w:bidi="en-US"/>
              </w:rPr>
              <w:lastRenderedPageBreak/>
              <w:t>processes and improved outcomes for government.</w:t>
            </w:r>
          </w:p>
        </w:tc>
        <w:tc>
          <w:tcPr>
            <w:tcW w:w="1360" w:type="pct"/>
          </w:tcPr>
          <w:p w14:paraId="643846BD" w14:textId="59F14066" w:rsidR="00EC15D2" w:rsidRPr="00CA1E2C" w:rsidRDefault="00E86C4E">
            <w:pPr>
              <w:pStyle w:val="TableText"/>
              <w:jc w:val="left"/>
              <w:cnfStyle w:val="000000010000" w:firstRow="0" w:lastRow="0" w:firstColumn="0" w:lastColumn="0" w:oddVBand="0" w:evenVBand="0" w:oddHBand="0" w:evenHBand="1" w:firstRowFirstColumn="0" w:firstRowLastColumn="0" w:lastRowFirstColumn="0" w:lastRowLastColumn="0"/>
              <w:rPr>
                <w:rFonts w:eastAsia="GothamNarrow-Light"/>
                <w:b/>
                <w:lang w:bidi="en-US"/>
              </w:rPr>
            </w:pPr>
            <w:r>
              <w:rPr>
                <w:rFonts w:eastAsia="GothamNarrow-Light"/>
                <w:b/>
                <w:lang w:bidi="en-US"/>
              </w:rPr>
              <w:lastRenderedPageBreak/>
              <w:t>Ongoing</w:t>
            </w:r>
            <w:r w:rsidR="00EC15D2" w:rsidRPr="00CA1E2C">
              <w:rPr>
                <w:rFonts w:eastAsia="GothamNarrow-Light"/>
                <w:b/>
                <w:lang w:bidi="en-US"/>
              </w:rPr>
              <w:t xml:space="preserve">. </w:t>
            </w:r>
            <w:r w:rsidR="0070221D" w:rsidRPr="005D7667">
              <w:rPr>
                <w:rFonts w:eastAsia="GothamNarrow-Light"/>
                <w:lang w:bidi="en-US"/>
              </w:rPr>
              <w:t xml:space="preserve">The Agency will continue to consider activities that will support the growth and transformation of the space industry. </w:t>
            </w:r>
            <w:r w:rsidR="0070221D">
              <w:rPr>
                <w:rFonts w:eastAsia="GothamNarrow-Light"/>
                <w:lang w:bidi="en-US"/>
              </w:rPr>
              <w:t>This includes working through the</w:t>
            </w:r>
            <w:r w:rsidR="00EC15D2" w:rsidRPr="00CA1E2C">
              <w:rPr>
                <w:rFonts w:eastAsia="GothamNarrow-Light"/>
                <w:lang w:bidi="en-US"/>
              </w:rPr>
              <w:t xml:space="preserve"> four governance committees</w:t>
            </w:r>
            <w:r w:rsidR="0070221D">
              <w:rPr>
                <w:rFonts w:eastAsia="GothamNarrow-Light"/>
                <w:lang w:bidi="en-US"/>
              </w:rPr>
              <w:t xml:space="preserve"> in the Charter</w:t>
            </w:r>
            <w:r w:rsidR="00EC15D2" w:rsidRPr="00CA1E2C">
              <w:rPr>
                <w:rFonts w:eastAsia="GothamNarrow-Light"/>
                <w:lang w:bidi="en-US"/>
              </w:rPr>
              <w:t xml:space="preserve">, which provide avenues to </w:t>
            </w:r>
            <w:r>
              <w:rPr>
                <w:rFonts w:eastAsia="GothamNarrow-Light"/>
                <w:lang w:bidi="en-US"/>
              </w:rPr>
              <w:t>consider the</w:t>
            </w:r>
            <w:r w:rsidR="0070221D">
              <w:rPr>
                <w:rFonts w:eastAsia="GothamNarrow-Light"/>
                <w:lang w:bidi="en-US"/>
              </w:rPr>
              <w:t>se</w:t>
            </w:r>
            <w:r w:rsidRPr="00CA1E2C">
              <w:rPr>
                <w:rFonts w:eastAsia="GothamNarrow-Light"/>
                <w:lang w:bidi="en-US"/>
              </w:rPr>
              <w:t xml:space="preserve"> </w:t>
            </w:r>
            <w:r w:rsidR="00EC15D2" w:rsidRPr="00CA1E2C">
              <w:rPr>
                <w:rFonts w:eastAsia="GothamNarrow-Light"/>
                <w:lang w:bidi="en-US"/>
              </w:rPr>
              <w:t>opportunities.</w:t>
            </w:r>
          </w:p>
        </w:tc>
      </w:tr>
      <w:tr w:rsidR="00EC15D2" w:rsidRPr="00CA1E2C" w14:paraId="71E47EEC" w14:textId="77777777" w:rsidTr="007E7F42">
        <w:tc>
          <w:tcPr>
            <w:cnfStyle w:val="001000000000" w:firstRow="0" w:lastRow="0" w:firstColumn="1" w:lastColumn="0" w:oddVBand="0" w:evenVBand="0" w:oddHBand="0" w:evenHBand="0" w:firstRowFirstColumn="0" w:firstRowLastColumn="0" w:lastRowFirstColumn="0" w:lastRowLastColumn="0"/>
            <w:tcW w:w="235" w:type="pct"/>
          </w:tcPr>
          <w:p w14:paraId="0B7FB1EB" w14:textId="77777777" w:rsidR="00EC15D2" w:rsidRPr="00CA1E2C" w:rsidRDefault="00EC15D2" w:rsidP="00454F9F">
            <w:pPr>
              <w:pStyle w:val="TableText"/>
            </w:pPr>
            <w:r w:rsidRPr="00CA1E2C">
              <w:t>7</w:t>
            </w:r>
          </w:p>
        </w:tc>
        <w:tc>
          <w:tcPr>
            <w:tcW w:w="1787" w:type="pct"/>
          </w:tcPr>
          <w:p w14:paraId="3CD92F28" w14:textId="77777777" w:rsidR="00EC15D2" w:rsidRPr="00CA1E2C"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lang w:bidi="en-US"/>
              </w:rPr>
              <w:t>In order for commercial entities and other participants to move quickly, that the Agency facilitates regulatory approval processes for small satellite launch facilities in Australia and the launch of Australian satellites overseas, and investigates opportunities to partner with appropriate international launch providers.</w:t>
            </w:r>
          </w:p>
        </w:tc>
        <w:tc>
          <w:tcPr>
            <w:tcW w:w="1618" w:type="pct"/>
          </w:tcPr>
          <w:p w14:paraId="72F2E081" w14:textId="77777777" w:rsidR="00EC15D2" w:rsidRPr="00CA1E2C"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b/>
                <w:lang w:bidi="en-US"/>
              </w:rPr>
              <w:t xml:space="preserve">Supported in principle. </w:t>
            </w:r>
            <w:r w:rsidRPr="00CA1E2C">
              <w:rPr>
                <w:rFonts w:eastAsia="GothamNarrow-Light"/>
                <w:lang w:bidi="en-US"/>
              </w:rPr>
              <w:t xml:space="preserve">The Australian Government has undertaken a review of the </w:t>
            </w:r>
            <w:r w:rsidRPr="00CA1E2C">
              <w:rPr>
                <w:rFonts w:eastAsia="GothamNarrow-Light"/>
                <w:i/>
                <w:lang w:bidi="en-US"/>
              </w:rPr>
              <w:t>Space Activities Act 1998</w:t>
            </w:r>
            <w:r w:rsidRPr="00CA1E2C">
              <w:rPr>
                <w:rFonts w:eastAsia="GothamNarrow-Light"/>
                <w:lang w:bidi="en-US"/>
              </w:rPr>
              <w:t xml:space="preserve"> and is implementing amendments to streamline the Act, including removing barriers for undertaking space activities. The revised Act is expected to be introduced into the Parliament in 2018.</w:t>
            </w:r>
          </w:p>
          <w:p w14:paraId="6A9B9FEF" w14:textId="77777777" w:rsidR="00EC15D2" w:rsidRPr="00CA1E2C"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b/>
                <w:lang w:bidi="en-US"/>
              </w:rPr>
            </w:pPr>
            <w:r w:rsidRPr="00CA1E2C">
              <w:rPr>
                <w:rFonts w:eastAsia="GothamNarrow-Light"/>
                <w:lang w:bidi="en-US"/>
              </w:rPr>
              <w:t>The Australian Government will ensure it continues to meet its commitments, including those under international instruments relating to space and arms control.</w:t>
            </w:r>
          </w:p>
        </w:tc>
        <w:tc>
          <w:tcPr>
            <w:tcW w:w="1360" w:type="pct"/>
          </w:tcPr>
          <w:p w14:paraId="6F538364" w14:textId="742659D1" w:rsidR="00EC15D2" w:rsidRPr="00CA1E2C"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b/>
                <w:lang w:bidi="en-US"/>
              </w:rPr>
            </w:pPr>
            <w:r w:rsidRPr="00CA1E2C">
              <w:rPr>
                <w:rFonts w:eastAsia="GothamNarrow-Light"/>
                <w:b/>
                <w:lang w:bidi="en-US"/>
              </w:rPr>
              <w:t xml:space="preserve">Completed. </w:t>
            </w:r>
            <w:r w:rsidRPr="00CA1E2C">
              <w:rPr>
                <w:rFonts w:eastAsia="GothamNarrow-Light"/>
                <w:lang w:bidi="en-US"/>
              </w:rPr>
              <w:t xml:space="preserve">The </w:t>
            </w:r>
            <w:r w:rsidR="005B4DB0" w:rsidRPr="006125F1">
              <w:rPr>
                <w:rFonts w:eastAsia="GothamNarrow-Light"/>
                <w:i/>
                <w:lang w:bidi="en-US"/>
              </w:rPr>
              <w:t>Space Activities Amendment (Launches and Returns) Bill 2018</w:t>
            </w:r>
            <w:r w:rsidR="005B4DB0" w:rsidRPr="00CA1E2C">
              <w:rPr>
                <w:rFonts w:eastAsia="GothamNarrow-Light"/>
                <w:lang w:bidi="en-US"/>
              </w:rPr>
              <w:t xml:space="preserve"> </w:t>
            </w:r>
            <w:r w:rsidRPr="00CA1E2C">
              <w:rPr>
                <w:rFonts w:eastAsia="GothamNarrow-Light"/>
                <w:lang w:bidi="en-US"/>
              </w:rPr>
              <w:t>received Royal Assent on 31 August 2018.</w:t>
            </w:r>
          </w:p>
        </w:tc>
      </w:tr>
      <w:tr w:rsidR="00EC15D2" w:rsidRPr="00CA1E2C" w14:paraId="3632DAD8" w14:textId="77777777" w:rsidTr="007E7F4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5" w:type="pct"/>
          </w:tcPr>
          <w:p w14:paraId="65E61DA4" w14:textId="77777777" w:rsidR="00EC15D2" w:rsidRPr="00CA1E2C" w:rsidRDefault="00EC15D2" w:rsidP="00454F9F">
            <w:pPr>
              <w:pStyle w:val="TableText"/>
            </w:pPr>
            <w:r w:rsidRPr="00CA1E2C">
              <w:t>8</w:t>
            </w:r>
          </w:p>
        </w:tc>
        <w:tc>
          <w:tcPr>
            <w:tcW w:w="1787" w:type="pct"/>
          </w:tcPr>
          <w:p w14:paraId="480C0ACC" w14:textId="77777777" w:rsidR="00EC15D2" w:rsidRPr="00CA1E2C" w:rsidRDefault="00EC15D2" w:rsidP="00454F9F">
            <w:pPr>
              <w:pStyle w:val="TableText"/>
              <w:jc w:val="left"/>
              <w:cnfStyle w:val="000000010000" w:firstRow="0" w:lastRow="0" w:firstColumn="0" w:lastColumn="0" w:oddVBand="0" w:evenVBand="0" w:oddHBand="0" w:evenHBand="1" w:firstRowFirstColumn="0" w:firstRowLastColumn="0" w:lastRowFirstColumn="0" w:lastRowLastColumn="0"/>
              <w:rPr>
                <w:rFonts w:eastAsia="GothamNarrow-Light"/>
                <w:lang w:bidi="en-US"/>
              </w:rPr>
            </w:pPr>
            <w:r w:rsidRPr="00CA1E2C">
              <w:rPr>
                <w:rFonts w:eastAsia="GothamNarrow-Light"/>
                <w:lang w:bidi="en-US"/>
              </w:rPr>
              <w:t>The Government gives priority to strategies that enable active engagement with Australian schools and the broader community on global space activities; space-related training and education to improve capability; space-inspired STEM outreach; and industry-led research collaboration to underpin the space industry.</w:t>
            </w:r>
          </w:p>
        </w:tc>
        <w:tc>
          <w:tcPr>
            <w:tcW w:w="1618" w:type="pct"/>
          </w:tcPr>
          <w:p w14:paraId="1107155F" w14:textId="77777777" w:rsidR="00EC15D2" w:rsidRPr="00CA1E2C" w:rsidRDefault="00EC15D2" w:rsidP="00454F9F">
            <w:pPr>
              <w:pStyle w:val="TableText"/>
              <w:jc w:val="left"/>
              <w:cnfStyle w:val="000000010000" w:firstRow="0" w:lastRow="0" w:firstColumn="0" w:lastColumn="0" w:oddVBand="0" w:evenVBand="0" w:oddHBand="0" w:evenHBand="1" w:firstRowFirstColumn="0" w:firstRowLastColumn="0" w:lastRowFirstColumn="0" w:lastRowLastColumn="0"/>
              <w:rPr>
                <w:rFonts w:eastAsia="GothamNarrow-Light"/>
                <w:b/>
                <w:lang w:bidi="en-US"/>
              </w:rPr>
            </w:pPr>
            <w:r w:rsidRPr="00CA1E2C">
              <w:rPr>
                <w:rFonts w:eastAsia="GothamNarrow-Light"/>
                <w:b/>
                <w:lang w:bidi="en-US"/>
              </w:rPr>
              <w:t>Supported in principle.</w:t>
            </w:r>
            <w:r w:rsidRPr="00CA1E2C">
              <w:rPr>
                <w:rFonts w:eastAsia="GothamNarrow-Light"/>
                <w:lang w:bidi="en-US"/>
              </w:rPr>
              <w:t xml:space="preserve"> The Australian Space Agency will consider appropriate strategies to address this recommendation.</w:t>
            </w:r>
          </w:p>
        </w:tc>
        <w:tc>
          <w:tcPr>
            <w:tcW w:w="1360" w:type="pct"/>
          </w:tcPr>
          <w:p w14:paraId="30AD6848" w14:textId="6D0B3FDC" w:rsidR="003A3D4B" w:rsidRDefault="00EC15D2">
            <w:pPr>
              <w:pStyle w:val="TableText"/>
              <w:jc w:val="left"/>
              <w:cnfStyle w:val="000000010000" w:firstRow="0" w:lastRow="0" w:firstColumn="0" w:lastColumn="0" w:oddVBand="0" w:evenVBand="0" w:oddHBand="0" w:evenHBand="1" w:firstRowFirstColumn="0" w:firstRowLastColumn="0" w:lastRowFirstColumn="0" w:lastRowLastColumn="0"/>
              <w:rPr>
                <w:rFonts w:eastAsia="GothamNarrow-Light"/>
                <w:lang w:bidi="en-US"/>
              </w:rPr>
            </w:pPr>
            <w:r w:rsidRPr="00CA1E2C">
              <w:rPr>
                <w:rFonts w:eastAsia="GothamNarrow-Light"/>
                <w:b/>
                <w:lang w:bidi="en-US"/>
              </w:rPr>
              <w:t xml:space="preserve">Ongoing. </w:t>
            </w:r>
            <w:r w:rsidR="003A3D4B">
              <w:rPr>
                <w:rFonts w:eastAsia="GothamNarrow-Light"/>
                <w:lang w:bidi="en-US"/>
              </w:rPr>
              <w:t>The Agency will continue to consider appropriate strategies to support STEM outreach and build the future workforce</w:t>
            </w:r>
            <w:r w:rsidR="008E42F8">
              <w:rPr>
                <w:rFonts w:eastAsia="GothamNarrow-Light"/>
                <w:lang w:bidi="en-US"/>
              </w:rPr>
              <w:t xml:space="preserve">. This will be considered in </w:t>
            </w:r>
            <w:r w:rsidR="003A3D4B">
              <w:rPr>
                <w:rFonts w:eastAsia="GothamNarrow-Light"/>
                <w:lang w:bidi="en-US"/>
              </w:rPr>
              <w:t>collaboratio</w:t>
            </w:r>
            <w:r w:rsidR="008E42F8">
              <w:rPr>
                <w:rFonts w:eastAsia="GothamNarrow-Light"/>
                <w:lang w:bidi="en-US"/>
              </w:rPr>
              <w:t xml:space="preserve">n with partners </w:t>
            </w:r>
            <w:r w:rsidR="003A3D4B">
              <w:rPr>
                <w:rFonts w:eastAsia="GothamNarrow-Light"/>
                <w:lang w:bidi="en-US"/>
              </w:rPr>
              <w:t>such as</w:t>
            </w:r>
            <w:r w:rsidR="008E42F8">
              <w:rPr>
                <w:rFonts w:eastAsia="GothamNarrow-Light"/>
                <w:lang w:bidi="en-US"/>
              </w:rPr>
              <w:t xml:space="preserve"> Questacon</w:t>
            </w:r>
            <w:r w:rsidR="003A3D4B">
              <w:rPr>
                <w:rFonts w:eastAsia="GothamNarrow-Light"/>
                <w:lang w:bidi="en-US"/>
              </w:rPr>
              <w:t xml:space="preserve">. </w:t>
            </w:r>
          </w:p>
          <w:p w14:paraId="6A5318F9" w14:textId="3B587E5A" w:rsidR="003A3D4B" w:rsidRDefault="003A3D4B">
            <w:pPr>
              <w:pStyle w:val="TableText"/>
              <w:jc w:val="left"/>
              <w:cnfStyle w:val="000000010000" w:firstRow="0" w:lastRow="0" w:firstColumn="0" w:lastColumn="0" w:oddVBand="0" w:evenVBand="0" w:oddHBand="0" w:evenHBand="1" w:firstRowFirstColumn="0" w:firstRowLastColumn="0" w:lastRowFirstColumn="0" w:lastRowLastColumn="0"/>
              <w:rPr>
                <w:rFonts w:eastAsia="GothamNarrow-Light"/>
                <w:lang w:bidi="en-US"/>
              </w:rPr>
            </w:pPr>
            <w:r>
              <w:rPr>
                <w:rFonts w:eastAsia="GothamNarrow-Light"/>
                <w:lang w:bidi="en-US"/>
              </w:rPr>
              <w:t>This activity is directly supported by t</w:t>
            </w:r>
            <w:r w:rsidR="00EC15D2" w:rsidRPr="00CA1E2C">
              <w:rPr>
                <w:rFonts w:eastAsia="GothamNarrow-Light"/>
                <w:lang w:bidi="en-US"/>
              </w:rPr>
              <w:t xml:space="preserve">he </w:t>
            </w:r>
            <w:r w:rsidR="006404DD" w:rsidRPr="005D7667">
              <w:rPr>
                <w:rFonts w:eastAsia="GothamNarrow-Light"/>
                <w:i/>
                <w:lang w:bidi="en-US"/>
              </w:rPr>
              <w:t>Australian Civil Space Strategy</w:t>
            </w:r>
            <w:r>
              <w:rPr>
                <w:rFonts w:eastAsia="GothamNarrow-Light"/>
                <w:i/>
                <w:lang w:bidi="en-US"/>
              </w:rPr>
              <w:t>,</w:t>
            </w:r>
            <w:r w:rsidR="006404DD" w:rsidRPr="00CA1E2C">
              <w:rPr>
                <w:rFonts w:eastAsia="GothamNarrow-Light"/>
                <w:lang w:bidi="en-US"/>
              </w:rPr>
              <w:t xml:space="preserve"> </w:t>
            </w:r>
            <w:r>
              <w:rPr>
                <w:rFonts w:eastAsia="GothamNarrow-Light"/>
                <w:lang w:bidi="en-US"/>
              </w:rPr>
              <w:t>which includes</w:t>
            </w:r>
            <w:r w:rsidR="00EC15D2" w:rsidRPr="00CA1E2C">
              <w:rPr>
                <w:rFonts w:eastAsia="GothamNarrow-Light"/>
                <w:lang w:bidi="en-US"/>
              </w:rPr>
              <w:t xml:space="preserve"> ‘inspire’ as a </w:t>
            </w:r>
            <w:r>
              <w:rPr>
                <w:rFonts w:eastAsia="GothamNarrow-Light"/>
                <w:lang w:bidi="en-US"/>
              </w:rPr>
              <w:t xml:space="preserve">key </w:t>
            </w:r>
            <w:r w:rsidR="00EC15D2" w:rsidRPr="00CA1E2C">
              <w:rPr>
                <w:rFonts w:eastAsia="GothamNarrow-Light"/>
                <w:lang w:bidi="en-US"/>
              </w:rPr>
              <w:t>pillar</w:t>
            </w:r>
            <w:r>
              <w:rPr>
                <w:rFonts w:eastAsia="GothamNarrow-Light"/>
                <w:lang w:bidi="en-US"/>
              </w:rPr>
              <w:t xml:space="preserve"> and </w:t>
            </w:r>
            <w:r w:rsidR="008E42F8">
              <w:rPr>
                <w:rFonts w:eastAsia="GothamNarrow-Light"/>
                <w:lang w:bidi="en-US"/>
              </w:rPr>
              <w:t>included as a key action in</w:t>
            </w:r>
            <w:r>
              <w:rPr>
                <w:rFonts w:eastAsia="GothamNarrow-Light"/>
                <w:lang w:bidi="en-US"/>
              </w:rPr>
              <w:t xml:space="preserve"> the implementation plan.</w:t>
            </w:r>
          </w:p>
          <w:p w14:paraId="57CB8825" w14:textId="386DB40B" w:rsidR="00EC15D2" w:rsidRPr="00CA1E2C" w:rsidRDefault="00EC15D2">
            <w:pPr>
              <w:pStyle w:val="TableText"/>
              <w:jc w:val="left"/>
              <w:cnfStyle w:val="000000010000" w:firstRow="0" w:lastRow="0" w:firstColumn="0" w:lastColumn="0" w:oddVBand="0" w:evenVBand="0" w:oddHBand="0" w:evenHBand="1" w:firstRowFirstColumn="0" w:firstRowLastColumn="0" w:lastRowFirstColumn="0" w:lastRowLastColumn="0"/>
              <w:rPr>
                <w:rFonts w:eastAsia="GothamNarrow-Light"/>
                <w:b/>
                <w:lang w:bidi="en-US"/>
              </w:rPr>
            </w:pPr>
            <w:r w:rsidRPr="00CA1E2C">
              <w:rPr>
                <w:rFonts w:eastAsia="GothamNarrow-Light"/>
                <w:lang w:bidi="en-US"/>
              </w:rPr>
              <w:t xml:space="preserve"> </w:t>
            </w:r>
          </w:p>
        </w:tc>
      </w:tr>
      <w:tr w:rsidR="00EC15D2" w:rsidRPr="00CA1E2C" w14:paraId="58650EAC" w14:textId="77777777" w:rsidTr="007E7F42">
        <w:tc>
          <w:tcPr>
            <w:cnfStyle w:val="001000000000" w:firstRow="0" w:lastRow="0" w:firstColumn="1" w:lastColumn="0" w:oddVBand="0" w:evenVBand="0" w:oddHBand="0" w:evenHBand="0" w:firstRowFirstColumn="0" w:firstRowLastColumn="0" w:lastRowFirstColumn="0" w:lastRowLastColumn="0"/>
            <w:tcW w:w="235" w:type="pct"/>
          </w:tcPr>
          <w:p w14:paraId="58025D6B" w14:textId="10F20B6F" w:rsidR="00EC15D2" w:rsidRPr="00CA1E2C" w:rsidRDefault="00EC15D2" w:rsidP="00454F9F">
            <w:pPr>
              <w:pStyle w:val="TableText"/>
            </w:pPr>
            <w:r w:rsidRPr="00CA1E2C">
              <w:t>9</w:t>
            </w:r>
          </w:p>
        </w:tc>
        <w:tc>
          <w:tcPr>
            <w:tcW w:w="1787" w:type="pct"/>
          </w:tcPr>
          <w:p w14:paraId="6DC6C09D" w14:textId="77777777" w:rsidR="00EC15D2" w:rsidRPr="00CA1E2C"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lang w:bidi="en-US"/>
              </w:rPr>
              <w:t xml:space="preserve">In conjunction with the Government acting on these recommendations, we call on industry to play an important role in achieving the national goals and strategies for the Australian space industry by investing in innovation to remain globally competitive; engaging with the Agency in setting strategic priorities; exploring partnerships with small- and medium-sized companies to participate in global supply chains; </w:t>
            </w:r>
            <w:r w:rsidRPr="00CA1E2C">
              <w:rPr>
                <w:rFonts w:eastAsia="GothamNarrow-Light"/>
                <w:lang w:bidi="en-US"/>
              </w:rPr>
              <w:lastRenderedPageBreak/>
              <w:t>collaborating with research institutions; and supporting competitions for development of innovative technology, applications, and skills.</w:t>
            </w:r>
          </w:p>
        </w:tc>
        <w:tc>
          <w:tcPr>
            <w:tcW w:w="1618" w:type="pct"/>
          </w:tcPr>
          <w:p w14:paraId="7CD832B4" w14:textId="77777777" w:rsidR="00EC15D2" w:rsidRPr="00CA1E2C"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b/>
                <w:lang w:bidi="en-US"/>
              </w:rPr>
            </w:pPr>
            <w:r w:rsidRPr="00CA1E2C">
              <w:rPr>
                <w:rFonts w:eastAsia="GothamNarrow-Light"/>
                <w:b/>
                <w:lang w:bidi="en-US"/>
              </w:rPr>
              <w:lastRenderedPageBreak/>
              <w:t>Supported.</w:t>
            </w:r>
            <w:r w:rsidRPr="00CA1E2C">
              <w:rPr>
                <w:rFonts w:eastAsia="GothamNarrow-Light"/>
                <w:lang w:bidi="en-US"/>
              </w:rPr>
              <w:t xml:space="preserve"> The Australian Space Agency will</w:t>
            </w:r>
            <w:r w:rsidRPr="00CA1E2C">
              <w:rPr>
                <w:rFonts w:eastAsia="GothamNarrow-Light"/>
                <w:spacing w:val="-28"/>
                <w:lang w:bidi="en-US"/>
              </w:rPr>
              <w:t xml:space="preserve"> </w:t>
            </w:r>
            <w:r w:rsidRPr="00CA1E2C">
              <w:rPr>
                <w:rFonts w:eastAsia="GothamNarrow-Light"/>
                <w:lang w:bidi="en-US"/>
              </w:rPr>
              <w:t>actively engage with industry to support industry in</w:t>
            </w:r>
            <w:r w:rsidRPr="00CA1E2C">
              <w:rPr>
                <w:rFonts w:eastAsia="GothamNarrow-Light"/>
                <w:spacing w:val="-12"/>
                <w:lang w:bidi="en-US"/>
              </w:rPr>
              <w:t xml:space="preserve"> </w:t>
            </w:r>
            <w:r w:rsidRPr="00CA1E2C">
              <w:rPr>
                <w:rFonts w:eastAsia="GothamNarrow-Light"/>
                <w:lang w:bidi="en-US"/>
              </w:rPr>
              <w:t>achieving the aspirational goal to grow Australia’s space</w:t>
            </w:r>
            <w:r w:rsidRPr="00CA1E2C">
              <w:rPr>
                <w:rFonts w:eastAsia="GothamNarrow-Light"/>
                <w:spacing w:val="-13"/>
                <w:lang w:bidi="en-US"/>
              </w:rPr>
              <w:t xml:space="preserve"> </w:t>
            </w:r>
            <w:r w:rsidRPr="00CA1E2C">
              <w:rPr>
                <w:rFonts w:eastAsia="GothamNarrow-Light"/>
                <w:lang w:bidi="en-US"/>
              </w:rPr>
              <w:t>sector.</w:t>
            </w:r>
          </w:p>
        </w:tc>
        <w:tc>
          <w:tcPr>
            <w:tcW w:w="1360" w:type="pct"/>
          </w:tcPr>
          <w:p w14:paraId="7155B836" w14:textId="1124A082" w:rsidR="00541B99" w:rsidRDefault="00EC15D2"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sidRPr="00CA1E2C">
              <w:rPr>
                <w:rFonts w:eastAsia="GothamNarrow-Light"/>
                <w:b/>
                <w:lang w:bidi="en-US"/>
              </w:rPr>
              <w:t xml:space="preserve">Ongoing. </w:t>
            </w:r>
            <w:r w:rsidRPr="00CA1E2C">
              <w:rPr>
                <w:rFonts w:eastAsia="GothamNarrow-Light"/>
                <w:lang w:bidi="en-US"/>
              </w:rPr>
              <w:t>The Agency</w:t>
            </w:r>
            <w:r w:rsidR="00541B99">
              <w:rPr>
                <w:rFonts w:eastAsia="GothamNarrow-Light"/>
                <w:lang w:bidi="en-US"/>
              </w:rPr>
              <w:t xml:space="preserve"> will continue to actively engage with industry as it considers ways to grow and transform the Australian space industry. </w:t>
            </w:r>
          </w:p>
          <w:p w14:paraId="452E4ACE" w14:textId="1E89E92C" w:rsidR="00541B99" w:rsidRDefault="00541B99"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Pr>
                <w:rFonts w:eastAsia="GothamNarrow-Light"/>
                <w:lang w:bidi="en-US"/>
              </w:rPr>
              <w:t>The Agency will also continue to consider innovative ways to support the growth of the sector, for example through progressing SSIs.</w:t>
            </w:r>
          </w:p>
          <w:p w14:paraId="5CDEA308" w14:textId="6CAE00CE" w:rsidR="006125F1" w:rsidRDefault="00541B99" w:rsidP="00454F9F">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lang w:bidi="en-US"/>
              </w:rPr>
            </w:pPr>
            <w:r>
              <w:rPr>
                <w:rFonts w:eastAsia="GothamNarrow-Light"/>
                <w:lang w:bidi="en-US"/>
              </w:rPr>
              <w:lastRenderedPageBreak/>
              <w:t xml:space="preserve">The Agency’s engagement with industry is also reinforced through the Charter, which includes the establishment of the Space Industry Leaders Forum. </w:t>
            </w:r>
            <w:r w:rsidR="00EC15D2" w:rsidRPr="00CA1E2C">
              <w:rPr>
                <w:rFonts w:eastAsia="GothamNarrow-Light"/>
                <w:lang w:bidi="en-US"/>
              </w:rPr>
              <w:t xml:space="preserve"> </w:t>
            </w:r>
          </w:p>
          <w:p w14:paraId="0D1E2458" w14:textId="6CC9E830" w:rsidR="006125F1" w:rsidRPr="00CA1E2C" w:rsidRDefault="006125F1" w:rsidP="006125F1">
            <w:pPr>
              <w:pStyle w:val="TableText"/>
              <w:jc w:val="left"/>
              <w:cnfStyle w:val="000000000000" w:firstRow="0" w:lastRow="0" w:firstColumn="0" w:lastColumn="0" w:oddVBand="0" w:evenVBand="0" w:oddHBand="0" w:evenHBand="0" w:firstRowFirstColumn="0" w:firstRowLastColumn="0" w:lastRowFirstColumn="0" w:lastRowLastColumn="0"/>
              <w:rPr>
                <w:rFonts w:eastAsia="GothamNarrow-Light"/>
                <w:b/>
                <w:lang w:bidi="en-US"/>
              </w:rPr>
            </w:pPr>
          </w:p>
        </w:tc>
      </w:tr>
      <w:tr w:rsidR="00EC15D2" w:rsidRPr="00CA1E2C" w14:paraId="25DDC68B" w14:textId="77777777" w:rsidTr="007E7F4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5" w:type="pct"/>
          </w:tcPr>
          <w:p w14:paraId="37F0B9FF" w14:textId="316E58E9" w:rsidR="00EC15D2" w:rsidRPr="00CA1E2C" w:rsidRDefault="00EC15D2" w:rsidP="00454F9F">
            <w:pPr>
              <w:pStyle w:val="TableText"/>
            </w:pPr>
            <w:r w:rsidRPr="00CA1E2C">
              <w:lastRenderedPageBreak/>
              <w:t>10</w:t>
            </w:r>
          </w:p>
        </w:tc>
        <w:tc>
          <w:tcPr>
            <w:tcW w:w="1787" w:type="pct"/>
          </w:tcPr>
          <w:p w14:paraId="291C397D" w14:textId="77777777" w:rsidR="00EC15D2" w:rsidRPr="00CA1E2C" w:rsidRDefault="00EC15D2" w:rsidP="00454F9F">
            <w:pPr>
              <w:pStyle w:val="TableText"/>
              <w:jc w:val="left"/>
              <w:cnfStyle w:val="000000010000" w:firstRow="0" w:lastRow="0" w:firstColumn="0" w:lastColumn="0" w:oddVBand="0" w:evenVBand="0" w:oddHBand="0" w:evenHBand="1" w:firstRowFirstColumn="0" w:firstRowLastColumn="0" w:lastRowFirstColumn="0" w:lastRowLastColumn="0"/>
              <w:rPr>
                <w:rFonts w:eastAsia="GothamNarrow-Light"/>
                <w:lang w:bidi="en-US"/>
              </w:rPr>
            </w:pPr>
            <w:r w:rsidRPr="00CA1E2C">
              <w:rPr>
                <w:rFonts w:eastAsia="GothamNarrow-Light"/>
                <w:lang w:bidi="en-US"/>
              </w:rPr>
              <w:t>Agency Charter (appendix 6 of report)</w:t>
            </w:r>
          </w:p>
        </w:tc>
        <w:tc>
          <w:tcPr>
            <w:tcW w:w="1618" w:type="pct"/>
          </w:tcPr>
          <w:p w14:paraId="3AD63FAF" w14:textId="77777777" w:rsidR="00EC15D2" w:rsidRPr="00CA1E2C" w:rsidRDefault="00EC15D2" w:rsidP="00454F9F">
            <w:pPr>
              <w:pStyle w:val="TableText"/>
              <w:jc w:val="left"/>
              <w:cnfStyle w:val="000000010000" w:firstRow="0" w:lastRow="0" w:firstColumn="0" w:lastColumn="0" w:oddVBand="0" w:evenVBand="0" w:oddHBand="0" w:evenHBand="1" w:firstRowFirstColumn="0" w:firstRowLastColumn="0" w:lastRowFirstColumn="0" w:lastRowLastColumn="0"/>
              <w:rPr>
                <w:rFonts w:eastAsia="GothamNarrow-Light"/>
                <w:b/>
                <w:lang w:bidi="en-US"/>
              </w:rPr>
            </w:pPr>
            <w:r w:rsidRPr="00CA1E2C">
              <w:rPr>
                <w:rFonts w:eastAsia="GothamNarrow-Light"/>
                <w:b/>
                <w:lang w:bidi="en-US"/>
              </w:rPr>
              <w:t>Noted.</w:t>
            </w:r>
            <w:r w:rsidRPr="00CA1E2C">
              <w:rPr>
                <w:rFonts w:eastAsia="GothamNarrow-Light"/>
                <w:lang w:bidi="en-US"/>
              </w:rPr>
              <w:t xml:space="preserve"> The Australian Government will draw on the advice provided in the report for the Charter of the Australian Space Agency to develop a high-level document to guide the activity of the Australian Space Agency. The Australian Space Agency is to finalise the Charter within three months of commencing operations.</w:t>
            </w:r>
          </w:p>
        </w:tc>
        <w:tc>
          <w:tcPr>
            <w:tcW w:w="1360" w:type="pct"/>
          </w:tcPr>
          <w:p w14:paraId="4855FD28" w14:textId="6B63C9C4" w:rsidR="00EC15D2" w:rsidRPr="005D7667" w:rsidRDefault="00EC15D2" w:rsidP="00454F9F">
            <w:pPr>
              <w:pStyle w:val="TableText"/>
              <w:jc w:val="left"/>
              <w:cnfStyle w:val="000000010000" w:firstRow="0" w:lastRow="0" w:firstColumn="0" w:lastColumn="0" w:oddVBand="0" w:evenVBand="0" w:oddHBand="0" w:evenHBand="1" w:firstRowFirstColumn="0" w:firstRowLastColumn="0" w:lastRowFirstColumn="0" w:lastRowLastColumn="0"/>
              <w:rPr>
                <w:rFonts w:eastAsia="GothamNarrow-Light"/>
                <w:b/>
                <w:lang w:bidi="en-US"/>
              </w:rPr>
            </w:pPr>
            <w:r w:rsidRPr="005D7667">
              <w:rPr>
                <w:rFonts w:eastAsia="GothamNarrow-Light"/>
                <w:b/>
                <w:lang w:bidi="en-US"/>
              </w:rPr>
              <w:t>Completed.</w:t>
            </w:r>
            <w:r w:rsidR="00541B99">
              <w:rPr>
                <w:rFonts w:eastAsia="GothamNarrow-Light"/>
                <w:b/>
                <w:lang w:bidi="en-US"/>
              </w:rPr>
              <w:t xml:space="preserve"> </w:t>
            </w:r>
            <w:r w:rsidR="00541B99">
              <w:rPr>
                <w:rFonts w:eastAsia="GothamNarrow-Light"/>
                <w:lang w:bidi="en-US"/>
              </w:rPr>
              <w:t>The Charter was released in October 2018.</w:t>
            </w:r>
          </w:p>
        </w:tc>
      </w:tr>
    </w:tbl>
    <w:p w14:paraId="48168243" w14:textId="100729D8" w:rsidR="00EC15D2" w:rsidRPr="00CA1E2C" w:rsidRDefault="00EC15D2" w:rsidP="00454F9F"/>
    <w:p w14:paraId="7DDD0B06" w14:textId="77777777" w:rsidR="00EC15D2" w:rsidRPr="00CA1E2C" w:rsidRDefault="00EC15D2" w:rsidP="00454F9F">
      <w:r w:rsidRPr="00CA1E2C">
        <w:br w:type="page"/>
      </w:r>
    </w:p>
    <w:p w14:paraId="3E7EA91F" w14:textId="5D3B8CC8" w:rsidR="008161FE" w:rsidRDefault="004F6E76" w:rsidP="00C84F82">
      <w:pPr>
        <w:pStyle w:val="Heading2"/>
      </w:pPr>
      <w:r w:rsidRPr="004F6E76">
        <w:lastRenderedPageBreak/>
        <w:t>Appendix 2</w:t>
      </w:r>
      <w:r w:rsidR="008161FE">
        <w:t xml:space="preserve"> - </w:t>
      </w:r>
      <w:r w:rsidR="000813E0" w:rsidRPr="00CA1E2C">
        <w:t xml:space="preserve">Australian Government departmental </w:t>
      </w:r>
      <w:r w:rsidR="000E1233">
        <w:t xml:space="preserve">and agency </w:t>
      </w:r>
      <w:r w:rsidR="000813E0" w:rsidRPr="00CA1E2C">
        <w:t>functions</w:t>
      </w:r>
    </w:p>
    <w:p w14:paraId="27A9F06D" w14:textId="5D80AA38" w:rsidR="00D25BC5" w:rsidRPr="00CA1E2C" w:rsidRDefault="00D25BC5" w:rsidP="00CF1511">
      <w:pPr>
        <w:pStyle w:val="TableHeading"/>
        <w:spacing w:before="240" w:after="120"/>
      </w:pPr>
      <w:r w:rsidRPr="00CA1E2C">
        <w:t xml:space="preserve">Attorney General’s Department </w:t>
      </w:r>
    </w:p>
    <w:p w14:paraId="3D795E9D" w14:textId="77777777" w:rsidR="00D25BC5" w:rsidRPr="00CA1E2C" w:rsidRDefault="00D25BC5" w:rsidP="00112AB7">
      <w:r w:rsidRPr="00CA1E2C">
        <w:t>The Attorney-General's Department delivers programs and policies to maintain and improve Australia's law and justice framework. AGD’s Office of International Law provides legal advice to Government on international law. This includes advice on legal issues relating to space, to ensure Australia’s engagement in the space domain is consistent with Australia’s international obligations.</w:t>
      </w:r>
    </w:p>
    <w:p w14:paraId="5D1F9F03" w14:textId="77777777" w:rsidR="00D25BC5" w:rsidRPr="00CA1E2C" w:rsidRDefault="00D25BC5" w:rsidP="00112AB7">
      <w:pPr>
        <w:rPr>
          <w:bCs/>
          <w:i/>
          <w:color w:val="000000"/>
        </w:rPr>
      </w:pPr>
      <w:r w:rsidRPr="00CA1E2C">
        <w:rPr>
          <w:bCs/>
          <w:i/>
          <w:color w:val="000000"/>
        </w:rPr>
        <w:t>Key space-related activities</w:t>
      </w:r>
    </w:p>
    <w:p w14:paraId="02EDC7D2" w14:textId="20A45E0B" w:rsidR="00D25BC5" w:rsidRPr="00CA1E2C" w:rsidRDefault="00D25BC5" w:rsidP="00112AB7">
      <w:r w:rsidRPr="00CA1E2C">
        <w:t>AGD’s Office of International Law provides legal advice to Government on key international space law treaties.</w:t>
      </w:r>
      <w:r w:rsidR="009C4D67">
        <w:t xml:space="preserve"> AGD is a member of the SCC</w:t>
      </w:r>
      <w:r w:rsidR="00946046" w:rsidRPr="00CA1E2C">
        <w:rPr>
          <w:rFonts w:cstheme="minorHAnsi"/>
          <w:bCs/>
          <w:iCs/>
          <w:color w:val="auto"/>
          <w:szCs w:val="22"/>
        </w:rPr>
        <w:t>.</w:t>
      </w:r>
    </w:p>
    <w:p w14:paraId="54EDE941" w14:textId="3FDD9C8E" w:rsidR="00D25BC5" w:rsidRDefault="00C35904" w:rsidP="00112AB7">
      <w:hyperlink r:id="rId33" w:tooltip="www.ag.gov.au" w:history="1">
        <w:r w:rsidR="00112AB7" w:rsidRPr="00012623">
          <w:rPr>
            <w:rStyle w:val="Hyperlink"/>
            <w:rFonts w:cs="Times New Roman"/>
          </w:rPr>
          <w:t>www.ag.gov.au</w:t>
        </w:r>
      </w:hyperlink>
      <w:r w:rsidR="00112AB7">
        <w:t xml:space="preserve"> </w:t>
      </w:r>
    </w:p>
    <w:p w14:paraId="623DC501" w14:textId="7A1AAA88" w:rsidR="00D25BC5" w:rsidRPr="00CA1E2C" w:rsidRDefault="00D25BC5" w:rsidP="00CF1511">
      <w:pPr>
        <w:pStyle w:val="TableHeading"/>
        <w:spacing w:before="240" w:after="120"/>
      </w:pPr>
      <w:r w:rsidRPr="00CA1E2C">
        <w:t>Australian Space Agency</w:t>
      </w:r>
    </w:p>
    <w:p w14:paraId="76BB994B" w14:textId="64B1B21E" w:rsidR="00D25BC5" w:rsidRPr="00CA1E2C" w:rsidRDefault="00D25BC5" w:rsidP="00112AB7">
      <w:pPr>
        <w:rPr>
          <w:szCs w:val="22"/>
        </w:rPr>
      </w:pPr>
      <w:r w:rsidRPr="00CA1E2C">
        <w:rPr>
          <w:szCs w:val="22"/>
        </w:rPr>
        <w:t xml:space="preserve">The Agency </w:t>
      </w:r>
      <w:r w:rsidRPr="00CA1E2C">
        <w:t>is a non-statutory, whole-of-government entity located within the Department of Industry, Innovation and Science as a separately branded function. The Agency is the front door for Australia’s international engagement on civil space and operates as the national priority setting mechanism for the civil space sector.</w:t>
      </w:r>
      <w:r w:rsidRPr="00CA1E2C">
        <w:rPr>
          <w:szCs w:val="22"/>
        </w:rPr>
        <w:t xml:space="preserve"> </w:t>
      </w:r>
    </w:p>
    <w:p w14:paraId="68CD9F0B" w14:textId="77777777" w:rsidR="00D25BC5" w:rsidRPr="00CA1E2C" w:rsidRDefault="00D25BC5" w:rsidP="00112AB7">
      <w:pPr>
        <w:rPr>
          <w:i/>
          <w:color w:val="auto"/>
          <w:szCs w:val="22"/>
        </w:rPr>
      </w:pPr>
      <w:r w:rsidRPr="00CA1E2C">
        <w:rPr>
          <w:i/>
          <w:color w:val="auto"/>
          <w:szCs w:val="22"/>
        </w:rPr>
        <w:t>Key space-related activities</w:t>
      </w:r>
    </w:p>
    <w:p w14:paraId="335B4742" w14:textId="77777777" w:rsidR="00D25BC5" w:rsidRPr="00CA1E2C" w:rsidRDefault="00D25BC5" w:rsidP="00112AB7">
      <w:pPr>
        <w:rPr>
          <w:szCs w:val="22"/>
        </w:rPr>
      </w:pPr>
      <w:r w:rsidRPr="00CA1E2C">
        <w:rPr>
          <w:szCs w:val="22"/>
        </w:rPr>
        <w:t>The Agency is responsible for: providing national policy and strategic advice on the civil space sector; coordinating Australia’s domestic civil space sector activities; supporting the growth of Australia’s space industry and the use of space across the broader economy; leading international civil space engagement; administering space activities legislation and delivering on our international obligations; and inspiring the Australian community and the next generation of space entrepreneurs.</w:t>
      </w:r>
    </w:p>
    <w:p w14:paraId="6A3B7275" w14:textId="322F1AE2" w:rsidR="00676030" w:rsidRPr="00CA1E2C" w:rsidRDefault="00676030" w:rsidP="00112AB7">
      <w:pPr>
        <w:pStyle w:val="ListBullet"/>
        <w:numPr>
          <w:ilvl w:val="0"/>
          <w:numId w:val="0"/>
        </w:numPr>
        <w:spacing w:before="0"/>
        <w:rPr>
          <w:b/>
        </w:rPr>
      </w:pPr>
      <w:r w:rsidRPr="00CA1E2C">
        <w:t xml:space="preserve">The Australian Space Agency is the Chair of the </w:t>
      </w:r>
      <w:r w:rsidR="009C4D67">
        <w:t>SCC</w:t>
      </w:r>
      <w:r w:rsidRPr="00CA1E2C">
        <w:t xml:space="preserve"> and a member of the Space Cross-Sector Interest Group</w:t>
      </w:r>
      <w:r w:rsidR="00904DCD">
        <w:t>.</w:t>
      </w:r>
    </w:p>
    <w:p w14:paraId="042535BF" w14:textId="77058E26" w:rsidR="00D25BC5" w:rsidRPr="00112AB7" w:rsidRDefault="00C35904" w:rsidP="00112AB7">
      <w:pPr>
        <w:rPr>
          <w:i/>
          <w:color w:val="auto"/>
          <w:szCs w:val="22"/>
        </w:rPr>
      </w:pPr>
      <w:hyperlink r:id="rId34" w:tooltip="www.space.gov.au" w:history="1">
        <w:r w:rsidR="00676030" w:rsidRPr="00CA1E2C">
          <w:rPr>
            <w:rStyle w:val="Hyperlink"/>
            <w:rFonts w:cs="Times New Roman"/>
            <w:szCs w:val="22"/>
          </w:rPr>
          <w:t>www.space.gov.au</w:t>
        </w:r>
      </w:hyperlink>
    </w:p>
    <w:p w14:paraId="44F2CB36" w14:textId="77777777" w:rsidR="00676030" w:rsidRPr="00CA1E2C" w:rsidRDefault="00676030" w:rsidP="00CF1511">
      <w:pPr>
        <w:pStyle w:val="TableHeading"/>
        <w:spacing w:before="240" w:after="120"/>
      </w:pPr>
      <w:r w:rsidRPr="00CA1E2C">
        <w:t xml:space="preserve">Australian Communications and Media Authority </w:t>
      </w:r>
    </w:p>
    <w:p w14:paraId="316AB28E" w14:textId="399AF2A4" w:rsidR="00676030" w:rsidRPr="00112AB7" w:rsidRDefault="00676030" w:rsidP="00112AB7">
      <w:pPr>
        <w:rPr>
          <w:szCs w:val="22"/>
        </w:rPr>
      </w:pPr>
      <w:r w:rsidRPr="00112AB7">
        <w:rPr>
          <w:szCs w:val="22"/>
        </w:rPr>
        <w:t xml:space="preserve">The Australian Communications and Media Authority (ACMA) is a statutory authority within the federal government portfolio </w:t>
      </w:r>
      <w:r w:rsidR="00987020">
        <w:rPr>
          <w:szCs w:val="22"/>
        </w:rPr>
        <w:t>of Communications and the Arts.</w:t>
      </w:r>
      <w:r w:rsidRPr="00112AB7">
        <w:rPr>
          <w:szCs w:val="22"/>
        </w:rPr>
        <w:t xml:space="preserve"> The ACMA is Australia's regulator for broadcasting, the internet, </w:t>
      </w:r>
      <w:proofErr w:type="spellStart"/>
      <w:r w:rsidRPr="00112AB7">
        <w:rPr>
          <w:szCs w:val="22"/>
        </w:rPr>
        <w:t>radiocommunications</w:t>
      </w:r>
      <w:proofErr w:type="spellEnd"/>
      <w:r w:rsidRPr="00112AB7">
        <w:rPr>
          <w:szCs w:val="22"/>
        </w:rPr>
        <w:t xml:space="preserve"> and telecommunications. The ACMA’s regulatory functions and responsibilities are set out in the </w:t>
      </w:r>
      <w:r w:rsidRPr="00112AB7">
        <w:rPr>
          <w:i/>
          <w:szCs w:val="22"/>
        </w:rPr>
        <w:t>Australian Communications and Media Authority Act 2005</w:t>
      </w:r>
      <w:r w:rsidRPr="00112AB7">
        <w:rPr>
          <w:szCs w:val="22"/>
        </w:rPr>
        <w:t xml:space="preserve">.  </w:t>
      </w:r>
    </w:p>
    <w:p w14:paraId="6550C68D" w14:textId="77777777" w:rsidR="00676030" w:rsidRPr="00112AB7" w:rsidRDefault="00676030" w:rsidP="00112AB7">
      <w:pPr>
        <w:rPr>
          <w:szCs w:val="22"/>
        </w:rPr>
      </w:pPr>
      <w:r w:rsidRPr="00112AB7">
        <w:rPr>
          <w:szCs w:val="22"/>
        </w:rPr>
        <w:t xml:space="preserve">The ACMA manages the radiofrequency spectrum in Australia in accordance with the </w:t>
      </w:r>
      <w:proofErr w:type="spellStart"/>
      <w:r w:rsidRPr="00112AB7">
        <w:rPr>
          <w:i/>
          <w:szCs w:val="22"/>
        </w:rPr>
        <w:t>Radiocommunications</w:t>
      </w:r>
      <w:proofErr w:type="spellEnd"/>
      <w:r w:rsidRPr="00112AB7">
        <w:rPr>
          <w:i/>
          <w:szCs w:val="22"/>
        </w:rPr>
        <w:t xml:space="preserve"> Act 1992</w:t>
      </w:r>
      <w:r w:rsidRPr="00112AB7">
        <w:rPr>
          <w:szCs w:val="22"/>
        </w:rPr>
        <w:t xml:space="preserve"> (the </w:t>
      </w:r>
      <w:proofErr w:type="spellStart"/>
      <w:r w:rsidRPr="00112AB7">
        <w:rPr>
          <w:szCs w:val="22"/>
        </w:rPr>
        <w:t>Radiocommunications</w:t>
      </w:r>
      <w:proofErr w:type="spellEnd"/>
      <w:r w:rsidRPr="00112AB7">
        <w:rPr>
          <w:szCs w:val="22"/>
        </w:rPr>
        <w:t xml:space="preserve"> Act), which empowers it to regulate </w:t>
      </w:r>
      <w:proofErr w:type="spellStart"/>
      <w:r w:rsidRPr="00112AB7">
        <w:rPr>
          <w:szCs w:val="22"/>
        </w:rPr>
        <w:t>radiocommunications</w:t>
      </w:r>
      <w:proofErr w:type="spellEnd"/>
      <w:r w:rsidRPr="00112AB7">
        <w:rPr>
          <w:szCs w:val="22"/>
        </w:rPr>
        <w:t xml:space="preserve"> in Australia by establishing a planning framework and licensing arrangements, as well as undertaking compliance and enforcement activities.</w:t>
      </w:r>
    </w:p>
    <w:p w14:paraId="66DE0EAC" w14:textId="77777777" w:rsidR="00676030" w:rsidRPr="00112AB7" w:rsidRDefault="00676030" w:rsidP="00112AB7">
      <w:pPr>
        <w:rPr>
          <w:i/>
          <w:color w:val="auto"/>
          <w:szCs w:val="22"/>
        </w:rPr>
      </w:pPr>
      <w:r w:rsidRPr="00112AB7">
        <w:rPr>
          <w:i/>
          <w:color w:val="auto"/>
          <w:szCs w:val="22"/>
        </w:rPr>
        <w:t>Key space-related activities</w:t>
      </w:r>
    </w:p>
    <w:p w14:paraId="0C17FB0C" w14:textId="79D1FEA3" w:rsidR="00A13828" w:rsidRPr="00946046" w:rsidRDefault="00676030" w:rsidP="00112AB7">
      <w:pPr>
        <w:rPr>
          <w:szCs w:val="22"/>
        </w:rPr>
      </w:pPr>
      <w:r w:rsidRPr="00112AB7">
        <w:rPr>
          <w:szCs w:val="22"/>
        </w:rPr>
        <w:t>The ACMA manages access to the radiofrequency spectrum through the development and maintenance of a regulatory framework for satellite services in Australia, including licensing. It also represents Australia's space spectrum management interests internationally, including the filing and coordination of Australian satellite systems with the ITU.</w:t>
      </w:r>
      <w:r w:rsidR="00946046">
        <w:rPr>
          <w:szCs w:val="22"/>
        </w:rPr>
        <w:t xml:space="preserve"> </w:t>
      </w:r>
      <w:r w:rsidR="00B6761E" w:rsidRPr="00112AB7">
        <w:rPr>
          <w:szCs w:val="22"/>
        </w:rPr>
        <w:t xml:space="preserve">The </w:t>
      </w:r>
      <w:r w:rsidR="00A13828" w:rsidRPr="00112AB7">
        <w:rPr>
          <w:szCs w:val="22"/>
        </w:rPr>
        <w:t xml:space="preserve">ACMA is a member of the </w:t>
      </w:r>
      <w:r w:rsidR="009C4D67">
        <w:rPr>
          <w:szCs w:val="22"/>
        </w:rPr>
        <w:t>SCC</w:t>
      </w:r>
      <w:r w:rsidR="00A13828" w:rsidRPr="00112AB7">
        <w:rPr>
          <w:szCs w:val="22"/>
        </w:rPr>
        <w:t xml:space="preserve"> and various working groups</w:t>
      </w:r>
      <w:r w:rsidR="0039306A">
        <w:rPr>
          <w:szCs w:val="22"/>
        </w:rPr>
        <w:t>.</w:t>
      </w:r>
    </w:p>
    <w:p w14:paraId="67302959" w14:textId="02463E2B" w:rsidR="00676030" w:rsidRDefault="00C35904" w:rsidP="00112AB7">
      <w:pPr>
        <w:rPr>
          <w:rStyle w:val="Hyperlink"/>
          <w:rFonts w:cs="Times New Roman"/>
          <w:szCs w:val="22"/>
        </w:rPr>
      </w:pPr>
      <w:hyperlink r:id="rId35" w:tooltip="www.acma.gov.au" w:history="1">
        <w:r w:rsidR="00676030" w:rsidRPr="00112AB7">
          <w:rPr>
            <w:rStyle w:val="Hyperlink"/>
            <w:rFonts w:cs="Times New Roman"/>
            <w:szCs w:val="22"/>
          </w:rPr>
          <w:t>www.acma.gov.au</w:t>
        </w:r>
      </w:hyperlink>
    </w:p>
    <w:p w14:paraId="4C5DE6B4" w14:textId="77777777" w:rsidR="006361D5" w:rsidRDefault="006361D5">
      <w:pPr>
        <w:spacing w:after="0"/>
        <w:rPr>
          <w:rFonts w:asciiTheme="majorHAnsi" w:eastAsia="Times New Roman" w:hAnsiTheme="majorHAnsi"/>
          <w:b/>
          <w:color w:val="004976" w:themeColor="background2"/>
          <w:spacing w:val="-3"/>
          <w:szCs w:val="19"/>
        </w:rPr>
      </w:pPr>
      <w:r>
        <w:br w:type="page"/>
      </w:r>
    </w:p>
    <w:p w14:paraId="724EC067" w14:textId="4B1DAC0A" w:rsidR="00A206CC" w:rsidRPr="00CA1E2C" w:rsidRDefault="00A206CC" w:rsidP="00CF1511">
      <w:pPr>
        <w:pStyle w:val="TableHeading"/>
        <w:spacing w:before="240" w:after="120"/>
      </w:pPr>
      <w:r w:rsidRPr="00CA1E2C">
        <w:lastRenderedPageBreak/>
        <w:t>Australian Trade and Investment Commission</w:t>
      </w:r>
      <w:r w:rsidRPr="00CA1E2C">
        <w:rPr>
          <w:szCs w:val="22"/>
        </w:rPr>
        <w:t xml:space="preserve"> </w:t>
      </w:r>
      <w:r w:rsidR="00CF1511">
        <w:rPr>
          <w:szCs w:val="22"/>
        </w:rPr>
        <w:t>(Austrade)</w:t>
      </w:r>
    </w:p>
    <w:p w14:paraId="63715645" w14:textId="1BDFF2C4" w:rsidR="00A206CC" w:rsidRPr="00CA1E2C" w:rsidRDefault="00A206CC" w:rsidP="00112AB7">
      <w:r w:rsidRPr="00CA1E2C">
        <w:rPr>
          <w:szCs w:val="22"/>
        </w:rPr>
        <w:t xml:space="preserve">The Australian Trade and Investment Commission (Austrade) contributes to Australia’s economic prosperity by helping Australian businesses, education institutions, tourism operators, governments and citizens as they </w:t>
      </w:r>
      <w:r w:rsidRPr="00CA1E2C">
        <w:t xml:space="preserve">develop international markets and promote international education, win productive foreign direct investment, strengthen Australia’s tourism industry and seek consular and passport services. </w:t>
      </w:r>
    </w:p>
    <w:p w14:paraId="26AEF4D5" w14:textId="7ECCE6FE" w:rsidR="00A206CC" w:rsidRPr="00CA1E2C" w:rsidRDefault="00A206CC" w:rsidP="00112AB7">
      <w:r w:rsidRPr="00CA1E2C">
        <w:rPr>
          <w:szCs w:val="22"/>
        </w:rPr>
        <w:t xml:space="preserve">Austrade leverages the deep commercial knowledge and relationships of its international and domestic networks, and the badge of government, to deliver value for our clients and investors. Austrade </w:t>
      </w:r>
      <w:r w:rsidRPr="00CA1E2C">
        <w:t xml:space="preserve">connects export-ready Australian businesses to overseas opportunities and works with them to achieve commercial outcomes. It wins productive foreign direct investment and promotes Australian capability internationally, while working with priority industry sectors to drive sustained long-term growth of Australian exports. Austrade reduces the time, cost and risk for clients and provides authoritative commercial insights and information to help clients to make informed business decisions. It informs and influences policy to support positive trade and investment outcomes and provides financial assistance for exporters through programs like the Export Market Development Grants scheme and the </w:t>
      </w:r>
      <w:proofErr w:type="spellStart"/>
      <w:r w:rsidRPr="00CA1E2C">
        <w:t>TradeStart</w:t>
      </w:r>
      <w:proofErr w:type="spellEnd"/>
      <w:r w:rsidRPr="00CA1E2C">
        <w:t xml:space="preserve"> network. Austrade contributes to economic diplomacy and protect the welfare of Australians abroad through timely, responsive consular and passport services in specific locations.</w:t>
      </w:r>
    </w:p>
    <w:p w14:paraId="783F22ED" w14:textId="77777777" w:rsidR="00A206CC" w:rsidRPr="00CA1E2C" w:rsidRDefault="00A206CC" w:rsidP="00112AB7">
      <w:pPr>
        <w:rPr>
          <w:i/>
          <w:color w:val="000000"/>
        </w:rPr>
      </w:pPr>
      <w:r w:rsidRPr="00CA1E2C">
        <w:rPr>
          <w:i/>
          <w:color w:val="000000"/>
        </w:rPr>
        <w:t>Key space-related activities</w:t>
      </w:r>
    </w:p>
    <w:p w14:paraId="4BB11DD1" w14:textId="379192E0" w:rsidR="00B6761E" w:rsidRPr="00946046" w:rsidRDefault="00A206CC" w:rsidP="00112AB7">
      <w:r w:rsidRPr="00CA1E2C">
        <w:t>Austrade’s Advanced Manufacturing, Defence and Space Team manage Austrade’s space initiatives and engagement with national and internat</w:t>
      </w:r>
      <w:r w:rsidR="00946046">
        <w:t xml:space="preserve">ional clients and stakeholders. </w:t>
      </w:r>
      <w:r w:rsidR="00B6761E" w:rsidRPr="00CA1E2C">
        <w:rPr>
          <w:color w:val="000000" w:themeColor="text1"/>
        </w:rPr>
        <w:t xml:space="preserve">Austrade is a member of the </w:t>
      </w:r>
      <w:r w:rsidR="009C4D67">
        <w:rPr>
          <w:color w:val="000000" w:themeColor="text1"/>
        </w:rPr>
        <w:t>SCC</w:t>
      </w:r>
      <w:r w:rsidR="001A24AE">
        <w:rPr>
          <w:color w:val="000000" w:themeColor="text1"/>
        </w:rPr>
        <w:t>.</w:t>
      </w:r>
    </w:p>
    <w:p w14:paraId="49615FC2" w14:textId="23FB286C" w:rsidR="00A206CC" w:rsidRDefault="00C35904" w:rsidP="00112AB7">
      <w:pPr>
        <w:rPr>
          <w:szCs w:val="22"/>
        </w:rPr>
      </w:pPr>
      <w:hyperlink r:id="rId36" w:tooltip="http://www.austrade.gov.au/" w:history="1">
        <w:r w:rsidR="00112AB7" w:rsidRPr="00012623">
          <w:rPr>
            <w:rStyle w:val="Hyperlink"/>
            <w:rFonts w:cs="Times New Roman"/>
            <w:szCs w:val="22"/>
          </w:rPr>
          <w:t>www.austrade.gov.au</w:t>
        </w:r>
      </w:hyperlink>
    </w:p>
    <w:p w14:paraId="0D42C6B8" w14:textId="4768B1E4" w:rsidR="00D25BC5" w:rsidRPr="00CA1E2C" w:rsidRDefault="00D25BC5" w:rsidP="00CF1511">
      <w:pPr>
        <w:pStyle w:val="TableHeading"/>
        <w:spacing w:before="240" w:after="120"/>
      </w:pPr>
      <w:r w:rsidRPr="00CA1E2C">
        <w:t>Bureau of Meteorology</w:t>
      </w:r>
    </w:p>
    <w:p w14:paraId="55CE47A6" w14:textId="22C49E31" w:rsidR="00D25BC5" w:rsidRPr="00C10027" w:rsidRDefault="00D25BC5" w:rsidP="00C10027">
      <w:pPr>
        <w:rPr>
          <w:szCs w:val="22"/>
        </w:rPr>
      </w:pPr>
      <w:r w:rsidRPr="00C10027">
        <w:rPr>
          <w:szCs w:val="22"/>
        </w:rPr>
        <w:t xml:space="preserve">The Bureau is Australia’s national weather, climate and water agency. It is responsible for the acquisition, analysis and archiving of meteorological, oceanographic, hydrological and space weather data - much of which is EOS data – and for delivering associated services, under the </w:t>
      </w:r>
      <w:r w:rsidRPr="00C10027">
        <w:rPr>
          <w:i/>
          <w:szCs w:val="22"/>
        </w:rPr>
        <w:t>Meteorology Act 1955</w:t>
      </w:r>
      <w:r w:rsidRPr="00C10027">
        <w:rPr>
          <w:szCs w:val="22"/>
        </w:rPr>
        <w:t xml:space="preserve"> and the </w:t>
      </w:r>
      <w:r w:rsidRPr="00C10027">
        <w:rPr>
          <w:i/>
          <w:szCs w:val="22"/>
        </w:rPr>
        <w:t>Water Act 2007</w:t>
      </w:r>
      <w:r w:rsidR="002177F7" w:rsidRPr="00C10027">
        <w:rPr>
          <w:i/>
          <w:szCs w:val="22"/>
        </w:rPr>
        <w:t xml:space="preserve">. </w:t>
      </w:r>
      <w:r w:rsidR="002177F7" w:rsidRPr="00C10027">
        <w:rPr>
          <w:szCs w:val="22"/>
        </w:rPr>
        <w:t xml:space="preserve">The Bureau is also responsible for </w:t>
      </w:r>
      <w:r w:rsidRPr="00C10027">
        <w:rPr>
          <w:szCs w:val="22"/>
        </w:rPr>
        <w:t xml:space="preserve">sustaining the intergovernmental relationships, including with the World Meteorological Organization (WMO), essential to the global exchange of these data. </w:t>
      </w:r>
    </w:p>
    <w:p w14:paraId="3780E30C" w14:textId="77777777" w:rsidR="00D25BC5" w:rsidRPr="00C10027" w:rsidRDefault="00D25BC5" w:rsidP="00C10027">
      <w:pPr>
        <w:rPr>
          <w:i/>
          <w:color w:val="000000"/>
          <w:szCs w:val="22"/>
        </w:rPr>
      </w:pPr>
      <w:r w:rsidRPr="00C10027">
        <w:rPr>
          <w:i/>
          <w:color w:val="000000"/>
          <w:szCs w:val="22"/>
        </w:rPr>
        <w:t>Key space-related activities</w:t>
      </w:r>
    </w:p>
    <w:p w14:paraId="385DD0DE" w14:textId="667975B2" w:rsidR="00B6761E" w:rsidRPr="00C10027" w:rsidRDefault="00D25BC5" w:rsidP="00C10027">
      <w:pPr>
        <w:rPr>
          <w:szCs w:val="22"/>
        </w:rPr>
      </w:pPr>
      <w:r w:rsidRPr="00C10027">
        <w:rPr>
          <w:szCs w:val="22"/>
        </w:rPr>
        <w:t>The Bureau plans, builds and operates satellite reception infrastructure and maintains significant technical, engineering and science capability to support this infrastructure. The Bureau delivers satellite-derived products and services to the Australian community and supports leading-edge forecasting and climate research. The Bureau also provides space weather services primarily for defence and communications activities and is a recognis</w:t>
      </w:r>
      <w:r w:rsidR="00946046">
        <w:rPr>
          <w:szCs w:val="22"/>
        </w:rPr>
        <w:t xml:space="preserve">ed global leader in this field. </w:t>
      </w:r>
      <w:r w:rsidR="00C10027">
        <w:rPr>
          <w:szCs w:val="22"/>
        </w:rPr>
        <w:t>The</w:t>
      </w:r>
      <w:r w:rsidR="00B6761E" w:rsidRPr="00C10027">
        <w:rPr>
          <w:szCs w:val="22"/>
        </w:rPr>
        <w:t xml:space="preserve"> Bureau is a member of the </w:t>
      </w:r>
      <w:r w:rsidR="009C4D67">
        <w:rPr>
          <w:szCs w:val="22"/>
        </w:rPr>
        <w:t>SCC</w:t>
      </w:r>
      <w:r w:rsidR="001A24AE">
        <w:rPr>
          <w:szCs w:val="22"/>
        </w:rPr>
        <w:t>.</w:t>
      </w:r>
    </w:p>
    <w:p w14:paraId="28FC6C1B" w14:textId="7E1B18B8" w:rsidR="00D25BC5" w:rsidRDefault="00C35904" w:rsidP="00C10027">
      <w:pPr>
        <w:rPr>
          <w:szCs w:val="22"/>
        </w:rPr>
      </w:pPr>
      <w:hyperlink r:id="rId37" w:tooltip="www.bom.gov.au" w:history="1">
        <w:r w:rsidR="00C10027" w:rsidRPr="00012623">
          <w:rPr>
            <w:rStyle w:val="Hyperlink"/>
            <w:rFonts w:cs="Times New Roman"/>
            <w:szCs w:val="22"/>
          </w:rPr>
          <w:t>www.bom.gov.au</w:t>
        </w:r>
      </w:hyperlink>
      <w:r w:rsidR="00C10027">
        <w:rPr>
          <w:szCs w:val="22"/>
        </w:rPr>
        <w:t xml:space="preserve"> </w:t>
      </w:r>
    </w:p>
    <w:p w14:paraId="6568A372" w14:textId="77777777" w:rsidR="00D25BC5" w:rsidRPr="00CA1E2C" w:rsidRDefault="00D25BC5" w:rsidP="00CF1511">
      <w:pPr>
        <w:pStyle w:val="TableHeading"/>
        <w:spacing w:before="240" w:after="120"/>
      </w:pPr>
      <w:r w:rsidRPr="00CA1E2C">
        <w:t xml:space="preserve">Commonwealth Scientific and Industrial Research Organisation (CSIRO) </w:t>
      </w:r>
    </w:p>
    <w:p w14:paraId="22694618" w14:textId="407A51DA" w:rsidR="00C4687D" w:rsidRPr="00CA1E2C" w:rsidRDefault="00D25BC5" w:rsidP="00C10027">
      <w:r w:rsidRPr="00CA1E2C">
        <w:t>CSIRO is an independent statutory authority constituted and operating under the provisions of the</w:t>
      </w:r>
      <w:r w:rsidR="00C4687D" w:rsidRPr="00CA1E2C">
        <w:t xml:space="preserve"> </w:t>
      </w:r>
      <w:r w:rsidRPr="00CA1E2C">
        <w:rPr>
          <w:i/>
          <w:iCs/>
        </w:rPr>
        <w:t>Science and Industry Research Act 1949</w:t>
      </w:r>
      <w:r w:rsidRPr="00CA1E2C">
        <w:t>, which designates functions to: conduct scientific research to benefit Australian industry and the community, and to contribute to the achievement of national objectives; encourage and facilitate the application of the results of scientific research; manage and make available national facilities for scientific research; contribute to scientific collaboration between Australia and other countries; contribute to training the next generation of Australian researchers.</w:t>
      </w:r>
    </w:p>
    <w:p w14:paraId="64E0FCAD" w14:textId="77777777" w:rsidR="00D25BC5" w:rsidRPr="00CA1E2C" w:rsidRDefault="00D25BC5" w:rsidP="00C10027">
      <w:r w:rsidRPr="00CA1E2C">
        <w:t xml:space="preserve">Under the </w:t>
      </w:r>
      <w:r w:rsidRPr="00CA1E2C">
        <w:rPr>
          <w:i/>
        </w:rPr>
        <w:t>Science and Industry Research Act 1949</w:t>
      </w:r>
      <w:r w:rsidRPr="00CA1E2C">
        <w:t>, CSIRO is granted powers to undertake a broad range of activities consistent with performing the above functions. These include: arranging for scientific research to be undertaken on behalf of the organisation; forming partnerships, joint ventures and spin-off companies; and deriving income from intellectual property through licensing and royalty arrangements.</w:t>
      </w:r>
    </w:p>
    <w:p w14:paraId="264A53BD" w14:textId="6F27BA17" w:rsidR="00D25BC5" w:rsidRPr="00CA1E2C" w:rsidRDefault="000E1233" w:rsidP="00C10027">
      <w:r>
        <w:lastRenderedPageBreak/>
        <w:t xml:space="preserve">More than 300 CSIRO </w:t>
      </w:r>
      <w:r w:rsidR="00D25BC5" w:rsidRPr="00CA1E2C">
        <w:t xml:space="preserve">staff </w:t>
      </w:r>
      <w:r>
        <w:t xml:space="preserve">are </w:t>
      </w:r>
      <w:r w:rsidR="00D25BC5" w:rsidRPr="00CA1E2C">
        <w:t>involved in space activities. CSIRO has developed extensive capability in space-related areas that include Earth observation, communications, advanced aerospace technologies, spacecraft tracking and radio astronomy.</w:t>
      </w:r>
    </w:p>
    <w:p w14:paraId="0C7B39CD" w14:textId="77777777" w:rsidR="00D25BC5" w:rsidRPr="00CA1E2C" w:rsidRDefault="00D25BC5" w:rsidP="00C10027">
      <w:pPr>
        <w:rPr>
          <w:bCs/>
          <w:i/>
          <w:color w:val="000000"/>
        </w:rPr>
      </w:pPr>
      <w:r w:rsidRPr="00CA1E2C">
        <w:rPr>
          <w:bCs/>
          <w:i/>
          <w:color w:val="000000"/>
        </w:rPr>
        <w:t>Key space-related activities:</w:t>
      </w:r>
    </w:p>
    <w:p w14:paraId="6E653387" w14:textId="6D4EFC96" w:rsidR="00D25BC5" w:rsidRPr="00CA1E2C" w:rsidRDefault="00D25BC5" w:rsidP="00C10027">
      <w:r w:rsidRPr="00CA1E2C">
        <w:t>CSIRO currently operates the Australia Telescope National Facility</w:t>
      </w:r>
      <w:r w:rsidR="00C4687D" w:rsidRPr="00CA1E2C">
        <w:t xml:space="preserve">, which manages three of Australia’s radio telescopes. CSIRO also operates </w:t>
      </w:r>
      <w:r w:rsidRPr="00CA1E2C">
        <w:t>the Canberra Deep Space Communication Complex</w:t>
      </w:r>
      <w:r w:rsidR="00F834F9" w:rsidRPr="00CA1E2C">
        <w:t xml:space="preserve"> </w:t>
      </w:r>
      <w:r w:rsidR="00D53067">
        <w:t xml:space="preserve">on behalf of NASA </w:t>
      </w:r>
      <w:r w:rsidR="00F834F9" w:rsidRPr="00CA1E2C">
        <w:t xml:space="preserve">and </w:t>
      </w:r>
      <w:r w:rsidR="00C4687D" w:rsidRPr="00CA1E2C">
        <w:t xml:space="preserve">the New Norcia </w:t>
      </w:r>
      <w:r w:rsidR="000E1233">
        <w:t xml:space="preserve">tracking </w:t>
      </w:r>
      <w:r w:rsidR="00C4687D" w:rsidRPr="00CA1E2C">
        <w:t>station for ESA</w:t>
      </w:r>
      <w:r w:rsidR="00F834F9" w:rsidRPr="00CA1E2C">
        <w:t>.</w:t>
      </w:r>
    </w:p>
    <w:p w14:paraId="3B76BBE1" w14:textId="77777777" w:rsidR="00D25BC5" w:rsidRPr="00CA1E2C" w:rsidRDefault="00D25BC5" w:rsidP="00C10027">
      <w:r w:rsidRPr="00CA1E2C">
        <w:t>CSIRO carries out space-related activities in the following areas:</w:t>
      </w:r>
    </w:p>
    <w:p w14:paraId="1233D219" w14:textId="77777777" w:rsidR="000E1233" w:rsidRPr="000E1233" w:rsidRDefault="000E1233" w:rsidP="000E1233">
      <w:pPr>
        <w:pStyle w:val="ListBullet"/>
      </w:pPr>
      <w:r w:rsidRPr="000E1233">
        <w:t>Earth observations from space (EOS); this includes: joint responsibility for national EOS capabilities with the Bureau and GA, development of advanced EOS processing methods, applications and services, partnership in the NovaSAR-1 satellite, EOS satellite data calibration/validation, fostering collaborative international scientific relationships, and providing national representation on international organisations such as CEOS.</w:t>
      </w:r>
    </w:p>
    <w:p w14:paraId="3E212A60" w14:textId="77777777" w:rsidR="00D25BC5" w:rsidRPr="00CA1E2C" w:rsidRDefault="00D25BC5" w:rsidP="00C10027">
      <w:pPr>
        <w:pStyle w:val="ListBullet"/>
        <w:spacing w:before="0"/>
      </w:pPr>
      <w:r w:rsidRPr="00CA1E2C">
        <w:t>Radio astronomy, including operation of the Australian Square Kilometre Array Pathfinder telescope, the Parkes radio telescope and the Australia Telescope Compact Array, and development of associated big data management infrastructure and expertise.</w:t>
      </w:r>
    </w:p>
    <w:p w14:paraId="19637161" w14:textId="2DEFB2A9" w:rsidR="00D25BC5" w:rsidRPr="00CA1E2C" w:rsidRDefault="00D25BC5" w:rsidP="00C10027">
      <w:pPr>
        <w:pStyle w:val="ListBullet"/>
        <w:spacing w:before="0"/>
      </w:pPr>
      <w:r w:rsidRPr="00CA1E2C">
        <w:t xml:space="preserve">Spacecraft tracking and communications, including ‘Follow the Sun’ operation of the Deep Space Network </w:t>
      </w:r>
      <w:r w:rsidR="000E1233">
        <w:t xml:space="preserve">through CDSCC </w:t>
      </w:r>
      <w:r w:rsidRPr="00CA1E2C">
        <w:t>and management of key treaty-level agreements with NASA.</w:t>
      </w:r>
    </w:p>
    <w:p w14:paraId="725A6405" w14:textId="77777777" w:rsidR="000E1233" w:rsidRDefault="000E1233" w:rsidP="000E1233">
      <w:pPr>
        <w:pStyle w:val="ListBullet"/>
      </w:pPr>
      <w:r>
        <w:t>Development of new space technologies and capabilities, through the CSIRO Space Research Program, CSIRO Space Technology Future Science Platform and R&amp;D activities across the organisation.</w:t>
      </w:r>
    </w:p>
    <w:p w14:paraId="10BC01D0" w14:textId="77777777" w:rsidR="000E1233" w:rsidRDefault="000E1233" w:rsidP="000E1233">
      <w:pPr>
        <w:pStyle w:val="ListBullet"/>
      </w:pPr>
      <w:r>
        <w:t>These activities are coordinated primarily through CSIRO Astronomy and Space Science (CASS).</w:t>
      </w:r>
    </w:p>
    <w:p w14:paraId="49E2E915" w14:textId="77777777" w:rsidR="00D25BC5" w:rsidRPr="00CA1E2C" w:rsidRDefault="00D25BC5" w:rsidP="00C10027">
      <w:pPr>
        <w:rPr>
          <w:color w:val="000000" w:themeColor="text1"/>
        </w:rPr>
      </w:pPr>
      <w:r w:rsidRPr="00CA1E2C">
        <w:rPr>
          <w:color w:val="000000" w:themeColor="text1"/>
        </w:rPr>
        <w:t>CSIRO also continues to grow its space-related capabilities in other areas, ranging from materials and manufacturing to cybersecurity, satellite sensor systems and radar technologies for asteroid tracking.</w:t>
      </w:r>
    </w:p>
    <w:p w14:paraId="2FCE2314" w14:textId="48844C6A" w:rsidR="00D25BC5" w:rsidRPr="00CA1E2C" w:rsidRDefault="00C35904" w:rsidP="00C10027">
      <w:pPr>
        <w:rPr>
          <w:color w:val="000000" w:themeColor="text1"/>
        </w:rPr>
      </w:pPr>
      <w:hyperlink r:id="rId38" w:tooltip="www.csiro.au" w:history="1">
        <w:r w:rsidR="00DE5155" w:rsidRPr="00CA1E2C">
          <w:rPr>
            <w:rStyle w:val="Hyperlink"/>
            <w:rFonts w:cs="Times New Roman"/>
          </w:rPr>
          <w:t>www.csiro.au</w:t>
        </w:r>
      </w:hyperlink>
    </w:p>
    <w:p w14:paraId="723DB0C0" w14:textId="77777777" w:rsidR="00DE5155" w:rsidRPr="00CA1E2C" w:rsidRDefault="00DE5155" w:rsidP="00CF1511">
      <w:pPr>
        <w:pStyle w:val="TableHeading"/>
        <w:spacing w:before="240" w:after="120"/>
      </w:pPr>
      <w:r w:rsidRPr="00CA1E2C">
        <w:t>Department of Communications and the Arts</w:t>
      </w:r>
    </w:p>
    <w:p w14:paraId="43B2AE9C" w14:textId="2FA2E992" w:rsidR="00DE5155" w:rsidRPr="00CA1E2C" w:rsidRDefault="00DE5155" w:rsidP="00AF3C84">
      <w:r w:rsidRPr="00CA1E2C">
        <w:t>The Department of Communications and the Arts (</w:t>
      </w:r>
      <w:proofErr w:type="spellStart"/>
      <w:r w:rsidRPr="00CA1E2C">
        <w:t>DoCA</w:t>
      </w:r>
      <w:proofErr w:type="spellEnd"/>
      <w:r w:rsidRPr="00CA1E2C">
        <w:t xml:space="preserve">) provides policy oversight of </w:t>
      </w:r>
      <w:proofErr w:type="spellStart"/>
      <w:r w:rsidRPr="00CA1E2C">
        <w:t>radiocommunications</w:t>
      </w:r>
      <w:proofErr w:type="spellEnd"/>
      <w:r w:rsidRPr="00CA1E2C">
        <w:t xml:space="preserve"> services and spectrum management (including satellite communication) in Australia. </w:t>
      </w:r>
    </w:p>
    <w:p w14:paraId="38E17010" w14:textId="77777777" w:rsidR="00DE5155" w:rsidRPr="00CA1E2C" w:rsidRDefault="00DE5155" w:rsidP="00AF3C84">
      <w:pPr>
        <w:rPr>
          <w:i/>
          <w:color w:val="auto"/>
        </w:rPr>
      </w:pPr>
      <w:r w:rsidRPr="00CA1E2C">
        <w:rPr>
          <w:i/>
          <w:color w:val="auto"/>
        </w:rPr>
        <w:t>Key space-related activities</w:t>
      </w:r>
    </w:p>
    <w:p w14:paraId="3B94E40A" w14:textId="7BD34D8A" w:rsidR="00DE5155" w:rsidRPr="00CA1E2C" w:rsidRDefault="00DE5155" w:rsidP="00AF3C84">
      <w:proofErr w:type="spellStart"/>
      <w:r w:rsidRPr="00CA1E2C">
        <w:rPr>
          <w:szCs w:val="22"/>
        </w:rPr>
        <w:t>DoCA</w:t>
      </w:r>
      <w:proofErr w:type="spellEnd"/>
      <w:r w:rsidRPr="00CA1E2C">
        <w:rPr>
          <w:szCs w:val="22"/>
        </w:rPr>
        <w:t xml:space="preserve"> leads Australia’s engagement in international forums on use of radiofrequency spectrum and satellite orbits, including the </w:t>
      </w:r>
      <w:r w:rsidR="00AF3C84">
        <w:rPr>
          <w:szCs w:val="22"/>
        </w:rPr>
        <w:t>WRC</w:t>
      </w:r>
      <w:r w:rsidRPr="00CA1E2C">
        <w:rPr>
          <w:szCs w:val="22"/>
        </w:rPr>
        <w:t>.</w:t>
      </w:r>
      <w:r w:rsidR="006361D5">
        <w:rPr>
          <w:szCs w:val="22"/>
        </w:rPr>
        <w:t xml:space="preserve"> </w:t>
      </w:r>
      <w:proofErr w:type="spellStart"/>
      <w:r w:rsidR="006361D5" w:rsidRPr="00CA1E2C">
        <w:t>DoCA</w:t>
      </w:r>
      <w:proofErr w:type="spellEnd"/>
      <w:r w:rsidR="006361D5" w:rsidRPr="00CA1E2C">
        <w:t xml:space="preserve"> is a member of the </w:t>
      </w:r>
      <w:r w:rsidR="006361D5">
        <w:t>SCC</w:t>
      </w:r>
      <w:r w:rsidR="006361D5" w:rsidRPr="00CA1E2C">
        <w:t xml:space="preserve"> and leads discussions amongst Australia’s multi-stakeho</w:t>
      </w:r>
      <w:r w:rsidR="006361D5">
        <w:t>lder Preparatory Group for WRCs.</w:t>
      </w:r>
    </w:p>
    <w:p w14:paraId="59FD1F62" w14:textId="363A9426" w:rsidR="00DE5155" w:rsidRPr="00CA1E2C" w:rsidRDefault="00DE5155" w:rsidP="00AF3C84">
      <w:pPr>
        <w:rPr>
          <w:szCs w:val="22"/>
        </w:rPr>
      </w:pPr>
      <w:proofErr w:type="spellStart"/>
      <w:r w:rsidRPr="00CA1E2C">
        <w:rPr>
          <w:szCs w:val="22"/>
        </w:rPr>
        <w:t>DoCA</w:t>
      </w:r>
      <w:proofErr w:type="spellEnd"/>
      <w:r w:rsidRPr="00CA1E2C">
        <w:rPr>
          <w:szCs w:val="22"/>
        </w:rPr>
        <w:t xml:space="preserve"> provides advice to the Minister for Communications as a shareholder Minister of NBN </w:t>
      </w:r>
      <w:r w:rsidR="00AF3C84">
        <w:rPr>
          <w:szCs w:val="22"/>
        </w:rPr>
        <w:t>Co Limited</w:t>
      </w:r>
      <w:r w:rsidRPr="00CA1E2C">
        <w:rPr>
          <w:szCs w:val="22"/>
        </w:rPr>
        <w:t>. It also provides advice to the Australian Government, and information to the public, regarding provision of satellite broadband services to premises predominantly in regional, rural and remote Australia by NBN Co. NBN Co owns and operates two Sky Muster satellites used for the delivery of high speed broadband across Australia and its territories</w:t>
      </w:r>
      <w:r w:rsidR="00112AB7">
        <w:rPr>
          <w:szCs w:val="22"/>
        </w:rPr>
        <w:t>.</w:t>
      </w:r>
    </w:p>
    <w:p w14:paraId="36C0D26F" w14:textId="32D1214A" w:rsidR="00DE5155" w:rsidRDefault="00DE5155" w:rsidP="00AF3C84">
      <w:pPr>
        <w:rPr>
          <w:szCs w:val="22"/>
        </w:rPr>
      </w:pPr>
      <w:proofErr w:type="spellStart"/>
      <w:r w:rsidRPr="00CA1E2C">
        <w:rPr>
          <w:szCs w:val="22"/>
        </w:rPr>
        <w:t>DoCA</w:t>
      </w:r>
      <w:proofErr w:type="spellEnd"/>
      <w:r w:rsidRPr="00CA1E2C">
        <w:rPr>
          <w:szCs w:val="22"/>
        </w:rPr>
        <w:t xml:space="preserve"> is also responsible for the development of the Universal Service Guarantee (USG), which covers the future arrangements for delivery of basic telecommunications services nationally, including possible use of space-based syst</w:t>
      </w:r>
      <w:r w:rsidR="006361D5">
        <w:rPr>
          <w:szCs w:val="22"/>
        </w:rPr>
        <w:t xml:space="preserve">ems in rural and remote areas. </w:t>
      </w:r>
      <w:proofErr w:type="spellStart"/>
      <w:r w:rsidRPr="00CA1E2C">
        <w:rPr>
          <w:szCs w:val="22"/>
        </w:rPr>
        <w:t>DoCA</w:t>
      </w:r>
      <w:proofErr w:type="spellEnd"/>
      <w:r w:rsidRPr="00CA1E2C">
        <w:rPr>
          <w:szCs w:val="22"/>
        </w:rPr>
        <w:t xml:space="preserve"> monitors technology, service, commercial and policy developments relevant to communications, such as the Internet of Things (</w:t>
      </w:r>
      <w:proofErr w:type="spellStart"/>
      <w:r w:rsidRPr="00CA1E2C">
        <w:rPr>
          <w:szCs w:val="22"/>
        </w:rPr>
        <w:t>IoT</w:t>
      </w:r>
      <w:proofErr w:type="spellEnd"/>
      <w:r w:rsidRPr="00CA1E2C">
        <w:rPr>
          <w:szCs w:val="22"/>
        </w:rPr>
        <w:t>) and artificial intelligence, including those involving space-based systems.</w:t>
      </w:r>
      <w:r w:rsidR="00682B26">
        <w:rPr>
          <w:szCs w:val="22"/>
        </w:rPr>
        <w:t xml:space="preserve"> </w:t>
      </w:r>
    </w:p>
    <w:p w14:paraId="397A08E1" w14:textId="3776B24F" w:rsidR="00682B26" w:rsidRDefault="00682B26" w:rsidP="00AF3C84">
      <w:pPr>
        <w:rPr>
          <w:szCs w:val="22"/>
        </w:rPr>
      </w:pPr>
      <w:r w:rsidRPr="00682B26">
        <w:rPr>
          <w:szCs w:val="22"/>
        </w:rPr>
        <w:t>On 1 February 2020, Department of Communications and the Arts merged with Department of Infrastructure, Transport, Cities and Regional Development to form Department of Infrastructure, Transport, Regional Development and Communications.</w:t>
      </w:r>
      <w:r>
        <w:rPr>
          <w:szCs w:val="22"/>
        </w:rPr>
        <w:t xml:space="preserve"> </w:t>
      </w:r>
    </w:p>
    <w:p w14:paraId="1C463762" w14:textId="1F5EBD6C" w:rsidR="00DE5155" w:rsidRPr="00CA1E2C" w:rsidRDefault="00C35904" w:rsidP="00AF3C84">
      <w:pPr>
        <w:rPr>
          <w:b/>
          <w:bCs/>
          <w:color w:val="000000" w:themeColor="text1"/>
        </w:rPr>
      </w:pPr>
      <w:hyperlink r:id="rId39" w:tooltip="www.communications.gov.au" w:history="1">
        <w:r w:rsidR="00AF3C84" w:rsidRPr="00012623">
          <w:rPr>
            <w:rStyle w:val="Hyperlink"/>
            <w:rFonts w:cs="Times New Roman"/>
          </w:rPr>
          <w:t>www.communications.gov.au</w:t>
        </w:r>
      </w:hyperlink>
      <w:r w:rsidR="00AF3C84">
        <w:rPr>
          <w:color w:val="000000" w:themeColor="text1"/>
        </w:rPr>
        <w:t xml:space="preserve"> </w:t>
      </w:r>
    </w:p>
    <w:p w14:paraId="1CCDCF1C" w14:textId="5FB1B34F" w:rsidR="00D25BC5" w:rsidRPr="00CA1E2C" w:rsidRDefault="00633F73" w:rsidP="00CF1511">
      <w:pPr>
        <w:pStyle w:val="TableHeading"/>
        <w:spacing w:before="240" w:after="120"/>
      </w:pPr>
      <w:r w:rsidRPr="00CA1E2C">
        <w:t xml:space="preserve">Department of </w:t>
      </w:r>
      <w:r w:rsidR="00D25BC5" w:rsidRPr="00CA1E2C">
        <w:t xml:space="preserve">Defence </w:t>
      </w:r>
    </w:p>
    <w:p w14:paraId="1E8F1581" w14:textId="77777777" w:rsidR="00D25BC5" w:rsidRPr="00CA1E2C" w:rsidRDefault="00D25BC5" w:rsidP="00800F69">
      <w:r w:rsidRPr="00CA1E2C">
        <w:t>Space is a critical capability for the Australian Defence Force as a modern, networked military. The Department of Defence uses both military and civil space-based systems for a range of applications, including global positioning, navigation and timing; satellite communications; intelligence, surveillance and reconnaissance; mapping; and weather forecasting.  Defence requires assured access to the space capabilities that play a vital role in all ADF and coalition operations.</w:t>
      </w:r>
    </w:p>
    <w:p w14:paraId="03AE15CE" w14:textId="77777777" w:rsidR="00D25BC5" w:rsidRPr="00CA1E2C" w:rsidRDefault="00D25BC5" w:rsidP="00800F69">
      <w:pPr>
        <w:rPr>
          <w:i/>
          <w:color w:val="auto"/>
        </w:rPr>
      </w:pPr>
      <w:r w:rsidRPr="00CA1E2C">
        <w:rPr>
          <w:i/>
          <w:color w:val="auto"/>
        </w:rPr>
        <w:t>Key space-related activities</w:t>
      </w:r>
    </w:p>
    <w:p w14:paraId="48873E67" w14:textId="658D6B27" w:rsidR="00D25BC5" w:rsidRPr="00CA1E2C" w:rsidRDefault="00D25BC5" w:rsidP="00800F69">
      <w:pPr>
        <w:pStyle w:val="ListBullet"/>
        <w:spacing w:before="0"/>
      </w:pPr>
      <w:r w:rsidRPr="00CA1E2C">
        <w:t xml:space="preserve">Contributing to space situational awareness: Defence contributes to efforts to better understand the space environment and help ensure the security of our space-based assets. This includes working with the </w:t>
      </w:r>
      <w:r w:rsidR="0035704D" w:rsidRPr="00CA1E2C">
        <w:t>US</w:t>
      </w:r>
      <w:r w:rsidRPr="00CA1E2C">
        <w:t xml:space="preserve"> to jointly operate space-monitoring infrastructure in Australia.</w:t>
      </w:r>
    </w:p>
    <w:p w14:paraId="0771C299" w14:textId="77777777" w:rsidR="00D25BC5" w:rsidRPr="00CA1E2C" w:rsidRDefault="00D25BC5" w:rsidP="00800F69">
      <w:pPr>
        <w:pStyle w:val="ListBullet"/>
        <w:spacing w:before="0"/>
      </w:pPr>
      <w:r w:rsidRPr="00CA1E2C">
        <w:t>Engagement with international partners on military use of space: Defence engages with international partners on the military use of space through the Combined Space Operations initiative and bilateral partnerships and talks.</w:t>
      </w:r>
    </w:p>
    <w:p w14:paraId="32431E81" w14:textId="77777777" w:rsidR="00D25BC5" w:rsidRPr="00CA1E2C" w:rsidRDefault="00D25BC5" w:rsidP="00800F69">
      <w:pPr>
        <w:pStyle w:val="ListBullet"/>
        <w:spacing w:before="0"/>
      </w:pPr>
      <w:r w:rsidRPr="00CA1E2C">
        <w:t>Managing radiofrequency spectrum access: Defence works to secure radiofrequency spectrum resources for its satellite networks, in accordance with ITU rules.</w:t>
      </w:r>
    </w:p>
    <w:p w14:paraId="53F61A2C" w14:textId="77777777" w:rsidR="00D25BC5" w:rsidRPr="00CA1E2C" w:rsidRDefault="00D25BC5" w:rsidP="00800F69">
      <w:pPr>
        <w:pStyle w:val="ListBullet"/>
        <w:spacing w:before="0"/>
      </w:pPr>
      <w:r w:rsidRPr="00CA1E2C">
        <w:t>Space-based geospatial intelligence collection: AGO, within Defence, is responsible for space-based imagery collection in support of Australian Government national security, foundation data and intelligence requirements.</w:t>
      </w:r>
    </w:p>
    <w:p w14:paraId="2356E5A0" w14:textId="77777777" w:rsidR="00D25BC5" w:rsidRPr="00CA1E2C" w:rsidRDefault="00D25BC5" w:rsidP="00800F69">
      <w:pPr>
        <w:pStyle w:val="ListBullet"/>
        <w:spacing w:before="0"/>
      </w:pPr>
      <w:r w:rsidRPr="00CA1E2C">
        <w:t>Space R&amp;D: DST Group contributes significantly to the development of Australia’s space capabilities through a number of R&amp;D programs in collaboration with international and domestic partners.</w:t>
      </w:r>
    </w:p>
    <w:p w14:paraId="57B3E438" w14:textId="77777777" w:rsidR="00D25BC5" w:rsidRPr="00CA1E2C" w:rsidRDefault="00D25BC5" w:rsidP="00800F69">
      <w:pPr>
        <w:pStyle w:val="ListBullet"/>
        <w:spacing w:before="0"/>
      </w:pPr>
      <w:r w:rsidRPr="00CA1E2C">
        <w:t xml:space="preserve">Position, Navigation and Timing: Defence continues to monitor the US GPS Modernisation program, and will begin transitioning to modernised GPS equipment when new services are made available. </w:t>
      </w:r>
    </w:p>
    <w:p w14:paraId="2B4721EB" w14:textId="77777777" w:rsidR="00D25BC5" w:rsidRPr="00CA1E2C" w:rsidRDefault="00D25BC5" w:rsidP="00800F69">
      <w:pPr>
        <w:pStyle w:val="ListBullet"/>
        <w:spacing w:before="0"/>
      </w:pPr>
      <w:r w:rsidRPr="00CA1E2C">
        <w:t>Support to industry: Defence’s strategic and coordinated approach to the defence industry is delivering greater support to the space sector. Notably, the CDIC Centre for Defence Industry Capability delivers advice and support to industry. Intelligence, surveillance, reconnaissance, space and cyber have been identified as priority investment areas for both the Defence Innovation Hub and the Next Generation Technologies Fund.</w:t>
      </w:r>
    </w:p>
    <w:p w14:paraId="3E22FD6E" w14:textId="4074A1A4" w:rsidR="00B6761E" w:rsidRPr="00CA1E2C" w:rsidRDefault="00B6761E" w:rsidP="00800F69">
      <w:pPr>
        <w:pStyle w:val="ListBullet"/>
        <w:numPr>
          <w:ilvl w:val="0"/>
          <w:numId w:val="0"/>
        </w:numPr>
        <w:spacing w:before="0"/>
      </w:pPr>
      <w:r w:rsidRPr="00CA1E2C">
        <w:t xml:space="preserve">Defence is a member of the </w:t>
      </w:r>
      <w:r w:rsidR="009C4D67">
        <w:t>SCC</w:t>
      </w:r>
      <w:r w:rsidRPr="00CA1E2C">
        <w:t>, the PNT Working Group, the Space Law Working Group and the Earth Observation Working Group.</w:t>
      </w:r>
    </w:p>
    <w:p w14:paraId="1A1C191A" w14:textId="4491AAFA" w:rsidR="00D25BC5" w:rsidRPr="00CA1E2C" w:rsidRDefault="00C35904" w:rsidP="00800F69">
      <w:hyperlink r:id="rId40" w:tooltip="www.defence.gov.au" w:history="1">
        <w:r w:rsidR="00891B35" w:rsidRPr="00CA1E2C">
          <w:rPr>
            <w:rStyle w:val="Hyperlink"/>
            <w:rFonts w:cs="Times New Roman"/>
          </w:rPr>
          <w:t>www.d</w:t>
        </w:r>
        <w:r w:rsidR="00891B35" w:rsidRPr="00CA1E2C">
          <w:rPr>
            <w:rStyle w:val="Hyperlink"/>
            <w:rFonts w:cs="Times New Roman"/>
            <w:color w:val="004976" w:themeColor="background2"/>
          </w:rPr>
          <w:t>efence.gov.</w:t>
        </w:r>
        <w:r w:rsidR="00891B35" w:rsidRPr="00CA1E2C">
          <w:rPr>
            <w:rStyle w:val="Hyperlink"/>
            <w:rFonts w:cs="Times New Roman"/>
          </w:rPr>
          <w:t>au</w:t>
        </w:r>
      </w:hyperlink>
    </w:p>
    <w:p w14:paraId="771CB93A" w14:textId="52A3A0B3" w:rsidR="009B5EDC" w:rsidRPr="00CA1E2C" w:rsidRDefault="009B5EDC" w:rsidP="00CF1511">
      <w:pPr>
        <w:pStyle w:val="TableHeading"/>
        <w:spacing w:before="240" w:after="120"/>
      </w:pPr>
      <w:r w:rsidRPr="00CA1E2C">
        <w:t>Department of the Environment and Energy</w:t>
      </w:r>
    </w:p>
    <w:p w14:paraId="38B23307" w14:textId="20527809" w:rsidR="009B5EDC" w:rsidRPr="00CA1E2C" w:rsidRDefault="009B5EDC" w:rsidP="006F3BDD">
      <w:r w:rsidRPr="00CA1E2C">
        <w:t>The Department of the Environment and Energy (DEE) designs and implements Australian Government policy and programs to protect and conserve the environment, water and heritage, promote climate action, and provide adequate, reliable and affordable energy.</w:t>
      </w:r>
    </w:p>
    <w:p w14:paraId="1F41E142" w14:textId="548B9535" w:rsidR="009B5EDC" w:rsidRPr="00CA1E2C" w:rsidRDefault="009B5EDC" w:rsidP="006F3BDD">
      <w:r w:rsidRPr="00CA1E2C">
        <w:rPr>
          <w:i/>
        </w:rPr>
        <w:t>Key space-related Responsibilities</w:t>
      </w:r>
    </w:p>
    <w:p w14:paraId="114657D1" w14:textId="5E3DEE29" w:rsidR="009B5EDC" w:rsidRPr="00CA1E2C" w:rsidRDefault="009B5EDC" w:rsidP="006F3BDD">
      <w:r w:rsidRPr="00CA1E2C">
        <w:t>DEE is concerned with Earth observation as it relates to environmental management.</w:t>
      </w:r>
    </w:p>
    <w:p w14:paraId="2E41E97C" w14:textId="5AA0A48F" w:rsidR="00C21B94" w:rsidRPr="006F3BDD" w:rsidRDefault="009B5EDC" w:rsidP="006F3BDD">
      <w:r w:rsidRPr="00CA1E2C">
        <w:t xml:space="preserve">DEE is a member of the </w:t>
      </w:r>
      <w:r w:rsidR="009C4D67">
        <w:t>SCC</w:t>
      </w:r>
      <w:r w:rsidR="006F3BDD">
        <w:t>.</w:t>
      </w:r>
    </w:p>
    <w:p w14:paraId="2F6EA0C5" w14:textId="71729492" w:rsidR="00C21B94" w:rsidRPr="00F636D1" w:rsidRDefault="00F636D1" w:rsidP="006F3BDD">
      <w:pPr>
        <w:rPr>
          <w:rStyle w:val="Hyperlink"/>
          <w:rFonts w:cs="Times New Roman"/>
        </w:rPr>
      </w:pPr>
      <w:r>
        <w:rPr>
          <w:rStyle w:val="Hyperlink"/>
          <w:rFonts w:cs="Times New Roman"/>
        </w:rPr>
        <w:fldChar w:fldCharType="begin"/>
      </w:r>
      <w:r>
        <w:rPr>
          <w:rStyle w:val="Hyperlink"/>
          <w:rFonts w:cs="Times New Roman"/>
        </w:rPr>
        <w:instrText xml:space="preserve"> HYPERLINK "http://www.environment.gov.au/" \o "www.environment.gov.au" </w:instrText>
      </w:r>
      <w:r>
        <w:rPr>
          <w:rStyle w:val="Hyperlink"/>
          <w:rFonts w:cs="Times New Roman"/>
        </w:rPr>
        <w:fldChar w:fldCharType="separate"/>
      </w:r>
      <w:r w:rsidR="00C21B94" w:rsidRPr="00F636D1">
        <w:rPr>
          <w:rStyle w:val="Hyperlink"/>
          <w:rFonts w:cs="Times New Roman"/>
        </w:rPr>
        <w:t>www.environment.gov.au</w:t>
      </w:r>
    </w:p>
    <w:p w14:paraId="60AADA47" w14:textId="477A14C0" w:rsidR="00561F6E" w:rsidRPr="00CA1E2C" w:rsidRDefault="00F636D1" w:rsidP="00561F6E">
      <w:pPr>
        <w:pStyle w:val="TableHeading"/>
        <w:spacing w:before="240" w:after="120"/>
      </w:pPr>
      <w:r>
        <w:rPr>
          <w:rStyle w:val="Hyperlink"/>
          <w:rFonts w:eastAsia="MS Mincho" w:cs="Times New Roman"/>
          <w:b w:val="0"/>
          <w:spacing w:val="0"/>
          <w:szCs w:val="20"/>
        </w:rPr>
        <w:fldChar w:fldCharType="end"/>
      </w:r>
      <w:r w:rsidR="00561F6E" w:rsidRPr="00CA1E2C">
        <w:t>Department of Finance</w:t>
      </w:r>
    </w:p>
    <w:p w14:paraId="1584C19E" w14:textId="77777777" w:rsidR="00561F6E" w:rsidRPr="00CA1E2C" w:rsidRDefault="00561F6E" w:rsidP="00561F6E">
      <w:pPr>
        <w:pStyle w:val="NormalWeb"/>
        <w:shd w:val="clear" w:color="auto" w:fill="FFFFFF"/>
        <w:rPr>
          <w:rFonts w:eastAsia="Times New Roman" w:cstheme="minorHAnsi"/>
          <w:color w:val="000000"/>
          <w:sz w:val="22"/>
          <w:szCs w:val="22"/>
        </w:rPr>
      </w:pPr>
      <w:r w:rsidRPr="00CA1E2C">
        <w:rPr>
          <w:rFonts w:cstheme="minorHAnsi"/>
          <w:sz w:val="22"/>
          <w:szCs w:val="22"/>
        </w:rPr>
        <w:lastRenderedPageBreak/>
        <w:t>T</w:t>
      </w:r>
      <w:r w:rsidRPr="00CA1E2C">
        <w:rPr>
          <w:rFonts w:eastAsia="Times New Roman" w:cstheme="minorHAnsi"/>
          <w:color w:val="000000"/>
          <w:sz w:val="22"/>
          <w:szCs w:val="22"/>
        </w:rPr>
        <w:t>he Department of Finance (Finance) is a central agency of the Australian Government and plays an important role in assisting government across a wide range of policy areas to ensure its outcomes are met.</w:t>
      </w:r>
    </w:p>
    <w:p w14:paraId="21048C7D" w14:textId="77777777" w:rsidR="00561F6E" w:rsidRPr="00CA1E2C" w:rsidRDefault="00561F6E" w:rsidP="00561F6E">
      <w:pPr>
        <w:shd w:val="clear" w:color="auto" w:fill="FFFFFF"/>
        <w:rPr>
          <w:rFonts w:eastAsia="Times New Roman" w:cstheme="minorHAnsi"/>
          <w:color w:val="000000"/>
          <w:szCs w:val="22"/>
        </w:rPr>
      </w:pPr>
      <w:r w:rsidRPr="00CA1E2C">
        <w:rPr>
          <w:rFonts w:eastAsia="Times New Roman" w:cstheme="minorHAnsi"/>
          <w:color w:val="000000"/>
          <w:szCs w:val="22"/>
        </w:rPr>
        <w:t>Finance supports the government’s ongoing priorities through the Budget process and fosters leading practice through the public sector resource management, governance and accountability frameworks. Finance plays a lead role in advising the government on many of its strategic priorities, including advancing public sector reform through the Smaller Government Agenda and providing advice to the government on optimal arrangements for the management and ownership of public assets. We do this through our professional and considered approach to providing advice, developing policy, delivering services and engaging with our clients and stakeholders.</w:t>
      </w:r>
      <w:r>
        <w:rPr>
          <w:rFonts w:eastAsia="Times New Roman" w:cstheme="minorHAnsi"/>
          <w:color w:val="000000"/>
          <w:szCs w:val="22"/>
        </w:rPr>
        <w:t xml:space="preserve"> </w:t>
      </w:r>
      <w:r w:rsidRPr="00CA1E2C">
        <w:rPr>
          <w:rFonts w:eastAsia="Times New Roman" w:cstheme="minorHAnsi"/>
          <w:color w:val="000000"/>
          <w:szCs w:val="22"/>
        </w:rPr>
        <w:t xml:space="preserve">Finance has observer status on the </w:t>
      </w:r>
      <w:r>
        <w:rPr>
          <w:rFonts w:eastAsia="Times New Roman" w:cstheme="minorHAnsi"/>
          <w:color w:val="000000"/>
          <w:szCs w:val="22"/>
        </w:rPr>
        <w:t>SCC.</w:t>
      </w:r>
    </w:p>
    <w:p w14:paraId="468E52D4" w14:textId="039EA6EC" w:rsidR="00561F6E" w:rsidRDefault="00C35904" w:rsidP="00561F6E">
      <w:pPr>
        <w:shd w:val="clear" w:color="auto" w:fill="FFFFFF"/>
        <w:rPr>
          <w:rFonts w:cstheme="minorHAnsi"/>
          <w:bCs/>
          <w:color w:val="000000"/>
          <w:szCs w:val="22"/>
        </w:rPr>
      </w:pPr>
      <w:hyperlink r:id="rId41" w:tooltip="http://www.finance.gov.au/" w:history="1">
        <w:r w:rsidR="00561F6E" w:rsidRPr="00012623">
          <w:rPr>
            <w:rStyle w:val="Hyperlink"/>
            <w:bCs/>
            <w:szCs w:val="22"/>
          </w:rPr>
          <w:t>www.finance.gov.au</w:t>
        </w:r>
      </w:hyperlink>
      <w:r w:rsidR="00561F6E">
        <w:rPr>
          <w:rFonts w:cstheme="minorHAnsi"/>
          <w:bCs/>
          <w:color w:val="000000"/>
          <w:szCs w:val="22"/>
        </w:rPr>
        <w:t xml:space="preserve"> </w:t>
      </w:r>
    </w:p>
    <w:p w14:paraId="45BC8434" w14:textId="574FCD32" w:rsidR="00D25BC5" w:rsidRPr="00CA1E2C" w:rsidRDefault="00D25BC5" w:rsidP="00CF1511">
      <w:pPr>
        <w:pStyle w:val="TableHeading"/>
        <w:spacing w:before="240" w:after="120"/>
      </w:pPr>
      <w:r w:rsidRPr="00CA1E2C">
        <w:t xml:space="preserve">Department of Foreign Affairs and Trade </w:t>
      </w:r>
    </w:p>
    <w:p w14:paraId="6C28980E" w14:textId="6221DB1C" w:rsidR="00D25BC5" w:rsidRPr="00CA1E2C" w:rsidRDefault="00AB5E3C" w:rsidP="006F3BDD">
      <w:pPr>
        <w:rPr>
          <w:b/>
          <w:bCs/>
        </w:rPr>
      </w:pPr>
      <w:r w:rsidRPr="00CA1E2C">
        <w:t xml:space="preserve">The Department of Foreign Affairs and trade (DFAT) </w:t>
      </w:r>
      <w:r w:rsidR="00D25BC5" w:rsidRPr="00CA1E2C">
        <w:t>provides foreign, trade and development policy advice to the Government. It works with foreign governments, the private sector, NGOs, academia and other Australian Government agencies to ensure that Australia’s pursuit of its global, regional and bilateral interests are advanced and protected.</w:t>
      </w:r>
    </w:p>
    <w:p w14:paraId="7481CDC1" w14:textId="77777777" w:rsidR="00D25BC5" w:rsidRPr="00CA1E2C" w:rsidRDefault="00D25BC5" w:rsidP="006F3BDD">
      <w:pPr>
        <w:rPr>
          <w:i/>
        </w:rPr>
      </w:pPr>
      <w:r w:rsidRPr="00CA1E2C">
        <w:rPr>
          <w:i/>
        </w:rPr>
        <w:t>Key space-related Responsibilities</w:t>
      </w:r>
    </w:p>
    <w:p w14:paraId="32BF5D60" w14:textId="77777777" w:rsidR="00D25BC5" w:rsidRPr="00CA1E2C" w:rsidRDefault="00D25BC5" w:rsidP="006F3BDD">
      <w:r w:rsidRPr="00CA1E2C">
        <w:t>DFAT’s key space responsibilities lie in space security issues (with Defence), UN engagement, multilateral and bilateral agreements and commitments, space issues that affect bilateral and regional relationships, and civil space matters to the extent that they affect the above.</w:t>
      </w:r>
    </w:p>
    <w:p w14:paraId="7F31EDEE" w14:textId="2E17FB1F" w:rsidR="00D25BC5" w:rsidRPr="006F3BDD" w:rsidRDefault="00DE5155" w:rsidP="006F3BDD">
      <w:pPr>
        <w:pStyle w:val="ListBullet"/>
        <w:numPr>
          <w:ilvl w:val="0"/>
          <w:numId w:val="0"/>
        </w:numPr>
        <w:spacing w:before="0"/>
      </w:pPr>
      <w:r w:rsidRPr="00CA1E2C">
        <w:t xml:space="preserve">DFAT is a member of the </w:t>
      </w:r>
      <w:r w:rsidR="009C4D67">
        <w:t>SCC</w:t>
      </w:r>
      <w:r w:rsidRPr="00CA1E2C">
        <w:t xml:space="preserve"> and participates in the Space Law In</w:t>
      </w:r>
      <w:r w:rsidR="006F3BDD">
        <w:t>ter-Departmental Working Group</w:t>
      </w:r>
      <w:r w:rsidR="00904DCD">
        <w:t>.</w:t>
      </w:r>
      <w:r w:rsidR="006F3BDD">
        <w:t xml:space="preserve"> </w:t>
      </w:r>
    </w:p>
    <w:p w14:paraId="3981B295" w14:textId="5F790778" w:rsidR="00D25BC5" w:rsidRDefault="00C35904" w:rsidP="006F3BDD">
      <w:pPr>
        <w:rPr>
          <w:rStyle w:val="Hyperlink"/>
          <w:color w:val="000000" w:themeColor="text1"/>
          <w:szCs w:val="22"/>
          <w:u w:val="none"/>
        </w:rPr>
      </w:pPr>
      <w:hyperlink r:id="rId42" w:tooltip="www.dfat.gov.au" w:history="1">
        <w:r w:rsidR="00D25BC5" w:rsidRPr="006F3BDD">
          <w:rPr>
            <w:rStyle w:val="Hyperlink"/>
            <w:rFonts w:cs="Times New Roman"/>
          </w:rPr>
          <w:t>www.dfat.gov.au</w:t>
        </w:r>
      </w:hyperlink>
    </w:p>
    <w:p w14:paraId="614E4026" w14:textId="03CDF3D0" w:rsidR="00D25BC5" w:rsidRPr="00CA1E2C" w:rsidRDefault="00D25BC5" w:rsidP="00CF1511">
      <w:pPr>
        <w:pStyle w:val="TableHeading"/>
        <w:spacing w:before="240" w:after="120"/>
      </w:pPr>
      <w:r w:rsidRPr="00CA1E2C">
        <w:t>Department of Home Affairs</w:t>
      </w:r>
    </w:p>
    <w:p w14:paraId="1F4AF290" w14:textId="5801A9DF" w:rsidR="00D25BC5" w:rsidRPr="00CA1E2C" w:rsidRDefault="00D25BC5" w:rsidP="006F3BDD">
      <w:r w:rsidRPr="00CA1E2C">
        <w:t xml:space="preserve">Home Affairs is a central policy agency, providing coordinated strategy and policy leadership for Australia's national and transport security, federal law enforcement, criminal justice, cyber security, border, immigration, multicultural affairs, emergency management and trade related functions. </w:t>
      </w:r>
    </w:p>
    <w:p w14:paraId="01B6638B" w14:textId="24027347" w:rsidR="00D25BC5" w:rsidRPr="00CA1E2C" w:rsidRDefault="00D25BC5" w:rsidP="006F3BDD">
      <w:r w:rsidRPr="00CA1E2C">
        <w:t xml:space="preserve">Through the </w:t>
      </w:r>
      <w:r w:rsidR="006F3BDD">
        <w:t>CIC</w:t>
      </w:r>
      <w:r w:rsidRPr="00CA1E2C">
        <w:t xml:space="preserve">, Home Affairs implements the </w:t>
      </w:r>
      <w:r w:rsidRPr="00CA1E2C">
        <w:rPr>
          <w:i/>
          <w:iCs/>
        </w:rPr>
        <w:t>Critical Infrastructure Resilience Strategy</w:t>
      </w:r>
      <w:r w:rsidRPr="00CA1E2C">
        <w:rPr>
          <w:iCs/>
        </w:rPr>
        <w:t xml:space="preserve"> </w:t>
      </w:r>
      <w:r w:rsidRPr="00CA1E2C">
        <w:t>to enhance critical infrastructure resilience in the face of all hazards</w:t>
      </w:r>
      <w:r w:rsidRPr="00CA1E2C">
        <w:rPr>
          <w:i/>
          <w:iCs/>
        </w:rPr>
        <w:t xml:space="preserve">. </w:t>
      </w:r>
      <w:r w:rsidRPr="00CA1E2C">
        <w:t xml:space="preserve">Home Affairs implements the strategy in partnership with industry through </w:t>
      </w:r>
      <w:r w:rsidRPr="00CA1E2C">
        <w:rPr>
          <w:bCs/>
        </w:rPr>
        <w:t>the Trusted Information Sharing Network</w:t>
      </w:r>
      <w:r w:rsidRPr="00CA1E2C">
        <w:t xml:space="preserve">, a forum where owners and operators of critical infrastructure work together and share information on threats and vulnerabilities, developing strategies to mitigate risk. </w:t>
      </w:r>
    </w:p>
    <w:p w14:paraId="4A2B455C" w14:textId="4818D4AE" w:rsidR="00D25BC5" w:rsidRPr="00CA1E2C" w:rsidRDefault="00D25BC5" w:rsidP="006F3BDD">
      <w:r w:rsidRPr="00CA1E2C">
        <w:t>Cross Sector Interest Groups within the TISN provide an opportunity for cross-sectoral consultation between key stakeholders and Government on specific matters. CSIGs are convened when a specific critical infrastructure issue demands attention and may be disbanded once the issue has been adequately addressed. Home Affairs actively contributes to the work of the Space</w:t>
      </w:r>
      <w:r w:rsidR="00DD4038">
        <w:t>-</w:t>
      </w:r>
      <w:r w:rsidRPr="00CA1E2C">
        <w:t xml:space="preserve">CSIG within the TISN. </w:t>
      </w:r>
    </w:p>
    <w:p w14:paraId="1019E8F0" w14:textId="77777777" w:rsidR="00D25BC5" w:rsidRPr="00CA1E2C" w:rsidRDefault="00D25BC5" w:rsidP="006F3BDD">
      <w:pPr>
        <w:rPr>
          <w:bCs/>
          <w:i/>
        </w:rPr>
      </w:pPr>
      <w:r w:rsidRPr="00CA1E2C">
        <w:rPr>
          <w:bCs/>
          <w:i/>
        </w:rPr>
        <w:t>Key space-related activities</w:t>
      </w:r>
    </w:p>
    <w:p w14:paraId="4D0A0219" w14:textId="77777777" w:rsidR="00D25BC5" w:rsidRPr="00CA1E2C" w:rsidRDefault="00D25BC5" w:rsidP="006F3BDD">
      <w:r w:rsidRPr="00CA1E2C">
        <w:t>The CIC manages national security risks from foreign involvement in Australia’s critical infrastructure, including space-related infrastructure. It is focused on assessing the risks of sabotage, espionage and coercion in the five priority sectors of gas, electricity, telecommunications, water and ports. The CIC works with state and territory governments, regulators and private owners and operators to identify risks and develop and implement asset-specific mitigation strategies and sector-wide best practice guidelines.</w:t>
      </w:r>
    </w:p>
    <w:p w14:paraId="464ACBD4" w14:textId="500933D6" w:rsidR="00D25BC5" w:rsidRPr="006F3BDD" w:rsidRDefault="00DE5155" w:rsidP="006F3BDD">
      <w:r w:rsidRPr="00CA1E2C">
        <w:t xml:space="preserve">Home Affairs is a member of the </w:t>
      </w:r>
      <w:r w:rsidR="009C4D67">
        <w:t>SCC</w:t>
      </w:r>
      <w:r w:rsidRPr="00CA1E2C">
        <w:t>. Its Critical Infrastructure Centre is a member of the Space</w:t>
      </w:r>
      <w:r w:rsidR="00440B7B">
        <w:t xml:space="preserve"> Cross Sector Interest Group </w:t>
      </w:r>
      <w:r w:rsidR="00904DCD">
        <w:t>and the PNT Working G</w:t>
      </w:r>
      <w:r w:rsidRPr="00CA1E2C">
        <w:t>roup.</w:t>
      </w:r>
    </w:p>
    <w:p w14:paraId="3E7A52B1" w14:textId="48CA9E54" w:rsidR="00D25BC5" w:rsidRDefault="00C35904" w:rsidP="006F3BDD">
      <w:pPr>
        <w:rPr>
          <w:rStyle w:val="Hyperlink"/>
          <w:rFonts w:cs="Times New Roman"/>
        </w:rPr>
      </w:pPr>
      <w:hyperlink r:id="rId43" w:tooltip="www.homeaffairs.gov.au" w:history="1">
        <w:r w:rsidR="006F3BDD" w:rsidRPr="00012623">
          <w:rPr>
            <w:rStyle w:val="Hyperlink"/>
            <w:rFonts w:cs="Times New Roman"/>
          </w:rPr>
          <w:t>www.homeaffairs.gov.au</w:t>
        </w:r>
      </w:hyperlink>
      <w:r w:rsidR="006F3BDD">
        <w:rPr>
          <w:color w:val="000000" w:themeColor="text1"/>
        </w:rPr>
        <w:t xml:space="preserve"> </w:t>
      </w:r>
      <w:r w:rsidR="00D25BC5" w:rsidRPr="00CA1E2C">
        <w:rPr>
          <w:color w:val="000000" w:themeColor="text1"/>
        </w:rPr>
        <w:t xml:space="preserve">| </w:t>
      </w:r>
      <w:hyperlink r:id="rId44" w:tooltip="www.cicentre.gov.au" w:history="1">
        <w:r w:rsidR="006F3BDD" w:rsidRPr="00012623">
          <w:rPr>
            <w:rStyle w:val="Hyperlink"/>
            <w:rFonts w:cs="Times New Roman"/>
          </w:rPr>
          <w:t>www.cicentre.gov.au</w:t>
        </w:r>
      </w:hyperlink>
      <w:r w:rsidR="006F3BDD">
        <w:rPr>
          <w:color w:val="000000" w:themeColor="text1"/>
        </w:rPr>
        <w:t xml:space="preserve"> </w:t>
      </w:r>
      <w:r w:rsidR="00D25BC5" w:rsidRPr="00CA1E2C">
        <w:rPr>
          <w:color w:val="000000" w:themeColor="text1"/>
        </w:rPr>
        <w:t xml:space="preserve">| </w:t>
      </w:r>
      <w:hyperlink r:id="rId45" w:tooltip="www.tisn.gov.au" w:history="1">
        <w:r w:rsidR="00D25BC5" w:rsidRPr="006F3BDD">
          <w:rPr>
            <w:rStyle w:val="Hyperlink"/>
            <w:rFonts w:cs="Times New Roman"/>
          </w:rPr>
          <w:t>www.tisn.gov.au</w:t>
        </w:r>
      </w:hyperlink>
    </w:p>
    <w:p w14:paraId="116EB912" w14:textId="11EAC655" w:rsidR="00D25BC5" w:rsidRPr="00CA1E2C" w:rsidRDefault="00D25BC5" w:rsidP="00CF1511">
      <w:pPr>
        <w:pStyle w:val="TableHeading"/>
        <w:spacing w:before="240" w:after="120"/>
      </w:pPr>
      <w:r w:rsidRPr="00CA1E2C">
        <w:lastRenderedPageBreak/>
        <w:t xml:space="preserve">Department of Industry, Innovation and Science </w:t>
      </w:r>
    </w:p>
    <w:p w14:paraId="5FBE91E0" w14:textId="791A7DCB" w:rsidR="00D25BC5" w:rsidRPr="006F3BDD" w:rsidRDefault="00D25BC5" w:rsidP="006F3BDD">
      <w:pPr>
        <w:rPr>
          <w:szCs w:val="22"/>
        </w:rPr>
      </w:pPr>
      <w:r w:rsidRPr="006F3BDD">
        <w:rPr>
          <w:szCs w:val="22"/>
        </w:rPr>
        <w:t xml:space="preserve">Until the formation of </w:t>
      </w:r>
      <w:r w:rsidR="00C27C23">
        <w:rPr>
          <w:szCs w:val="22"/>
        </w:rPr>
        <w:t>the</w:t>
      </w:r>
      <w:r w:rsidRPr="006F3BDD">
        <w:rPr>
          <w:szCs w:val="22"/>
        </w:rPr>
        <w:t xml:space="preserve"> </w:t>
      </w:r>
      <w:r w:rsidR="00D53067">
        <w:rPr>
          <w:szCs w:val="22"/>
        </w:rPr>
        <w:t xml:space="preserve">Australian Space </w:t>
      </w:r>
      <w:r w:rsidRPr="006F3BDD">
        <w:rPr>
          <w:szCs w:val="22"/>
        </w:rPr>
        <w:t xml:space="preserve">Agency, </w:t>
      </w:r>
      <w:r w:rsidR="00AB5E3C" w:rsidRPr="006F3BDD">
        <w:rPr>
          <w:szCs w:val="22"/>
        </w:rPr>
        <w:t xml:space="preserve">the Department of Industry, Innovation and Science (DIIS) </w:t>
      </w:r>
      <w:r w:rsidRPr="006F3BDD">
        <w:rPr>
          <w:szCs w:val="22"/>
        </w:rPr>
        <w:t>had three key areas of responsibility on civil space:</w:t>
      </w:r>
    </w:p>
    <w:p w14:paraId="29C8BC3F" w14:textId="77777777" w:rsidR="002D0D3E" w:rsidRPr="006F3BDD" w:rsidRDefault="00D25BC5" w:rsidP="00780260">
      <w:pPr>
        <w:pStyle w:val="ListNumber"/>
        <w:numPr>
          <w:ilvl w:val="0"/>
          <w:numId w:val="18"/>
        </w:numPr>
        <w:rPr>
          <w:szCs w:val="22"/>
        </w:rPr>
      </w:pPr>
      <w:r w:rsidRPr="006F3BDD">
        <w:rPr>
          <w:bCs/>
          <w:szCs w:val="22"/>
        </w:rPr>
        <w:t xml:space="preserve">a coordination function, chairing the SCC and acting as </w:t>
      </w:r>
      <w:r w:rsidRPr="006F3BDD">
        <w:rPr>
          <w:szCs w:val="22"/>
        </w:rPr>
        <w:t xml:space="preserve">the central point of contact and coordination for the Government’s involvement in civil space; </w:t>
      </w:r>
    </w:p>
    <w:p w14:paraId="01D406BA" w14:textId="77777777" w:rsidR="002D0D3E" w:rsidRPr="006F3BDD" w:rsidRDefault="00D25BC5" w:rsidP="006F3BDD">
      <w:pPr>
        <w:pStyle w:val="ListNumber"/>
        <w:rPr>
          <w:iCs/>
          <w:szCs w:val="22"/>
        </w:rPr>
      </w:pPr>
      <w:r w:rsidRPr="006F3BDD">
        <w:rPr>
          <w:szCs w:val="22"/>
        </w:rPr>
        <w:t xml:space="preserve">a regulatory function, administering the </w:t>
      </w:r>
      <w:r w:rsidRPr="006F3BDD">
        <w:rPr>
          <w:i/>
          <w:iCs/>
          <w:szCs w:val="22"/>
        </w:rPr>
        <w:t>Space Activities Act</w:t>
      </w:r>
      <w:r w:rsidRPr="006F3BDD">
        <w:rPr>
          <w:iCs/>
          <w:szCs w:val="22"/>
        </w:rPr>
        <w:t xml:space="preserve">; and </w:t>
      </w:r>
    </w:p>
    <w:p w14:paraId="70EF163F" w14:textId="77777777" w:rsidR="002D0D3E" w:rsidRPr="006F3BDD" w:rsidRDefault="00D25BC5" w:rsidP="006F3BDD">
      <w:pPr>
        <w:pStyle w:val="ListNumber"/>
        <w:rPr>
          <w:iCs/>
          <w:szCs w:val="22"/>
        </w:rPr>
      </w:pPr>
      <w:proofErr w:type="gramStart"/>
      <w:r w:rsidRPr="006F3BDD">
        <w:rPr>
          <w:iCs/>
          <w:szCs w:val="22"/>
        </w:rPr>
        <w:t>a</w:t>
      </w:r>
      <w:proofErr w:type="gramEnd"/>
      <w:r w:rsidRPr="006F3BDD">
        <w:rPr>
          <w:iCs/>
          <w:szCs w:val="22"/>
        </w:rPr>
        <w:t xml:space="preserve"> policy function, supporting the advancement of Australia’s space capabilities. </w:t>
      </w:r>
    </w:p>
    <w:p w14:paraId="75F8E34F" w14:textId="160C0E03" w:rsidR="005F654B" w:rsidRDefault="00D25BC5" w:rsidP="006F3BDD">
      <w:pPr>
        <w:rPr>
          <w:iCs/>
          <w:szCs w:val="22"/>
        </w:rPr>
      </w:pPr>
      <w:r w:rsidRPr="006F3BDD">
        <w:rPr>
          <w:iCs/>
          <w:szCs w:val="22"/>
        </w:rPr>
        <w:t xml:space="preserve">The Agency </w:t>
      </w:r>
      <w:r w:rsidRPr="006F3BDD">
        <w:rPr>
          <w:bCs/>
          <w:szCs w:val="22"/>
        </w:rPr>
        <w:t>is a non-statutory, whole-of-government entity located within the Department of Industry, Innovation and Science as a separately branded function</w:t>
      </w:r>
      <w:r w:rsidR="006F3BDD">
        <w:rPr>
          <w:bCs/>
          <w:szCs w:val="22"/>
        </w:rPr>
        <w:t>.</w:t>
      </w:r>
      <w:r w:rsidR="00946046">
        <w:rPr>
          <w:iCs/>
          <w:szCs w:val="22"/>
        </w:rPr>
        <w:t xml:space="preserve"> </w:t>
      </w:r>
      <w:r w:rsidR="001A0457">
        <w:rPr>
          <w:iCs/>
          <w:szCs w:val="22"/>
        </w:rPr>
        <w:t>The Secretary of DIIS is the relevant Accountable Authority.</w:t>
      </w:r>
    </w:p>
    <w:p w14:paraId="7BC40DB8" w14:textId="11D6DE32" w:rsidR="005F654B" w:rsidRDefault="00DE5155" w:rsidP="006F3BDD">
      <w:pPr>
        <w:rPr>
          <w:iCs/>
          <w:szCs w:val="22"/>
        </w:rPr>
      </w:pPr>
      <w:r w:rsidRPr="006F3BDD">
        <w:rPr>
          <w:iCs/>
          <w:szCs w:val="22"/>
        </w:rPr>
        <w:t xml:space="preserve">DIIS </w:t>
      </w:r>
      <w:r w:rsidR="001A0457">
        <w:rPr>
          <w:iCs/>
          <w:szCs w:val="22"/>
        </w:rPr>
        <w:t xml:space="preserve">provides policy advice on broader linkages between space and other industry sectors and </w:t>
      </w:r>
      <w:r w:rsidRPr="006F3BDD">
        <w:rPr>
          <w:iCs/>
          <w:szCs w:val="22"/>
        </w:rPr>
        <w:t xml:space="preserve">is a member of the </w:t>
      </w:r>
      <w:r w:rsidR="009C4D67">
        <w:rPr>
          <w:iCs/>
          <w:szCs w:val="22"/>
        </w:rPr>
        <w:t>SCC</w:t>
      </w:r>
      <w:r w:rsidR="006F3BDD">
        <w:rPr>
          <w:iCs/>
          <w:szCs w:val="22"/>
        </w:rPr>
        <w:t>.</w:t>
      </w:r>
      <w:r w:rsidR="000244A4">
        <w:rPr>
          <w:iCs/>
          <w:szCs w:val="22"/>
        </w:rPr>
        <w:t xml:space="preserve"> </w:t>
      </w:r>
    </w:p>
    <w:p w14:paraId="470A0ED9" w14:textId="08FC096C" w:rsidR="006F3BDD" w:rsidRDefault="00C35904" w:rsidP="006F3BDD">
      <w:pPr>
        <w:rPr>
          <w:color w:val="000000" w:themeColor="text1"/>
        </w:rPr>
      </w:pPr>
      <w:hyperlink r:id="rId46" w:tooltip="www.industry.gov.au" w:history="1">
        <w:r w:rsidR="006F3BDD" w:rsidRPr="00012623">
          <w:rPr>
            <w:rStyle w:val="Hyperlink"/>
            <w:rFonts w:cs="Times New Roman"/>
          </w:rPr>
          <w:t>www.industry.gov.au</w:t>
        </w:r>
      </w:hyperlink>
    </w:p>
    <w:p w14:paraId="1F1B15D6" w14:textId="25E6CDCF" w:rsidR="00D25BC5" w:rsidRPr="00CA1E2C" w:rsidRDefault="00D25BC5" w:rsidP="00CF1511">
      <w:pPr>
        <w:pStyle w:val="TableHeading"/>
        <w:spacing w:before="240" w:after="120"/>
        <w:rPr>
          <w:sz w:val="24"/>
          <w:szCs w:val="24"/>
        </w:rPr>
      </w:pPr>
      <w:r w:rsidRPr="00CA1E2C">
        <w:rPr>
          <w:szCs w:val="22"/>
        </w:rPr>
        <w:t>Department of Infrastructure</w:t>
      </w:r>
      <w:r w:rsidRPr="00CA1E2C">
        <w:t xml:space="preserve">, Regional Development and Cities </w:t>
      </w:r>
    </w:p>
    <w:p w14:paraId="3A37EC05" w14:textId="7EC94B5C" w:rsidR="00D25BC5" w:rsidRPr="00CA1E2C" w:rsidRDefault="00D25BC5" w:rsidP="006F3BDD">
      <w:r w:rsidRPr="00CA1E2C">
        <w:t>The Department of Infrastructure, Regional Development and Cities</w:t>
      </w:r>
      <w:r w:rsidR="00AB5E3C" w:rsidRPr="00CA1E2C">
        <w:t xml:space="preserve"> (DIRDC)</w:t>
      </w:r>
      <w:r w:rsidRPr="00CA1E2C">
        <w:t xml:space="preserve"> is responsible for the design and implementation of the Australian Government's infrastructure, transport and regional development policies and programs. It works to support economic growth through transport; make travel safer; increase transport access; keep transport secure; support regional development and local communities and provide good governance in the territories</w:t>
      </w:r>
      <w:r w:rsidR="00153821">
        <w:t>.</w:t>
      </w:r>
    </w:p>
    <w:p w14:paraId="03EE825E" w14:textId="77777777" w:rsidR="00D25BC5" w:rsidRPr="00CA1E2C" w:rsidRDefault="00D25BC5" w:rsidP="006F3BDD">
      <w:r w:rsidRPr="00CA1E2C">
        <w:t xml:space="preserve">DIRDC’s interests in civil space include the application of satellite-enabled services for road, rail, maritime and aviation sectors. These activities are carried out by DIRDC and its portfolio agencies: the Australian Maritime Safety Authority (AMSA); the Civil Aviation Safety Authority (CASA) and </w:t>
      </w:r>
      <w:proofErr w:type="spellStart"/>
      <w:r w:rsidRPr="00CA1E2C">
        <w:t>Airservices</w:t>
      </w:r>
      <w:proofErr w:type="spellEnd"/>
      <w:r w:rsidRPr="00CA1E2C">
        <w:t xml:space="preserve"> Australia.</w:t>
      </w:r>
    </w:p>
    <w:p w14:paraId="05C33C3F" w14:textId="3845C425" w:rsidR="00953731" w:rsidRPr="00CA1E2C" w:rsidRDefault="00953731" w:rsidP="006F3BDD">
      <w:r w:rsidRPr="00CA1E2C">
        <w:t xml:space="preserve">DIRDC is a member of the </w:t>
      </w:r>
      <w:r w:rsidR="009C4D67">
        <w:t>SCC</w:t>
      </w:r>
      <w:r w:rsidRPr="00CA1E2C">
        <w:t xml:space="preserve">. </w:t>
      </w:r>
    </w:p>
    <w:p w14:paraId="10018006" w14:textId="46E4A268" w:rsidR="00AB5E3C" w:rsidRPr="00CA1E2C" w:rsidRDefault="00AB5E3C" w:rsidP="006F3BDD">
      <w:r w:rsidRPr="00CA1E2C">
        <w:t>On 29 May 2019, the department was re-named as the Department of Infrastructure, Transport, Cities and Regional Development (DITCRD)</w:t>
      </w:r>
      <w:r w:rsidR="006F3BDD">
        <w:t>.</w:t>
      </w:r>
      <w:r w:rsidR="00000E6B">
        <w:t xml:space="preserve"> </w:t>
      </w:r>
      <w:r w:rsidR="00000E6B" w:rsidRPr="00000E6B">
        <w:t>On 1 February 2020, Department of Communications and the Arts merged with Department of Infrastructure, Transport, Cities and Regional Development to form Department of Infrastructure, Transport, Regional Development and Communications</w:t>
      </w:r>
      <w:r w:rsidR="00000E6B">
        <w:t>.</w:t>
      </w:r>
    </w:p>
    <w:p w14:paraId="66F55DF6" w14:textId="7AE2E07D" w:rsidR="00D25BC5" w:rsidRPr="006F3BDD" w:rsidRDefault="00C35904" w:rsidP="006F3BDD">
      <w:pPr>
        <w:rPr>
          <w:rStyle w:val="Hyperlink"/>
          <w:rFonts w:cs="Times New Roman"/>
        </w:rPr>
      </w:pPr>
      <w:hyperlink r:id="rId47" w:tooltip="www.infrastructure.gov.au" w:history="1">
        <w:r w:rsidR="00D25BC5" w:rsidRPr="006F3BDD">
          <w:rPr>
            <w:rStyle w:val="Hyperlink"/>
            <w:rFonts w:cs="Times New Roman"/>
          </w:rPr>
          <w:t>www.infrastructure.gov.au</w:t>
        </w:r>
      </w:hyperlink>
    </w:p>
    <w:p w14:paraId="6E22969B" w14:textId="77777777" w:rsidR="00D25BC5" w:rsidRPr="006F3BDD" w:rsidRDefault="00D25BC5" w:rsidP="005152B0">
      <w:pPr>
        <w:spacing w:before="240"/>
        <w:rPr>
          <w:b/>
          <w:i/>
        </w:rPr>
      </w:pPr>
      <w:r w:rsidRPr="006F3BDD">
        <w:rPr>
          <w:b/>
          <w:i/>
        </w:rPr>
        <w:t>Australian Maritime Safety Authority</w:t>
      </w:r>
    </w:p>
    <w:p w14:paraId="7E3AFE6B" w14:textId="56F3B79E" w:rsidR="00A908CF" w:rsidRPr="00CA1E2C" w:rsidRDefault="00D25BC5" w:rsidP="006F3BDD">
      <w:r w:rsidRPr="00CA1E2C">
        <w:t>AMSA provides a range of regulatory functions and services that use satellite based technology including:</w:t>
      </w:r>
      <w:r w:rsidR="00653D4E" w:rsidRPr="00CA1E2C">
        <w:t xml:space="preserve"> </w:t>
      </w:r>
      <w:r w:rsidRPr="00CA1E2C">
        <w:t xml:space="preserve">a capacity, within Australia’s search and rescue region, to respond to civilian, maritime and aviation distress situations via satellite-based alerting systems such as </w:t>
      </w:r>
      <w:proofErr w:type="spellStart"/>
      <w:r w:rsidRPr="00CA1E2C">
        <w:t>Cospas-Sarsat</w:t>
      </w:r>
      <w:proofErr w:type="spellEnd"/>
      <w:r w:rsidR="00653D4E" w:rsidRPr="00CA1E2C">
        <w:t xml:space="preserve">; </w:t>
      </w:r>
      <w:r w:rsidRPr="00CA1E2C">
        <w:t>the dissemination of maritime safety information (MSI) via recognised mobile satellite service providers, that includes navigation, search and rescue and urgent safety messaging</w:t>
      </w:r>
      <w:r w:rsidR="00653D4E" w:rsidRPr="00CA1E2C">
        <w:t xml:space="preserve">; </w:t>
      </w:r>
      <w:r w:rsidRPr="00CA1E2C">
        <w:t>the provision of navigational services (in the main, a network of visual and electronic aids to navigation to meet th</w:t>
      </w:r>
      <w:r w:rsidR="00653D4E" w:rsidRPr="00CA1E2C">
        <w:t xml:space="preserve">e needs of commercial shipping); </w:t>
      </w:r>
      <w:r w:rsidRPr="00CA1E2C">
        <w:t>vessel tracking services, including administration of the MASTREP, use of shore-based and satellite-based AIS and LRIT of ships</w:t>
      </w:r>
      <w:r w:rsidR="00653D4E" w:rsidRPr="00CA1E2C">
        <w:t xml:space="preserve">; </w:t>
      </w:r>
      <w:r w:rsidRPr="00CA1E2C">
        <w:t>oil spill preparedness and response, including use of satellite-based synthetic aperture radar for oil spill monitoring for compliance and emergency response</w:t>
      </w:r>
      <w:r w:rsidR="00A908CF" w:rsidRPr="00CA1E2C">
        <w:t>.</w:t>
      </w:r>
    </w:p>
    <w:p w14:paraId="3E3893AA" w14:textId="77777777" w:rsidR="00D25BC5" w:rsidRPr="00CA1E2C" w:rsidRDefault="00D25BC5" w:rsidP="006F3BDD">
      <w:pPr>
        <w:rPr>
          <w:i/>
        </w:rPr>
      </w:pPr>
      <w:r w:rsidRPr="00CA1E2C">
        <w:rPr>
          <w:i/>
        </w:rPr>
        <w:t>Key space-related activities</w:t>
      </w:r>
    </w:p>
    <w:p w14:paraId="1B85BD00" w14:textId="47D84122" w:rsidR="00D25BC5" w:rsidRPr="00CA1E2C" w:rsidRDefault="00D25BC5" w:rsidP="006F3BDD">
      <w:r w:rsidRPr="00CA1E2C">
        <w:t xml:space="preserve">AMSA is a significant user of satellite technology for a number of applications including aviation and maritime search and rescue, pollution surveillance, oil spill and disaster response, ship and navigation safety and ad-hoc imagery. It is also active in international bodies, such as the IMO, the ITU, the IALA, ICAO and </w:t>
      </w:r>
      <w:proofErr w:type="spellStart"/>
      <w:r w:rsidRPr="00CA1E2C">
        <w:t>Cospas-Sarsat</w:t>
      </w:r>
      <w:proofErr w:type="spellEnd"/>
      <w:r w:rsidRPr="00CA1E2C">
        <w:t>, which deal (in part) with radionavigation and satellite-based sy</w:t>
      </w:r>
      <w:r w:rsidR="00653D4E" w:rsidRPr="00CA1E2C">
        <w:t xml:space="preserve">stems, procedures, policies and </w:t>
      </w:r>
      <w:proofErr w:type="spellStart"/>
      <w:r w:rsidR="00653D4E" w:rsidRPr="00CA1E2C">
        <w:t>r</w:t>
      </w:r>
      <w:r w:rsidRPr="00CA1E2C">
        <w:t>adiocommunications</w:t>
      </w:r>
      <w:proofErr w:type="spellEnd"/>
      <w:r w:rsidRPr="00CA1E2C">
        <w:t>.</w:t>
      </w:r>
    </w:p>
    <w:p w14:paraId="79A76B82" w14:textId="19E317EF" w:rsidR="00D25BC5" w:rsidRDefault="00C35904" w:rsidP="006F3BDD">
      <w:pPr>
        <w:rPr>
          <w:color w:val="000000" w:themeColor="text1"/>
        </w:rPr>
      </w:pPr>
      <w:hyperlink r:id="rId48" w:tooltip="www.amsa.gov.au" w:history="1">
        <w:r w:rsidR="006F3BDD" w:rsidRPr="00012623">
          <w:rPr>
            <w:rStyle w:val="Hyperlink"/>
            <w:rFonts w:cs="Times New Roman"/>
          </w:rPr>
          <w:t>www.amsa.gov.au</w:t>
        </w:r>
      </w:hyperlink>
    </w:p>
    <w:p w14:paraId="39DAB416" w14:textId="77777777" w:rsidR="00D25BC5" w:rsidRPr="006F3BDD" w:rsidRDefault="00D25BC5" w:rsidP="005152B0">
      <w:pPr>
        <w:spacing w:before="240"/>
        <w:rPr>
          <w:b/>
          <w:i/>
        </w:rPr>
      </w:pPr>
      <w:r w:rsidRPr="006F3BDD">
        <w:rPr>
          <w:b/>
          <w:i/>
        </w:rPr>
        <w:t>Civil Aviation Safety Authority (CASA)</w:t>
      </w:r>
    </w:p>
    <w:p w14:paraId="6F856665" w14:textId="77777777" w:rsidR="0010327F" w:rsidRPr="00CA1E2C" w:rsidRDefault="0010327F" w:rsidP="006F3BDD">
      <w:pPr>
        <w:pStyle w:val="NormalWeb"/>
        <w:rPr>
          <w:rFonts w:cstheme="minorHAnsi"/>
          <w:sz w:val="22"/>
          <w:szCs w:val="22"/>
        </w:rPr>
      </w:pPr>
      <w:r w:rsidRPr="00CA1E2C">
        <w:rPr>
          <w:rFonts w:cstheme="minorHAnsi"/>
          <w:sz w:val="22"/>
          <w:szCs w:val="22"/>
        </w:rPr>
        <w:t>CASA is the government body that is responsible for the regulation of Australia’s civil aviation safety and Australian-administered airspace. CASA is required to ensure that Australian-administered airspace is safe, efficient and equitable for all users whilst also considering national security requirements.</w:t>
      </w:r>
    </w:p>
    <w:p w14:paraId="350D852E" w14:textId="77777777" w:rsidR="0010327F" w:rsidRPr="00CA1E2C" w:rsidRDefault="0010327F" w:rsidP="006F3BDD">
      <w:pPr>
        <w:rPr>
          <w:rFonts w:cstheme="minorHAnsi"/>
          <w:szCs w:val="22"/>
        </w:rPr>
      </w:pPr>
      <w:r w:rsidRPr="00CA1E2C">
        <w:rPr>
          <w:rFonts w:cstheme="minorHAnsi"/>
          <w:szCs w:val="22"/>
        </w:rPr>
        <w:t xml:space="preserve">CASA’s role is described in the </w:t>
      </w:r>
      <w:r w:rsidRPr="00CA1E2C">
        <w:rPr>
          <w:rFonts w:cstheme="minorHAnsi"/>
          <w:i/>
          <w:iCs/>
          <w:szCs w:val="22"/>
        </w:rPr>
        <w:t>Civil Aviation Act 1988</w:t>
      </w:r>
      <w:r w:rsidRPr="00CA1E2C">
        <w:rPr>
          <w:rFonts w:cstheme="minorHAnsi"/>
          <w:szCs w:val="22"/>
        </w:rPr>
        <w:t>, and implemented through the Civil Aviation Safety Regulations 1998. These regulations are broken down into parts, which may have associated Manual of Standards as well as supporting guidance material</w:t>
      </w:r>
    </w:p>
    <w:p w14:paraId="0EC8EFFB" w14:textId="3CE6162C" w:rsidR="00D25BC5" w:rsidRPr="00CA1E2C" w:rsidRDefault="00D25BC5" w:rsidP="006F3BDD">
      <w:r w:rsidRPr="00CA1E2C">
        <w:t xml:space="preserve">CASA’s Office of Airspace Regulation (OAR) has the authority to administer and regulate Australian -administered airspace. </w:t>
      </w:r>
      <w:r w:rsidR="0010327F" w:rsidRPr="00CA1E2C">
        <w:rPr>
          <w:rFonts w:cstheme="minorHAnsi"/>
          <w:szCs w:val="22"/>
        </w:rPr>
        <w:t>The OAR is responsible for determining the architecture, classification and level of services for all Australian airspace and this includes mitigation through airspace solutions to protect all airspace users from launches and recoveries of rockets and space vehicles</w:t>
      </w:r>
      <w:r w:rsidRPr="00CA1E2C">
        <w:t xml:space="preserve">. </w:t>
      </w:r>
    </w:p>
    <w:p w14:paraId="3841EA8D" w14:textId="696F8B49" w:rsidR="00D25BC5" w:rsidRPr="00CA1E2C" w:rsidRDefault="00D25BC5" w:rsidP="006F3BDD">
      <w:r w:rsidRPr="00CA1E2C">
        <w:t xml:space="preserve">Until the amended </w:t>
      </w:r>
      <w:r w:rsidRPr="00CA1E2C">
        <w:rPr>
          <w:i/>
        </w:rPr>
        <w:t>Space Activities Act</w:t>
      </w:r>
      <w:r w:rsidRPr="00CA1E2C">
        <w:t xml:space="preserve"> comes into force, CASA has oversighting responsibility for the assessment and approval of rocket launches (including </w:t>
      </w:r>
      <w:r w:rsidR="0010327F" w:rsidRPr="00CA1E2C">
        <w:t>h</w:t>
      </w:r>
      <w:r w:rsidRPr="00CA1E2C">
        <w:t xml:space="preserve">igh </w:t>
      </w:r>
      <w:r w:rsidR="0010327F" w:rsidRPr="00CA1E2C">
        <w:t>p</w:t>
      </w:r>
      <w:r w:rsidRPr="00CA1E2C">
        <w:t>ower rockets) within Australia and collaborates with the required internal and external stakeholders to ensure that all high-altitude aviation activities are conducted with the safety of aviation navigation as the highest consideration.</w:t>
      </w:r>
    </w:p>
    <w:p w14:paraId="1814305A" w14:textId="77777777" w:rsidR="00A756D7" w:rsidRPr="00CA1E2C" w:rsidRDefault="00A756D7" w:rsidP="006F3BDD">
      <w:pPr>
        <w:rPr>
          <w:i/>
        </w:rPr>
      </w:pPr>
      <w:r w:rsidRPr="00CA1E2C">
        <w:rPr>
          <w:i/>
        </w:rPr>
        <w:t>Key space-related activities</w:t>
      </w:r>
    </w:p>
    <w:p w14:paraId="2579CE69" w14:textId="4BBC4558" w:rsidR="00A756D7" w:rsidRPr="00CA1E2C" w:rsidRDefault="006F3BDD" w:rsidP="006F3BDD">
      <w:r>
        <w:t>CASA currently has oversight</w:t>
      </w:r>
      <w:r w:rsidR="00A756D7" w:rsidRPr="00CA1E2C">
        <w:t xml:space="preserve"> responsibility for assessment and approval of rocket (including high power rocket) launches within Australia and collaborates with internal and external stakeholders to ensure that all high-altitude aviation activities do not impact the safety of all airspace users and to consider the impact of launch and recovery activity on the efficient and equitable use of airspace for all airspace users. CASA must also consider national security when considering airspace changes.</w:t>
      </w:r>
    </w:p>
    <w:p w14:paraId="4CF04DF0" w14:textId="77777777" w:rsidR="00A756D7" w:rsidRPr="00CA1E2C" w:rsidRDefault="00A756D7" w:rsidP="006F3BDD">
      <w:r w:rsidRPr="00CA1E2C">
        <w:t xml:space="preserve">CASA has previously assessed applications for overflight and emergency landing requirements for high-altitude aviation activity (such as balloons and long duration aircraft flights) within Australia. There is an increasing demand for approvals to enable high altitude operations. The OAR within CASA assesses applications for high altitude activity to determine any potential residual risk and the need for airspace solutions to mitigate the risks.  This could include declaration of Temporary Danger Areas or Temporary Restricted Areas. </w:t>
      </w:r>
    </w:p>
    <w:p w14:paraId="3C243588" w14:textId="0298A4DC" w:rsidR="00A756D7" w:rsidRPr="00CA1E2C" w:rsidRDefault="00A756D7" w:rsidP="006F3BDD">
      <w:r w:rsidRPr="00CA1E2C">
        <w:t xml:space="preserve">CASA will contribute as required to assist the </w:t>
      </w:r>
      <w:r w:rsidR="006F3BDD">
        <w:t>DIIS</w:t>
      </w:r>
      <w:r w:rsidRPr="00CA1E2C">
        <w:t xml:space="preserve"> </w:t>
      </w:r>
      <w:r w:rsidR="006F3BDD">
        <w:t xml:space="preserve">and </w:t>
      </w:r>
      <w:proofErr w:type="spellStart"/>
      <w:r w:rsidR="006F3BDD">
        <w:t>Airservices</w:t>
      </w:r>
      <w:proofErr w:type="spellEnd"/>
      <w:r w:rsidR="006F3BDD">
        <w:t xml:space="preserve"> Australia</w:t>
      </w:r>
      <w:r w:rsidRPr="00CA1E2C">
        <w:t xml:space="preserve"> in implementing the relevant provisions of the amended </w:t>
      </w:r>
      <w:r w:rsidRPr="006F3BDD">
        <w:rPr>
          <w:i/>
        </w:rPr>
        <w:t>Space Activities Act</w:t>
      </w:r>
      <w:r w:rsidRPr="00CA1E2C">
        <w:t>, acknowledging that the nature of space related activity is evolving to include sub-orbital flights, high-altitude surveillance capabilities, high-altitude communication systems, low earth orbit balloon and RPAS activities.</w:t>
      </w:r>
    </w:p>
    <w:p w14:paraId="6D48DF30" w14:textId="233FBD75" w:rsidR="00D25BC5" w:rsidRPr="006F3BDD" w:rsidRDefault="00C35904" w:rsidP="006F3BDD">
      <w:pPr>
        <w:rPr>
          <w:rStyle w:val="Hyperlink"/>
          <w:rFonts w:cs="Times New Roman"/>
        </w:rPr>
      </w:pPr>
      <w:hyperlink r:id="rId49" w:tooltip="www.casa.gov.au" w:history="1">
        <w:r w:rsidR="00D25BC5" w:rsidRPr="006F3BDD">
          <w:rPr>
            <w:rStyle w:val="Hyperlink"/>
            <w:rFonts w:cs="Times New Roman"/>
          </w:rPr>
          <w:t>www.casa.gov.au</w:t>
        </w:r>
      </w:hyperlink>
    </w:p>
    <w:p w14:paraId="1FA73158" w14:textId="77777777" w:rsidR="00D25BC5" w:rsidRPr="006F3BDD" w:rsidRDefault="00D25BC5" w:rsidP="005152B0">
      <w:pPr>
        <w:spacing w:before="240"/>
        <w:rPr>
          <w:b/>
          <w:i/>
        </w:rPr>
      </w:pPr>
      <w:proofErr w:type="spellStart"/>
      <w:r w:rsidRPr="006F3BDD">
        <w:rPr>
          <w:b/>
          <w:i/>
        </w:rPr>
        <w:t>Airservices</w:t>
      </w:r>
      <w:proofErr w:type="spellEnd"/>
      <w:r w:rsidRPr="006F3BDD">
        <w:rPr>
          <w:b/>
          <w:i/>
        </w:rPr>
        <w:t xml:space="preserve"> Australia (</w:t>
      </w:r>
      <w:proofErr w:type="spellStart"/>
      <w:r w:rsidRPr="006F3BDD">
        <w:rPr>
          <w:b/>
          <w:i/>
        </w:rPr>
        <w:t>Airservices</w:t>
      </w:r>
      <w:proofErr w:type="spellEnd"/>
      <w:r w:rsidRPr="006F3BDD">
        <w:rPr>
          <w:b/>
          <w:i/>
        </w:rPr>
        <w:t>)</w:t>
      </w:r>
    </w:p>
    <w:p w14:paraId="6C1CCF03" w14:textId="77777777" w:rsidR="00D25BC5" w:rsidRPr="00CA1E2C" w:rsidRDefault="00D25BC5" w:rsidP="006F3BDD">
      <w:proofErr w:type="spellStart"/>
      <w:r w:rsidRPr="00CA1E2C">
        <w:t>Airservices</w:t>
      </w:r>
      <w:proofErr w:type="spellEnd"/>
      <w:r w:rsidRPr="00CA1E2C">
        <w:t xml:space="preserve"> provides air navigation services, including air traffic management for civil aviation, from the surface to the limit of atmospheric flight.</w:t>
      </w:r>
    </w:p>
    <w:p w14:paraId="04350742" w14:textId="53D4790A" w:rsidR="00A46F06" w:rsidRPr="00CA1E2C" w:rsidRDefault="00A46F06" w:rsidP="006F3BDD">
      <w:proofErr w:type="spellStart"/>
      <w:r w:rsidRPr="00CA1E2C">
        <w:t>Airservices</w:t>
      </w:r>
      <w:proofErr w:type="spellEnd"/>
      <w:r w:rsidRPr="00CA1E2C">
        <w:t xml:space="preserve"> Au</w:t>
      </w:r>
      <w:r w:rsidR="00904DCD">
        <w:t>stralia is a member of the PNT Working G</w:t>
      </w:r>
      <w:r w:rsidRPr="00CA1E2C">
        <w:t>roup.</w:t>
      </w:r>
    </w:p>
    <w:p w14:paraId="6431504B" w14:textId="167ADC96" w:rsidR="00D25BC5" w:rsidRPr="00CA1E2C" w:rsidRDefault="00C35904" w:rsidP="006F3BDD">
      <w:pPr>
        <w:rPr>
          <w:color w:val="000000" w:themeColor="text1"/>
        </w:rPr>
      </w:pPr>
      <w:hyperlink r:id="rId50" w:tooltip="www.airservicesaustralia.com" w:history="1">
        <w:r w:rsidR="006F3BDD" w:rsidRPr="00012623">
          <w:rPr>
            <w:rStyle w:val="Hyperlink"/>
            <w:rFonts w:cs="Times New Roman"/>
          </w:rPr>
          <w:t>www.airservicesaustralia.com</w:t>
        </w:r>
      </w:hyperlink>
      <w:r w:rsidR="006F3BDD">
        <w:rPr>
          <w:color w:val="000000" w:themeColor="text1"/>
        </w:rPr>
        <w:t xml:space="preserve"> </w:t>
      </w:r>
    </w:p>
    <w:p w14:paraId="2DF0CD5B" w14:textId="2766F30D" w:rsidR="007B0B7A" w:rsidRPr="00CA1E2C" w:rsidRDefault="007B0B7A" w:rsidP="00CF1511">
      <w:pPr>
        <w:pStyle w:val="TableHeading"/>
        <w:spacing w:before="240" w:after="120"/>
      </w:pPr>
      <w:r w:rsidRPr="00CA1E2C">
        <w:t xml:space="preserve">Department of the Prime Minister and Cabinet </w:t>
      </w:r>
    </w:p>
    <w:p w14:paraId="6A2B20D8" w14:textId="76179DD3" w:rsidR="007B0B7A" w:rsidRPr="008161FE" w:rsidRDefault="009E637B" w:rsidP="008161FE">
      <w:pPr>
        <w:autoSpaceDE w:val="0"/>
        <w:autoSpaceDN w:val="0"/>
        <w:rPr>
          <w:rFonts w:cstheme="minorHAnsi"/>
          <w:szCs w:val="22"/>
        </w:rPr>
      </w:pPr>
      <w:r w:rsidRPr="008161FE">
        <w:rPr>
          <w:rFonts w:cstheme="minorHAnsi"/>
          <w:szCs w:val="22"/>
        </w:rPr>
        <w:t xml:space="preserve">The Department of the Prime Minister and Cabinet (PM&amp;C) </w:t>
      </w:r>
      <w:r w:rsidR="00AB5E3C" w:rsidRPr="008161FE">
        <w:rPr>
          <w:rFonts w:cstheme="minorHAnsi"/>
          <w:szCs w:val="22"/>
        </w:rPr>
        <w:t>provide</w:t>
      </w:r>
      <w:r w:rsidRPr="008161FE">
        <w:rPr>
          <w:rFonts w:cstheme="minorHAnsi"/>
          <w:szCs w:val="22"/>
        </w:rPr>
        <w:t>s</w:t>
      </w:r>
      <w:r w:rsidR="00AB5E3C" w:rsidRPr="008161FE">
        <w:rPr>
          <w:rFonts w:cstheme="minorHAnsi"/>
          <w:szCs w:val="22"/>
        </w:rPr>
        <w:t xml:space="preserve"> high quality advice and support to the Prime Minister, the Cabinet, Portfolio Ministers and Assistant Ministers to achieve a coordinated and innovative approach to the development and implementation of Government policies. </w:t>
      </w:r>
      <w:r w:rsidRPr="008161FE">
        <w:rPr>
          <w:rFonts w:cstheme="minorHAnsi"/>
          <w:szCs w:val="22"/>
        </w:rPr>
        <w:t xml:space="preserve">It </w:t>
      </w:r>
      <w:r w:rsidR="00AB5E3C" w:rsidRPr="008161FE">
        <w:rPr>
          <w:rFonts w:cstheme="minorHAnsi"/>
          <w:szCs w:val="22"/>
        </w:rPr>
        <w:t>coordinate</w:t>
      </w:r>
      <w:r w:rsidRPr="008161FE">
        <w:rPr>
          <w:rFonts w:cstheme="minorHAnsi"/>
          <w:szCs w:val="22"/>
        </w:rPr>
        <w:t>s</w:t>
      </w:r>
      <w:r w:rsidR="00AB5E3C" w:rsidRPr="008161FE">
        <w:rPr>
          <w:rFonts w:cstheme="minorHAnsi"/>
          <w:szCs w:val="22"/>
        </w:rPr>
        <w:t xml:space="preserve"> and </w:t>
      </w:r>
      <w:r w:rsidR="00AB5E3C" w:rsidRPr="008161FE">
        <w:rPr>
          <w:rFonts w:cstheme="minorHAnsi"/>
          <w:szCs w:val="22"/>
        </w:rPr>
        <w:lastRenderedPageBreak/>
        <w:t>develop</w:t>
      </w:r>
      <w:r w:rsidR="00FF2C2D">
        <w:rPr>
          <w:rFonts w:cstheme="minorHAnsi"/>
          <w:szCs w:val="22"/>
        </w:rPr>
        <w:t>s</w:t>
      </w:r>
      <w:r w:rsidR="00AB5E3C" w:rsidRPr="008161FE">
        <w:rPr>
          <w:rFonts w:cstheme="minorHAnsi"/>
          <w:szCs w:val="22"/>
        </w:rPr>
        <w:t xml:space="preserve"> policy across the Government in economic, domestic and international issues, Aboriginal and Torres Strait Islander affairs and public service stewardship.</w:t>
      </w:r>
    </w:p>
    <w:p w14:paraId="2E2BAC86" w14:textId="18C36AE2" w:rsidR="00335A02" w:rsidRPr="008161FE" w:rsidRDefault="00335A02" w:rsidP="008161FE">
      <w:pPr>
        <w:autoSpaceDE w:val="0"/>
        <w:autoSpaceDN w:val="0"/>
        <w:rPr>
          <w:rFonts w:cstheme="minorHAnsi"/>
          <w:szCs w:val="22"/>
        </w:rPr>
      </w:pPr>
      <w:r w:rsidRPr="008161FE">
        <w:rPr>
          <w:rFonts w:cstheme="minorHAnsi"/>
          <w:szCs w:val="22"/>
        </w:rPr>
        <w:t xml:space="preserve">PM&amp;C has observer status on the </w:t>
      </w:r>
      <w:r w:rsidR="009C4D67">
        <w:rPr>
          <w:rFonts w:cstheme="minorHAnsi"/>
          <w:szCs w:val="22"/>
        </w:rPr>
        <w:t>SCC</w:t>
      </w:r>
      <w:r w:rsidR="006F3BDD" w:rsidRPr="008161FE">
        <w:rPr>
          <w:rFonts w:cstheme="minorHAnsi"/>
          <w:szCs w:val="22"/>
        </w:rPr>
        <w:t>.</w:t>
      </w:r>
    </w:p>
    <w:p w14:paraId="59EE6F08" w14:textId="085F5C8F" w:rsidR="009E637B" w:rsidRPr="00CA1E2C" w:rsidRDefault="00C35904" w:rsidP="006F3BDD">
      <w:hyperlink r:id="rId51" w:tooltip="www.pmc.gov.au" w:history="1">
        <w:r w:rsidR="006F3BDD" w:rsidRPr="00012623">
          <w:rPr>
            <w:rStyle w:val="Hyperlink"/>
            <w:rFonts w:cs="Times New Roman"/>
          </w:rPr>
          <w:t>www.pmc.gov.au</w:t>
        </w:r>
      </w:hyperlink>
      <w:r w:rsidR="006F3BDD">
        <w:t xml:space="preserve"> </w:t>
      </w:r>
    </w:p>
    <w:p w14:paraId="0CA97C86" w14:textId="77777777" w:rsidR="00031D01" w:rsidRPr="00CA1E2C" w:rsidRDefault="00031D01" w:rsidP="00CF1511">
      <w:pPr>
        <w:pStyle w:val="TableHeading"/>
        <w:spacing w:before="240" w:after="120"/>
      </w:pPr>
      <w:r w:rsidRPr="00CA1E2C">
        <w:t>Geoscience Australia</w:t>
      </w:r>
    </w:p>
    <w:p w14:paraId="6A2CE9FC" w14:textId="1852E674" w:rsidR="00031D01" w:rsidRPr="00CA1E2C" w:rsidRDefault="00031D01" w:rsidP="00125A37">
      <w:pPr>
        <w:autoSpaceDE w:val="0"/>
        <w:autoSpaceDN w:val="0"/>
        <w:rPr>
          <w:rFonts w:cstheme="minorHAnsi"/>
          <w:szCs w:val="22"/>
        </w:rPr>
      </w:pPr>
      <w:r w:rsidRPr="00CA1E2C">
        <w:rPr>
          <w:rFonts w:cstheme="minorHAnsi"/>
          <w:szCs w:val="22"/>
        </w:rPr>
        <w:t>GA is the Australian Government’s national geoscience organisation, applying geoscience to Australia's most important challenges. It is the Australian Government's technical adviser on all aspects of geoscience, and custodian of the geographical and geological data and knowledge of the nation. The GA work program supports the work of other Australian Government agencies, state and territory governments, researchers, international partners, and industry.</w:t>
      </w:r>
    </w:p>
    <w:p w14:paraId="581955A4" w14:textId="77777777" w:rsidR="00031D01" w:rsidRPr="00CA1E2C" w:rsidRDefault="00031D01" w:rsidP="00125A37">
      <w:pPr>
        <w:autoSpaceDE w:val="0"/>
        <w:autoSpaceDN w:val="0"/>
        <w:rPr>
          <w:rFonts w:cstheme="minorHAnsi"/>
          <w:szCs w:val="22"/>
        </w:rPr>
      </w:pPr>
      <w:r w:rsidRPr="00CA1E2C">
        <w:rPr>
          <w:rFonts w:cstheme="minorHAnsi"/>
          <w:szCs w:val="22"/>
        </w:rPr>
        <w:t>GA supports civil space activities through leadership and planning, operational service delivery, ongoing maintenance of infrastructure and data, strategic partnerships, and knowledge-transfer. These activities create value for stakeholders by supporting capability development and critical decision-making across the agency’s six strategic priorities:</w:t>
      </w:r>
    </w:p>
    <w:p w14:paraId="5EF76066" w14:textId="77777777" w:rsidR="00031D01" w:rsidRPr="00CA1E2C" w:rsidRDefault="00031D01" w:rsidP="00780260">
      <w:pPr>
        <w:pStyle w:val="ListNumber"/>
        <w:numPr>
          <w:ilvl w:val="0"/>
          <w:numId w:val="17"/>
        </w:numPr>
      </w:pPr>
      <w:r w:rsidRPr="00CA1E2C">
        <w:t>Building Australia's Resource Wealth</w:t>
      </w:r>
    </w:p>
    <w:p w14:paraId="533A1181" w14:textId="77777777" w:rsidR="00031D01" w:rsidRPr="00CA1E2C" w:rsidRDefault="00031D01" w:rsidP="00125A37">
      <w:pPr>
        <w:pStyle w:val="ListNumber"/>
      </w:pPr>
      <w:r w:rsidRPr="00CA1E2C">
        <w:t>Ensuring Australia's Community Safety</w:t>
      </w:r>
    </w:p>
    <w:p w14:paraId="75BE63A4" w14:textId="77777777" w:rsidR="00031D01" w:rsidRPr="00CA1E2C" w:rsidRDefault="00031D01" w:rsidP="00125A37">
      <w:pPr>
        <w:pStyle w:val="ListNumber"/>
      </w:pPr>
      <w:r w:rsidRPr="00CA1E2C">
        <w:t>Securing Australia's Water Resources</w:t>
      </w:r>
    </w:p>
    <w:p w14:paraId="24018C5B" w14:textId="77777777" w:rsidR="00031D01" w:rsidRPr="00CA1E2C" w:rsidRDefault="00031D01" w:rsidP="00125A37">
      <w:pPr>
        <w:pStyle w:val="ListNumber"/>
      </w:pPr>
      <w:r w:rsidRPr="00CA1E2C">
        <w:t>Managing Australia's Marine Jurisdictions</w:t>
      </w:r>
    </w:p>
    <w:p w14:paraId="6A72499C" w14:textId="77777777" w:rsidR="00031D01" w:rsidRPr="00CA1E2C" w:rsidRDefault="00031D01" w:rsidP="00125A37">
      <w:pPr>
        <w:pStyle w:val="ListNumber"/>
      </w:pPr>
      <w:r w:rsidRPr="00CA1E2C">
        <w:t>Providing Fundamental Geographic Information</w:t>
      </w:r>
    </w:p>
    <w:p w14:paraId="3D7EDB9C" w14:textId="77777777" w:rsidR="00031D01" w:rsidRPr="00CA1E2C" w:rsidRDefault="00031D01" w:rsidP="00125A37">
      <w:pPr>
        <w:pStyle w:val="ListNumber"/>
      </w:pPr>
      <w:r w:rsidRPr="00CA1E2C">
        <w:t>Maintaining Geoscience Knowledge and Capability</w:t>
      </w:r>
    </w:p>
    <w:p w14:paraId="46BBC5C4" w14:textId="77777777" w:rsidR="00031D01" w:rsidRPr="00CA1E2C" w:rsidRDefault="00031D01" w:rsidP="00125A37">
      <w:r w:rsidRPr="00CA1E2C">
        <w:t>GA is the lead agency for PNT and non-meteorological operational use of EOS in Australia. GA provides geoscience infrastructure, knowledge and expertise that assures access to space capability, supports innovation, science skills and development, strengthens domestic and international coordination, and protects economic well-being.</w:t>
      </w:r>
    </w:p>
    <w:p w14:paraId="2C9EBEBB" w14:textId="77777777" w:rsidR="00031D01" w:rsidRPr="00CA1E2C" w:rsidRDefault="00031D01" w:rsidP="00125A37">
      <w:pPr>
        <w:rPr>
          <w:bCs/>
          <w:i/>
          <w:color w:val="auto"/>
        </w:rPr>
      </w:pPr>
      <w:r w:rsidRPr="00CA1E2C">
        <w:rPr>
          <w:bCs/>
          <w:i/>
          <w:color w:val="auto"/>
        </w:rPr>
        <w:t>Key space-related activities</w:t>
      </w:r>
    </w:p>
    <w:p w14:paraId="332EA145" w14:textId="4946CF7A" w:rsidR="00A459DB" w:rsidRPr="00CA1E2C" w:rsidRDefault="00031D01" w:rsidP="00125A37">
      <w:pPr>
        <w:rPr>
          <w:bCs/>
        </w:rPr>
      </w:pPr>
      <w:r w:rsidRPr="00CA1E2C">
        <w:rPr>
          <w:bCs/>
        </w:rPr>
        <w:t xml:space="preserve">GA is jointly responsible for Australia’s EOS capabilities with the Bureau and CSIRO and is developing </w:t>
      </w:r>
      <w:r w:rsidR="00125A37">
        <w:rPr>
          <w:bCs/>
        </w:rPr>
        <w:t>DEA</w:t>
      </w:r>
      <w:r w:rsidRPr="00CA1E2C">
        <w:rPr>
          <w:bCs/>
        </w:rPr>
        <w:t xml:space="preserve">. As the lead agency for PNT, it is also developing the </w:t>
      </w:r>
      <w:r w:rsidR="00125A37">
        <w:rPr>
          <w:bCs/>
        </w:rPr>
        <w:t>SBAS</w:t>
      </w:r>
      <w:r w:rsidRPr="00CA1E2C">
        <w:rPr>
          <w:bCs/>
        </w:rPr>
        <w:t xml:space="preserve"> and the </w:t>
      </w:r>
      <w:r w:rsidR="00B50DC1">
        <w:rPr>
          <w:bCs/>
        </w:rPr>
        <w:t>NPIC</w:t>
      </w:r>
      <w:r w:rsidRPr="00CA1E2C">
        <w:rPr>
          <w:bCs/>
        </w:rPr>
        <w:t xml:space="preserve">. </w:t>
      </w:r>
    </w:p>
    <w:p w14:paraId="5C63F8CE" w14:textId="50AF7080" w:rsidR="00335A02" w:rsidRPr="00CA1E2C" w:rsidRDefault="00A459DB" w:rsidP="00125A37">
      <w:r w:rsidRPr="00CA1E2C">
        <w:rPr>
          <w:bCs/>
        </w:rPr>
        <w:t xml:space="preserve">GA </w:t>
      </w:r>
      <w:r w:rsidR="00335A02" w:rsidRPr="00CA1E2C">
        <w:t xml:space="preserve">is a member of the </w:t>
      </w:r>
      <w:r w:rsidR="009C4D67">
        <w:t>SCC</w:t>
      </w:r>
      <w:r w:rsidRPr="00CA1E2C">
        <w:t xml:space="preserve"> and </w:t>
      </w:r>
      <w:r w:rsidR="00335A02" w:rsidRPr="00CA1E2C">
        <w:t>co-chairs the Australian National Ground S</w:t>
      </w:r>
      <w:r w:rsidR="00561F6E">
        <w:t>egment</w:t>
      </w:r>
      <w:r w:rsidR="00335A02" w:rsidRPr="00CA1E2C">
        <w:t xml:space="preserve"> Technical Team. Through this team agencies and state governments coordinate the development and use of Earth observation satellite ground stations. G</w:t>
      </w:r>
      <w:r w:rsidRPr="00CA1E2C">
        <w:t>A</w:t>
      </w:r>
      <w:r w:rsidR="00335A02" w:rsidRPr="00CA1E2C">
        <w:t xml:space="preserve"> supports E</w:t>
      </w:r>
      <w:r w:rsidR="00125A37">
        <w:t>arth Observation Australia</w:t>
      </w:r>
      <w:r w:rsidR="00335A02" w:rsidRPr="00CA1E2C">
        <w:t>, which plays a key role in bringing together government, business, research and other players in the Earth observation community. It c</w:t>
      </w:r>
      <w:r w:rsidR="00335A02" w:rsidRPr="00CA1E2C">
        <w:rPr>
          <w:bCs/>
        </w:rPr>
        <w:t>o-chairs the SCC’s EOS Working Group (AEOSWG) with CSIRO and the Bureau</w:t>
      </w:r>
      <w:r w:rsidR="00ED506E">
        <w:rPr>
          <w:bCs/>
        </w:rPr>
        <w:t>.</w:t>
      </w:r>
      <w:r w:rsidRPr="00CA1E2C">
        <w:rPr>
          <w:bCs/>
        </w:rPr>
        <w:t xml:space="preserve"> </w:t>
      </w:r>
      <w:r w:rsidR="00335A02" w:rsidRPr="00CA1E2C">
        <w:t xml:space="preserve">GA </w:t>
      </w:r>
      <w:r w:rsidR="00ED506E">
        <w:t xml:space="preserve">also </w:t>
      </w:r>
      <w:r w:rsidR="00335A02" w:rsidRPr="00CA1E2C">
        <w:t>chairs the PNT Working Group (PNT-WG) and is a member of the Space Cross Sector Interest Group</w:t>
      </w:r>
      <w:r w:rsidRPr="00CA1E2C">
        <w:t>.</w:t>
      </w:r>
      <w:r w:rsidR="00335A02" w:rsidRPr="00CA1E2C">
        <w:t xml:space="preserve"> </w:t>
      </w:r>
    </w:p>
    <w:p w14:paraId="5C2D7732" w14:textId="5CCC89C1" w:rsidR="00031D01" w:rsidRPr="00CA1E2C" w:rsidRDefault="00C35904" w:rsidP="00125A37">
      <w:pPr>
        <w:rPr>
          <w:color w:val="000000" w:themeColor="text1"/>
        </w:rPr>
      </w:pPr>
      <w:hyperlink r:id="rId52" w:tooltip="www.ga.gov.au" w:history="1">
        <w:r w:rsidR="00125A37" w:rsidRPr="00012623">
          <w:rPr>
            <w:rStyle w:val="Hyperlink"/>
            <w:rFonts w:cs="Times New Roman"/>
          </w:rPr>
          <w:t>www.ga.gov.au</w:t>
        </w:r>
      </w:hyperlink>
      <w:r w:rsidR="00125A37">
        <w:rPr>
          <w:color w:val="000000" w:themeColor="text1"/>
        </w:rPr>
        <w:t xml:space="preserve"> </w:t>
      </w:r>
    </w:p>
    <w:p w14:paraId="6E0EFE78" w14:textId="46AA18AD" w:rsidR="005F1D07" w:rsidRPr="00CA1E2C" w:rsidRDefault="009E637B" w:rsidP="00CF1511">
      <w:pPr>
        <w:pStyle w:val="TableHeading"/>
        <w:spacing w:before="240" w:after="120"/>
      </w:pPr>
      <w:r w:rsidRPr="00CA1E2C">
        <w:t>Treasury</w:t>
      </w:r>
    </w:p>
    <w:p w14:paraId="01F5CFC4" w14:textId="0D1B394D" w:rsidR="009E637B" w:rsidRPr="00CA1E2C" w:rsidRDefault="009E637B" w:rsidP="00986845">
      <w:pPr>
        <w:rPr>
          <w:rFonts w:cstheme="minorHAnsi"/>
          <w:bCs/>
          <w:iCs/>
          <w:color w:val="auto"/>
          <w:szCs w:val="22"/>
        </w:rPr>
      </w:pPr>
      <w:r w:rsidRPr="00CA1E2C">
        <w:rPr>
          <w:rFonts w:cstheme="minorHAnsi"/>
          <w:bCs/>
          <w:iCs/>
          <w:color w:val="auto"/>
          <w:szCs w:val="22"/>
        </w:rPr>
        <w:t xml:space="preserve">As a central policy agency, the Treasury is expected to anticipate and analyse policy issues with a whole-of-economy perspective, understand government and stakeholder circumstances, and respond rapidly to changing events and directions. </w:t>
      </w:r>
    </w:p>
    <w:p w14:paraId="2E2747CA" w14:textId="1A1C6682" w:rsidR="009E637B" w:rsidRPr="00CA1E2C" w:rsidRDefault="009E637B" w:rsidP="00986845">
      <w:pPr>
        <w:rPr>
          <w:rFonts w:cstheme="minorHAnsi"/>
          <w:bCs/>
          <w:iCs/>
          <w:color w:val="auto"/>
          <w:szCs w:val="22"/>
        </w:rPr>
      </w:pPr>
      <w:r w:rsidRPr="00CA1E2C">
        <w:rPr>
          <w:rFonts w:cstheme="minorHAnsi"/>
          <w:bCs/>
          <w:iCs/>
          <w:color w:val="auto"/>
          <w:szCs w:val="22"/>
        </w:rPr>
        <w:t>Treasury provides sound economic analysis and authoritative policy advice on issues such as: the economy, budget, taxation, financial sector, foreign investment, structural policy, superannuation, small business, housing affordability and international economic policy. It also works with state and territory governments on key policy areas, as well as managing federal financial relations.</w:t>
      </w:r>
    </w:p>
    <w:p w14:paraId="15FC3020" w14:textId="1324C25C" w:rsidR="00A459DB" w:rsidRPr="00CA1E2C" w:rsidRDefault="00A459DB" w:rsidP="00986845">
      <w:pPr>
        <w:rPr>
          <w:rFonts w:cstheme="minorHAnsi"/>
          <w:bCs/>
          <w:iCs/>
          <w:color w:val="auto"/>
          <w:szCs w:val="22"/>
        </w:rPr>
      </w:pPr>
      <w:r w:rsidRPr="00CA1E2C">
        <w:rPr>
          <w:rFonts w:cstheme="minorHAnsi"/>
          <w:bCs/>
          <w:iCs/>
          <w:color w:val="auto"/>
          <w:szCs w:val="22"/>
        </w:rPr>
        <w:t xml:space="preserve">The treasury has observer status on the </w:t>
      </w:r>
      <w:r w:rsidR="009C4D67">
        <w:rPr>
          <w:rFonts w:cstheme="minorHAnsi"/>
          <w:bCs/>
          <w:iCs/>
          <w:color w:val="auto"/>
          <w:szCs w:val="22"/>
        </w:rPr>
        <w:t>SCC</w:t>
      </w:r>
      <w:r w:rsidRPr="00CA1E2C">
        <w:rPr>
          <w:rFonts w:cstheme="minorHAnsi"/>
          <w:bCs/>
          <w:iCs/>
          <w:color w:val="auto"/>
          <w:szCs w:val="22"/>
        </w:rPr>
        <w:t xml:space="preserve">. </w:t>
      </w:r>
    </w:p>
    <w:p w14:paraId="28FD2FA0" w14:textId="2B1AD12F" w:rsidR="009E637B" w:rsidRPr="00CA1E2C" w:rsidRDefault="00C35904" w:rsidP="00986845">
      <w:pPr>
        <w:rPr>
          <w:color w:val="000000" w:themeColor="text1"/>
        </w:rPr>
      </w:pPr>
      <w:hyperlink r:id="rId53" w:tooltip="www.treasury.gov.au" w:history="1">
        <w:r w:rsidR="00986845" w:rsidRPr="00012623">
          <w:rPr>
            <w:rStyle w:val="Hyperlink"/>
            <w:rFonts w:cs="Times New Roman"/>
          </w:rPr>
          <w:t>www.treasury.gov.au</w:t>
        </w:r>
      </w:hyperlink>
      <w:r w:rsidR="00986845">
        <w:rPr>
          <w:color w:val="000000" w:themeColor="text1"/>
        </w:rPr>
        <w:t xml:space="preserve"> </w:t>
      </w:r>
    </w:p>
    <w:p w14:paraId="0050383C" w14:textId="396D6929" w:rsidR="00070591" w:rsidRPr="00CA1E2C" w:rsidRDefault="00070591" w:rsidP="00454F9F">
      <w:pPr>
        <w:rPr>
          <w:rFonts w:asciiTheme="majorHAnsi" w:hAnsiTheme="majorHAnsi" w:cstheme="majorHAnsi"/>
          <w:b/>
          <w:bCs/>
          <w:iCs/>
          <w:color w:val="004976" w:themeColor="background2"/>
          <w:sz w:val="44"/>
          <w:szCs w:val="28"/>
        </w:rPr>
      </w:pPr>
    </w:p>
    <w:p w14:paraId="3E1CA298" w14:textId="42753AA2" w:rsidR="005C06BB" w:rsidRPr="00CA1E2C" w:rsidRDefault="008B404C" w:rsidP="00454F9F">
      <w:pPr>
        <w:pStyle w:val="Heading2"/>
      </w:pPr>
      <w:r>
        <w:t>List of F</w:t>
      </w:r>
      <w:r w:rsidR="005C06BB" w:rsidRPr="00CA1E2C">
        <w:t>igures</w:t>
      </w:r>
    </w:p>
    <w:bookmarkStart w:id="61" w:name="_GoBack"/>
    <w:bookmarkEnd w:id="61"/>
    <w:p w14:paraId="0E982D00" w14:textId="77777777" w:rsidR="008C7C5C" w:rsidRDefault="004B699F">
      <w:pPr>
        <w:pStyle w:val="TableofFigures"/>
        <w:tabs>
          <w:tab w:val="right" w:leader="underscore" w:pos="9854"/>
        </w:tabs>
        <w:rPr>
          <w:rFonts w:eastAsiaTheme="minorEastAsia" w:cstheme="minorBidi"/>
          <w:i w:val="0"/>
          <w:iCs w:val="0"/>
          <w:noProof/>
          <w:color w:val="auto"/>
          <w:sz w:val="22"/>
          <w:szCs w:val="22"/>
        </w:rPr>
      </w:pPr>
      <w:r w:rsidRPr="00CA1E2C">
        <w:fldChar w:fldCharType="begin"/>
      </w:r>
      <w:r w:rsidRPr="00CA1E2C">
        <w:instrText xml:space="preserve"> TOC \h \z \c "Figure" </w:instrText>
      </w:r>
      <w:r w:rsidRPr="00CA1E2C">
        <w:fldChar w:fldCharType="separate"/>
      </w:r>
      <w:hyperlink w:anchor="_Toc41464104" w:history="1">
        <w:r w:rsidR="008C7C5C" w:rsidRPr="00E913F1">
          <w:rPr>
            <w:rStyle w:val="Hyperlink"/>
            <w:noProof/>
          </w:rPr>
          <w:t>Figure 1 – Summary of the Australian Civil Space Strategy</w:t>
        </w:r>
        <w:r w:rsidR="008C7C5C">
          <w:rPr>
            <w:noProof/>
            <w:webHidden/>
          </w:rPr>
          <w:tab/>
        </w:r>
        <w:r w:rsidR="008C7C5C">
          <w:rPr>
            <w:noProof/>
            <w:webHidden/>
          </w:rPr>
          <w:fldChar w:fldCharType="begin"/>
        </w:r>
        <w:r w:rsidR="008C7C5C">
          <w:rPr>
            <w:noProof/>
            <w:webHidden/>
          </w:rPr>
          <w:instrText xml:space="preserve"> PAGEREF _Toc41464104 \h </w:instrText>
        </w:r>
        <w:r w:rsidR="008C7C5C">
          <w:rPr>
            <w:noProof/>
            <w:webHidden/>
          </w:rPr>
        </w:r>
        <w:r w:rsidR="008C7C5C">
          <w:rPr>
            <w:noProof/>
            <w:webHidden/>
          </w:rPr>
          <w:fldChar w:fldCharType="separate"/>
        </w:r>
        <w:r w:rsidR="00C35904">
          <w:rPr>
            <w:noProof/>
            <w:webHidden/>
          </w:rPr>
          <w:t>7</w:t>
        </w:r>
        <w:r w:rsidR="008C7C5C">
          <w:rPr>
            <w:noProof/>
            <w:webHidden/>
          </w:rPr>
          <w:fldChar w:fldCharType="end"/>
        </w:r>
      </w:hyperlink>
    </w:p>
    <w:p w14:paraId="7F031CF5" w14:textId="77777777" w:rsidR="008C7C5C" w:rsidRDefault="008C7C5C">
      <w:pPr>
        <w:pStyle w:val="TableofFigures"/>
        <w:tabs>
          <w:tab w:val="right" w:leader="underscore" w:pos="9854"/>
        </w:tabs>
        <w:rPr>
          <w:rFonts w:eastAsiaTheme="minorEastAsia" w:cstheme="minorBidi"/>
          <w:i w:val="0"/>
          <w:iCs w:val="0"/>
          <w:noProof/>
          <w:color w:val="auto"/>
          <w:sz w:val="22"/>
          <w:szCs w:val="22"/>
        </w:rPr>
      </w:pPr>
      <w:hyperlink w:anchor="_Toc41464105" w:history="1">
        <w:r w:rsidRPr="00E913F1">
          <w:rPr>
            <w:rStyle w:val="Hyperlink"/>
            <w:noProof/>
          </w:rPr>
          <w:t>Figure 2 – Logo of the Agency</w:t>
        </w:r>
        <w:r>
          <w:rPr>
            <w:noProof/>
            <w:webHidden/>
          </w:rPr>
          <w:tab/>
        </w:r>
        <w:r>
          <w:rPr>
            <w:noProof/>
            <w:webHidden/>
          </w:rPr>
          <w:fldChar w:fldCharType="begin"/>
        </w:r>
        <w:r>
          <w:rPr>
            <w:noProof/>
            <w:webHidden/>
          </w:rPr>
          <w:instrText xml:space="preserve"> PAGEREF _Toc41464105 \h </w:instrText>
        </w:r>
        <w:r>
          <w:rPr>
            <w:noProof/>
            <w:webHidden/>
          </w:rPr>
        </w:r>
        <w:r>
          <w:rPr>
            <w:noProof/>
            <w:webHidden/>
          </w:rPr>
          <w:fldChar w:fldCharType="separate"/>
        </w:r>
        <w:r w:rsidR="00C35904">
          <w:rPr>
            <w:noProof/>
            <w:webHidden/>
          </w:rPr>
          <w:t>9</w:t>
        </w:r>
        <w:r>
          <w:rPr>
            <w:noProof/>
            <w:webHidden/>
          </w:rPr>
          <w:fldChar w:fldCharType="end"/>
        </w:r>
      </w:hyperlink>
    </w:p>
    <w:p w14:paraId="357AD98B" w14:textId="77777777" w:rsidR="008C7C5C" w:rsidRDefault="008C7C5C">
      <w:pPr>
        <w:pStyle w:val="TableofFigures"/>
        <w:tabs>
          <w:tab w:val="right" w:leader="underscore" w:pos="9854"/>
        </w:tabs>
        <w:rPr>
          <w:rFonts w:eastAsiaTheme="minorEastAsia" w:cstheme="minorBidi"/>
          <w:i w:val="0"/>
          <w:iCs w:val="0"/>
          <w:noProof/>
          <w:color w:val="auto"/>
          <w:sz w:val="22"/>
          <w:szCs w:val="22"/>
        </w:rPr>
      </w:pPr>
      <w:hyperlink w:anchor="_Toc41464106" w:history="1">
        <w:r w:rsidRPr="00E913F1">
          <w:rPr>
            <w:rStyle w:val="Hyperlink"/>
            <w:noProof/>
          </w:rPr>
          <w:t>Figure 3 – Story of the brand of the Agency</w:t>
        </w:r>
        <w:r>
          <w:rPr>
            <w:noProof/>
            <w:webHidden/>
          </w:rPr>
          <w:tab/>
        </w:r>
        <w:r>
          <w:rPr>
            <w:noProof/>
            <w:webHidden/>
          </w:rPr>
          <w:fldChar w:fldCharType="begin"/>
        </w:r>
        <w:r>
          <w:rPr>
            <w:noProof/>
            <w:webHidden/>
          </w:rPr>
          <w:instrText xml:space="preserve"> PAGEREF _Toc41464106 \h </w:instrText>
        </w:r>
        <w:r>
          <w:rPr>
            <w:noProof/>
            <w:webHidden/>
          </w:rPr>
        </w:r>
        <w:r>
          <w:rPr>
            <w:noProof/>
            <w:webHidden/>
          </w:rPr>
          <w:fldChar w:fldCharType="separate"/>
        </w:r>
        <w:r w:rsidR="00C35904">
          <w:rPr>
            <w:noProof/>
            <w:webHidden/>
          </w:rPr>
          <w:t>10</w:t>
        </w:r>
        <w:r>
          <w:rPr>
            <w:noProof/>
            <w:webHidden/>
          </w:rPr>
          <w:fldChar w:fldCharType="end"/>
        </w:r>
      </w:hyperlink>
    </w:p>
    <w:p w14:paraId="44F86AC2" w14:textId="77777777" w:rsidR="008C7C5C" w:rsidRDefault="008C7C5C">
      <w:pPr>
        <w:pStyle w:val="TableofFigures"/>
        <w:tabs>
          <w:tab w:val="right" w:leader="underscore" w:pos="9854"/>
        </w:tabs>
        <w:rPr>
          <w:rFonts w:eastAsiaTheme="minorEastAsia" w:cstheme="minorBidi"/>
          <w:i w:val="0"/>
          <w:iCs w:val="0"/>
          <w:noProof/>
          <w:color w:val="auto"/>
          <w:sz w:val="22"/>
          <w:szCs w:val="22"/>
        </w:rPr>
      </w:pPr>
      <w:hyperlink w:anchor="_Toc41464107" w:history="1">
        <w:r w:rsidRPr="00E913F1">
          <w:rPr>
            <w:rStyle w:val="Hyperlink"/>
            <w:noProof/>
          </w:rPr>
          <w:t>Figure 4 – First anniversary of Agency establishment</w:t>
        </w:r>
        <w:r>
          <w:rPr>
            <w:noProof/>
            <w:webHidden/>
          </w:rPr>
          <w:tab/>
        </w:r>
        <w:r>
          <w:rPr>
            <w:noProof/>
            <w:webHidden/>
          </w:rPr>
          <w:fldChar w:fldCharType="begin"/>
        </w:r>
        <w:r>
          <w:rPr>
            <w:noProof/>
            <w:webHidden/>
          </w:rPr>
          <w:instrText xml:space="preserve"> PAGEREF _Toc41464107 \h </w:instrText>
        </w:r>
        <w:r>
          <w:rPr>
            <w:noProof/>
            <w:webHidden/>
          </w:rPr>
        </w:r>
        <w:r>
          <w:rPr>
            <w:noProof/>
            <w:webHidden/>
          </w:rPr>
          <w:fldChar w:fldCharType="separate"/>
        </w:r>
        <w:r w:rsidR="00C35904">
          <w:rPr>
            <w:noProof/>
            <w:webHidden/>
          </w:rPr>
          <w:t>11</w:t>
        </w:r>
        <w:r>
          <w:rPr>
            <w:noProof/>
            <w:webHidden/>
          </w:rPr>
          <w:fldChar w:fldCharType="end"/>
        </w:r>
      </w:hyperlink>
    </w:p>
    <w:p w14:paraId="09247656" w14:textId="77777777" w:rsidR="008C7C5C" w:rsidRDefault="008C7C5C">
      <w:pPr>
        <w:pStyle w:val="TableofFigures"/>
        <w:tabs>
          <w:tab w:val="right" w:leader="underscore" w:pos="9854"/>
        </w:tabs>
        <w:rPr>
          <w:rFonts w:eastAsiaTheme="minorEastAsia" w:cstheme="minorBidi"/>
          <w:i w:val="0"/>
          <w:iCs w:val="0"/>
          <w:noProof/>
          <w:color w:val="auto"/>
          <w:sz w:val="22"/>
          <w:szCs w:val="22"/>
        </w:rPr>
      </w:pPr>
      <w:hyperlink w:anchor="_Toc41464108" w:history="1">
        <w:r w:rsidRPr="00E913F1">
          <w:rPr>
            <w:rStyle w:val="Hyperlink"/>
            <w:noProof/>
          </w:rPr>
          <w:t>Figure 5 – Signing of MoUs (France, Canada, UK and UAE)</w:t>
        </w:r>
        <w:r>
          <w:rPr>
            <w:noProof/>
            <w:webHidden/>
          </w:rPr>
          <w:tab/>
        </w:r>
        <w:r>
          <w:rPr>
            <w:noProof/>
            <w:webHidden/>
          </w:rPr>
          <w:fldChar w:fldCharType="begin"/>
        </w:r>
        <w:r>
          <w:rPr>
            <w:noProof/>
            <w:webHidden/>
          </w:rPr>
          <w:instrText xml:space="preserve"> PAGEREF _Toc41464108 \h </w:instrText>
        </w:r>
        <w:r>
          <w:rPr>
            <w:noProof/>
            <w:webHidden/>
          </w:rPr>
        </w:r>
        <w:r>
          <w:rPr>
            <w:noProof/>
            <w:webHidden/>
          </w:rPr>
          <w:fldChar w:fldCharType="separate"/>
        </w:r>
        <w:r w:rsidR="00C35904">
          <w:rPr>
            <w:noProof/>
            <w:webHidden/>
          </w:rPr>
          <w:t>16</w:t>
        </w:r>
        <w:r>
          <w:rPr>
            <w:noProof/>
            <w:webHidden/>
          </w:rPr>
          <w:fldChar w:fldCharType="end"/>
        </w:r>
      </w:hyperlink>
    </w:p>
    <w:p w14:paraId="56DC7D42" w14:textId="77777777" w:rsidR="008C7C5C" w:rsidRDefault="008C7C5C">
      <w:pPr>
        <w:pStyle w:val="TableofFigures"/>
        <w:tabs>
          <w:tab w:val="right" w:leader="underscore" w:pos="9854"/>
        </w:tabs>
        <w:rPr>
          <w:rFonts w:eastAsiaTheme="minorEastAsia" w:cstheme="minorBidi"/>
          <w:i w:val="0"/>
          <w:iCs w:val="0"/>
          <w:noProof/>
          <w:color w:val="auto"/>
          <w:sz w:val="22"/>
          <w:szCs w:val="22"/>
        </w:rPr>
      </w:pPr>
      <w:hyperlink w:anchor="_Toc41464109" w:history="1">
        <w:r w:rsidRPr="00E913F1">
          <w:rPr>
            <w:rStyle w:val="Hyperlink"/>
            <w:noProof/>
          </w:rPr>
          <w:t>Figure 6 – Signing of jurisdictional MoUs with ACT and NSW Governments</w:t>
        </w:r>
        <w:r>
          <w:rPr>
            <w:noProof/>
            <w:webHidden/>
          </w:rPr>
          <w:tab/>
        </w:r>
        <w:r>
          <w:rPr>
            <w:noProof/>
            <w:webHidden/>
          </w:rPr>
          <w:fldChar w:fldCharType="begin"/>
        </w:r>
        <w:r>
          <w:rPr>
            <w:noProof/>
            <w:webHidden/>
          </w:rPr>
          <w:instrText xml:space="preserve"> PAGEREF _Toc41464109 \h </w:instrText>
        </w:r>
        <w:r>
          <w:rPr>
            <w:noProof/>
            <w:webHidden/>
          </w:rPr>
        </w:r>
        <w:r>
          <w:rPr>
            <w:noProof/>
            <w:webHidden/>
          </w:rPr>
          <w:fldChar w:fldCharType="separate"/>
        </w:r>
        <w:r w:rsidR="00C35904">
          <w:rPr>
            <w:noProof/>
            <w:webHidden/>
          </w:rPr>
          <w:t>40</w:t>
        </w:r>
        <w:r>
          <w:rPr>
            <w:noProof/>
            <w:webHidden/>
          </w:rPr>
          <w:fldChar w:fldCharType="end"/>
        </w:r>
      </w:hyperlink>
    </w:p>
    <w:p w14:paraId="63BE39C5" w14:textId="77777777" w:rsidR="008C7C5C" w:rsidRDefault="008C7C5C">
      <w:pPr>
        <w:pStyle w:val="TableofFigures"/>
        <w:tabs>
          <w:tab w:val="right" w:leader="underscore" w:pos="9854"/>
        </w:tabs>
        <w:rPr>
          <w:rFonts w:eastAsiaTheme="minorEastAsia" w:cstheme="minorBidi"/>
          <w:i w:val="0"/>
          <w:iCs w:val="0"/>
          <w:noProof/>
          <w:color w:val="auto"/>
          <w:sz w:val="22"/>
          <w:szCs w:val="22"/>
        </w:rPr>
      </w:pPr>
      <w:hyperlink w:anchor="_Toc41464110" w:history="1">
        <w:r w:rsidRPr="00E913F1">
          <w:rPr>
            <w:rStyle w:val="Hyperlink"/>
            <w:noProof/>
          </w:rPr>
          <w:t>Figure 7 – Signing of first SSIs (L-R: Airbus, Nova Systems and Sitael)</w:t>
        </w:r>
        <w:r>
          <w:rPr>
            <w:noProof/>
            <w:webHidden/>
          </w:rPr>
          <w:tab/>
        </w:r>
        <w:r>
          <w:rPr>
            <w:noProof/>
            <w:webHidden/>
          </w:rPr>
          <w:fldChar w:fldCharType="begin"/>
        </w:r>
        <w:r>
          <w:rPr>
            <w:noProof/>
            <w:webHidden/>
          </w:rPr>
          <w:instrText xml:space="preserve"> PAGEREF _Toc41464110 \h </w:instrText>
        </w:r>
        <w:r>
          <w:rPr>
            <w:noProof/>
            <w:webHidden/>
          </w:rPr>
        </w:r>
        <w:r>
          <w:rPr>
            <w:noProof/>
            <w:webHidden/>
          </w:rPr>
          <w:fldChar w:fldCharType="separate"/>
        </w:r>
        <w:r w:rsidR="00C35904">
          <w:rPr>
            <w:noProof/>
            <w:webHidden/>
          </w:rPr>
          <w:t>40</w:t>
        </w:r>
        <w:r>
          <w:rPr>
            <w:noProof/>
            <w:webHidden/>
          </w:rPr>
          <w:fldChar w:fldCharType="end"/>
        </w:r>
      </w:hyperlink>
    </w:p>
    <w:p w14:paraId="13BB30E2" w14:textId="77777777" w:rsidR="008C7C5C" w:rsidRDefault="008C7C5C">
      <w:pPr>
        <w:pStyle w:val="TableofFigures"/>
        <w:tabs>
          <w:tab w:val="right" w:leader="underscore" w:pos="9854"/>
        </w:tabs>
        <w:rPr>
          <w:rFonts w:eastAsiaTheme="minorEastAsia" w:cstheme="minorBidi"/>
          <w:i w:val="0"/>
          <w:iCs w:val="0"/>
          <w:noProof/>
          <w:color w:val="auto"/>
          <w:sz w:val="22"/>
          <w:szCs w:val="22"/>
        </w:rPr>
      </w:pPr>
      <w:hyperlink w:anchor="_Toc41464111" w:history="1">
        <w:r w:rsidRPr="00E913F1">
          <w:rPr>
            <w:rStyle w:val="Hyperlink"/>
            <w:noProof/>
          </w:rPr>
          <w:t>Figure 8 – Map of SIF projects</w:t>
        </w:r>
        <w:r>
          <w:rPr>
            <w:noProof/>
            <w:webHidden/>
          </w:rPr>
          <w:tab/>
        </w:r>
        <w:r>
          <w:rPr>
            <w:noProof/>
            <w:webHidden/>
          </w:rPr>
          <w:fldChar w:fldCharType="begin"/>
        </w:r>
        <w:r>
          <w:rPr>
            <w:noProof/>
            <w:webHidden/>
          </w:rPr>
          <w:instrText xml:space="preserve"> PAGEREF _Toc41464111 \h </w:instrText>
        </w:r>
        <w:r>
          <w:rPr>
            <w:noProof/>
            <w:webHidden/>
          </w:rPr>
        </w:r>
        <w:r>
          <w:rPr>
            <w:noProof/>
            <w:webHidden/>
          </w:rPr>
          <w:fldChar w:fldCharType="separate"/>
        </w:r>
        <w:r w:rsidR="00C35904">
          <w:rPr>
            <w:noProof/>
            <w:webHidden/>
          </w:rPr>
          <w:t>41</w:t>
        </w:r>
        <w:r>
          <w:rPr>
            <w:noProof/>
            <w:webHidden/>
          </w:rPr>
          <w:fldChar w:fldCharType="end"/>
        </w:r>
      </w:hyperlink>
    </w:p>
    <w:p w14:paraId="3394947E" w14:textId="77777777" w:rsidR="005C06BB" w:rsidRDefault="004B699F" w:rsidP="00454F9F">
      <w:r w:rsidRPr="00CA1E2C">
        <w:fldChar w:fldCharType="end"/>
      </w:r>
    </w:p>
    <w:p w14:paraId="50E5D4D4" w14:textId="799CA957" w:rsidR="008B404C" w:rsidRPr="00CA1E2C" w:rsidRDefault="008B404C" w:rsidP="008B404C">
      <w:pPr>
        <w:pStyle w:val="Heading2"/>
      </w:pPr>
      <w:r w:rsidRPr="00CA1E2C">
        <w:t xml:space="preserve">List of </w:t>
      </w:r>
      <w:r>
        <w:t>Tables</w:t>
      </w:r>
    </w:p>
    <w:p w14:paraId="29F5C813" w14:textId="77777777" w:rsidR="008B404C" w:rsidRPr="00CA1E2C" w:rsidRDefault="008B404C" w:rsidP="00454F9F"/>
    <w:p w14:paraId="4EC15301" w14:textId="77777777" w:rsidR="00297B8D" w:rsidRDefault="008B404C">
      <w:pPr>
        <w:pStyle w:val="TableofFigures"/>
        <w:tabs>
          <w:tab w:val="right" w:leader="dot" w:pos="9854"/>
        </w:tabs>
        <w:rPr>
          <w:rFonts w:eastAsiaTheme="minorEastAsia" w:cstheme="minorBidi"/>
          <w:i w:val="0"/>
          <w:iCs w:val="0"/>
          <w:noProof/>
          <w:color w:val="auto"/>
          <w:sz w:val="22"/>
          <w:szCs w:val="22"/>
        </w:rPr>
      </w:pPr>
      <w:r>
        <w:fldChar w:fldCharType="begin"/>
      </w:r>
      <w:r>
        <w:instrText xml:space="preserve"> TOC \h \z \c "Table" </w:instrText>
      </w:r>
      <w:r>
        <w:fldChar w:fldCharType="separate"/>
      </w:r>
      <w:hyperlink w:anchor="_Toc40946019" w:history="1">
        <w:r w:rsidR="00297B8D" w:rsidRPr="00642C88">
          <w:rPr>
            <w:rStyle w:val="Hyperlink"/>
            <w:noProof/>
          </w:rPr>
          <w:t>Table 1 – Progress against measures of success (using the IBIS World report)</w:t>
        </w:r>
        <w:r w:rsidR="00297B8D">
          <w:rPr>
            <w:noProof/>
            <w:webHidden/>
          </w:rPr>
          <w:tab/>
        </w:r>
        <w:r w:rsidR="00297B8D">
          <w:rPr>
            <w:noProof/>
            <w:webHidden/>
          </w:rPr>
          <w:fldChar w:fldCharType="begin"/>
        </w:r>
        <w:r w:rsidR="00297B8D">
          <w:rPr>
            <w:noProof/>
            <w:webHidden/>
          </w:rPr>
          <w:instrText xml:space="preserve"> PAGEREF _Toc40946019 \h </w:instrText>
        </w:r>
        <w:r w:rsidR="00297B8D">
          <w:rPr>
            <w:noProof/>
            <w:webHidden/>
          </w:rPr>
        </w:r>
        <w:r w:rsidR="00297B8D">
          <w:rPr>
            <w:noProof/>
            <w:webHidden/>
          </w:rPr>
          <w:fldChar w:fldCharType="separate"/>
        </w:r>
        <w:r w:rsidR="00C35904">
          <w:rPr>
            <w:noProof/>
            <w:webHidden/>
          </w:rPr>
          <w:t>12</w:t>
        </w:r>
        <w:r w:rsidR="00297B8D">
          <w:rPr>
            <w:noProof/>
            <w:webHidden/>
          </w:rPr>
          <w:fldChar w:fldCharType="end"/>
        </w:r>
      </w:hyperlink>
    </w:p>
    <w:p w14:paraId="699A3DD4" w14:textId="77777777" w:rsidR="00297B8D" w:rsidRDefault="00C35904">
      <w:pPr>
        <w:pStyle w:val="TableofFigures"/>
        <w:tabs>
          <w:tab w:val="right" w:leader="dot" w:pos="9854"/>
        </w:tabs>
        <w:rPr>
          <w:rFonts w:eastAsiaTheme="minorEastAsia" w:cstheme="minorBidi"/>
          <w:i w:val="0"/>
          <w:iCs w:val="0"/>
          <w:noProof/>
          <w:color w:val="auto"/>
          <w:sz w:val="22"/>
          <w:szCs w:val="22"/>
        </w:rPr>
      </w:pPr>
      <w:hyperlink w:anchor="_Toc40946020" w:history="1">
        <w:r w:rsidR="00297B8D" w:rsidRPr="00642C88">
          <w:rPr>
            <w:rStyle w:val="Hyperlink"/>
            <w:noProof/>
          </w:rPr>
          <w:t>Table 2 – SCC international engagement activities</w:t>
        </w:r>
        <w:r w:rsidR="00297B8D">
          <w:rPr>
            <w:noProof/>
            <w:webHidden/>
          </w:rPr>
          <w:tab/>
        </w:r>
        <w:r w:rsidR="00297B8D">
          <w:rPr>
            <w:noProof/>
            <w:webHidden/>
          </w:rPr>
          <w:fldChar w:fldCharType="begin"/>
        </w:r>
        <w:r w:rsidR="00297B8D">
          <w:rPr>
            <w:noProof/>
            <w:webHidden/>
          </w:rPr>
          <w:instrText xml:space="preserve"> PAGEREF _Toc40946020 \h </w:instrText>
        </w:r>
        <w:r w:rsidR="00297B8D">
          <w:rPr>
            <w:noProof/>
            <w:webHidden/>
          </w:rPr>
        </w:r>
        <w:r w:rsidR="00297B8D">
          <w:rPr>
            <w:noProof/>
            <w:webHidden/>
          </w:rPr>
          <w:fldChar w:fldCharType="separate"/>
        </w:r>
        <w:r>
          <w:rPr>
            <w:noProof/>
            <w:webHidden/>
          </w:rPr>
          <w:t>17</w:t>
        </w:r>
        <w:r w:rsidR="00297B8D">
          <w:rPr>
            <w:noProof/>
            <w:webHidden/>
          </w:rPr>
          <w:fldChar w:fldCharType="end"/>
        </w:r>
      </w:hyperlink>
    </w:p>
    <w:p w14:paraId="5D42E081" w14:textId="77777777" w:rsidR="00297B8D" w:rsidRDefault="00C35904">
      <w:pPr>
        <w:pStyle w:val="TableofFigures"/>
        <w:tabs>
          <w:tab w:val="right" w:leader="dot" w:pos="9854"/>
        </w:tabs>
        <w:rPr>
          <w:rFonts w:eastAsiaTheme="minorEastAsia" w:cstheme="minorBidi"/>
          <w:i w:val="0"/>
          <w:iCs w:val="0"/>
          <w:noProof/>
          <w:color w:val="auto"/>
          <w:sz w:val="22"/>
          <w:szCs w:val="22"/>
        </w:rPr>
      </w:pPr>
      <w:hyperlink w:anchor="_Toc40946021" w:history="1">
        <w:r w:rsidR="00297B8D" w:rsidRPr="00642C88">
          <w:rPr>
            <w:rStyle w:val="Hyperlink"/>
            <w:noProof/>
          </w:rPr>
          <w:t>Table 3 – SCC communications technologies and services activities</w:t>
        </w:r>
        <w:r w:rsidR="00297B8D">
          <w:rPr>
            <w:noProof/>
            <w:webHidden/>
          </w:rPr>
          <w:tab/>
        </w:r>
        <w:r w:rsidR="00297B8D">
          <w:rPr>
            <w:noProof/>
            <w:webHidden/>
          </w:rPr>
          <w:fldChar w:fldCharType="begin"/>
        </w:r>
        <w:r w:rsidR="00297B8D">
          <w:rPr>
            <w:noProof/>
            <w:webHidden/>
          </w:rPr>
          <w:instrText xml:space="preserve"> PAGEREF _Toc40946021 \h </w:instrText>
        </w:r>
        <w:r w:rsidR="00297B8D">
          <w:rPr>
            <w:noProof/>
            <w:webHidden/>
          </w:rPr>
        </w:r>
        <w:r w:rsidR="00297B8D">
          <w:rPr>
            <w:noProof/>
            <w:webHidden/>
          </w:rPr>
          <w:fldChar w:fldCharType="separate"/>
        </w:r>
        <w:r>
          <w:rPr>
            <w:noProof/>
            <w:webHidden/>
          </w:rPr>
          <w:t>23</w:t>
        </w:r>
        <w:r w:rsidR="00297B8D">
          <w:rPr>
            <w:noProof/>
            <w:webHidden/>
          </w:rPr>
          <w:fldChar w:fldCharType="end"/>
        </w:r>
      </w:hyperlink>
    </w:p>
    <w:p w14:paraId="69ABA3AE" w14:textId="77777777" w:rsidR="00297B8D" w:rsidRDefault="00C35904">
      <w:pPr>
        <w:pStyle w:val="TableofFigures"/>
        <w:tabs>
          <w:tab w:val="right" w:leader="dot" w:pos="9854"/>
        </w:tabs>
        <w:rPr>
          <w:rFonts w:eastAsiaTheme="minorEastAsia" w:cstheme="minorBidi"/>
          <w:i w:val="0"/>
          <w:iCs w:val="0"/>
          <w:noProof/>
          <w:color w:val="auto"/>
          <w:sz w:val="22"/>
          <w:szCs w:val="22"/>
        </w:rPr>
      </w:pPr>
      <w:hyperlink w:anchor="_Toc40946022" w:history="1">
        <w:r w:rsidR="00297B8D" w:rsidRPr="00642C88">
          <w:rPr>
            <w:rStyle w:val="Hyperlink"/>
            <w:noProof/>
          </w:rPr>
          <w:t>Table 4 – SCC space situational awareness and debris monitoring activities</w:t>
        </w:r>
        <w:r w:rsidR="00297B8D">
          <w:rPr>
            <w:noProof/>
            <w:webHidden/>
          </w:rPr>
          <w:tab/>
        </w:r>
        <w:r w:rsidR="00297B8D">
          <w:rPr>
            <w:noProof/>
            <w:webHidden/>
          </w:rPr>
          <w:fldChar w:fldCharType="begin"/>
        </w:r>
        <w:r w:rsidR="00297B8D">
          <w:rPr>
            <w:noProof/>
            <w:webHidden/>
          </w:rPr>
          <w:instrText xml:space="preserve"> PAGEREF _Toc40946022 \h </w:instrText>
        </w:r>
        <w:r w:rsidR="00297B8D">
          <w:rPr>
            <w:noProof/>
            <w:webHidden/>
          </w:rPr>
        </w:r>
        <w:r w:rsidR="00297B8D">
          <w:rPr>
            <w:noProof/>
            <w:webHidden/>
          </w:rPr>
          <w:fldChar w:fldCharType="separate"/>
        </w:r>
        <w:r>
          <w:rPr>
            <w:noProof/>
            <w:webHidden/>
          </w:rPr>
          <w:t>27</w:t>
        </w:r>
        <w:r w:rsidR="00297B8D">
          <w:rPr>
            <w:noProof/>
            <w:webHidden/>
          </w:rPr>
          <w:fldChar w:fldCharType="end"/>
        </w:r>
      </w:hyperlink>
    </w:p>
    <w:p w14:paraId="78B33CD9" w14:textId="77777777" w:rsidR="00297B8D" w:rsidRDefault="00C35904">
      <w:pPr>
        <w:pStyle w:val="TableofFigures"/>
        <w:tabs>
          <w:tab w:val="right" w:leader="dot" w:pos="9854"/>
        </w:tabs>
        <w:rPr>
          <w:rFonts w:eastAsiaTheme="minorEastAsia" w:cstheme="minorBidi"/>
          <w:i w:val="0"/>
          <w:iCs w:val="0"/>
          <w:noProof/>
          <w:color w:val="auto"/>
          <w:sz w:val="22"/>
          <w:szCs w:val="22"/>
        </w:rPr>
      </w:pPr>
      <w:hyperlink w:anchor="_Toc40946023" w:history="1">
        <w:r w:rsidR="00297B8D" w:rsidRPr="00642C88">
          <w:rPr>
            <w:rStyle w:val="Hyperlink"/>
            <w:noProof/>
          </w:rPr>
          <w:t>Table 5 – SCC position, navigation and timing activities</w:t>
        </w:r>
        <w:r w:rsidR="00297B8D">
          <w:rPr>
            <w:noProof/>
            <w:webHidden/>
          </w:rPr>
          <w:tab/>
        </w:r>
        <w:r w:rsidR="00297B8D">
          <w:rPr>
            <w:noProof/>
            <w:webHidden/>
          </w:rPr>
          <w:fldChar w:fldCharType="begin"/>
        </w:r>
        <w:r w:rsidR="00297B8D">
          <w:rPr>
            <w:noProof/>
            <w:webHidden/>
          </w:rPr>
          <w:instrText xml:space="preserve"> PAGEREF _Toc40946023 \h </w:instrText>
        </w:r>
        <w:r w:rsidR="00297B8D">
          <w:rPr>
            <w:noProof/>
            <w:webHidden/>
          </w:rPr>
        </w:r>
        <w:r w:rsidR="00297B8D">
          <w:rPr>
            <w:noProof/>
            <w:webHidden/>
          </w:rPr>
          <w:fldChar w:fldCharType="separate"/>
        </w:r>
        <w:r>
          <w:rPr>
            <w:noProof/>
            <w:webHidden/>
          </w:rPr>
          <w:t>28</w:t>
        </w:r>
        <w:r w:rsidR="00297B8D">
          <w:rPr>
            <w:noProof/>
            <w:webHidden/>
          </w:rPr>
          <w:fldChar w:fldCharType="end"/>
        </w:r>
      </w:hyperlink>
    </w:p>
    <w:p w14:paraId="0F324D97" w14:textId="77777777" w:rsidR="00297B8D" w:rsidRDefault="00C35904">
      <w:pPr>
        <w:pStyle w:val="TableofFigures"/>
        <w:tabs>
          <w:tab w:val="right" w:leader="dot" w:pos="9854"/>
        </w:tabs>
        <w:rPr>
          <w:rFonts w:eastAsiaTheme="minorEastAsia" w:cstheme="minorBidi"/>
          <w:i w:val="0"/>
          <w:iCs w:val="0"/>
          <w:noProof/>
          <w:color w:val="auto"/>
          <w:sz w:val="22"/>
          <w:szCs w:val="22"/>
        </w:rPr>
      </w:pPr>
      <w:hyperlink w:anchor="_Toc40946024" w:history="1">
        <w:r w:rsidR="00297B8D" w:rsidRPr="00642C88">
          <w:rPr>
            <w:rStyle w:val="Hyperlink"/>
            <w:noProof/>
          </w:rPr>
          <w:t>Table 6 – SCC Earth observation activities</w:t>
        </w:r>
        <w:r w:rsidR="00297B8D">
          <w:rPr>
            <w:noProof/>
            <w:webHidden/>
          </w:rPr>
          <w:tab/>
        </w:r>
        <w:r w:rsidR="00297B8D">
          <w:rPr>
            <w:noProof/>
            <w:webHidden/>
          </w:rPr>
          <w:fldChar w:fldCharType="begin"/>
        </w:r>
        <w:r w:rsidR="00297B8D">
          <w:rPr>
            <w:noProof/>
            <w:webHidden/>
          </w:rPr>
          <w:instrText xml:space="preserve"> PAGEREF _Toc40946024 \h </w:instrText>
        </w:r>
        <w:r w:rsidR="00297B8D">
          <w:rPr>
            <w:noProof/>
            <w:webHidden/>
          </w:rPr>
        </w:r>
        <w:r w:rsidR="00297B8D">
          <w:rPr>
            <w:noProof/>
            <w:webHidden/>
          </w:rPr>
          <w:fldChar w:fldCharType="separate"/>
        </w:r>
        <w:r>
          <w:rPr>
            <w:noProof/>
            <w:webHidden/>
          </w:rPr>
          <w:t>30</w:t>
        </w:r>
        <w:r w:rsidR="00297B8D">
          <w:rPr>
            <w:noProof/>
            <w:webHidden/>
          </w:rPr>
          <w:fldChar w:fldCharType="end"/>
        </w:r>
      </w:hyperlink>
    </w:p>
    <w:p w14:paraId="17D75DF8" w14:textId="77777777" w:rsidR="00297B8D" w:rsidRDefault="00C35904">
      <w:pPr>
        <w:pStyle w:val="TableofFigures"/>
        <w:tabs>
          <w:tab w:val="right" w:leader="dot" w:pos="9854"/>
        </w:tabs>
        <w:rPr>
          <w:rFonts w:eastAsiaTheme="minorEastAsia" w:cstheme="minorBidi"/>
          <w:i w:val="0"/>
          <w:iCs w:val="0"/>
          <w:noProof/>
          <w:color w:val="auto"/>
          <w:sz w:val="22"/>
          <w:szCs w:val="22"/>
        </w:rPr>
      </w:pPr>
      <w:hyperlink w:anchor="_Toc40946025" w:history="1">
        <w:r w:rsidR="00297B8D" w:rsidRPr="00642C88">
          <w:rPr>
            <w:rStyle w:val="Hyperlink"/>
            <w:noProof/>
          </w:rPr>
          <w:t>Table 7 – SCC research and development activities</w:t>
        </w:r>
        <w:r w:rsidR="00297B8D">
          <w:rPr>
            <w:noProof/>
            <w:webHidden/>
          </w:rPr>
          <w:tab/>
        </w:r>
        <w:r w:rsidR="00297B8D">
          <w:rPr>
            <w:noProof/>
            <w:webHidden/>
          </w:rPr>
          <w:fldChar w:fldCharType="begin"/>
        </w:r>
        <w:r w:rsidR="00297B8D">
          <w:rPr>
            <w:noProof/>
            <w:webHidden/>
          </w:rPr>
          <w:instrText xml:space="preserve"> PAGEREF _Toc40946025 \h </w:instrText>
        </w:r>
        <w:r w:rsidR="00297B8D">
          <w:rPr>
            <w:noProof/>
            <w:webHidden/>
          </w:rPr>
        </w:r>
        <w:r w:rsidR="00297B8D">
          <w:rPr>
            <w:noProof/>
            <w:webHidden/>
          </w:rPr>
          <w:fldChar w:fldCharType="separate"/>
        </w:r>
        <w:r>
          <w:rPr>
            <w:noProof/>
            <w:webHidden/>
          </w:rPr>
          <w:t>35</w:t>
        </w:r>
        <w:r w:rsidR="00297B8D">
          <w:rPr>
            <w:noProof/>
            <w:webHidden/>
          </w:rPr>
          <w:fldChar w:fldCharType="end"/>
        </w:r>
      </w:hyperlink>
    </w:p>
    <w:p w14:paraId="3C3CAAD7" w14:textId="77777777" w:rsidR="00297B8D" w:rsidRDefault="00C35904">
      <w:pPr>
        <w:pStyle w:val="TableofFigures"/>
        <w:tabs>
          <w:tab w:val="right" w:leader="dot" w:pos="9854"/>
        </w:tabs>
        <w:rPr>
          <w:rFonts w:eastAsiaTheme="minorEastAsia" w:cstheme="minorBidi"/>
          <w:i w:val="0"/>
          <w:iCs w:val="0"/>
          <w:noProof/>
          <w:color w:val="auto"/>
          <w:sz w:val="22"/>
          <w:szCs w:val="22"/>
        </w:rPr>
      </w:pPr>
      <w:hyperlink w:anchor="_Toc40946026" w:history="1">
        <w:r w:rsidR="00297B8D" w:rsidRPr="00642C88">
          <w:rPr>
            <w:rStyle w:val="Hyperlink"/>
            <w:noProof/>
          </w:rPr>
          <w:t>Table 8 – SCC national security activities</w:t>
        </w:r>
        <w:r w:rsidR="00297B8D">
          <w:rPr>
            <w:noProof/>
            <w:webHidden/>
          </w:rPr>
          <w:tab/>
        </w:r>
        <w:r w:rsidR="00297B8D">
          <w:rPr>
            <w:noProof/>
            <w:webHidden/>
          </w:rPr>
          <w:fldChar w:fldCharType="begin"/>
        </w:r>
        <w:r w:rsidR="00297B8D">
          <w:rPr>
            <w:noProof/>
            <w:webHidden/>
          </w:rPr>
          <w:instrText xml:space="preserve"> PAGEREF _Toc40946026 \h </w:instrText>
        </w:r>
        <w:r w:rsidR="00297B8D">
          <w:rPr>
            <w:noProof/>
            <w:webHidden/>
          </w:rPr>
        </w:r>
        <w:r w:rsidR="00297B8D">
          <w:rPr>
            <w:noProof/>
            <w:webHidden/>
          </w:rPr>
          <w:fldChar w:fldCharType="separate"/>
        </w:r>
        <w:r>
          <w:rPr>
            <w:noProof/>
            <w:webHidden/>
          </w:rPr>
          <w:t>42</w:t>
        </w:r>
        <w:r w:rsidR="00297B8D">
          <w:rPr>
            <w:noProof/>
            <w:webHidden/>
          </w:rPr>
          <w:fldChar w:fldCharType="end"/>
        </w:r>
      </w:hyperlink>
    </w:p>
    <w:p w14:paraId="7E72D956" w14:textId="77777777" w:rsidR="00297B8D" w:rsidRDefault="00C35904">
      <w:pPr>
        <w:pStyle w:val="TableofFigures"/>
        <w:tabs>
          <w:tab w:val="right" w:leader="dot" w:pos="9854"/>
        </w:tabs>
        <w:rPr>
          <w:rFonts w:eastAsiaTheme="minorEastAsia" w:cstheme="minorBidi"/>
          <w:i w:val="0"/>
          <w:iCs w:val="0"/>
          <w:noProof/>
          <w:color w:val="auto"/>
          <w:sz w:val="22"/>
          <w:szCs w:val="22"/>
        </w:rPr>
      </w:pPr>
      <w:hyperlink w:anchor="_Toc40946027" w:history="1">
        <w:r w:rsidR="00297B8D" w:rsidRPr="00642C88">
          <w:rPr>
            <w:rStyle w:val="Hyperlink"/>
            <w:noProof/>
          </w:rPr>
          <w:t>Table 9 – SCC space regulation activities</w:t>
        </w:r>
        <w:r w:rsidR="00297B8D">
          <w:rPr>
            <w:noProof/>
            <w:webHidden/>
          </w:rPr>
          <w:tab/>
        </w:r>
        <w:r w:rsidR="00297B8D">
          <w:rPr>
            <w:noProof/>
            <w:webHidden/>
          </w:rPr>
          <w:fldChar w:fldCharType="begin"/>
        </w:r>
        <w:r w:rsidR="00297B8D">
          <w:rPr>
            <w:noProof/>
            <w:webHidden/>
          </w:rPr>
          <w:instrText xml:space="preserve"> PAGEREF _Toc40946027 \h </w:instrText>
        </w:r>
        <w:r w:rsidR="00297B8D">
          <w:rPr>
            <w:noProof/>
            <w:webHidden/>
          </w:rPr>
        </w:r>
        <w:r w:rsidR="00297B8D">
          <w:rPr>
            <w:noProof/>
            <w:webHidden/>
          </w:rPr>
          <w:fldChar w:fldCharType="separate"/>
        </w:r>
        <w:r>
          <w:rPr>
            <w:noProof/>
            <w:webHidden/>
          </w:rPr>
          <w:t>44</w:t>
        </w:r>
        <w:r w:rsidR="00297B8D">
          <w:rPr>
            <w:noProof/>
            <w:webHidden/>
          </w:rPr>
          <w:fldChar w:fldCharType="end"/>
        </w:r>
      </w:hyperlink>
    </w:p>
    <w:p w14:paraId="1708B347" w14:textId="77777777" w:rsidR="00297B8D" w:rsidRDefault="00C35904">
      <w:pPr>
        <w:pStyle w:val="TableofFigures"/>
        <w:tabs>
          <w:tab w:val="right" w:leader="dot" w:pos="9854"/>
        </w:tabs>
        <w:rPr>
          <w:rFonts w:eastAsiaTheme="minorEastAsia" w:cstheme="minorBidi"/>
          <w:i w:val="0"/>
          <w:iCs w:val="0"/>
          <w:noProof/>
          <w:color w:val="auto"/>
          <w:sz w:val="22"/>
          <w:szCs w:val="22"/>
        </w:rPr>
      </w:pPr>
      <w:hyperlink w:anchor="_Toc40946028" w:history="1">
        <w:r w:rsidR="00297B8D" w:rsidRPr="00642C88">
          <w:rPr>
            <w:rStyle w:val="Hyperlink"/>
            <w:noProof/>
          </w:rPr>
          <w:t>Table 10 – SCC inspirational activities</w:t>
        </w:r>
        <w:r w:rsidR="00297B8D">
          <w:rPr>
            <w:noProof/>
            <w:webHidden/>
          </w:rPr>
          <w:tab/>
        </w:r>
        <w:r w:rsidR="00297B8D">
          <w:rPr>
            <w:noProof/>
            <w:webHidden/>
          </w:rPr>
          <w:fldChar w:fldCharType="begin"/>
        </w:r>
        <w:r w:rsidR="00297B8D">
          <w:rPr>
            <w:noProof/>
            <w:webHidden/>
          </w:rPr>
          <w:instrText xml:space="preserve"> PAGEREF _Toc40946028 \h </w:instrText>
        </w:r>
        <w:r w:rsidR="00297B8D">
          <w:rPr>
            <w:noProof/>
            <w:webHidden/>
          </w:rPr>
        </w:r>
        <w:r w:rsidR="00297B8D">
          <w:rPr>
            <w:noProof/>
            <w:webHidden/>
          </w:rPr>
          <w:fldChar w:fldCharType="separate"/>
        </w:r>
        <w:r>
          <w:rPr>
            <w:noProof/>
            <w:webHidden/>
          </w:rPr>
          <w:t>48</w:t>
        </w:r>
        <w:r w:rsidR="00297B8D">
          <w:rPr>
            <w:noProof/>
            <w:webHidden/>
          </w:rPr>
          <w:fldChar w:fldCharType="end"/>
        </w:r>
      </w:hyperlink>
    </w:p>
    <w:p w14:paraId="43D26829" w14:textId="77777777" w:rsidR="00297B8D" w:rsidRDefault="00C35904">
      <w:pPr>
        <w:pStyle w:val="TableofFigures"/>
        <w:tabs>
          <w:tab w:val="right" w:leader="dot" w:pos="9854"/>
        </w:tabs>
        <w:rPr>
          <w:rFonts w:eastAsiaTheme="minorEastAsia" w:cstheme="minorBidi"/>
          <w:i w:val="0"/>
          <w:iCs w:val="0"/>
          <w:noProof/>
          <w:color w:val="auto"/>
          <w:sz w:val="22"/>
          <w:szCs w:val="22"/>
        </w:rPr>
      </w:pPr>
      <w:hyperlink w:anchor="_Toc40946029" w:history="1">
        <w:r w:rsidR="00297B8D" w:rsidRPr="00642C88">
          <w:rPr>
            <w:rStyle w:val="Hyperlink"/>
            <w:noProof/>
          </w:rPr>
          <w:t>Table 11 – Government response to ERG recommendations</w:t>
        </w:r>
        <w:r w:rsidR="00297B8D">
          <w:rPr>
            <w:noProof/>
            <w:webHidden/>
          </w:rPr>
          <w:tab/>
        </w:r>
        <w:r w:rsidR="00297B8D">
          <w:rPr>
            <w:noProof/>
            <w:webHidden/>
          </w:rPr>
          <w:fldChar w:fldCharType="begin"/>
        </w:r>
        <w:r w:rsidR="00297B8D">
          <w:rPr>
            <w:noProof/>
            <w:webHidden/>
          </w:rPr>
          <w:instrText xml:space="preserve"> PAGEREF _Toc40946029 \h </w:instrText>
        </w:r>
        <w:r w:rsidR="00297B8D">
          <w:rPr>
            <w:noProof/>
            <w:webHidden/>
          </w:rPr>
        </w:r>
        <w:r w:rsidR="00297B8D">
          <w:rPr>
            <w:noProof/>
            <w:webHidden/>
          </w:rPr>
          <w:fldChar w:fldCharType="separate"/>
        </w:r>
        <w:r>
          <w:rPr>
            <w:noProof/>
            <w:webHidden/>
          </w:rPr>
          <w:t>49</w:t>
        </w:r>
        <w:r w:rsidR="00297B8D">
          <w:rPr>
            <w:noProof/>
            <w:webHidden/>
          </w:rPr>
          <w:fldChar w:fldCharType="end"/>
        </w:r>
      </w:hyperlink>
    </w:p>
    <w:p w14:paraId="3609AE00" w14:textId="2103C437" w:rsidR="005C06BB" w:rsidRPr="00CA1E2C" w:rsidRDefault="008B404C" w:rsidP="00454F9F">
      <w:r>
        <w:fldChar w:fldCharType="end"/>
      </w:r>
    </w:p>
    <w:p w14:paraId="31562477" w14:textId="77777777" w:rsidR="00434EE2" w:rsidRPr="00CA1E2C" w:rsidRDefault="00434EE2" w:rsidP="00454F9F">
      <w:pPr>
        <w:rPr>
          <w:rFonts w:asciiTheme="majorHAnsi" w:hAnsiTheme="majorHAnsi" w:cstheme="majorHAnsi"/>
          <w:color w:val="004976" w:themeColor="background2"/>
          <w:sz w:val="44"/>
          <w:szCs w:val="28"/>
        </w:rPr>
      </w:pPr>
      <w:r w:rsidRPr="00CA1E2C">
        <w:br w:type="page"/>
      </w:r>
    </w:p>
    <w:p w14:paraId="5A0035BE" w14:textId="246ACFE1" w:rsidR="00434EE2" w:rsidRPr="00CA1E2C" w:rsidRDefault="005C06BB" w:rsidP="008E4249">
      <w:pPr>
        <w:pStyle w:val="Heading2"/>
        <w:sectPr w:rsidR="00434EE2" w:rsidRPr="00CA1E2C" w:rsidSect="00F75434">
          <w:pgSz w:w="11906" w:h="16838" w:code="9"/>
          <w:pgMar w:top="1077" w:right="1021" w:bottom="1701" w:left="1021" w:header="454" w:footer="539" w:gutter="0"/>
          <w:cols w:space="708"/>
          <w:docGrid w:linePitch="360"/>
        </w:sectPr>
      </w:pPr>
      <w:r w:rsidRPr="00CA1E2C">
        <w:lastRenderedPageBreak/>
        <w:t>List of acronyms</w:t>
      </w:r>
    </w:p>
    <w:p w14:paraId="48751F9D" w14:textId="4C89C7AD" w:rsidR="00434EE2" w:rsidRPr="00CA1E2C" w:rsidRDefault="00FB691E" w:rsidP="00454F9F">
      <w:pPr>
        <w:spacing w:after="60"/>
        <w:rPr>
          <w:rFonts w:cstheme="minorHAnsi"/>
          <w:b/>
          <w:szCs w:val="22"/>
        </w:rPr>
      </w:pPr>
      <w:r w:rsidRPr="00CA1E2C">
        <w:rPr>
          <w:rFonts w:cstheme="minorHAnsi"/>
          <w:b/>
          <w:szCs w:val="22"/>
        </w:rPr>
        <w:t>ABC</w:t>
      </w:r>
      <w:r w:rsidRPr="00CA1E2C">
        <w:rPr>
          <w:rFonts w:cstheme="minorHAnsi"/>
          <w:b/>
          <w:szCs w:val="22"/>
        </w:rPr>
        <w:tab/>
      </w:r>
      <w:r w:rsidRPr="00CA1E2C">
        <w:rPr>
          <w:rFonts w:cstheme="minorHAnsi"/>
          <w:b/>
          <w:szCs w:val="22"/>
        </w:rPr>
        <w:tab/>
      </w:r>
      <w:r w:rsidR="00434EE2" w:rsidRPr="00CA1E2C">
        <w:rPr>
          <w:rFonts w:cstheme="minorHAnsi"/>
          <w:szCs w:val="22"/>
        </w:rPr>
        <w:t>Australian Broadcasting Corporation</w:t>
      </w:r>
    </w:p>
    <w:p w14:paraId="504A9DCE" w14:textId="7C3F146A" w:rsidR="00434EE2" w:rsidRPr="00CA1E2C" w:rsidRDefault="00434EE2" w:rsidP="00454F9F">
      <w:pPr>
        <w:spacing w:after="60"/>
        <w:ind w:left="1440" w:hanging="1440"/>
        <w:rPr>
          <w:rFonts w:cstheme="minorHAnsi"/>
          <w:szCs w:val="22"/>
        </w:rPr>
      </w:pPr>
      <w:r w:rsidRPr="00CA1E2C">
        <w:rPr>
          <w:rFonts w:cstheme="minorHAnsi"/>
          <w:b/>
          <w:bCs/>
          <w:szCs w:val="22"/>
        </w:rPr>
        <w:t xml:space="preserve">ACCESS </w:t>
      </w:r>
      <w:r w:rsidRPr="00CA1E2C">
        <w:rPr>
          <w:rFonts w:cstheme="minorHAnsi"/>
          <w:b/>
          <w:bCs/>
          <w:szCs w:val="22"/>
        </w:rPr>
        <w:tab/>
      </w:r>
      <w:r w:rsidRPr="00CA1E2C">
        <w:rPr>
          <w:rFonts w:cstheme="minorHAnsi"/>
          <w:szCs w:val="22"/>
        </w:rPr>
        <w:t>Australian Community Climate and Earth-System Simulator</w:t>
      </w:r>
    </w:p>
    <w:p w14:paraId="5994C485" w14:textId="58F19D1A" w:rsidR="00434EE2" w:rsidRPr="00CA1E2C" w:rsidRDefault="00434EE2" w:rsidP="00454F9F">
      <w:pPr>
        <w:spacing w:after="60"/>
        <w:rPr>
          <w:rFonts w:cstheme="minorHAnsi"/>
          <w:szCs w:val="22"/>
        </w:rPr>
      </w:pPr>
      <w:r w:rsidRPr="00CA1E2C">
        <w:rPr>
          <w:rFonts w:cstheme="minorHAnsi"/>
          <w:b/>
          <w:szCs w:val="22"/>
        </w:rPr>
        <w:t>ACFJ</w:t>
      </w:r>
      <w:r w:rsidRPr="00CA1E2C">
        <w:rPr>
          <w:rFonts w:cstheme="minorHAnsi"/>
          <w:b/>
          <w:szCs w:val="22"/>
        </w:rPr>
        <w:tab/>
      </w:r>
      <w:r w:rsidRPr="00CA1E2C">
        <w:rPr>
          <w:rFonts w:cstheme="minorHAnsi"/>
          <w:b/>
          <w:szCs w:val="22"/>
        </w:rPr>
        <w:tab/>
      </w:r>
      <w:r w:rsidRPr="00CA1E2C">
        <w:rPr>
          <w:rFonts w:cstheme="minorHAnsi"/>
          <w:szCs w:val="22"/>
        </w:rPr>
        <w:t>Australia, Canada, France, Japan</w:t>
      </w:r>
    </w:p>
    <w:p w14:paraId="3B44169B" w14:textId="7721DD69" w:rsidR="00434EE2" w:rsidRPr="00CA1E2C" w:rsidRDefault="005E21B5" w:rsidP="00454F9F">
      <w:pPr>
        <w:spacing w:after="60"/>
        <w:ind w:left="1440" w:hanging="1440"/>
        <w:rPr>
          <w:rFonts w:cstheme="minorHAnsi"/>
          <w:szCs w:val="22"/>
        </w:rPr>
      </w:pPr>
      <w:r w:rsidRPr="00CA1E2C">
        <w:rPr>
          <w:rFonts w:cstheme="minorHAnsi"/>
          <w:b/>
          <w:bCs/>
          <w:szCs w:val="22"/>
        </w:rPr>
        <w:t xml:space="preserve">ACMA </w:t>
      </w:r>
      <w:r w:rsidRPr="00CA1E2C">
        <w:rPr>
          <w:rFonts w:cstheme="minorHAnsi"/>
          <w:b/>
          <w:bCs/>
          <w:szCs w:val="22"/>
        </w:rPr>
        <w:tab/>
      </w:r>
      <w:r w:rsidR="00434EE2" w:rsidRPr="00CA1E2C">
        <w:rPr>
          <w:rFonts w:cstheme="minorHAnsi"/>
          <w:szCs w:val="22"/>
        </w:rPr>
        <w:t>Australian Communications and Media Authority</w:t>
      </w:r>
    </w:p>
    <w:p w14:paraId="3E240E8D" w14:textId="7F943FEE" w:rsidR="00434EE2" w:rsidRPr="00CA1E2C" w:rsidRDefault="00434EE2" w:rsidP="00454F9F">
      <w:pPr>
        <w:spacing w:after="60"/>
        <w:rPr>
          <w:rFonts w:cstheme="minorHAnsi"/>
          <w:b/>
          <w:szCs w:val="22"/>
        </w:rPr>
      </w:pPr>
      <w:r w:rsidRPr="00CA1E2C">
        <w:rPr>
          <w:rFonts w:cstheme="minorHAnsi"/>
          <w:b/>
          <w:szCs w:val="22"/>
        </w:rPr>
        <w:t>ACT</w:t>
      </w:r>
      <w:r w:rsidRPr="00CA1E2C">
        <w:rPr>
          <w:rFonts w:cstheme="minorHAnsi"/>
          <w:b/>
          <w:szCs w:val="22"/>
        </w:rPr>
        <w:tab/>
      </w:r>
      <w:r w:rsidRPr="00CA1E2C">
        <w:rPr>
          <w:rFonts w:cstheme="minorHAnsi"/>
          <w:b/>
          <w:szCs w:val="22"/>
        </w:rPr>
        <w:tab/>
      </w:r>
      <w:r w:rsidRPr="00CA1E2C">
        <w:rPr>
          <w:rFonts w:cstheme="minorHAnsi"/>
          <w:szCs w:val="22"/>
        </w:rPr>
        <w:t>Australian Capital Territory</w:t>
      </w:r>
    </w:p>
    <w:p w14:paraId="084F13B0" w14:textId="53B3879C" w:rsidR="00434EE2" w:rsidRPr="00CA1E2C" w:rsidRDefault="00434EE2" w:rsidP="00454F9F">
      <w:pPr>
        <w:spacing w:after="60"/>
        <w:rPr>
          <w:rFonts w:cstheme="minorHAnsi"/>
          <w:szCs w:val="22"/>
        </w:rPr>
      </w:pPr>
      <w:r w:rsidRPr="00CA1E2C">
        <w:rPr>
          <w:rFonts w:cstheme="minorHAnsi"/>
          <w:b/>
          <w:bCs/>
          <w:szCs w:val="22"/>
        </w:rPr>
        <w:t xml:space="preserve">ADF </w:t>
      </w:r>
      <w:r w:rsidRPr="00CA1E2C">
        <w:rPr>
          <w:rFonts w:cstheme="minorHAnsi"/>
          <w:b/>
          <w:bCs/>
          <w:szCs w:val="22"/>
        </w:rPr>
        <w:tab/>
      </w:r>
      <w:r w:rsidRPr="00CA1E2C">
        <w:rPr>
          <w:rFonts w:cstheme="minorHAnsi"/>
          <w:b/>
          <w:bCs/>
          <w:szCs w:val="22"/>
        </w:rPr>
        <w:tab/>
      </w:r>
      <w:r w:rsidRPr="00CA1E2C">
        <w:rPr>
          <w:rFonts w:cstheme="minorHAnsi"/>
          <w:szCs w:val="22"/>
        </w:rPr>
        <w:t>Australian Defence Force</w:t>
      </w:r>
    </w:p>
    <w:p w14:paraId="5CB2FFF5" w14:textId="5698FD7E" w:rsidR="00434EE2" w:rsidRPr="00CA1E2C" w:rsidRDefault="005E21B5" w:rsidP="00454F9F">
      <w:pPr>
        <w:spacing w:after="60"/>
        <w:ind w:left="1440" w:hanging="1440"/>
        <w:rPr>
          <w:rFonts w:cstheme="minorHAnsi"/>
          <w:szCs w:val="22"/>
        </w:rPr>
      </w:pPr>
      <w:r w:rsidRPr="00CA1E2C">
        <w:rPr>
          <w:rFonts w:cstheme="minorHAnsi"/>
          <w:b/>
          <w:bCs/>
          <w:szCs w:val="22"/>
        </w:rPr>
        <w:t xml:space="preserve">ADS-B </w:t>
      </w:r>
      <w:r w:rsidRPr="00CA1E2C">
        <w:rPr>
          <w:rFonts w:cstheme="minorHAnsi"/>
          <w:b/>
          <w:bCs/>
          <w:szCs w:val="22"/>
        </w:rPr>
        <w:tab/>
      </w:r>
      <w:r w:rsidR="00434EE2" w:rsidRPr="00CA1E2C">
        <w:rPr>
          <w:rFonts w:cstheme="minorHAnsi"/>
          <w:szCs w:val="22"/>
        </w:rPr>
        <w:t>Automatic Dependent Surveillance – Broadcast</w:t>
      </w:r>
    </w:p>
    <w:p w14:paraId="5A123C9C" w14:textId="3E1CC5A3" w:rsidR="00434EE2" w:rsidRPr="00CA1E2C" w:rsidRDefault="005E21B5" w:rsidP="00454F9F">
      <w:pPr>
        <w:spacing w:after="60"/>
        <w:ind w:left="1440" w:hanging="1440"/>
        <w:rPr>
          <w:rFonts w:cstheme="minorHAnsi"/>
          <w:b/>
          <w:szCs w:val="22"/>
        </w:rPr>
      </w:pPr>
      <w:r w:rsidRPr="00CA1E2C">
        <w:rPr>
          <w:rFonts w:cstheme="minorHAnsi"/>
          <w:b/>
          <w:szCs w:val="22"/>
        </w:rPr>
        <w:t>ADS-C</w:t>
      </w:r>
      <w:r w:rsidRPr="00CA1E2C">
        <w:rPr>
          <w:rFonts w:cstheme="minorHAnsi"/>
          <w:b/>
          <w:szCs w:val="22"/>
        </w:rPr>
        <w:tab/>
      </w:r>
      <w:r w:rsidR="00434EE2" w:rsidRPr="00CA1E2C">
        <w:rPr>
          <w:rFonts w:cstheme="minorHAnsi"/>
          <w:szCs w:val="22"/>
        </w:rPr>
        <w:t>Automatic Dependent Surveillance – Contract</w:t>
      </w:r>
    </w:p>
    <w:p w14:paraId="08AC0803" w14:textId="5DDF2B75" w:rsidR="00434EE2" w:rsidRPr="00CA1E2C" w:rsidRDefault="003B7426" w:rsidP="00454F9F">
      <w:pPr>
        <w:spacing w:after="60"/>
        <w:ind w:left="1440" w:hanging="1440"/>
        <w:rPr>
          <w:rFonts w:cstheme="minorHAnsi"/>
          <w:b/>
          <w:szCs w:val="22"/>
        </w:rPr>
      </w:pPr>
      <w:r w:rsidRPr="00CA1E2C">
        <w:rPr>
          <w:rFonts w:cstheme="minorHAnsi"/>
          <w:b/>
          <w:szCs w:val="22"/>
        </w:rPr>
        <w:t>AEOSWG</w:t>
      </w:r>
      <w:r w:rsidRPr="00CA1E2C">
        <w:rPr>
          <w:rFonts w:cstheme="minorHAnsi"/>
          <w:b/>
          <w:szCs w:val="22"/>
        </w:rPr>
        <w:tab/>
      </w:r>
      <w:r w:rsidR="00434EE2" w:rsidRPr="00CA1E2C">
        <w:rPr>
          <w:rFonts w:cstheme="minorHAnsi"/>
          <w:szCs w:val="22"/>
        </w:rPr>
        <w:t>Australian Earth Observation from Space Working Group</w:t>
      </w:r>
    </w:p>
    <w:p w14:paraId="4ABC1EAD" w14:textId="5B182601" w:rsidR="00434EE2" w:rsidRPr="00CA1E2C" w:rsidRDefault="003B7426" w:rsidP="00454F9F">
      <w:pPr>
        <w:spacing w:after="60"/>
        <w:rPr>
          <w:rFonts w:cstheme="minorHAnsi"/>
          <w:szCs w:val="22"/>
        </w:rPr>
      </w:pPr>
      <w:r w:rsidRPr="00CA1E2C">
        <w:rPr>
          <w:rFonts w:cstheme="minorHAnsi"/>
          <w:b/>
          <w:bCs/>
          <w:szCs w:val="22"/>
        </w:rPr>
        <w:t xml:space="preserve">AGD </w:t>
      </w:r>
      <w:r w:rsidRPr="00CA1E2C">
        <w:rPr>
          <w:rFonts w:cstheme="minorHAnsi"/>
          <w:b/>
          <w:bCs/>
          <w:szCs w:val="22"/>
        </w:rPr>
        <w:tab/>
      </w:r>
      <w:r w:rsidRPr="00CA1E2C">
        <w:rPr>
          <w:rFonts w:cstheme="minorHAnsi"/>
          <w:b/>
          <w:bCs/>
          <w:szCs w:val="22"/>
        </w:rPr>
        <w:tab/>
      </w:r>
      <w:r w:rsidR="00434EE2" w:rsidRPr="00CA1E2C">
        <w:rPr>
          <w:rFonts w:cstheme="minorHAnsi"/>
          <w:szCs w:val="22"/>
        </w:rPr>
        <w:t>Attorney-General’s Department</w:t>
      </w:r>
    </w:p>
    <w:p w14:paraId="2DF1A68B" w14:textId="18DD07ED" w:rsidR="00434EE2" w:rsidRPr="00CA1E2C" w:rsidRDefault="00434EE2" w:rsidP="00454F9F">
      <w:pPr>
        <w:spacing w:after="60"/>
        <w:rPr>
          <w:rFonts w:cstheme="minorHAnsi"/>
          <w:b/>
          <w:color w:val="FF0000"/>
          <w:szCs w:val="22"/>
        </w:rPr>
      </w:pPr>
      <w:r w:rsidRPr="00CA1E2C">
        <w:rPr>
          <w:rFonts w:cstheme="minorHAnsi"/>
          <w:b/>
          <w:szCs w:val="22"/>
        </w:rPr>
        <w:t>The Agency</w:t>
      </w:r>
      <w:r w:rsidR="003B7426" w:rsidRPr="00CA1E2C">
        <w:rPr>
          <w:rFonts w:cstheme="minorHAnsi"/>
          <w:b/>
          <w:color w:val="FF0000"/>
          <w:szCs w:val="22"/>
        </w:rPr>
        <w:tab/>
      </w:r>
      <w:r w:rsidRPr="00CA1E2C">
        <w:rPr>
          <w:rFonts w:cstheme="minorHAnsi"/>
          <w:szCs w:val="22"/>
        </w:rPr>
        <w:t>Australian Space Agency</w:t>
      </w:r>
    </w:p>
    <w:p w14:paraId="2A8EF837" w14:textId="062EC289" w:rsidR="00434EE2" w:rsidRPr="00CA1E2C" w:rsidRDefault="005E21B5" w:rsidP="00454F9F">
      <w:pPr>
        <w:spacing w:after="60"/>
        <w:ind w:left="1440" w:hanging="1440"/>
        <w:rPr>
          <w:rFonts w:cstheme="minorHAnsi"/>
          <w:szCs w:val="22"/>
        </w:rPr>
      </w:pPr>
      <w:r w:rsidRPr="00CA1E2C">
        <w:rPr>
          <w:rFonts w:cstheme="minorHAnsi"/>
          <w:b/>
          <w:bCs/>
          <w:szCs w:val="22"/>
        </w:rPr>
        <w:t xml:space="preserve">AGO </w:t>
      </w:r>
      <w:r w:rsidRPr="00CA1E2C">
        <w:rPr>
          <w:rFonts w:cstheme="minorHAnsi"/>
          <w:b/>
          <w:bCs/>
          <w:szCs w:val="22"/>
        </w:rPr>
        <w:tab/>
      </w:r>
      <w:r w:rsidR="00434EE2" w:rsidRPr="00CA1E2C">
        <w:rPr>
          <w:rFonts w:cstheme="minorHAnsi"/>
          <w:szCs w:val="22"/>
        </w:rPr>
        <w:t>Australian Geospatial-Intelligence Organisation</w:t>
      </w:r>
    </w:p>
    <w:p w14:paraId="49D52807" w14:textId="66B1080A" w:rsidR="00434EE2" w:rsidRPr="00CA1E2C" w:rsidRDefault="003B7426" w:rsidP="00454F9F">
      <w:pPr>
        <w:spacing w:after="60"/>
        <w:ind w:left="1440" w:hanging="1440"/>
        <w:rPr>
          <w:rFonts w:cstheme="minorHAnsi"/>
          <w:szCs w:val="22"/>
        </w:rPr>
      </w:pPr>
      <w:r w:rsidRPr="00CA1E2C">
        <w:rPr>
          <w:rFonts w:cstheme="minorHAnsi"/>
          <w:b/>
          <w:szCs w:val="22"/>
        </w:rPr>
        <w:t>AHT-SDG</w:t>
      </w:r>
      <w:r w:rsidRPr="00CA1E2C">
        <w:rPr>
          <w:rFonts w:cstheme="minorHAnsi"/>
          <w:b/>
          <w:szCs w:val="22"/>
        </w:rPr>
        <w:tab/>
      </w:r>
      <w:r w:rsidR="00434EE2" w:rsidRPr="00CA1E2C">
        <w:rPr>
          <w:rFonts w:cstheme="minorHAnsi"/>
          <w:szCs w:val="22"/>
        </w:rPr>
        <w:t>Ad Hoc Team on Sustainable Development Goals</w:t>
      </w:r>
    </w:p>
    <w:p w14:paraId="0313D9E4" w14:textId="58FB62BE" w:rsidR="005C6DC6" w:rsidRPr="00CA1E2C" w:rsidRDefault="005C6DC6" w:rsidP="00454F9F">
      <w:pPr>
        <w:spacing w:after="60"/>
        <w:ind w:left="1440" w:hanging="1440"/>
        <w:rPr>
          <w:rFonts w:cstheme="minorHAnsi"/>
          <w:szCs w:val="22"/>
        </w:rPr>
      </w:pPr>
      <w:r w:rsidRPr="00CA1E2C">
        <w:rPr>
          <w:rFonts w:cstheme="minorHAnsi"/>
          <w:b/>
          <w:szCs w:val="22"/>
        </w:rPr>
        <w:t>AI</w:t>
      </w:r>
      <w:r w:rsidRPr="00CA1E2C">
        <w:rPr>
          <w:rFonts w:cstheme="minorHAnsi"/>
          <w:b/>
          <w:szCs w:val="22"/>
        </w:rPr>
        <w:tab/>
      </w:r>
      <w:r w:rsidRPr="00CA1E2C">
        <w:rPr>
          <w:rFonts w:cstheme="minorHAnsi"/>
          <w:szCs w:val="22"/>
        </w:rPr>
        <w:t>Artificial Intelligence</w:t>
      </w:r>
    </w:p>
    <w:p w14:paraId="116D6A6A" w14:textId="0952A1B7" w:rsidR="00434EE2" w:rsidRPr="00CA1E2C" w:rsidRDefault="003B7426" w:rsidP="00454F9F">
      <w:pPr>
        <w:spacing w:after="60"/>
        <w:rPr>
          <w:rFonts w:cstheme="minorHAnsi"/>
          <w:szCs w:val="22"/>
        </w:rPr>
      </w:pPr>
      <w:r w:rsidRPr="00CA1E2C">
        <w:rPr>
          <w:rFonts w:cstheme="minorHAnsi"/>
          <w:b/>
          <w:bCs/>
          <w:szCs w:val="22"/>
        </w:rPr>
        <w:t xml:space="preserve">AIS </w:t>
      </w:r>
      <w:r w:rsidRPr="00CA1E2C">
        <w:rPr>
          <w:rFonts w:cstheme="minorHAnsi"/>
          <w:b/>
          <w:bCs/>
          <w:szCs w:val="22"/>
        </w:rPr>
        <w:tab/>
      </w:r>
      <w:r w:rsidRPr="00CA1E2C">
        <w:rPr>
          <w:rFonts w:cstheme="minorHAnsi"/>
          <w:b/>
          <w:bCs/>
          <w:szCs w:val="22"/>
        </w:rPr>
        <w:tab/>
      </w:r>
      <w:r w:rsidR="00434EE2" w:rsidRPr="00CA1E2C">
        <w:rPr>
          <w:rFonts w:cstheme="minorHAnsi"/>
          <w:szCs w:val="22"/>
        </w:rPr>
        <w:t>Automatic Identification System</w:t>
      </w:r>
    </w:p>
    <w:p w14:paraId="06AFDF1B" w14:textId="2996C434" w:rsidR="006D2A8A" w:rsidRPr="00CA1E2C" w:rsidRDefault="006D2A8A" w:rsidP="00454F9F">
      <w:pPr>
        <w:spacing w:after="60"/>
        <w:ind w:left="1440" w:hanging="1440"/>
        <w:rPr>
          <w:rFonts w:cstheme="minorHAnsi"/>
          <w:szCs w:val="22"/>
        </w:rPr>
      </w:pPr>
      <w:proofErr w:type="spellStart"/>
      <w:r w:rsidRPr="00CA1E2C">
        <w:rPr>
          <w:rFonts w:cstheme="minorHAnsi"/>
          <w:b/>
          <w:szCs w:val="22"/>
        </w:rPr>
        <w:t>AmCham</w:t>
      </w:r>
      <w:proofErr w:type="spellEnd"/>
      <w:r w:rsidRPr="00CA1E2C">
        <w:rPr>
          <w:rFonts w:cstheme="minorHAnsi"/>
          <w:szCs w:val="22"/>
        </w:rPr>
        <w:tab/>
        <w:t>American Chamber of Commerce in Australia</w:t>
      </w:r>
    </w:p>
    <w:p w14:paraId="2D981E21" w14:textId="267B5E20" w:rsidR="00434EE2" w:rsidRPr="00CA1E2C" w:rsidRDefault="005E21B5" w:rsidP="00454F9F">
      <w:pPr>
        <w:spacing w:after="60"/>
        <w:ind w:left="1440" w:hanging="1440"/>
        <w:rPr>
          <w:rFonts w:cstheme="minorHAnsi"/>
          <w:b/>
          <w:szCs w:val="22"/>
        </w:rPr>
      </w:pPr>
      <w:r w:rsidRPr="00CA1E2C">
        <w:rPr>
          <w:rFonts w:cstheme="minorHAnsi"/>
          <w:b/>
          <w:szCs w:val="22"/>
        </w:rPr>
        <w:t>AMOS</w:t>
      </w:r>
      <w:r w:rsidRPr="00CA1E2C">
        <w:rPr>
          <w:rFonts w:cstheme="minorHAnsi"/>
          <w:b/>
          <w:szCs w:val="22"/>
        </w:rPr>
        <w:tab/>
      </w:r>
      <w:r w:rsidR="00434EE2" w:rsidRPr="00CA1E2C">
        <w:rPr>
          <w:rFonts w:cstheme="minorHAnsi"/>
          <w:szCs w:val="22"/>
        </w:rPr>
        <w:t>Advanced Maui Optical and Space Surveillance Technologies</w:t>
      </w:r>
    </w:p>
    <w:p w14:paraId="3FC8A59D" w14:textId="61A7250C" w:rsidR="00434EE2" w:rsidRPr="00CA1E2C" w:rsidRDefault="003B7426" w:rsidP="00454F9F">
      <w:pPr>
        <w:spacing w:after="60"/>
        <w:rPr>
          <w:rFonts w:cstheme="minorHAnsi"/>
          <w:szCs w:val="22"/>
        </w:rPr>
      </w:pPr>
      <w:r w:rsidRPr="00CA1E2C">
        <w:rPr>
          <w:rFonts w:cstheme="minorHAnsi"/>
          <w:b/>
          <w:bCs/>
          <w:szCs w:val="22"/>
        </w:rPr>
        <w:t xml:space="preserve">AMSA </w:t>
      </w:r>
      <w:r w:rsidRPr="00CA1E2C">
        <w:rPr>
          <w:rFonts w:cstheme="minorHAnsi"/>
          <w:b/>
          <w:bCs/>
          <w:szCs w:val="22"/>
        </w:rPr>
        <w:tab/>
      </w:r>
      <w:r w:rsidRPr="00CA1E2C">
        <w:rPr>
          <w:rFonts w:cstheme="minorHAnsi"/>
          <w:b/>
          <w:bCs/>
          <w:szCs w:val="22"/>
        </w:rPr>
        <w:tab/>
      </w:r>
      <w:r w:rsidR="00434EE2" w:rsidRPr="00CA1E2C">
        <w:rPr>
          <w:rFonts w:cstheme="minorHAnsi"/>
          <w:szCs w:val="22"/>
        </w:rPr>
        <w:t>Australian Maritime Safety Authority</w:t>
      </w:r>
    </w:p>
    <w:p w14:paraId="0F8658C5" w14:textId="1D040464" w:rsidR="00434EE2" w:rsidRPr="00CA1E2C" w:rsidRDefault="00434EE2" w:rsidP="00454F9F">
      <w:pPr>
        <w:spacing w:after="60"/>
        <w:rPr>
          <w:rFonts w:cstheme="minorHAnsi"/>
          <w:szCs w:val="22"/>
        </w:rPr>
      </w:pPr>
      <w:r w:rsidRPr="00CA1E2C">
        <w:rPr>
          <w:rFonts w:cstheme="minorHAnsi"/>
          <w:b/>
          <w:szCs w:val="22"/>
        </w:rPr>
        <w:t xml:space="preserve">AMVs </w:t>
      </w:r>
      <w:r w:rsidRPr="00CA1E2C">
        <w:rPr>
          <w:rFonts w:cstheme="minorHAnsi"/>
          <w:b/>
          <w:szCs w:val="22"/>
        </w:rPr>
        <w:tab/>
      </w:r>
      <w:r w:rsidR="003B7426" w:rsidRPr="00CA1E2C">
        <w:rPr>
          <w:rFonts w:cstheme="minorHAnsi"/>
          <w:szCs w:val="22"/>
        </w:rPr>
        <w:tab/>
      </w:r>
      <w:r w:rsidRPr="00CA1E2C">
        <w:rPr>
          <w:rFonts w:cstheme="minorHAnsi"/>
          <w:szCs w:val="22"/>
        </w:rPr>
        <w:t>Atmospheric Motion Vectors</w:t>
      </w:r>
    </w:p>
    <w:p w14:paraId="30084426" w14:textId="7285D467" w:rsidR="00434EE2" w:rsidRPr="00CA1E2C" w:rsidRDefault="003B7426" w:rsidP="00454F9F">
      <w:pPr>
        <w:spacing w:after="60"/>
        <w:ind w:left="1440" w:hanging="1440"/>
        <w:rPr>
          <w:rFonts w:cstheme="minorHAnsi"/>
          <w:b/>
          <w:szCs w:val="22"/>
        </w:rPr>
      </w:pPr>
      <w:r w:rsidRPr="00CA1E2C">
        <w:rPr>
          <w:rFonts w:cstheme="minorHAnsi"/>
          <w:b/>
          <w:szCs w:val="22"/>
        </w:rPr>
        <w:t xml:space="preserve">AOMSUC </w:t>
      </w:r>
      <w:r w:rsidRPr="00CA1E2C">
        <w:rPr>
          <w:rFonts w:cstheme="minorHAnsi"/>
          <w:b/>
          <w:szCs w:val="22"/>
        </w:rPr>
        <w:tab/>
      </w:r>
      <w:r w:rsidR="00434EE2" w:rsidRPr="00CA1E2C">
        <w:rPr>
          <w:rFonts w:cstheme="minorHAnsi"/>
          <w:szCs w:val="22"/>
        </w:rPr>
        <w:t>Asia Oceania Meteorological Satellite Users Conference</w:t>
      </w:r>
    </w:p>
    <w:p w14:paraId="482B43B1" w14:textId="431961C6" w:rsidR="00434EE2" w:rsidRPr="00CA1E2C" w:rsidRDefault="003B7426" w:rsidP="00454F9F">
      <w:pPr>
        <w:spacing w:after="60"/>
        <w:ind w:left="1440" w:hanging="1440"/>
        <w:rPr>
          <w:rFonts w:cstheme="minorHAnsi"/>
          <w:bCs/>
          <w:szCs w:val="22"/>
        </w:rPr>
      </w:pPr>
      <w:r w:rsidRPr="00CA1E2C">
        <w:rPr>
          <w:rStyle w:val="Strong"/>
          <w:color w:val="000000" w:themeColor="text2" w:themeShade="BF"/>
          <w:szCs w:val="22"/>
          <w:shd w:val="clear" w:color="auto" w:fill="FFFFFF"/>
        </w:rPr>
        <w:t>AP-RARS </w:t>
      </w:r>
      <w:r w:rsidRPr="00CA1E2C">
        <w:rPr>
          <w:rStyle w:val="Strong"/>
          <w:color w:val="000000" w:themeColor="text2" w:themeShade="BF"/>
          <w:szCs w:val="22"/>
          <w:shd w:val="clear" w:color="auto" w:fill="FFFFFF"/>
        </w:rPr>
        <w:tab/>
      </w:r>
      <w:r w:rsidR="00434EE2" w:rsidRPr="00CA1E2C">
        <w:rPr>
          <w:rStyle w:val="Strong"/>
          <w:b w:val="0"/>
          <w:color w:val="000000" w:themeColor="text2" w:themeShade="BF"/>
          <w:szCs w:val="22"/>
          <w:shd w:val="clear" w:color="auto" w:fill="FFFFFF"/>
        </w:rPr>
        <w:t>Asia-Pacific</w:t>
      </w:r>
      <w:r w:rsidR="00434EE2" w:rsidRPr="00CA1E2C">
        <w:rPr>
          <w:rStyle w:val="Strong"/>
          <w:color w:val="000000" w:themeColor="text2" w:themeShade="BF"/>
          <w:szCs w:val="22"/>
          <w:shd w:val="clear" w:color="auto" w:fill="FFFFFF"/>
        </w:rPr>
        <w:t xml:space="preserve"> </w:t>
      </w:r>
      <w:r w:rsidR="00434EE2" w:rsidRPr="00CA1E2C">
        <w:rPr>
          <w:rStyle w:val="Strong"/>
          <w:b w:val="0"/>
          <w:color w:val="000000" w:themeColor="text2" w:themeShade="BF"/>
          <w:szCs w:val="22"/>
          <w:shd w:val="clear" w:color="auto" w:fill="FFFFFF"/>
        </w:rPr>
        <w:t>R</w:t>
      </w:r>
      <w:r w:rsidR="00434EE2" w:rsidRPr="00CA1E2C">
        <w:rPr>
          <w:rFonts w:cstheme="minorHAnsi"/>
          <w:szCs w:val="22"/>
          <w:shd w:val="clear" w:color="auto" w:fill="FFFFFF"/>
        </w:rPr>
        <w:t>egional ATOVS</w:t>
      </w:r>
      <w:r w:rsidR="00434EE2" w:rsidRPr="00CA1E2C">
        <w:rPr>
          <w:rFonts w:cstheme="minorHAnsi"/>
          <w:szCs w:val="22"/>
        </w:rPr>
        <w:t xml:space="preserve"> </w:t>
      </w:r>
      <w:r w:rsidR="00434EE2" w:rsidRPr="00CA1E2C">
        <w:rPr>
          <w:rStyle w:val="Strong"/>
          <w:b w:val="0"/>
          <w:color w:val="000000" w:themeColor="text2" w:themeShade="BF"/>
          <w:szCs w:val="22"/>
          <w:shd w:val="clear" w:color="auto" w:fill="FFFFFF"/>
        </w:rPr>
        <w:t>R</w:t>
      </w:r>
      <w:r w:rsidR="00434EE2" w:rsidRPr="00CA1E2C">
        <w:rPr>
          <w:rFonts w:cstheme="minorHAnsi"/>
          <w:szCs w:val="22"/>
          <w:shd w:val="clear" w:color="auto" w:fill="FFFFFF"/>
        </w:rPr>
        <w:t>etransmission </w:t>
      </w:r>
      <w:r w:rsidR="00434EE2" w:rsidRPr="00CA1E2C">
        <w:rPr>
          <w:rStyle w:val="Strong"/>
          <w:b w:val="0"/>
          <w:color w:val="000000" w:themeColor="text2" w:themeShade="BF"/>
          <w:szCs w:val="22"/>
          <w:shd w:val="clear" w:color="auto" w:fill="FFFFFF"/>
        </w:rPr>
        <w:t>S</w:t>
      </w:r>
      <w:r w:rsidR="00434EE2" w:rsidRPr="00CA1E2C">
        <w:rPr>
          <w:rFonts w:cstheme="minorHAnsi"/>
          <w:szCs w:val="22"/>
          <w:shd w:val="clear" w:color="auto" w:fill="FFFFFF"/>
        </w:rPr>
        <w:t>ervice</w:t>
      </w:r>
    </w:p>
    <w:p w14:paraId="3ED0A7A1" w14:textId="1A422FD5" w:rsidR="00434EE2" w:rsidRPr="00CA1E2C" w:rsidRDefault="005E21B5" w:rsidP="00454F9F">
      <w:pPr>
        <w:spacing w:after="60"/>
        <w:ind w:left="1440" w:hanging="1440"/>
        <w:rPr>
          <w:rFonts w:cstheme="minorHAnsi"/>
          <w:szCs w:val="22"/>
        </w:rPr>
      </w:pPr>
      <w:r w:rsidRPr="00CA1E2C">
        <w:rPr>
          <w:rFonts w:cstheme="minorHAnsi"/>
          <w:b/>
          <w:bCs/>
          <w:szCs w:val="22"/>
        </w:rPr>
        <w:t xml:space="preserve">APRSAF </w:t>
      </w:r>
      <w:r w:rsidRPr="00CA1E2C">
        <w:rPr>
          <w:rFonts w:cstheme="minorHAnsi"/>
          <w:b/>
          <w:bCs/>
          <w:szCs w:val="22"/>
        </w:rPr>
        <w:tab/>
      </w:r>
      <w:r w:rsidR="00434EE2" w:rsidRPr="00CA1E2C">
        <w:rPr>
          <w:rFonts w:cstheme="minorHAnsi"/>
          <w:szCs w:val="22"/>
        </w:rPr>
        <w:t>Asia-Pacific Regional Space Agency Forum</w:t>
      </w:r>
    </w:p>
    <w:p w14:paraId="65BBAC85" w14:textId="70EC1D35" w:rsidR="00434EE2" w:rsidRPr="00CA1E2C" w:rsidRDefault="003B7426" w:rsidP="00454F9F">
      <w:pPr>
        <w:spacing w:after="60"/>
        <w:rPr>
          <w:rFonts w:cstheme="minorHAnsi"/>
          <w:szCs w:val="22"/>
        </w:rPr>
      </w:pPr>
      <w:r w:rsidRPr="00CA1E2C">
        <w:rPr>
          <w:rFonts w:cstheme="minorHAnsi"/>
          <w:b/>
          <w:bCs/>
          <w:szCs w:val="22"/>
        </w:rPr>
        <w:t xml:space="preserve">APT </w:t>
      </w:r>
      <w:r w:rsidRPr="00CA1E2C">
        <w:rPr>
          <w:rFonts w:cstheme="minorHAnsi"/>
          <w:b/>
          <w:bCs/>
          <w:szCs w:val="22"/>
        </w:rPr>
        <w:tab/>
      </w:r>
      <w:r w:rsidRPr="00CA1E2C">
        <w:rPr>
          <w:rFonts w:cstheme="minorHAnsi"/>
          <w:b/>
          <w:bCs/>
          <w:szCs w:val="22"/>
        </w:rPr>
        <w:tab/>
      </w:r>
      <w:r w:rsidR="00434EE2" w:rsidRPr="00CA1E2C">
        <w:rPr>
          <w:rFonts w:cstheme="minorHAnsi"/>
          <w:szCs w:val="22"/>
        </w:rPr>
        <w:t xml:space="preserve">Asia-Pacific </w:t>
      </w:r>
      <w:proofErr w:type="spellStart"/>
      <w:r w:rsidR="00434EE2" w:rsidRPr="00CA1E2C">
        <w:rPr>
          <w:rFonts w:cstheme="minorHAnsi"/>
          <w:szCs w:val="22"/>
        </w:rPr>
        <w:t>Telecommunity</w:t>
      </w:r>
      <w:proofErr w:type="spellEnd"/>
    </w:p>
    <w:p w14:paraId="6BD64CC5" w14:textId="68D689FF" w:rsidR="00434EE2" w:rsidRPr="00CA1E2C" w:rsidRDefault="003B7426" w:rsidP="00454F9F">
      <w:pPr>
        <w:spacing w:after="60"/>
        <w:rPr>
          <w:rFonts w:cstheme="minorHAnsi"/>
          <w:b/>
          <w:szCs w:val="22"/>
        </w:rPr>
      </w:pPr>
      <w:proofErr w:type="spellStart"/>
      <w:r w:rsidRPr="00CA1E2C">
        <w:rPr>
          <w:rFonts w:cstheme="minorHAnsi"/>
          <w:b/>
          <w:szCs w:val="22"/>
        </w:rPr>
        <w:t>AsA</w:t>
      </w:r>
      <w:proofErr w:type="spellEnd"/>
      <w:r w:rsidRPr="00CA1E2C">
        <w:rPr>
          <w:rFonts w:cstheme="minorHAnsi"/>
          <w:b/>
          <w:szCs w:val="22"/>
        </w:rPr>
        <w:tab/>
      </w:r>
      <w:r w:rsidRPr="00CA1E2C">
        <w:rPr>
          <w:rFonts w:cstheme="minorHAnsi"/>
          <w:b/>
          <w:szCs w:val="22"/>
        </w:rPr>
        <w:tab/>
      </w:r>
      <w:proofErr w:type="spellStart"/>
      <w:r w:rsidR="00434EE2" w:rsidRPr="00CA1E2C">
        <w:rPr>
          <w:rFonts w:cstheme="minorHAnsi"/>
          <w:szCs w:val="22"/>
        </w:rPr>
        <w:t>Airservices</w:t>
      </w:r>
      <w:proofErr w:type="spellEnd"/>
      <w:r w:rsidR="00434EE2" w:rsidRPr="00CA1E2C">
        <w:rPr>
          <w:rFonts w:cstheme="minorHAnsi"/>
          <w:szCs w:val="22"/>
        </w:rPr>
        <w:t xml:space="preserve"> Australia</w:t>
      </w:r>
    </w:p>
    <w:p w14:paraId="174C1555" w14:textId="0208F562" w:rsidR="00434EE2" w:rsidRPr="00CA1E2C" w:rsidRDefault="003B7426" w:rsidP="00454F9F">
      <w:pPr>
        <w:spacing w:after="60"/>
        <w:rPr>
          <w:rFonts w:cstheme="minorHAnsi"/>
          <w:szCs w:val="22"/>
        </w:rPr>
      </w:pPr>
      <w:r w:rsidRPr="00CA1E2C">
        <w:rPr>
          <w:rFonts w:cstheme="minorHAnsi"/>
          <w:b/>
          <w:szCs w:val="22"/>
        </w:rPr>
        <w:t>ASBF</w:t>
      </w:r>
      <w:r w:rsidRPr="00CA1E2C">
        <w:rPr>
          <w:rFonts w:cstheme="minorHAnsi"/>
          <w:b/>
          <w:szCs w:val="22"/>
        </w:rPr>
        <w:tab/>
      </w:r>
      <w:r w:rsidRPr="00CA1E2C">
        <w:rPr>
          <w:rFonts w:cstheme="minorHAnsi"/>
          <w:b/>
          <w:szCs w:val="22"/>
        </w:rPr>
        <w:tab/>
      </w:r>
      <w:r w:rsidR="00434EE2" w:rsidRPr="00CA1E2C">
        <w:rPr>
          <w:rFonts w:cstheme="minorHAnsi"/>
          <w:szCs w:val="22"/>
        </w:rPr>
        <w:t>Alice Springs Ballooning Facility</w:t>
      </w:r>
    </w:p>
    <w:p w14:paraId="5B68A85D" w14:textId="3D27700E" w:rsidR="006257A3" w:rsidRPr="00CA1E2C" w:rsidRDefault="006257A3" w:rsidP="00454F9F">
      <w:pPr>
        <w:spacing w:after="60"/>
        <w:ind w:left="1440" w:hanging="1440"/>
        <w:rPr>
          <w:rFonts w:cstheme="minorHAnsi"/>
          <w:b/>
          <w:szCs w:val="22"/>
        </w:rPr>
      </w:pPr>
      <w:r w:rsidRPr="00CA1E2C">
        <w:rPr>
          <w:rFonts w:cstheme="minorHAnsi"/>
          <w:b/>
          <w:szCs w:val="22"/>
        </w:rPr>
        <w:t>ASDSS</w:t>
      </w:r>
      <w:r w:rsidRPr="00CA1E2C">
        <w:rPr>
          <w:rFonts w:cstheme="minorHAnsi"/>
          <w:b/>
          <w:szCs w:val="22"/>
        </w:rPr>
        <w:tab/>
      </w:r>
      <w:r w:rsidRPr="00CA1E2C">
        <w:t>Australian Defence Satellite Communications System</w:t>
      </w:r>
    </w:p>
    <w:p w14:paraId="5CDB29C8" w14:textId="7F8915C2" w:rsidR="00434EE2" w:rsidRPr="00CA1E2C" w:rsidRDefault="005E21B5" w:rsidP="00454F9F">
      <w:pPr>
        <w:spacing w:after="60"/>
        <w:ind w:left="1440" w:hanging="1440"/>
        <w:rPr>
          <w:rFonts w:cstheme="minorHAnsi"/>
          <w:szCs w:val="22"/>
        </w:rPr>
      </w:pPr>
      <w:r w:rsidRPr="00CA1E2C">
        <w:rPr>
          <w:rFonts w:cstheme="minorHAnsi"/>
          <w:b/>
          <w:bCs/>
          <w:szCs w:val="22"/>
        </w:rPr>
        <w:t xml:space="preserve">ASKAP </w:t>
      </w:r>
      <w:r w:rsidRPr="00CA1E2C">
        <w:rPr>
          <w:rFonts w:cstheme="minorHAnsi"/>
          <w:b/>
          <w:bCs/>
          <w:szCs w:val="22"/>
        </w:rPr>
        <w:tab/>
      </w:r>
      <w:r w:rsidR="00434EE2" w:rsidRPr="00CA1E2C">
        <w:rPr>
          <w:rFonts w:cstheme="minorHAnsi"/>
          <w:szCs w:val="22"/>
        </w:rPr>
        <w:t>Australian Square Kilometre Array Pathfinder</w:t>
      </w:r>
    </w:p>
    <w:p w14:paraId="5EDEB792" w14:textId="3A659D98" w:rsidR="00434EE2" w:rsidRPr="00CA1E2C" w:rsidRDefault="00434EE2" w:rsidP="00454F9F">
      <w:pPr>
        <w:spacing w:after="60"/>
        <w:rPr>
          <w:rFonts w:cstheme="minorHAnsi"/>
          <w:szCs w:val="22"/>
        </w:rPr>
      </w:pPr>
      <w:r w:rsidRPr="00CA1E2C">
        <w:rPr>
          <w:rFonts w:cstheme="minorHAnsi"/>
          <w:b/>
          <w:szCs w:val="22"/>
        </w:rPr>
        <w:t>ATNF</w:t>
      </w:r>
      <w:r w:rsidR="003B7426" w:rsidRPr="00CA1E2C">
        <w:rPr>
          <w:rFonts w:cstheme="minorHAnsi"/>
          <w:szCs w:val="22"/>
        </w:rPr>
        <w:tab/>
      </w:r>
      <w:r w:rsidR="003B7426" w:rsidRPr="00CA1E2C">
        <w:rPr>
          <w:rFonts w:cstheme="minorHAnsi"/>
          <w:szCs w:val="22"/>
        </w:rPr>
        <w:tab/>
      </w:r>
      <w:r w:rsidRPr="00CA1E2C">
        <w:rPr>
          <w:rFonts w:cstheme="minorHAnsi"/>
          <w:szCs w:val="22"/>
        </w:rPr>
        <w:t>Australia Telescope National Facility</w:t>
      </w:r>
    </w:p>
    <w:p w14:paraId="213534AE" w14:textId="3AF820B6" w:rsidR="00434EE2" w:rsidRPr="00CA1E2C" w:rsidRDefault="005E21B5" w:rsidP="00454F9F">
      <w:pPr>
        <w:spacing w:after="60"/>
        <w:ind w:left="1440" w:hanging="1440"/>
        <w:rPr>
          <w:rFonts w:cstheme="minorHAnsi"/>
          <w:b/>
          <w:bCs/>
          <w:szCs w:val="22"/>
        </w:rPr>
      </w:pPr>
      <w:r w:rsidRPr="00CA1E2C">
        <w:rPr>
          <w:rFonts w:cstheme="minorHAnsi"/>
          <w:b/>
          <w:bCs/>
          <w:szCs w:val="22"/>
        </w:rPr>
        <w:t>ATOVS</w:t>
      </w:r>
      <w:r w:rsidRPr="00CA1E2C">
        <w:rPr>
          <w:rFonts w:cstheme="minorHAnsi"/>
          <w:b/>
          <w:bCs/>
          <w:szCs w:val="22"/>
        </w:rPr>
        <w:tab/>
      </w:r>
      <w:r w:rsidR="00434EE2" w:rsidRPr="00CA1E2C">
        <w:rPr>
          <w:rStyle w:val="Strong"/>
          <w:b w:val="0"/>
          <w:szCs w:val="22"/>
        </w:rPr>
        <w:t xml:space="preserve">Advanced </w:t>
      </w:r>
      <w:r w:rsidR="00434EE2" w:rsidRPr="00CA1E2C">
        <w:rPr>
          <w:rFonts w:cstheme="minorHAnsi"/>
          <w:szCs w:val="22"/>
        </w:rPr>
        <w:t>TIROS Operational Vertical Sounder</w:t>
      </w:r>
      <w:r w:rsidR="00FF3CDC">
        <w:rPr>
          <w:rFonts w:cstheme="minorHAnsi"/>
          <w:szCs w:val="22"/>
        </w:rPr>
        <w:t xml:space="preserve"> (see TIROS)</w:t>
      </w:r>
    </w:p>
    <w:p w14:paraId="1132CC7C" w14:textId="241F0AE9" w:rsidR="00434EE2" w:rsidRPr="00CA1E2C" w:rsidRDefault="003B7426" w:rsidP="00454F9F">
      <w:pPr>
        <w:spacing w:after="60"/>
        <w:ind w:left="1440" w:hanging="1440"/>
        <w:rPr>
          <w:rFonts w:cstheme="minorHAnsi"/>
          <w:szCs w:val="22"/>
        </w:rPr>
      </w:pPr>
      <w:proofErr w:type="spellStart"/>
      <w:r w:rsidRPr="00CA1E2C">
        <w:rPr>
          <w:rFonts w:cstheme="minorHAnsi"/>
          <w:b/>
          <w:szCs w:val="22"/>
        </w:rPr>
        <w:t>AusTender</w:t>
      </w:r>
      <w:proofErr w:type="spellEnd"/>
      <w:r w:rsidRPr="00CA1E2C">
        <w:rPr>
          <w:rFonts w:cstheme="minorHAnsi"/>
          <w:b/>
          <w:szCs w:val="22"/>
        </w:rPr>
        <w:tab/>
      </w:r>
      <w:r w:rsidR="00434EE2" w:rsidRPr="00CA1E2C">
        <w:rPr>
          <w:rFonts w:cstheme="minorHAnsi"/>
          <w:szCs w:val="22"/>
        </w:rPr>
        <w:t>Australian Government online tendering system</w:t>
      </w:r>
    </w:p>
    <w:p w14:paraId="64DB5948" w14:textId="3B2176A4" w:rsidR="00434EE2" w:rsidRPr="00CA1E2C" w:rsidRDefault="00434EE2" w:rsidP="00454F9F">
      <w:pPr>
        <w:spacing w:after="60"/>
        <w:ind w:left="1440" w:hanging="1440"/>
        <w:rPr>
          <w:rFonts w:cstheme="minorHAnsi"/>
          <w:szCs w:val="22"/>
        </w:rPr>
      </w:pPr>
      <w:r w:rsidRPr="00CA1E2C">
        <w:rPr>
          <w:rFonts w:cstheme="minorHAnsi"/>
          <w:b/>
          <w:szCs w:val="22"/>
        </w:rPr>
        <w:t>Austrade</w:t>
      </w:r>
      <w:r w:rsidR="003B7426" w:rsidRPr="00CA1E2C">
        <w:rPr>
          <w:rFonts w:cstheme="minorHAnsi"/>
          <w:b/>
          <w:szCs w:val="22"/>
        </w:rPr>
        <w:tab/>
      </w:r>
      <w:r w:rsidRPr="00CA1E2C">
        <w:rPr>
          <w:rFonts w:cstheme="minorHAnsi"/>
          <w:szCs w:val="22"/>
        </w:rPr>
        <w:t>Australian Trade and Investment Commission</w:t>
      </w:r>
    </w:p>
    <w:p w14:paraId="4DFD0DC0" w14:textId="2B697B1A" w:rsidR="00434EE2" w:rsidRPr="00CA1E2C" w:rsidRDefault="00434EE2" w:rsidP="00454F9F">
      <w:pPr>
        <w:spacing w:after="60"/>
        <w:ind w:left="1440" w:hanging="1440"/>
        <w:rPr>
          <w:rFonts w:cstheme="minorHAnsi"/>
          <w:b/>
          <w:szCs w:val="22"/>
        </w:rPr>
      </w:pPr>
      <w:r w:rsidRPr="00CA1E2C">
        <w:rPr>
          <w:rFonts w:cstheme="minorHAnsi"/>
          <w:b/>
          <w:szCs w:val="22"/>
        </w:rPr>
        <w:t>AYAA</w:t>
      </w:r>
      <w:r w:rsidR="003B7426" w:rsidRPr="00CA1E2C">
        <w:rPr>
          <w:rFonts w:cstheme="minorHAnsi"/>
          <w:szCs w:val="22"/>
        </w:rPr>
        <w:tab/>
      </w:r>
      <w:r w:rsidRPr="00CA1E2C">
        <w:rPr>
          <w:rFonts w:cstheme="minorHAnsi"/>
          <w:szCs w:val="22"/>
        </w:rPr>
        <w:t>Australian Youth Aerospace Association</w:t>
      </w:r>
    </w:p>
    <w:p w14:paraId="00055C7D" w14:textId="26CF6BA8" w:rsidR="00434EE2" w:rsidRPr="00CA1E2C" w:rsidRDefault="003B7426" w:rsidP="00454F9F">
      <w:pPr>
        <w:spacing w:after="60"/>
        <w:ind w:left="1440" w:hanging="1440"/>
        <w:rPr>
          <w:rFonts w:cstheme="minorHAnsi"/>
          <w:szCs w:val="22"/>
        </w:rPr>
      </w:pPr>
      <w:proofErr w:type="spellStart"/>
      <w:r w:rsidRPr="00CA1E2C">
        <w:rPr>
          <w:rFonts w:cstheme="minorHAnsi"/>
          <w:b/>
          <w:szCs w:val="22"/>
        </w:rPr>
        <w:t>Beidou</w:t>
      </w:r>
      <w:proofErr w:type="spellEnd"/>
      <w:r w:rsidRPr="00CA1E2C">
        <w:rPr>
          <w:rFonts w:cstheme="minorHAnsi"/>
          <w:b/>
          <w:szCs w:val="22"/>
        </w:rPr>
        <w:tab/>
      </w:r>
      <w:r w:rsidR="00434EE2" w:rsidRPr="00CA1E2C">
        <w:rPr>
          <w:rFonts w:cstheme="minorHAnsi"/>
          <w:szCs w:val="22"/>
        </w:rPr>
        <w:t>Global navigation system developed by China</w:t>
      </w:r>
    </w:p>
    <w:p w14:paraId="68B9E3CD" w14:textId="754ABEAB" w:rsidR="00434EE2" w:rsidRPr="00CA1E2C" w:rsidRDefault="003B7426" w:rsidP="00454F9F">
      <w:pPr>
        <w:spacing w:after="60"/>
        <w:rPr>
          <w:rFonts w:cstheme="minorHAnsi"/>
          <w:szCs w:val="22"/>
        </w:rPr>
      </w:pPr>
      <w:r w:rsidRPr="00CA1E2C">
        <w:rPr>
          <w:rFonts w:cstheme="minorHAnsi"/>
          <w:b/>
          <w:bCs/>
          <w:szCs w:val="22"/>
        </w:rPr>
        <w:t xml:space="preserve">The Bureau </w:t>
      </w:r>
      <w:r w:rsidRPr="00CA1E2C">
        <w:rPr>
          <w:rFonts w:cstheme="minorHAnsi"/>
          <w:b/>
          <w:bCs/>
          <w:szCs w:val="22"/>
        </w:rPr>
        <w:tab/>
      </w:r>
      <w:proofErr w:type="spellStart"/>
      <w:r w:rsidR="00434EE2" w:rsidRPr="00CA1E2C">
        <w:rPr>
          <w:rFonts w:cstheme="minorHAnsi"/>
          <w:szCs w:val="22"/>
        </w:rPr>
        <w:t>Bureau</w:t>
      </w:r>
      <w:proofErr w:type="spellEnd"/>
      <w:r w:rsidR="00434EE2" w:rsidRPr="00CA1E2C">
        <w:rPr>
          <w:rFonts w:cstheme="minorHAnsi"/>
          <w:szCs w:val="22"/>
        </w:rPr>
        <w:t xml:space="preserve"> of Meteorology</w:t>
      </w:r>
    </w:p>
    <w:p w14:paraId="3E6518C0" w14:textId="49AB045D" w:rsidR="00434EE2" w:rsidRPr="00CA1E2C" w:rsidRDefault="003B7426" w:rsidP="00454F9F">
      <w:pPr>
        <w:spacing w:after="60"/>
        <w:ind w:left="1440" w:hanging="1440"/>
        <w:rPr>
          <w:rFonts w:cstheme="minorHAnsi"/>
          <w:szCs w:val="22"/>
        </w:rPr>
      </w:pPr>
      <w:r w:rsidRPr="00CA1E2C">
        <w:rPr>
          <w:rFonts w:cstheme="minorHAnsi"/>
          <w:b/>
          <w:bCs/>
          <w:szCs w:val="22"/>
        </w:rPr>
        <w:t xml:space="preserve">C2G2 </w:t>
      </w:r>
      <w:r w:rsidRPr="00CA1E2C">
        <w:rPr>
          <w:rFonts w:cstheme="minorHAnsi"/>
          <w:b/>
          <w:bCs/>
          <w:szCs w:val="22"/>
        </w:rPr>
        <w:tab/>
      </w:r>
      <w:r w:rsidR="00434EE2" w:rsidRPr="00CA1E2C">
        <w:rPr>
          <w:rFonts w:cstheme="minorHAnsi"/>
          <w:szCs w:val="22"/>
        </w:rPr>
        <w:t>Combined Communications Gateway Geraldton</w:t>
      </w:r>
    </w:p>
    <w:p w14:paraId="6D8E883C" w14:textId="6ECC7FB8" w:rsidR="00B2531C" w:rsidRPr="00CA1E2C" w:rsidRDefault="00B2531C" w:rsidP="00454F9F">
      <w:pPr>
        <w:spacing w:after="60"/>
        <w:ind w:left="1440" w:hanging="1440"/>
        <w:rPr>
          <w:rFonts w:cstheme="minorHAnsi"/>
          <w:szCs w:val="22"/>
        </w:rPr>
      </w:pPr>
      <w:r w:rsidRPr="00CA1E2C">
        <w:rPr>
          <w:rFonts w:cstheme="minorHAnsi"/>
          <w:b/>
          <w:szCs w:val="22"/>
        </w:rPr>
        <w:t>C5</w:t>
      </w:r>
      <w:r w:rsidRPr="00CA1E2C">
        <w:rPr>
          <w:rFonts w:cstheme="minorHAnsi"/>
          <w:szCs w:val="22"/>
        </w:rPr>
        <w:tab/>
        <w:t>Critical Five</w:t>
      </w:r>
    </w:p>
    <w:p w14:paraId="477346F4" w14:textId="7F5BA30E" w:rsidR="00434EE2" w:rsidRPr="00CA1E2C" w:rsidRDefault="00434EE2" w:rsidP="00454F9F">
      <w:pPr>
        <w:spacing w:after="60"/>
        <w:rPr>
          <w:rFonts w:cstheme="minorHAnsi"/>
          <w:szCs w:val="22"/>
        </w:rPr>
      </w:pPr>
      <w:r w:rsidRPr="00CA1E2C">
        <w:rPr>
          <w:rFonts w:cstheme="minorHAnsi"/>
          <w:b/>
          <w:bCs/>
          <w:szCs w:val="22"/>
        </w:rPr>
        <w:t>CA</w:t>
      </w:r>
      <w:r w:rsidR="003B7426" w:rsidRPr="00CA1E2C">
        <w:rPr>
          <w:rFonts w:cstheme="minorHAnsi"/>
          <w:b/>
          <w:bCs/>
          <w:szCs w:val="22"/>
        </w:rPr>
        <w:t xml:space="preserve">SA </w:t>
      </w:r>
      <w:r w:rsidR="003B7426" w:rsidRPr="00CA1E2C">
        <w:rPr>
          <w:rFonts w:cstheme="minorHAnsi"/>
          <w:b/>
          <w:bCs/>
          <w:szCs w:val="22"/>
        </w:rPr>
        <w:tab/>
      </w:r>
      <w:r w:rsidR="003B7426" w:rsidRPr="00CA1E2C">
        <w:rPr>
          <w:rFonts w:cstheme="minorHAnsi"/>
          <w:b/>
          <w:bCs/>
          <w:szCs w:val="22"/>
        </w:rPr>
        <w:tab/>
      </w:r>
      <w:r w:rsidRPr="00CA1E2C">
        <w:rPr>
          <w:rFonts w:cstheme="minorHAnsi"/>
          <w:szCs w:val="22"/>
        </w:rPr>
        <w:t>Civil Aviation Safety Authority</w:t>
      </w:r>
    </w:p>
    <w:p w14:paraId="2C75EA3D" w14:textId="1A8A4B93" w:rsidR="00434EE2" w:rsidRPr="00CA1E2C" w:rsidRDefault="003B7426" w:rsidP="00454F9F">
      <w:pPr>
        <w:spacing w:after="60"/>
        <w:rPr>
          <w:rFonts w:cstheme="minorHAnsi"/>
          <w:szCs w:val="22"/>
        </w:rPr>
      </w:pPr>
      <w:r w:rsidRPr="00CA1E2C">
        <w:rPr>
          <w:rFonts w:cstheme="minorHAnsi"/>
          <w:b/>
          <w:bCs/>
          <w:szCs w:val="22"/>
        </w:rPr>
        <w:t xml:space="preserve">CASR </w:t>
      </w:r>
      <w:r w:rsidRPr="00CA1E2C">
        <w:rPr>
          <w:rFonts w:cstheme="minorHAnsi"/>
          <w:b/>
          <w:bCs/>
          <w:szCs w:val="22"/>
        </w:rPr>
        <w:tab/>
      </w:r>
      <w:r w:rsidRPr="00CA1E2C">
        <w:rPr>
          <w:rFonts w:cstheme="minorHAnsi"/>
          <w:b/>
          <w:bCs/>
          <w:szCs w:val="22"/>
        </w:rPr>
        <w:tab/>
      </w:r>
      <w:r w:rsidR="00434EE2" w:rsidRPr="00CA1E2C">
        <w:rPr>
          <w:rFonts w:cstheme="minorHAnsi"/>
          <w:szCs w:val="22"/>
        </w:rPr>
        <w:t>Civil Aviation Safety Regulation</w:t>
      </w:r>
    </w:p>
    <w:p w14:paraId="42A7F9B5" w14:textId="140A497F" w:rsidR="00434EE2" w:rsidRPr="00CA1E2C" w:rsidRDefault="003B7426" w:rsidP="00454F9F">
      <w:pPr>
        <w:spacing w:after="60"/>
        <w:rPr>
          <w:rFonts w:cstheme="minorHAnsi"/>
          <w:szCs w:val="22"/>
        </w:rPr>
      </w:pPr>
      <w:r w:rsidRPr="00CA1E2C">
        <w:rPr>
          <w:rFonts w:cstheme="minorHAnsi"/>
          <w:b/>
          <w:bCs/>
          <w:szCs w:val="22"/>
        </w:rPr>
        <w:t xml:space="preserve">CASS </w:t>
      </w:r>
      <w:r w:rsidRPr="00CA1E2C">
        <w:rPr>
          <w:rFonts w:cstheme="minorHAnsi"/>
          <w:b/>
          <w:bCs/>
          <w:szCs w:val="22"/>
        </w:rPr>
        <w:tab/>
      </w:r>
      <w:r w:rsidRPr="00CA1E2C">
        <w:rPr>
          <w:rFonts w:cstheme="minorHAnsi"/>
          <w:b/>
          <w:bCs/>
          <w:szCs w:val="22"/>
        </w:rPr>
        <w:tab/>
      </w:r>
      <w:r w:rsidR="00434EE2" w:rsidRPr="00CA1E2C">
        <w:rPr>
          <w:rFonts w:cstheme="minorHAnsi"/>
          <w:szCs w:val="22"/>
        </w:rPr>
        <w:t>CSIRO Astronomy and Space Science</w:t>
      </w:r>
    </w:p>
    <w:p w14:paraId="41235C89" w14:textId="7F3BB218" w:rsidR="00434EE2" w:rsidRPr="00CA1E2C" w:rsidRDefault="003B7426" w:rsidP="00454F9F">
      <w:pPr>
        <w:spacing w:after="60"/>
        <w:rPr>
          <w:rFonts w:cstheme="minorHAnsi"/>
          <w:szCs w:val="22"/>
        </w:rPr>
      </w:pPr>
      <w:r w:rsidRPr="00CA1E2C">
        <w:rPr>
          <w:rFonts w:cstheme="minorHAnsi"/>
          <w:b/>
          <w:bCs/>
          <w:szCs w:val="22"/>
        </w:rPr>
        <w:t xml:space="preserve">CCEO </w:t>
      </w:r>
      <w:r w:rsidRPr="00CA1E2C">
        <w:rPr>
          <w:rFonts w:cstheme="minorHAnsi"/>
          <w:b/>
          <w:bCs/>
          <w:szCs w:val="22"/>
        </w:rPr>
        <w:tab/>
      </w:r>
      <w:r w:rsidRPr="00CA1E2C">
        <w:rPr>
          <w:rFonts w:cstheme="minorHAnsi"/>
          <w:b/>
          <w:bCs/>
          <w:szCs w:val="22"/>
        </w:rPr>
        <w:tab/>
      </w:r>
      <w:r w:rsidR="00434EE2" w:rsidRPr="00CA1E2C">
        <w:rPr>
          <w:rFonts w:cstheme="minorHAnsi"/>
          <w:szCs w:val="22"/>
        </w:rPr>
        <w:t>CSIRO Centre for Earth Observation</w:t>
      </w:r>
    </w:p>
    <w:p w14:paraId="04A1CE10" w14:textId="7225F971" w:rsidR="00434EE2" w:rsidRPr="00CA1E2C" w:rsidRDefault="00434EE2" w:rsidP="00454F9F">
      <w:pPr>
        <w:spacing w:after="60"/>
        <w:ind w:left="1440" w:hanging="1440"/>
        <w:rPr>
          <w:rFonts w:cstheme="minorHAnsi"/>
          <w:szCs w:val="22"/>
        </w:rPr>
      </w:pPr>
      <w:r w:rsidRPr="00CA1E2C">
        <w:rPr>
          <w:rFonts w:cstheme="minorHAnsi"/>
          <w:b/>
          <w:szCs w:val="22"/>
        </w:rPr>
        <w:t>CDIC</w:t>
      </w:r>
      <w:r w:rsidRPr="00CA1E2C">
        <w:rPr>
          <w:rFonts w:cstheme="minorHAnsi"/>
          <w:b/>
          <w:szCs w:val="22"/>
        </w:rPr>
        <w:tab/>
      </w:r>
      <w:r w:rsidRPr="00CA1E2C">
        <w:rPr>
          <w:rFonts w:cstheme="minorHAnsi"/>
          <w:szCs w:val="22"/>
        </w:rPr>
        <w:t>Centre for Defence Industry Capability</w:t>
      </w:r>
    </w:p>
    <w:p w14:paraId="4E6AEA91" w14:textId="54DAE82D" w:rsidR="00434EE2" w:rsidRPr="00CA1E2C" w:rsidRDefault="00434EE2" w:rsidP="00454F9F">
      <w:pPr>
        <w:spacing w:after="60"/>
        <w:ind w:left="1440" w:hanging="1440"/>
        <w:rPr>
          <w:rFonts w:cstheme="minorHAnsi"/>
          <w:szCs w:val="22"/>
        </w:rPr>
      </w:pPr>
      <w:r w:rsidRPr="00CA1E2C">
        <w:rPr>
          <w:rFonts w:cstheme="minorHAnsi"/>
          <w:b/>
          <w:bCs/>
          <w:szCs w:val="22"/>
        </w:rPr>
        <w:t xml:space="preserve">CDSCC </w:t>
      </w:r>
      <w:r w:rsidRPr="00CA1E2C">
        <w:rPr>
          <w:rFonts w:cstheme="minorHAnsi"/>
          <w:b/>
          <w:bCs/>
          <w:szCs w:val="22"/>
        </w:rPr>
        <w:tab/>
      </w:r>
      <w:r w:rsidRPr="00CA1E2C">
        <w:rPr>
          <w:rFonts w:cstheme="minorHAnsi"/>
          <w:szCs w:val="22"/>
        </w:rPr>
        <w:t>Canberra Deep Space Communication Complex</w:t>
      </w:r>
    </w:p>
    <w:p w14:paraId="76B5A3B3" w14:textId="2043CE83" w:rsidR="00434EE2" w:rsidRPr="00CA1E2C" w:rsidRDefault="003B7426" w:rsidP="00454F9F">
      <w:pPr>
        <w:spacing w:after="60"/>
        <w:ind w:left="1440" w:hanging="1440"/>
        <w:rPr>
          <w:rFonts w:cstheme="minorHAnsi"/>
          <w:szCs w:val="22"/>
        </w:rPr>
      </w:pPr>
      <w:r w:rsidRPr="00CA1E2C">
        <w:rPr>
          <w:rFonts w:cstheme="minorHAnsi"/>
          <w:b/>
          <w:bCs/>
          <w:szCs w:val="22"/>
        </w:rPr>
        <w:t xml:space="preserve">CEOS </w:t>
      </w:r>
      <w:r w:rsidRPr="00CA1E2C">
        <w:rPr>
          <w:rFonts w:cstheme="minorHAnsi"/>
          <w:b/>
          <w:bCs/>
          <w:szCs w:val="22"/>
        </w:rPr>
        <w:tab/>
      </w:r>
      <w:r w:rsidR="00434EE2" w:rsidRPr="00CA1E2C">
        <w:rPr>
          <w:rFonts w:cstheme="minorHAnsi"/>
          <w:szCs w:val="22"/>
        </w:rPr>
        <w:t>Committee on Earth Observation Satellites</w:t>
      </w:r>
    </w:p>
    <w:p w14:paraId="315600DD" w14:textId="61054FB2" w:rsidR="00434EE2" w:rsidRPr="00CA1E2C" w:rsidRDefault="003B7426" w:rsidP="00454F9F">
      <w:pPr>
        <w:spacing w:after="60"/>
        <w:rPr>
          <w:rFonts w:cstheme="minorHAnsi"/>
          <w:szCs w:val="22"/>
        </w:rPr>
      </w:pPr>
      <w:r w:rsidRPr="00CA1E2C">
        <w:rPr>
          <w:rFonts w:cstheme="minorHAnsi"/>
          <w:b/>
          <w:bCs/>
          <w:szCs w:val="22"/>
        </w:rPr>
        <w:t xml:space="preserve">CIC </w:t>
      </w:r>
      <w:r w:rsidRPr="00CA1E2C">
        <w:rPr>
          <w:rFonts w:cstheme="minorHAnsi"/>
          <w:b/>
          <w:bCs/>
          <w:szCs w:val="22"/>
        </w:rPr>
        <w:tab/>
      </w:r>
      <w:r w:rsidRPr="00CA1E2C">
        <w:rPr>
          <w:rFonts w:cstheme="minorHAnsi"/>
          <w:b/>
          <w:bCs/>
          <w:szCs w:val="22"/>
        </w:rPr>
        <w:tab/>
      </w:r>
      <w:r w:rsidR="00434EE2" w:rsidRPr="00CA1E2C">
        <w:rPr>
          <w:rFonts w:cstheme="minorHAnsi"/>
          <w:szCs w:val="22"/>
        </w:rPr>
        <w:t>Critical Infrastructure Centre</w:t>
      </w:r>
    </w:p>
    <w:p w14:paraId="4B6BFB6C" w14:textId="2BD18764" w:rsidR="00434EE2" w:rsidRPr="00CA1E2C" w:rsidRDefault="00434EE2" w:rsidP="00454F9F">
      <w:pPr>
        <w:spacing w:after="60"/>
        <w:ind w:left="1440" w:hanging="1440"/>
        <w:rPr>
          <w:rFonts w:cstheme="minorHAnsi"/>
          <w:szCs w:val="22"/>
        </w:rPr>
      </w:pPr>
      <w:r w:rsidRPr="00CA1E2C">
        <w:rPr>
          <w:rFonts w:cstheme="minorHAnsi"/>
          <w:b/>
          <w:szCs w:val="22"/>
        </w:rPr>
        <w:t>CIPMA</w:t>
      </w:r>
      <w:r w:rsidRPr="00CA1E2C">
        <w:rPr>
          <w:rFonts w:cstheme="minorHAnsi"/>
          <w:szCs w:val="22"/>
        </w:rPr>
        <w:tab/>
        <w:t>Critical infrastructure Program for Modelling and Analysis</w:t>
      </w:r>
    </w:p>
    <w:p w14:paraId="08992F9C" w14:textId="05CBA3B7" w:rsidR="00434EE2" w:rsidRPr="00CA1E2C" w:rsidRDefault="003B7426" w:rsidP="00454F9F">
      <w:pPr>
        <w:spacing w:after="60"/>
        <w:rPr>
          <w:rFonts w:cstheme="minorHAnsi"/>
          <w:szCs w:val="22"/>
        </w:rPr>
      </w:pPr>
      <w:r w:rsidRPr="00CA1E2C">
        <w:rPr>
          <w:rFonts w:cstheme="minorHAnsi"/>
          <w:b/>
          <w:bCs/>
          <w:szCs w:val="22"/>
        </w:rPr>
        <w:t xml:space="preserve">CIR </w:t>
      </w:r>
      <w:r w:rsidRPr="00CA1E2C">
        <w:rPr>
          <w:rFonts w:cstheme="minorHAnsi"/>
          <w:b/>
          <w:bCs/>
          <w:szCs w:val="22"/>
        </w:rPr>
        <w:tab/>
      </w:r>
      <w:r w:rsidRPr="00CA1E2C">
        <w:rPr>
          <w:rFonts w:cstheme="minorHAnsi"/>
          <w:b/>
          <w:bCs/>
          <w:szCs w:val="22"/>
        </w:rPr>
        <w:tab/>
      </w:r>
      <w:r w:rsidR="00434EE2" w:rsidRPr="00CA1E2C">
        <w:rPr>
          <w:rFonts w:cstheme="minorHAnsi"/>
          <w:szCs w:val="22"/>
        </w:rPr>
        <w:t>Critical infrastructure Resilience</w:t>
      </w:r>
    </w:p>
    <w:p w14:paraId="77C4312F" w14:textId="5B0A0E40" w:rsidR="00434EE2" w:rsidRPr="00CA1E2C" w:rsidRDefault="003B7426" w:rsidP="00454F9F">
      <w:pPr>
        <w:spacing w:after="60"/>
        <w:ind w:left="1440" w:hanging="1440"/>
        <w:rPr>
          <w:rFonts w:cstheme="minorHAnsi"/>
          <w:b/>
          <w:szCs w:val="22"/>
        </w:rPr>
      </w:pPr>
      <w:r w:rsidRPr="00CA1E2C">
        <w:rPr>
          <w:rFonts w:cstheme="minorHAnsi"/>
          <w:b/>
          <w:szCs w:val="22"/>
        </w:rPr>
        <w:t>CNES</w:t>
      </w:r>
      <w:r w:rsidRPr="00CA1E2C">
        <w:rPr>
          <w:rFonts w:cstheme="minorHAnsi"/>
          <w:b/>
          <w:szCs w:val="22"/>
        </w:rPr>
        <w:tab/>
      </w:r>
      <w:r w:rsidR="00434EE2" w:rsidRPr="00CA1E2C">
        <w:rPr>
          <w:rFonts w:cstheme="minorHAnsi"/>
          <w:szCs w:val="22"/>
        </w:rPr>
        <w:t xml:space="preserve">Centre National </w:t>
      </w:r>
      <w:proofErr w:type="spellStart"/>
      <w:r w:rsidR="00434EE2" w:rsidRPr="00CA1E2C">
        <w:rPr>
          <w:rFonts w:cstheme="minorHAnsi"/>
          <w:szCs w:val="22"/>
        </w:rPr>
        <w:t>d'Etudes</w:t>
      </w:r>
      <w:proofErr w:type="spellEnd"/>
      <w:r w:rsidR="00434EE2" w:rsidRPr="00CA1E2C">
        <w:rPr>
          <w:rFonts w:cstheme="minorHAnsi"/>
          <w:szCs w:val="22"/>
        </w:rPr>
        <w:t xml:space="preserve"> </w:t>
      </w:r>
      <w:proofErr w:type="spellStart"/>
      <w:r w:rsidR="00434EE2" w:rsidRPr="00CA1E2C">
        <w:rPr>
          <w:rFonts w:cstheme="minorHAnsi"/>
          <w:szCs w:val="22"/>
        </w:rPr>
        <w:t>Spatiales</w:t>
      </w:r>
      <w:proofErr w:type="spellEnd"/>
      <w:r w:rsidR="00434EE2" w:rsidRPr="00CA1E2C">
        <w:rPr>
          <w:rFonts w:cstheme="minorHAnsi"/>
          <w:szCs w:val="22"/>
        </w:rPr>
        <w:t xml:space="preserve"> (French space agency)</w:t>
      </w:r>
    </w:p>
    <w:p w14:paraId="3C9FDD26" w14:textId="72AB558C" w:rsidR="00434EE2" w:rsidRPr="00CA1E2C" w:rsidRDefault="003B7426" w:rsidP="00454F9F">
      <w:pPr>
        <w:spacing w:after="60"/>
        <w:ind w:left="1440" w:hanging="1440"/>
        <w:rPr>
          <w:rFonts w:cstheme="minorHAnsi"/>
          <w:szCs w:val="22"/>
        </w:rPr>
      </w:pPr>
      <w:r w:rsidRPr="00CA1E2C">
        <w:rPr>
          <w:rFonts w:cstheme="minorHAnsi"/>
          <w:b/>
          <w:bCs/>
          <w:szCs w:val="22"/>
        </w:rPr>
        <w:t xml:space="preserve">COPOUS </w:t>
      </w:r>
      <w:r w:rsidRPr="00CA1E2C">
        <w:rPr>
          <w:rFonts w:cstheme="minorHAnsi"/>
          <w:b/>
          <w:bCs/>
          <w:szCs w:val="22"/>
        </w:rPr>
        <w:tab/>
      </w:r>
      <w:r w:rsidR="00434EE2" w:rsidRPr="00CA1E2C">
        <w:rPr>
          <w:rFonts w:cstheme="minorHAnsi"/>
          <w:szCs w:val="22"/>
        </w:rPr>
        <w:t>United Nations Committee on the Peaceful Uses of Outer Space</w:t>
      </w:r>
    </w:p>
    <w:p w14:paraId="5BF3C50F" w14:textId="48EA9F08" w:rsidR="00434EE2" w:rsidRPr="00CA1E2C" w:rsidRDefault="003B7426" w:rsidP="00454F9F">
      <w:pPr>
        <w:spacing w:after="60"/>
        <w:ind w:left="1440" w:hanging="1440"/>
        <w:rPr>
          <w:rFonts w:cstheme="minorHAnsi"/>
          <w:szCs w:val="22"/>
        </w:rPr>
      </w:pPr>
      <w:r w:rsidRPr="00CA1E2C">
        <w:rPr>
          <w:rFonts w:cstheme="minorHAnsi"/>
          <w:b/>
          <w:bCs/>
          <w:szCs w:val="22"/>
        </w:rPr>
        <w:t xml:space="preserve">COSMIC-2 </w:t>
      </w:r>
      <w:r w:rsidRPr="00CA1E2C">
        <w:rPr>
          <w:rFonts w:cstheme="minorHAnsi"/>
          <w:b/>
          <w:bCs/>
          <w:szCs w:val="22"/>
        </w:rPr>
        <w:tab/>
      </w:r>
      <w:r w:rsidR="00434EE2" w:rsidRPr="00CA1E2C">
        <w:rPr>
          <w:rFonts w:cstheme="minorHAnsi"/>
          <w:szCs w:val="22"/>
        </w:rPr>
        <w:t>Cosmic Observing System for Meteorology, Ionosphere and Climate-2</w:t>
      </w:r>
    </w:p>
    <w:p w14:paraId="31DBAA84" w14:textId="7C49B134" w:rsidR="00434EE2" w:rsidRPr="00CA1E2C" w:rsidRDefault="003B7426" w:rsidP="00454F9F">
      <w:pPr>
        <w:spacing w:after="60"/>
        <w:ind w:left="1440" w:hanging="1440"/>
        <w:rPr>
          <w:rFonts w:cstheme="minorHAnsi"/>
          <w:b/>
          <w:bCs/>
          <w:szCs w:val="22"/>
        </w:rPr>
      </w:pPr>
      <w:proofErr w:type="spellStart"/>
      <w:r w:rsidRPr="00CA1E2C">
        <w:rPr>
          <w:rFonts w:cstheme="minorHAnsi"/>
          <w:b/>
          <w:bCs/>
          <w:szCs w:val="22"/>
        </w:rPr>
        <w:t>COSPPac</w:t>
      </w:r>
      <w:proofErr w:type="spellEnd"/>
      <w:r w:rsidRPr="00CA1E2C">
        <w:rPr>
          <w:rFonts w:cstheme="minorHAnsi"/>
          <w:b/>
          <w:bCs/>
          <w:szCs w:val="22"/>
        </w:rPr>
        <w:tab/>
      </w:r>
      <w:r w:rsidR="00434EE2" w:rsidRPr="00CA1E2C">
        <w:rPr>
          <w:rFonts w:cstheme="minorHAnsi"/>
          <w:szCs w:val="22"/>
        </w:rPr>
        <w:t>Climate and Oceans Support Program in the Pacific</w:t>
      </w:r>
    </w:p>
    <w:p w14:paraId="76D69752" w14:textId="77777777" w:rsidR="00656812" w:rsidRPr="00CA1E2C" w:rsidRDefault="003B7426" w:rsidP="00454F9F">
      <w:pPr>
        <w:spacing w:after="60"/>
        <w:rPr>
          <w:rFonts w:cstheme="minorHAnsi"/>
          <w:szCs w:val="22"/>
        </w:rPr>
      </w:pPr>
      <w:r w:rsidRPr="00CA1E2C">
        <w:rPr>
          <w:rFonts w:cstheme="minorHAnsi"/>
          <w:b/>
          <w:szCs w:val="22"/>
        </w:rPr>
        <w:t xml:space="preserve">COSPAS-SARSAT </w:t>
      </w:r>
      <w:r w:rsidR="00434EE2" w:rsidRPr="00CA1E2C">
        <w:rPr>
          <w:rFonts w:cstheme="minorHAnsi"/>
          <w:szCs w:val="22"/>
        </w:rPr>
        <w:t>International search and</w:t>
      </w:r>
      <w:r w:rsidRPr="00CA1E2C">
        <w:rPr>
          <w:rFonts w:cstheme="minorHAnsi"/>
          <w:szCs w:val="22"/>
        </w:rPr>
        <w:t xml:space="preserve"> rescue</w:t>
      </w:r>
    </w:p>
    <w:p w14:paraId="53294A2A" w14:textId="5B23FA23" w:rsidR="00434EE2" w:rsidRPr="00CA1E2C" w:rsidRDefault="00434EE2" w:rsidP="00454F9F">
      <w:pPr>
        <w:spacing w:after="60"/>
        <w:ind w:left="1440"/>
        <w:rPr>
          <w:rFonts w:cstheme="minorHAnsi"/>
          <w:szCs w:val="22"/>
        </w:rPr>
      </w:pPr>
      <w:proofErr w:type="gramStart"/>
      <w:r w:rsidRPr="00CA1E2C">
        <w:rPr>
          <w:rFonts w:cstheme="minorHAnsi"/>
          <w:szCs w:val="22"/>
        </w:rPr>
        <w:t>satellite</w:t>
      </w:r>
      <w:proofErr w:type="gramEnd"/>
      <w:r w:rsidRPr="00CA1E2C">
        <w:rPr>
          <w:rFonts w:cstheme="minorHAnsi"/>
          <w:szCs w:val="22"/>
        </w:rPr>
        <w:t xml:space="preserve"> system.</w:t>
      </w:r>
      <w:r w:rsidRPr="00CA1E2C">
        <w:rPr>
          <w:rFonts w:cstheme="minorHAnsi"/>
          <w:b/>
          <w:szCs w:val="22"/>
        </w:rPr>
        <w:t xml:space="preserve"> </w:t>
      </w:r>
      <w:r w:rsidRPr="00CA1E2C">
        <w:rPr>
          <w:rFonts w:cstheme="minorHAnsi"/>
          <w:szCs w:val="22"/>
        </w:rPr>
        <w:t>COSPAS: Russian acronym for “space system for the search of vessels in distress”; SARSAT: Search and Rescue Satellite</w:t>
      </w:r>
    </w:p>
    <w:p w14:paraId="720F20A5" w14:textId="4C3D6E37" w:rsidR="00434EE2" w:rsidRPr="00CA1E2C" w:rsidRDefault="003B7426" w:rsidP="00454F9F">
      <w:pPr>
        <w:spacing w:after="60"/>
        <w:rPr>
          <w:rFonts w:cstheme="minorHAnsi"/>
          <w:szCs w:val="22"/>
        </w:rPr>
      </w:pPr>
      <w:r w:rsidRPr="00CA1E2C">
        <w:rPr>
          <w:rFonts w:cstheme="minorHAnsi"/>
          <w:b/>
          <w:bCs/>
          <w:szCs w:val="22"/>
        </w:rPr>
        <w:t xml:space="preserve">CRC </w:t>
      </w:r>
      <w:r w:rsidRPr="00CA1E2C">
        <w:rPr>
          <w:rFonts w:cstheme="minorHAnsi"/>
          <w:b/>
          <w:bCs/>
          <w:szCs w:val="22"/>
        </w:rPr>
        <w:tab/>
      </w:r>
      <w:r w:rsidRPr="00CA1E2C">
        <w:rPr>
          <w:rFonts w:cstheme="minorHAnsi"/>
          <w:b/>
          <w:bCs/>
          <w:szCs w:val="22"/>
        </w:rPr>
        <w:tab/>
      </w:r>
      <w:r w:rsidR="00434EE2" w:rsidRPr="00CA1E2C">
        <w:rPr>
          <w:rFonts w:cstheme="minorHAnsi"/>
          <w:szCs w:val="22"/>
        </w:rPr>
        <w:t>Cooperative Research Centre</w:t>
      </w:r>
    </w:p>
    <w:p w14:paraId="49644FA7" w14:textId="43A161EE" w:rsidR="00434EE2" w:rsidRPr="00CA1E2C" w:rsidRDefault="003B7426" w:rsidP="00454F9F">
      <w:pPr>
        <w:spacing w:after="60"/>
        <w:rPr>
          <w:rFonts w:cstheme="minorHAnsi"/>
          <w:szCs w:val="22"/>
        </w:rPr>
      </w:pPr>
      <w:r w:rsidRPr="00CA1E2C">
        <w:rPr>
          <w:rFonts w:cstheme="minorHAnsi"/>
          <w:b/>
          <w:bCs/>
          <w:szCs w:val="22"/>
        </w:rPr>
        <w:t xml:space="preserve">CSIG </w:t>
      </w:r>
      <w:r w:rsidRPr="00CA1E2C">
        <w:rPr>
          <w:rFonts w:cstheme="minorHAnsi"/>
          <w:b/>
          <w:bCs/>
          <w:szCs w:val="22"/>
        </w:rPr>
        <w:tab/>
      </w:r>
      <w:r w:rsidRPr="00CA1E2C">
        <w:rPr>
          <w:rFonts w:cstheme="minorHAnsi"/>
          <w:b/>
          <w:bCs/>
          <w:szCs w:val="22"/>
        </w:rPr>
        <w:tab/>
      </w:r>
      <w:r w:rsidR="00434EE2" w:rsidRPr="00CA1E2C">
        <w:rPr>
          <w:rFonts w:cstheme="minorHAnsi"/>
          <w:szCs w:val="22"/>
        </w:rPr>
        <w:t>Cross Sector Interest Group</w:t>
      </w:r>
    </w:p>
    <w:p w14:paraId="2850A14C" w14:textId="64A136F3" w:rsidR="00434EE2" w:rsidRPr="00CA1E2C" w:rsidRDefault="00434EE2" w:rsidP="00454F9F">
      <w:pPr>
        <w:spacing w:after="60"/>
        <w:ind w:left="1440" w:hanging="1440"/>
        <w:rPr>
          <w:rFonts w:cstheme="minorHAnsi"/>
          <w:szCs w:val="22"/>
        </w:rPr>
      </w:pPr>
      <w:r w:rsidRPr="00CA1E2C">
        <w:rPr>
          <w:rFonts w:cstheme="minorHAnsi"/>
          <w:b/>
          <w:bCs/>
          <w:szCs w:val="22"/>
        </w:rPr>
        <w:lastRenderedPageBreak/>
        <w:t xml:space="preserve">CSIRO </w:t>
      </w:r>
      <w:r w:rsidRPr="00CA1E2C">
        <w:rPr>
          <w:rFonts w:cstheme="minorHAnsi"/>
          <w:b/>
          <w:bCs/>
          <w:szCs w:val="22"/>
        </w:rPr>
        <w:tab/>
      </w:r>
      <w:r w:rsidRPr="00CA1E2C">
        <w:rPr>
          <w:rFonts w:cstheme="minorHAnsi"/>
          <w:szCs w:val="22"/>
        </w:rPr>
        <w:t>Commonwealth Scientific and Industrial Research Organisation</w:t>
      </w:r>
    </w:p>
    <w:p w14:paraId="38489C1A" w14:textId="4CB0FB5F" w:rsidR="00434EE2" w:rsidRPr="00CA1E2C" w:rsidRDefault="003B7426" w:rsidP="00454F9F">
      <w:pPr>
        <w:spacing w:after="60"/>
        <w:rPr>
          <w:rFonts w:cstheme="minorHAnsi"/>
          <w:b/>
          <w:szCs w:val="22"/>
        </w:rPr>
      </w:pPr>
      <w:proofErr w:type="spellStart"/>
      <w:r w:rsidRPr="00CA1E2C">
        <w:rPr>
          <w:rFonts w:cstheme="minorHAnsi"/>
          <w:b/>
          <w:szCs w:val="22"/>
        </w:rPr>
        <w:t>CSpO</w:t>
      </w:r>
      <w:proofErr w:type="spellEnd"/>
      <w:r w:rsidRPr="00CA1E2C">
        <w:rPr>
          <w:rFonts w:cstheme="minorHAnsi"/>
          <w:b/>
          <w:szCs w:val="22"/>
        </w:rPr>
        <w:tab/>
      </w:r>
      <w:r w:rsidRPr="00CA1E2C">
        <w:rPr>
          <w:rFonts w:cstheme="minorHAnsi"/>
          <w:b/>
          <w:szCs w:val="22"/>
        </w:rPr>
        <w:tab/>
      </w:r>
      <w:r w:rsidR="00434EE2" w:rsidRPr="00CA1E2C">
        <w:rPr>
          <w:rFonts w:cstheme="minorHAnsi"/>
          <w:szCs w:val="22"/>
        </w:rPr>
        <w:t>Combined Space Operations</w:t>
      </w:r>
    </w:p>
    <w:p w14:paraId="549973D3" w14:textId="018F0EFD" w:rsidR="00434EE2" w:rsidRPr="00CA1E2C" w:rsidRDefault="00434EE2" w:rsidP="00454F9F">
      <w:pPr>
        <w:spacing w:after="60"/>
        <w:ind w:left="1440" w:hanging="1440"/>
        <w:rPr>
          <w:rFonts w:cstheme="minorHAnsi"/>
          <w:szCs w:val="22"/>
        </w:rPr>
      </w:pPr>
      <w:r w:rsidRPr="00CA1E2C">
        <w:rPr>
          <w:rFonts w:cstheme="minorHAnsi"/>
          <w:b/>
          <w:bCs/>
          <w:szCs w:val="22"/>
        </w:rPr>
        <w:t xml:space="preserve">DAWR </w:t>
      </w:r>
      <w:r w:rsidRPr="00CA1E2C">
        <w:rPr>
          <w:rFonts w:cstheme="minorHAnsi"/>
          <w:b/>
          <w:bCs/>
          <w:szCs w:val="22"/>
        </w:rPr>
        <w:tab/>
      </w:r>
      <w:r w:rsidRPr="00CA1E2C">
        <w:rPr>
          <w:rFonts w:cstheme="minorHAnsi"/>
          <w:szCs w:val="22"/>
        </w:rPr>
        <w:t>Department of Agriculture and Water Resources</w:t>
      </w:r>
    </w:p>
    <w:p w14:paraId="1DFD5273" w14:textId="7C43F7C1" w:rsidR="00434EE2" w:rsidRPr="00CA1E2C" w:rsidRDefault="003B7426" w:rsidP="00454F9F">
      <w:pPr>
        <w:spacing w:after="60"/>
        <w:ind w:left="1440" w:hanging="1440"/>
        <w:rPr>
          <w:rFonts w:cstheme="minorHAnsi"/>
          <w:szCs w:val="22"/>
        </w:rPr>
      </w:pPr>
      <w:proofErr w:type="spellStart"/>
      <w:r w:rsidRPr="00CA1E2C">
        <w:rPr>
          <w:rFonts w:cstheme="minorHAnsi"/>
          <w:b/>
          <w:bCs/>
          <w:szCs w:val="22"/>
        </w:rPr>
        <w:t>DoCA</w:t>
      </w:r>
      <w:proofErr w:type="spellEnd"/>
      <w:r w:rsidRPr="00CA1E2C">
        <w:rPr>
          <w:rFonts w:cstheme="minorHAnsi"/>
          <w:b/>
          <w:bCs/>
          <w:szCs w:val="22"/>
        </w:rPr>
        <w:t xml:space="preserve"> </w:t>
      </w:r>
      <w:r w:rsidRPr="00CA1E2C">
        <w:rPr>
          <w:rFonts w:cstheme="minorHAnsi"/>
          <w:b/>
          <w:bCs/>
          <w:szCs w:val="22"/>
        </w:rPr>
        <w:tab/>
      </w:r>
      <w:r w:rsidR="00434EE2" w:rsidRPr="00CA1E2C">
        <w:rPr>
          <w:rFonts w:cstheme="minorHAnsi"/>
          <w:szCs w:val="22"/>
        </w:rPr>
        <w:t>Department of Communications and the Arts</w:t>
      </w:r>
    </w:p>
    <w:p w14:paraId="1A50D5BA" w14:textId="4E856A4B" w:rsidR="00434EE2" w:rsidRPr="00CA1E2C" w:rsidRDefault="003B7426" w:rsidP="00454F9F">
      <w:pPr>
        <w:spacing w:after="60"/>
        <w:rPr>
          <w:rFonts w:cstheme="minorHAnsi"/>
          <w:szCs w:val="22"/>
        </w:rPr>
      </w:pPr>
      <w:r w:rsidRPr="00CA1E2C">
        <w:rPr>
          <w:rFonts w:cstheme="minorHAnsi"/>
          <w:b/>
          <w:bCs/>
          <w:szCs w:val="22"/>
        </w:rPr>
        <w:t xml:space="preserve">DEA </w:t>
      </w:r>
      <w:r w:rsidRPr="00CA1E2C">
        <w:rPr>
          <w:rFonts w:cstheme="minorHAnsi"/>
          <w:b/>
          <w:bCs/>
          <w:szCs w:val="22"/>
        </w:rPr>
        <w:tab/>
      </w:r>
      <w:r w:rsidRPr="00CA1E2C">
        <w:rPr>
          <w:rFonts w:cstheme="minorHAnsi"/>
          <w:b/>
          <w:bCs/>
          <w:szCs w:val="22"/>
        </w:rPr>
        <w:tab/>
      </w:r>
      <w:r w:rsidR="00434EE2" w:rsidRPr="00CA1E2C">
        <w:rPr>
          <w:rFonts w:cstheme="minorHAnsi"/>
          <w:szCs w:val="22"/>
        </w:rPr>
        <w:t>Digital Earth Australia</w:t>
      </w:r>
    </w:p>
    <w:p w14:paraId="2A241325" w14:textId="5684B028" w:rsidR="00434EE2" w:rsidRPr="00CA1E2C" w:rsidRDefault="00434EE2" w:rsidP="00454F9F">
      <w:pPr>
        <w:spacing w:after="60"/>
        <w:rPr>
          <w:rFonts w:cstheme="minorHAnsi"/>
          <w:b/>
          <w:szCs w:val="22"/>
        </w:rPr>
      </w:pPr>
      <w:proofErr w:type="spellStart"/>
      <w:r w:rsidRPr="00CA1E2C">
        <w:rPr>
          <w:rFonts w:cstheme="minorHAnsi"/>
          <w:b/>
          <w:szCs w:val="22"/>
        </w:rPr>
        <w:t>DEAfrica</w:t>
      </w:r>
      <w:proofErr w:type="spellEnd"/>
      <w:r w:rsidRPr="00CA1E2C">
        <w:rPr>
          <w:rFonts w:cstheme="minorHAnsi"/>
          <w:b/>
          <w:szCs w:val="22"/>
        </w:rPr>
        <w:tab/>
      </w:r>
      <w:r w:rsidRPr="00CA1E2C">
        <w:rPr>
          <w:rFonts w:cstheme="minorHAnsi"/>
          <w:szCs w:val="22"/>
        </w:rPr>
        <w:t>Digital Earth Africa</w:t>
      </w:r>
    </w:p>
    <w:p w14:paraId="44FF2C5C" w14:textId="65863A19" w:rsidR="00434EE2" w:rsidRPr="00CA1E2C" w:rsidRDefault="003B7426" w:rsidP="00454F9F">
      <w:pPr>
        <w:spacing w:after="60"/>
        <w:rPr>
          <w:rFonts w:cstheme="minorHAnsi"/>
          <w:szCs w:val="22"/>
        </w:rPr>
      </w:pPr>
      <w:r w:rsidRPr="00CA1E2C">
        <w:rPr>
          <w:rFonts w:cstheme="minorHAnsi"/>
          <w:b/>
          <w:szCs w:val="22"/>
        </w:rPr>
        <w:t>DEC</w:t>
      </w:r>
      <w:r w:rsidRPr="00CA1E2C">
        <w:rPr>
          <w:rFonts w:cstheme="minorHAnsi"/>
          <w:b/>
          <w:szCs w:val="22"/>
        </w:rPr>
        <w:tab/>
      </w:r>
      <w:r w:rsidRPr="00CA1E2C">
        <w:rPr>
          <w:rFonts w:cstheme="minorHAnsi"/>
          <w:b/>
          <w:szCs w:val="22"/>
        </w:rPr>
        <w:tab/>
      </w:r>
      <w:r w:rsidR="00434EE2" w:rsidRPr="00CA1E2C">
        <w:rPr>
          <w:rFonts w:cstheme="minorHAnsi"/>
          <w:szCs w:val="22"/>
        </w:rPr>
        <w:t>Defence Export Controls</w:t>
      </w:r>
    </w:p>
    <w:p w14:paraId="0C55AEED" w14:textId="51C8AB86" w:rsidR="00434EE2" w:rsidRPr="00CA1E2C" w:rsidRDefault="003B7426" w:rsidP="00454F9F">
      <w:pPr>
        <w:spacing w:after="60"/>
        <w:ind w:left="1440" w:hanging="1440"/>
        <w:rPr>
          <w:rFonts w:cstheme="minorHAnsi"/>
          <w:szCs w:val="22"/>
        </w:rPr>
      </w:pPr>
      <w:r w:rsidRPr="00CA1E2C">
        <w:rPr>
          <w:rFonts w:cstheme="minorHAnsi"/>
          <w:b/>
          <w:bCs/>
          <w:szCs w:val="22"/>
        </w:rPr>
        <w:t xml:space="preserve">DEE </w:t>
      </w:r>
      <w:r w:rsidRPr="00CA1E2C">
        <w:rPr>
          <w:rFonts w:cstheme="minorHAnsi"/>
          <w:b/>
          <w:bCs/>
          <w:szCs w:val="22"/>
        </w:rPr>
        <w:tab/>
      </w:r>
      <w:r w:rsidR="00434EE2" w:rsidRPr="00CA1E2C">
        <w:rPr>
          <w:rFonts w:cstheme="minorHAnsi"/>
          <w:szCs w:val="22"/>
        </w:rPr>
        <w:t>Department of Environment and Energy</w:t>
      </w:r>
    </w:p>
    <w:p w14:paraId="4E2463FB" w14:textId="13B2C587" w:rsidR="00434EE2" w:rsidRPr="00CA1E2C" w:rsidRDefault="003B7426" w:rsidP="00454F9F">
      <w:pPr>
        <w:spacing w:after="60"/>
        <w:rPr>
          <w:rFonts w:cstheme="minorHAnsi"/>
          <w:szCs w:val="22"/>
        </w:rPr>
      </w:pPr>
      <w:r w:rsidRPr="00CA1E2C">
        <w:rPr>
          <w:rFonts w:cstheme="minorHAnsi"/>
          <w:b/>
          <w:bCs/>
          <w:szCs w:val="22"/>
        </w:rPr>
        <w:t xml:space="preserve">Defence </w:t>
      </w:r>
      <w:r w:rsidRPr="00CA1E2C">
        <w:rPr>
          <w:rFonts w:cstheme="minorHAnsi"/>
          <w:b/>
          <w:bCs/>
          <w:szCs w:val="22"/>
        </w:rPr>
        <w:tab/>
      </w:r>
      <w:r w:rsidR="00434EE2" w:rsidRPr="00CA1E2C">
        <w:rPr>
          <w:rFonts w:cstheme="minorHAnsi"/>
          <w:szCs w:val="22"/>
        </w:rPr>
        <w:t>Department of Defence</w:t>
      </w:r>
    </w:p>
    <w:p w14:paraId="651C82A0" w14:textId="0149C3F8" w:rsidR="00434EE2" w:rsidRPr="00CA1E2C" w:rsidRDefault="003B7426" w:rsidP="00454F9F">
      <w:pPr>
        <w:spacing w:after="60"/>
        <w:ind w:left="1440" w:hanging="1440"/>
        <w:rPr>
          <w:rFonts w:cstheme="minorHAnsi"/>
          <w:szCs w:val="22"/>
        </w:rPr>
      </w:pPr>
      <w:r w:rsidRPr="00CA1E2C">
        <w:rPr>
          <w:rFonts w:cstheme="minorHAnsi"/>
          <w:b/>
          <w:bCs/>
          <w:szCs w:val="22"/>
        </w:rPr>
        <w:t xml:space="preserve">DFAT </w:t>
      </w:r>
      <w:r w:rsidRPr="00CA1E2C">
        <w:rPr>
          <w:rFonts w:cstheme="minorHAnsi"/>
          <w:b/>
          <w:bCs/>
          <w:szCs w:val="22"/>
        </w:rPr>
        <w:tab/>
      </w:r>
      <w:r w:rsidR="00434EE2" w:rsidRPr="00CA1E2C">
        <w:rPr>
          <w:rFonts w:cstheme="minorHAnsi"/>
          <w:szCs w:val="22"/>
        </w:rPr>
        <w:t>Department of Foreign Affairs and Trade</w:t>
      </w:r>
    </w:p>
    <w:p w14:paraId="11CC2A4A" w14:textId="1FCE873E" w:rsidR="00434EE2" w:rsidRPr="00CA1E2C" w:rsidRDefault="00434EE2" w:rsidP="00454F9F">
      <w:pPr>
        <w:spacing w:after="60"/>
        <w:ind w:left="1440" w:hanging="1440"/>
        <w:rPr>
          <w:rFonts w:cstheme="minorHAnsi"/>
          <w:szCs w:val="22"/>
        </w:rPr>
      </w:pPr>
      <w:r w:rsidRPr="00CA1E2C">
        <w:rPr>
          <w:rFonts w:cstheme="minorHAnsi"/>
          <w:b/>
          <w:szCs w:val="22"/>
        </w:rPr>
        <w:t>DHFCS</w:t>
      </w:r>
      <w:r w:rsidRPr="00CA1E2C">
        <w:rPr>
          <w:rFonts w:cstheme="minorHAnsi"/>
          <w:b/>
          <w:szCs w:val="22"/>
        </w:rPr>
        <w:tab/>
      </w:r>
      <w:r w:rsidRPr="00CA1E2C">
        <w:rPr>
          <w:rFonts w:cstheme="minorHAnsi"/>
          <w:szCs w:val="22"/>
        </w:rPr>
        <w:t>Defence High Frequency Communications System</w:t>
      </w:r>
    </w:p>
    <w:p w14:paraId="607F1D84" w14:textId="3AFD39BB" w:rsidR="00434EE2" w:rsidRPr="00CA1E2C" w:rsidRDefault="003B7426" w:rsidP="00454F9F">
      <w:pPr>
        <w:spacing w:after="60"/>
        <w:ind w:left="1440" w:hanging="1440"/>
        <w:rPr>
          <w:rFonts w:cstheme="minorHAnsi"/>
          <w:szCs w:val="22"/>
        </w:rPr>
      </w:pPr>
      <w:r w:rsidRPr="00CA1E2C">
        <w:rPr>
          <w:rFonts w:cstheme="minorHAnsi"/>
          <w:b/>
          <w:bCs/>
          <w:szCs w:val="22"/>
        </w:rPr>
        <w:t xml:space="preserve">DIIS </w:t>
      </w:r>
      <w:r w:rsidRPr="00CA1E2C">
        <w:rPr>
          <w:rFonts w:cstheme="minorHAnsi"/>
          <w:b/>
          <w:bCs/>
          <w:szCs w:val="22"/>
        </w:rPr>
        <w:tab/>
      </w:r>
      <w:r w:rsidR="00434EE2" w:rsidRPr="00CA1E2C">
        <w:rPr>
          <w:rFonts w:cstheme="minorHAnsi"/>
          <w:szCs w:val="22"/>
        </w:rPr>
        <w:t>Department of Industry, Innovation and Science</w:t>
      </w:r>
    </w:p>
    <w:p w14:paraId="079C397B" w14:textId="6C8C207F" w:rsidR="00434EE2" w:rsidRPr="00CA1E2C" w:rsidRDefault="00434EE2" w:rsidP="00454F9F">
      <w:pPr>
        <w:spacing w:after="60"/>
        <w:ind w:left="1440" w:hanging="1440"/>
        <w:rPr>
          <w:rFonts w:cstheme="minorHAnsi"/>
          <w:szCs w:val="22"/>
        </w:rPr>
      </w:pPr>
      <w:r w:rsidRPr="00CA1E2C">
        <w:rPr>
          <w:rFonts w:cstheme="minorHAnsi"/>
          <w:b/>
          <w:bCs/>
          <w:szCs w:val="22"/>
        </w:rPr>
        <w:t xml:space="preserve">DIRDC </w:t>
      </w:r>
      <w:r w:rsidRPr="00CA1E2C">
        <w:rPr>
          <w:rFonts w:cstheme="minorHAnsi"/>
          <w:b/>
          <w:bCs/>
          <w:szCs w:val="22"/>
        </w:rPr>
        <w:tab/>
      </w:r>
      <w:r w:rsidRPr="00CA1E2C">
        <w:rPr>
          <w:rFonts w:cstheme="minorHAnsi"/>
          <w:szCs w:val="22"/>
        </w:rPr>
        <w:t>Department of Infrastructure, Regional Development and Cities</w:t>
      </w:r>
    </w:p>
    <w:p w14:paraId="0F55E613" w14:textId="02E235DC" w:rsidR="00434EE2" w:rsidRPr="00CA1E2C" w:rsidRDefault="00434EE2" w:rsidP="00454F9F">
      <w:pPr>
        <w:spacing w:after="60"/>
        <w:ind w:left="1440" w:hanging="1440"/>
        <w:rPr>
          <w:rFonts w:cstheme="minorHAnsi"/>
          <w:szCs w:val="22"/>
        </w:rPr>
      </w:pPr>
      <w:r w:rsidRPr="00CA1E2C">
        <w:rPr>
          <w:rFonts w:cstheme="minorHAnsi"/>
          <w:b/>
          <w:bCs/>
          <w:szCs w:val="22"/>
        </w:rPr>
        <w:t xml:space="preserve">DMTC </w:t>
      </w:r>
      <w:r w:rsidRPr="00CA1E2C">
        <w:rPr>
          <w:rFonts w:cstheme="minorHAnsi"/>
          <w:b/>
          <w:bCs/>
          <w:szCs w:val="22"/>
        </w:rPr>
        <w:tab/>
      </w:r>
      <w:r w:rsidRPr="00CA1E2C">
        <w:rPr>
          <w:rFonts w:cstheme="minorHAnsi"/>
          <w:szCs w:val="22"/>
        </w:rPr>
        <w:t>Defence Materials Technology Centre</w:t>
      </w:r>
    </w:p>
    <w:p w14:paraId="6D6817D4" w14:textId="35A04BC8" w:rsidR="00434EE2" w:rsidRPr="00CA1E2C" w:rsidRDefault="003B7426" w:rsidP="00454F9F">
      <w:pPr>
        <w:spacing w:after="60"/>
        <w:ind w:left="1440" w:hanging="1440"/>
        <w:rPr>
          <w:rFonts w:cstheme="minorHAnsi"/>
          <w:b/>
          <w:szCs w:val="22"/>
        </w:rPr>
      </w:pPr>
      <w:r w:rsidRPr="00CA1E2C">
        <w:rPr>
          <w:rFonts w:cstheme="minorHAnsi"/>
          <w:b/>
          <w:szCs w:val="22"/>
        </w:rPr>
        <w:t>DORIS</w:t>
      </w:r>
      <w:r w:rsidRPr="00CA1E2C">
        <w:rPr>
          <w:rFonts w:cstheme="minorHAnsi"/>
          <w:b/>
          <w:szCs w:val="22"/>
        </w:rPr>
        <w:tab/>
      </w:r>
      <w:r w:rsidR="00434EE2" w:rsidRPr="00CA1E2C">
        <w:rPr>
          <w:rFonts w:cstheme="minorHAnsi"/>
          <w:szCs w:val="22"/>
        </w:rPr>
        <w:t xml:space="preserve">Doppler </w:t>
      </w:r>
      <w:proofErr w:type="spellStart"/>
      <w:r w:rsidR="00434EE2" w:rsidRPr="00CA1E2C">
        <w:rPr>
          <w:rFonts w:cstheme="minorHAnsi"/>
          <w:szCs w:val="22"/>
        </w:rPr>
        <w:t>Orbitography</w:t>
      </w:r>
      <w:proofErr w:type="spellEnd"/>
      <w:r w:rsidR="00434EE2" w:rsidRPr="00CA1E2C">
        <w:rPr>
          <w:rFonts w:cstheme="minorHAnsi"/>
          <w:szCs w:val="22"/>
        </w:rPr>
        <w:t xml:space="preserve"> and </w:t>
      </w:r>
      <w:proofErr w:type="spellStart"/>
      <w:r w:rsidR="00434EE2" w:rsidRPr="00CA1E2C">
        <w:rPr>
          <w:rFonts w:cstheme="minorHAnsi"/>
          <w:szCs w:val="22"/>
        </w:rPr>
        <w:t>Radiopositioning</w:t>
      </w:r>
      <w:proofErr w:type="spellEnd"/>
      <w:r w:rsidR="00434EE2" w:rsidRPr="00CA1E2C">
        <w:rPr>
          <w:rFonts w:cstheme="minorHAnsi"/>
          <w:szCs w:val="22"/>
        </w:rPr>
        <w:t xml:space="preserve"> Integrated by Satellite</w:t>
      </w:r>
    </w:p>
    <w:p w14:paraId="4D67114F" w14:textId="1966F246" w:rsidR="00434EE2" w:rsidRPr="00CA1E2C" w:rsidRDefault="00434EE2" w:rsidP="00454F9F">
      <w:pPr>
        <w:spacing w:after="60"/>
        <w:rPr>
          <w:rFonts w:cstheme="minorHAnsi"/>
          <w:szCs w:val="22"/>
        </w:rPr>
      </w:pPr>
      <w:r w:rsidRPr="00CA1E2C">
        <w:rPr>
          <w:rFonts w:cstheme="minorHAnsi"/>
          <w:b/>
          <w:szCs w:val="22"/>
        </w:rPr>
        <w:t>DSS</w:t>
      </w:r>
      <w:r w:rsidR="003B7426" w:rsidRPr="00CA1E2C">
        <w:rPr>
          <w:rFonts w:cstheme="minorHAnsi"/>
          <w:szCs w:val="22"/>
        </w:rPr>
        <w:tab/>
      </w:r>
      <w:r w:rsidR="003B7426" w:rsidRPr="00CA1E2C">
        <w:rPr>
          <w:rFonts w:cstheme="minorHAnsi"/>
          <w:szCs w:val="22"/>
        </w:rPr>
        <w:tab/>
      </w:r>
      <w:r w:rsidRPr="00CA1E2C">
        <w:rPr>
          <w:rFonts w:cstheme="minorHAnsi"/>
          <w:szCs w:val="22"/>
        </w:rPr>
        <w:t>Deep Space Station</w:t>
      </w:r>
    </w:p>
    <w:p w14:paraId="060FCFC1" w14:textId="5B027E9A" w:rsidR="00434EE2" w:rsidRPr="00CA1E2C" w:rsidRDefault="003B7426" w:rsidP="00454F9F">
      <w:pPr>
        <w:spacing w:after="60"/>
        <w:rPr>
          <w:rFonts w:cstheme="minorHAnsi"/>
          <w:szCs w:val="22"/>
        </w:rPr>
      </w:pPr>
      <w:r w:rsidRPr="00CA1E2C">
        <w:rPr>
          <w:rFonts w:cstheme="minorHAnsi"/>
          <w:b/>
          <w:bCs/>
          <w:szCs w:val="22"/>
        </w:rPr>
        <w:t xml:space="preserve">DST </w:t>
      </w:r>
      <w:r w:rsidRPr="00CA1E2C">
        <w:rPr>
          <w:rFonts w:cstheme="minorHAnsi"/>
          <w:b/>
          <w:bCs/>
          <w:szCs w:val="22"/>
        </w:rPr>
        <w:tab/>
      </w:r>
      <w:r w:rsidRPr="00CA1E2C">
        <w:rPr>
          <w:rFonts w:cstheme="minorHAnsi"/>
          <w:b/>
          <w:bCs/>
          <w:szCs w:val="22"/>
        </w:rPr>
        <w:tab/>
      </w:r>
      <w:r w:rsidR="00434EE2" w:rsidRPr="00CA1E2C">
        <w:rPr>
          <w:rFonts w:cstheme="minorHAnsi"/>
          <w:szCs w:val="22"/>
        </w:rPr>
        <w:t>Defence Science and Technology</w:t>
      </w:r>
    </w:p>
    <w:p w14:paraId="08324459" w14:textId="739FDBE5" w:rsidR="00434EE2" w:rsidRPr="00CA1E2C" w:rsidRDefault="00434EE2" w:rsidP="00454F9F">
      <w:pPr>
        <w:spacing w:after="60"/>
        <w:rPr>
          <w:rFonts w:cstheme="minorHAnsi"/>
          <w:szCs w:val="22"/>
        </w:rPr>
      </w:pPr>
      <w:r w:rsidRPr="00CA1E2C">
        <w:rPr>
          <w:rFonts w:cstheme="minorHAnsi"/>
          <w:b/>
          <w:szCs w:val="22"/>
        </w:rPr>
        <w:t>EOA</w:t>
      </w:r>
      <w:r w:rsidR="003B7426" w:rsidRPr="00CA1E2C">
        <w:rPr>
          <w:rFonts w:cstheme="minorHAnsi"/>
          <w:szCs w:val="22"/>
        </w:rPr>
        <w:tab/>
      </w:r>
      <w:r w:rsidR="003B7426" w:rsidRPr="00CA1E2C">
        <w:rPr>
          <w:rFonts w:cstheme="minorHAnsi"/>
          <w:szCs w:val="22"/>
        </w:rPr>
        <w:tab/>
      </w:r>
      <w:r w:rsidRPr="00CA1E2C">
        <w:rPr>
          <w:rFonts w:cstheme="minorHAnsi"/>
          <w:szCs w:val="22"/>
        </w:rPr>
        <w:t>Earth Observation Australia</w:t>
      </w:r>
    </w:p>
    <w:p w14:paraId="0B74B9FD" w14:textId="6E5FD3DE" w:rsidR="00434EE2" w:rsidRPr="00CA1E2C" w:rsidRDefault="003B7426" w:rsidP="00454F9F">
      <w:pPr>
        <w:spacing w:after="60"/>
        <w:rPr>
          <w:rFonts w:cstheme="minorHAnsi"/>
          <w:szCs w:val="22"/>
        </w:rPr>
      </w:pPr>
      <w:r w:rsidRPr="00CA1E2C">
        <w:rPr>
          <w:rFonts w:cstheme="minorHAnsi"/>
          <w:b/>
          <w:bCs/>
          <w:szCs w:val="22"/>
        </w:rPr>
        <w:t xml:space="preserve">EOS </w:t>
      </w:r>
      <w:r w:rsidRPr="00CA1E2C">
        <w:rPr>
          <w:rFonts w:cstheme="minorHAnsi"/>
          <w:b/>
          <w:bCs/>
          <w:szCs w:val="22"/>
        </w:rPr>
        <w:tab/>
      </w:r>
      <w:r w:rsidRPr="00CA1E2C">
        <w:rPr>
          <w:rFonts w:cstheme="minorHAnsi"/>
          <w:b/>
          <w:bCs/>
          <w:szCs w:val="22"/>
        </w:rPr>
        <w:tab/>
      </w:r>
      <w:r w:rsidR="00434EE2" w:rsidRPr="00CA1E2C">
        <w:rPr>
          <w:rFonts w:cstheme="minorHAnsi"/>
          <w:szCs w:val="22"/>
        </w:rPr>
        <w:t>Earth observation</w:t>
      </w:r>
      <w:r w:rsidR="000E1233">
        <w:rPr>
          <w:rFonts w:cstheme="minorHAnsi"/>
          <w:szCs w:val="22"/>
        </w:rPr>
        <w:t>s</w:t>
      </w:r>
      <w:r w:rsidR="00434EE2" w:rsidRPr="00CA1E2C">
        <w:rPr>
          <w:rFonts w:cstheme="minorHAnsi"/>
          <w:szCs w:val="22"/>
        </w:rPr>
        <w:t xml:space="preserve"> from space</w:t>
      </w:r>
    </w:p>
    <w:p w14:paraId="180FE678" w14:textId="37C01011" w:rsidR="00434EE2" w:rsidRPr="00CA1E2C" w:rsidRDefault="003B7426" w:rsidP="00454F9F">
      <w:pPr>
        <w:spacing w:after="60"/>
        <w:rPr>
          <w:rFonts w:cstheme="minorHAnsi"/>
          <w:b/>
          <w:szCs w:val="22"/>
        </w:rPr>
      </w:pPr>
      <w:r w:rsidRPr="00CA1E2C">
        <w:rPr>
          <w:rFonts w:cstheme="minorHAnsi"/>
          <w:b/>
          <w:szCs w:val="22"/>
        </w:rPr>
        <w:t>EM</w:t>
      </w:r>
      <w:r w:rsidRPr="00CA1E2C">
        <w:rPr>
          <w:rFonts w:cstheme="minorHAnsi"/>
          <w:b/>
          <w:szCs w:val="22"/>
        </w:rPr>
        <w:tab/>
      </w:r>
      <w:r w:rsidRPr="00CA1E2C">
        <w:rPr>
          <w:rFonts w:cstheme="minorHAnsi"/>
          <w:b/>
          <w:szCs w:val="22"/>
        </w:rPr>
        <w:tab/>
      </w:r>
      <w:r w:rsidR="00434EE2" w:rsidRPr="00CA1E2C">
        <w:rPr>
          <w:rFonts w:cstheme="minorHAnsi"/>
          <w:szCs w:val="22"/>
        </w:rPr>
        <w:t>Emergency management</w:t>
      </w:r>
    </w:p>
    <w:p w14:paraId="35094EFA" w14:textId="3A9E579F" w:rsidR="00434EE2" w:rsidRPr="00CA1E2C" w:rsidRDefault="00FB691E" w:rsidP="00454F9F">
      <w:pPr>
        <w:spacing w:after="60"/>
        <w:rPr>
          <w:rFonts w:cstheme="minorHAnsi"/>
          <w:szCs w:val="22"/>
        </w:rPr>
      </w:pPr>
      <w:r w:rsidRPr="00CA1E2C">
        <w:rPr>
          <w:rFonts w:cstheme="minorHAnsi"/>
          <w:b/>
          <w:szCs w:val="22"/>
        </w:rPr>
        <w:t>EM-Link</w:t>
      </w:r>
      <w:r w:rsidRPr="00CA1E2C">
        <w:rPr>
          <w:rFonts w:cstheme="minorHAnsi"/>
          <w:b/>
          <w:szCs w:val="22"/>
        </w:rPr>
        <w:tab/>
      </w:r>
      <w:r w:rsidR="00434EE2" w:rsidRPr="00CA1E2C">
        <w:rPr>
          <w:rFonts w:cstheme="minorHAnsi"/>
          <w:szCs w:val="22"/>
        </w:rPr>
        <w:t>Emergency Management Link</w:t>
      </w:r>
    </w:p>
    <w:p w14:paraId="4127AE4D" w14:textId="775C2C67" w:rsidR="00434EE2" w:rsidRPr="00CA1E2C" w:rsidRDefault="00434EE2" w:rsidP="00454F9F">
      <w:pPr>
        <w:spacing w:after="60"/>
        <w:ind w:left="1440" w:hanging="1440"/>
        <w:rPr>
          <w:rFonts w:cstheme="minorHAnsi"/>
          <w:b/>
          <w:szCs w:val="22"/>
        </w:rPr>
      </w:pPr>
      <w:r w:rsidRPr="00CA1E2C">
        <w:rPr>
          <w:rFonts w:cstheme="minorHAnsi"/>
          <w:b/>
          <w:szCs w:val="22"/>
        </w:rPr>
        <w:t>EMSINA</w:t>
      </w:r>
      <w:r w:rsidRPr="00CA1E2C">
        <w:rPr>
          <w:rFonts w:cstheme="minorHAnsi"/>
          <w:b/>
          <w:szCs w:val="22"/>
        </w:rPr>
        <w:tab/>
      </w:r>
      <w:r w:rsidRPr="00CA1E2C">
        <w:rPr>
          <w:rFonts w:cstheme="minorHAnsi"/>
          <w:szCs w:val="22"/>
        </w:rPr>
        <w:t xml:space="preserve">Emergency Management Spatial </w:t>
      </w:r>
      <w:r w:rsidR="00AD3144">
        <w:rPr>
          <w:rFonts w:cstheme="minorHAnsi"/>
          <w:szCs w:val="22"/>
        </w:rPr>
        <w:t>I</w:t>
      </w:r>
      <w:r w:rsidRPr="00CA1E2C">
        <w:rPr>
          <w:rFonts w:cstheme="minorHAnsi"/>
          <w:szCs w:val="22"/>
        </w:rPr>
        <w:t>nformation Network Australia</w:t>
      </w:r>
    </w:p>
    <w:p w14:paraId="2A56A5E0" w14:textId="30140D54" w:rsidR="00434EE2" w:rsidRPr="00CA1E2C" w:rsidRDefault="00434EE2" w:rsidP="00454F9F">
      <w:pPr>
        <w:spacing w:after="60"/>
        <w:rPr>
          <w:rFonts w:cstheme="minorHAnsi"/>
          <w:szCs w:val="22"/>
        </w:rPr>
      </w:pPr>
      <w:r w:rsidRPr="00CA1E2C">
        <w:rPr>
          <w:rFonts w:cstheme="minorHAnsi"/>
          <w:b/>
          <w:szCs w:val="22"/>
        </w:rPr>
        <w:t>ERG</w:t>
      </w:r>
      <w:r w:rsidR="003B7426" w:rsidRPr="00CA1E2C">
        <w:rPr>
          <w:rFonts w:cstheme="minorHAnsi"/>
          <w:szCs w:val="22"/>
        </w:rPr>
        <w:tab/>
      </w:r>
      <w:r w:rsidR="003B7426" w:rsidRPr="00CA1E2C">
        <w:rPr>
          <w:rFonts w:cstheme="minorHAnsi"/>
          <w:szCs w:val="22"/>
        </w:rPr>
        <w:tab/>
      </w:r>
      <w:r w:rsidRPr="00CA1E2C">
        <w:rPr>
          <w:rFonts w:cstheme="minorHAnsi"/>
          <w:szCs w:val="22"/>
        </w:rPr>
        <w:t>Expert Review Group</w:t>
      </w:r>
    </w:p>
    <w:p w14:paraId="59265D69" w14:textId="6D13006C" w:rsidR="00434EE2" w:rsidRPr="00CA1E2C" w:rsidRDefault="003B7426" w:rsidP="00454F9F">
      <w:pPr>
        <w:spacing w:after="60"/>
        <w:rPr>
          <w:rFonts w:cstheme="minorHAnsi"/>
          <w:szCs w:val="22"/>
        </w:rPr>
      </w:pPr>
      <w:r w:rsidRPr="00CA1E2C">
        <w:rPr>
          <w:rFonts w:cstheme="minorHAnsi"/>
          <w:b/>
          <w:bCs/>
          <w:szCs w:val="22"/>
        </w:rPr>
        <w:t xml:space="preserve">ESA </w:t>
      </w:r>
      <w:r w:rsidRPr="00CA1E2C">
        <w:rPr>
          <w:rFonts w:cstheme="minorHAnsi"/>
          <w:b/>
          <w:bCs/>
          <w:szCs w:val="22"/>
        </w:rPr>
        <w:tab/>
      </w:r>
      <w:r w:rsidRPr="00CA1E2C">
        <w:rPr>
          <w:rFonts w:cstheme="minorHAnsi"/>
          <w:b/>
          <w:bCs/>
          <w:szCs w:val="22"/>
        </w:rPr>
        <w:tab/>
      </w:r>
      <w:r w:rsidR="00434EE2" w:rsidRPr="00CA1E2C">
        <w:rPr>
          <w:rFonts w:cstheme="minorHAnsi"/>
          <w:szCs w:val="22"/>
        </w:rPr>
        <w:t>European Space Agency</w:t>
      </w:r>
    </w:p>
    <w:p w14:paraId="2FDA7996" w14:textId="397A28F5" w:rsidR="00434EE2" w:rsidRPr="00CA1E2C" w:rsidRDefault="00434EE2" w:rsidP="00454F9F">
      <w:pPr>
        <w:spacing w:after="60"/>
        <w:rPr>
          <w:rFonts w:cstheme="minorHAnsi"/>
          <w:szCs w:val="22"/>
        </w:rPr>
      </w:pPr>
      <w:r w:rsidRPr="00CA1E2C">
        <w:rPr>
          <w:rFonts w:cstheme="minorHAnsi"/>
          <w:b/>
          <w:bCs/>
          <w:szCs w:val="22"/>
        </w:rPr>
        <w:t xml:space="preserve">ESIMS </w:t>
      </w:r>
      <w:r w:rsidRPr="00CA1E2C">
        <w:rPr>
          <w:rFonts w:cstheme="minorHAnsi"/>
          <w:b/>
          <w:bCs/>
          <w:szCs w:val="22"/>
        </w:rPr>
        <w:tab/>
      </w:r>
      <w:r w:rsidRPr="00CA1E2C">
        <w:rPr>
          <w:rFonts w:cstheme="minorHAnsi"/>
          <w:b/>
          <w:bCs/>
          <w:szCs w:val="22"/>
        </w:rPr>
        <w:tab/>
      </w:r>
      <w:r w:rsidRPr="00CA1E2C">
        <w:rPr>
          <w:rFonts w:cstheme="minorHAnsi"/>
          <w:szCs w:val="22"/>
        </w:rPr>
        <w:t>Earth Stations in Motion</w:t>
      </w:r>
    </w:p>
    <w:p w14:paraId="6B772D4E" w14:textId="79E45434" w:rsidR="00434EE2" w:rsidRPr="00CA1E2C" w:rsidRDefault="003B7426" w:rsidP="00454F9F">
      <w:pPr>
        <w:spacing w:after="60"/>
        <w:rPr>
          <w:rFonts w:cstheme="minorHAnsi"/>
          <w:szCs w:val="22"/>
        </w:rPr>
      </w:pPr>
      <w:r w:rsidRPr="00CA1E2C">
        <w:rPr>
          <w:rFonts w:cstheme="minorHAnsi"/>
          <w:b/>
          <w:szCs w:val="22"/>
        </w:rPr>
        <w:t>EWS</w:t>
      </w:r>
      <w:r w:rsidRPr="00CA1E2C">
        <w:rPr>
          <w:rFonts w:cstheme="minorHAnsi"/>
          <w:b/>
          <w:szCs w:val="22"/>
        </w:rPr>
        <w:tab/>
      </w:r>
      <w:r w:rsidRPr="00CA1E2C">
        <w:rPr>
          <w:rFonts w:cstheme="minorHAnsi"/>
          <w:b/>
          <w:szCs w:val="22"/>
        </w:rPr>
        <w:tab/>
      </w:r>
      <w:r w:rsidR="00434EE2" w:rsidRPr="00CA1E2C">
        <w:rPr>
          <w:rFonts w:cstheme="minorHAnsi"/>
          <w:szCs w:val="22"/>
        </w:rPr>
        <w:t>Emergency Warning Service</w:t>
      </w:r>
    </w:p>
    <w:p w14:paraId="561203EB" w14:textId="0BE8A868" w:rsidR="00434EE2" w:rsidRPr="00CA1E2C" w:rsidRDefault="003B7426" w:rsidP="00454F9F">
      <w:pPr>
        <w:spacing w:after="60"/>
        <w:ind w:left="1440" w:hanging="1440"/>
        <w:rPr>
          <w:rFonts w:cstheme="minorHAnsi"/>
          <w:b/>
          <w:szCs w:val="22"/>
        </w:rPr>
      </w:pPr>
      <w:r w:rsidRPr="00CA1E2C">
        <w:rPr>
          <w:rFonts w:cstheme="minorHAnsi"/>
          <w:b/>
          <w:szCs w:val="22"/>
        </w:rPr>
        <w:t>Five Eyes</w:t>
      </w:r>
      <w:r w:rsidRPr="00CA1E2C">
        <w:rPr>
          <w:rFonts w:cstheme="minorHAnsi"/>
          <w:b/>
          <w:szCs w:val="22"/>
        </w:rPr>
        <w:tab/>
      </w:r>
      <w:r w:rsidR="00434EE2" w:rsidRPr="00CA1E2C">
        <w:rPr>
          <w:rFonts w:cstheme="minorHAnsi"/>
          <w:szCs w:val="22"/>
        </w:rPr>
        <w:t>Intelligence alliance between Australia, Canada, New Zealand, UK, USA</w:t>
      </w:r>
    </w:p>
    <w:p w14:paraId="0C2D2E82" w14:textId="524F89B0" w:rsidR="00434EE2" w:rsidRPr="00CA1E2C" w:rsidRDefault="00434EE2" w:rsidP="00454F9F">
      <w:pPr>
        <w:spacing w:after="60"/>
        <w:rPr>
          <w:rFonts w:cstheme="minorHAnsi"/>
          <w:szCs w:val="22"/>
        </w:rPr>
      </w:pPr>
      <w:r w:rsidRPr="00CA1E2C">
        <w:rPr>
          <w:rFonts w:cstheme="minorHAnsi"/>
          <w:b/>
          <w:szCs w:val="22"/>
        </w:rPr>
        <w:t>FSP</w:t>
      </w:r>
      <w:r w:rsidR="003B7426" w:rsidRPr="00CA1E2C">
        <w:rPr>
          <w:rFonts w:cstheme="minorHAnsi"/>
          <w:szCs w:val="22"/>
        </w:rPr>
        <w:tab/>
      </w:r>
      <w:r w:rsidR="003B7426" w:rsidRPr="00CA1E2C">
        <w:rPr>
          <w:rFonts w:cstheme="minorHAnsi"/>
          <w:szCs w:val="22"/>
        </w:rPr>
        <w:tab/>
      </w:r>
      <w:r w:rsidRPr="00CA1E2C">
        <w:rPr>
          <w:rFonts w:cstheme="minorHAnsi"/>
          <w:szCs w:val="22"/>
        </w:rPr>
        <w:t>Future Science Platform</w:t>
      </w:r>
    </w:p>
    <w:p w14:paraId="3C5DE66D" w14:textId="5F726E55" w:rsidR="00434EE2" w:rsidRPr="00CA1E2C" w:rsidRDefault="00434EE2" w:rsidP="00454F9F">
      <w:pPr>
        <w:spacing w:after="60"/>
        <w:rPr>
          <w:rFonts w:cstheme="minorHAnsi"/>
          <w:szCs w:val="22"/>
        </w:rPr>
      </w:pPr>
      <w:r w:rsidRPr="00CA1E2C">
        <w:rPr>
          <w:rFonts w:cstheme="minorHAnsi"/>
          <w:b/>
          <w:szCs w:val="22"/>
        </w:rPr>
        <w:t>FTE</w:t>
      </w:r>
      <w:r w:rsidR="003B7426" w:rsidRPr="00CA1E2C">
        <w:rPr>
          <w:rFonts w:cstheme="minorHAnsi"/>
          <w:szCs w:val="22"/>
        </w:rPr>
        <w:tab/>
      </w:r>
      <w:r w:rsidR="003B7426" w:rsidRPr="00CA1E2C">
        <w:rPr>
          <w:rFonts w:cstheme="minorHAnsi"/>
          <w:szCs w:val="22"/>
        </w:rPr>
        <w:tab/>
      </w:r>
      <w:r w:rsidRPr="00CA1E2C">
        <w:rPr>
          <w:rFonts w:cstheme="minorHAnsi"/>
          <w:szCs w:val="22"/>
        </w:rPr>
        <w:t>Full-time Equivalent</w:t>
      </w:r>
    </w:p>
    <w:p w14:paraId="3F07F268" w14:textId="02DD4543" w:rsidR="005C6DC6" w:rsidRPr="00CA1E2C" w:rsidRDefault="005C6DC6" w:rsidP="00454F9F">
      <w:pPr>
        <w:spacing w:after="60"/>
        <w:rPr>
          <w:rFonts w:cstheme="minorHAnsi"/>
          <w:szCs w:val="22"/>
        </w:rPr>
      </w:pPr>
      <w:r w:rsidRPr="00CA1E2C">
        <w:rPr>
          <w:rFonts w:cstheme="minorHAnsi"/>
          <w:b/>
          <w:szCs w:val="22"/>
        </w:rPr>
        <w:t>FY</w:t>
      </w:r>
      <w:r w:rsidRPr="00CA1E2C">
        <w:rPr>
          <w:rFonts w:cstheme="minorHAnsi"/>
          <w:szCs w:val="22"/>
        </w:rPr>
        <w:tab/>
      </w:r>
      <w:r w:rsidRPr="00CA1E2C">
        <w:rPr>
          <w:rFonts w:cstheme="minorHAnsi"/>
          <w:szCs w:val="22"/>
        </w:rPr>
        <w:tab/>
        <w:t>Financial Year</w:t>
      </w:r>
    </w:p>
    <w:p w14:paraId="1CD005F4" w14:textId="296C98CA" w:rsidR="009844F3" w:rsidRPr="00CA1E2C" w:rsidRDefault="009844F3" w:rsidP="00454F9F">
      <w:pPr>
        <w:spacing w:after="60"/>
        <w:rPr>
          <w:rFonts w:cstheme="minorHAnsi"/>
          <w:b/>
          <w:bCs/>
          <w:szCs w:val="22"/>
        </w:rPr>
      </w:pPr>
      <w:r w:rsidRPr="00CA1E2C">
        <w:rPr>
          <w:rFonts w:cstheme="minorHAnsi"/>
          <w:b/>
          <w:bCs/>
          <w:szCs w:val="22"/>
        </w:rPr>
        <w:t>FYSO</w:t>
      </w:r>
      <w:r w:rsidRPr="00CA1E2C">
        <w:rPr>
          <w:rFonts w:cstheme="minorHAnsi"/>
          <w:b/>
          <w:bCs/>
          <w:szCs w:val="22"/>
        </w:rPr>
        <w:tab/>
      </w:r>
      <w:r w:rsidRPr="00CA1E2C">
        <w:rPr>
          <w:rFonts w:cstheme="minorHAnsi"/>
          <w:b/>
          <w:bCs/>
          <w:szCs w:val="22"/>
        </w:rPr>
        <w:tab/>
      </w:r>
      <w:r w:rsidRPr="00CA1E2C">
        <w:rPr>
          <w:rFonts w:cstheme="minorHAnsi"/>
          <w:bCs/>
          <w:szCs w:val="22"/>
        </w:rPr>
        <w:t>Five Year Spectrum Outlook</w:t>
      </w:r>
    </w:p>
    <w:p w14:paraId="795DBC16" w14:textId="7204EA45" w:rsidR="00434EE2" w:rsidRPr="00CA1E2C" w:rsidRDefault="003B7426" w:rsidP="00454F9F">
      <w:pPr>
        <w:spacing w:after="60"/>
        <w:rPr>
          <w:rFonts w:cstheme="minorHAnsi"/>
          <w:szCs w:val="22"/>
        </w:rPr>
      </w:pPr>
      <w:r w:rsidRPr="00CA1E2C">
        <w:rPr>
          <w:rFonts w:cstheme="minorHAnsi"/>
          <w:b/>
          <w:bCs/>
          <w:szCs w:val="22"/>
        </w:rPr>
        <w:t xml:space="preserve">GA </w:t>
      </w:r>
      <w:r w:rsidRPr="00CA1E2C">
        <w:rPr>
          <w:rFonts w:cstheme="minorHAnsi"/>
          <w:b/>
          <w:bCs/>
          <w:szCs w:val="22"/>
        </w:rPr>
        <w:tab/>
      </w:r>
      <w:r w:rsidRPr="00CA1E2C">
        <w:rPr>
          <w:rFonts w:cstheme="minorHAnsi"/>
          <w:b/>
          <w:bCs/>
          <w:szCs w:val="22"/>
        </w:rPr>
        <w:tab/>
      </w:r>
      <w:r w:rsidR="00434EE2" w:rsidRPr="00CA1E2C">
        <w:rPr>
          <w:rFonts w:cstheme="minorHAnsi"/>
          <w:szCs w:val="22"/>
        </w:rPr>
        <w:t>Geoscience Australia</w:t>
      </w:r>
    </w:p>
    <w:p w14:paraId="1C0585B1" w14:textId="52C4E3D4" w:rsidR="00434EE2" w:rsidRPr="00CA1E2C" w:rsidRDefault="00434EE2" w:rsidP="00454F9F">
      <w:pPr>
        <w:spacing w:after="60"/>
        <w:ind w:left="1440" w:hanging="1440"/>
        <w:rPr>
          <w:rFonts w:cstheme="minorHAnsi"/>
          <w:szCs w:val="22"/>
        </w:rPr>
      </w:pPr>
      <w:r w:rsidRPr="00CA1E2C">
        <w:rPr>
          <w:rFonts w:cstheme="minorHAnsi"/>
          <w:b/>
          <w:bCs/>
          <w:szCs w:val="22"/>
        </w:rPr>
        <w:t xml:space="preserve">Galileo </w:t>
      </w:r>
      <w:r w:rsidRPr="00CA1E2C">
        <w:rPr>
          <w:rFonts w:cstheme="minorHAnsi"/>
          <w:b/>
          <w:bCs/>
          <w:szCs w:val="22"/>
        </w:rPr>
        <w:tab/>
      </w:r>
      <w:r w:rsidRPr="00CA1E2C">
        <w:rPr>
          <w:rFonts w:cstheme="minorHAnsi"/>
          <w:szCs w:val="22"/>
        </w:rPr>
        <w:t>GNSS developed by the European Commission through ESA</w:t>
      </w:r>
    </w:p>
    <w:p w14:paraId="1AE687C8" w14:textId="5C345532" w:rsidR="00434EE2" w:rsidRPr="00CA1E2C" w:rsidRDefault="003B7426" w:rsidP="00454F9F">
      <w:pPr>
        <w:spacing w:after="60"/>
        <w:rPr>
          <w:rFonts w:cstheme="minorHAnsi"/>
          <w:b/>
          <w:szCs w:val="22"/>
        </w:rPr>
      </w:pPr>
      <w:r w:rsidRPr="00CA1E2C">
        <w:rPr>
          <w:rFonts w:cstheme="minorHAnsi"/>
          <w:b/>
          <w:szCs w:val="22"/>
        </w:rPr>
        <w:t>GBAS</w:t>
      </w:r>
      <w:r w:rsidRPr="00CA1E2C">
        <w:rPr>
          <w:rFonts w:cstheme="minorHAnsi"/>
          <w:b/>
          <w:szCs w:val="22"/>
        </w:rPr>
        <w:tab/>
      </w:r>
      <w:r w:rsidRPr="00CA1E2C">
        <w:rPr>
          <w:rFonts w:cstheme="minorHAnsi"/>
          <w:b/>
          <w:szCs w:val="22"/>
        </w:rPr>
        <w:tab/>
      </w:r>
      <w:r w:rsidR="00434EE2" w:rsidRPr="00CA1E2C">
        <w:rPr>
          <w:rFonts w:cstheme="minorHAnsi"/>
          <w:szCs w:val="22"/>
        </w:rPr>
        <w:t>Ground-based Augmentation System</w:t>
      </w:r>
    </w:p>
    <w:p w14:paraId="18F3CB24" w14:textId="682B114D" w:rsidR="00434EE2" w:rsidRPr="00CA1E2C" w:rsidRDefault="003B7426" w:rsidP="00454F9F">
      <w:pPr>
        <w:spacing w:after="60"/>
        <w:rPr>
          <w:rFonts w:cstheme="minorHAnsi"/>
          <w:szCs w:val="22"/>
        </w:rPr>
      </w:pPr>
      <w:r w:rsidRPr="00CA1E2C">
        <w:rPr>
          <w:rFonts w:cstheme="minorHAnsi"/>
          <w:b/>
          <w:szCs w:val="22"/>
        </w:rPr>
        <w:t xml:space="preserve">GEO </w:t>
      </w:r>
      <w:r w:rsidRPr="00CA1E2C">
        <w:rPr>
          <w:rFonts w:cstheme="minorHAnsi"/>
          <w:b/>
          <w:szCs w:val="22"/>
        </w:rPr>
        <w:tab/>
      </w:r>
      <w:r w:rsidRPr="00CA1E2C">
        <w:rPr>
          <w:rFonts w:cstheme="minorHAnsi"/>
          <w:b/>
          <w:szCs w:val="22"/>
        </w:rPr>
        <w:tab/>
      </w:r>
      <w:r w:rsidR="00434EE2" w:rsidRPr="00CA1E2C">
        <w:rPr>
          <w:rFonts w:cstheme="minorHAnsi"/>
          <w:szCs w:val="22"/>
        </w:rPr>
        <w:t>Group on Earth Observations</w:t>
      </w:r>
    </w:p>
    <w:p w14:paraId="5BC4E27E" w14:textId="40B9F429" w:rsidR="00434EE2" w:rsidRPr="00CA1E2C" w:rsidRDefault="003B7426" w:rsidP="00454F9F">
      <w:pPr>
        <w:spacing w:after="60"/>
        <w:ind w:left="1440" w:hanging="1440"/>
        <w:rPr>
          <w:rFonts w:cstheme="minorHAnsi"/>
          <w:szCs w:val="22"/>
        </w:rPr>
      </w:pPr>
      <w:r w:rsidRPr="00CA1E2C">
        <w:rPr>
          <w:rFonts w:cstheme="minorHAnsi"/>
          <w:b/>
          <w:szCs w:val="22"/>
        </w:rPr>
        <w:t xml:space="preserve">GEOGLAM </w:t>
      </w:r>
      <w:r w:rsidRPr="00CA1E2C">
        <w:rPr>
          <w:rFonts w:cstheme="minorHAnsi"/>
          <w:b/>
          <w:szCs w:val="22"/>
        </w:rPr>
        <w:tab/>
      </w:r>
      <w:r w:rsidR="00434EE2" w:rsidRPr="00CA1E2C">
        <w:rPr>
          <w:rFonts w:cstheme="minorHAnsi"/>
          <w:szCs w:val="22"/>
        </w:rPr>
        <w:t>Group on Earth Observations Global Agricultural Monitoring</w:t>
      </w:r>
    </w:p>
    <w:p w14:paraId="2B31E161" w14:textId="1DBC485D" w:rsidR="00434EE2" w:rsidRPr="00CA1E2C" w:rsidRDefault="00434EE2" w:rsidP="00454F9F">
      <w:pPr>
        <w:spacing w:after="60"/>
        <w:rPr>
          <w:rFonts w:cstheme="minorHAnsi"/>
          <w:szCs w:val="22"/>
        </w:rPr>
      </w:pPr>
      <w:r w:rsidRPr="00CA1E2C">
        <w:rPr>
          <w:rFonts w:cstheme="minorHAnsi"/>
          <w:b/>
          <w:szCs w:val="22"/>
        </w:rPr>
        <w:t>GEOINT</w:t>
      </w:r>
      <w:r w:rsidRPr="00CA1E2C">
        <w:rPr>
          <w:rFonts w:cstheme="minorHAnsi"/>
          <w:b/>
          <w:szCs w:val="22"/>
        </w:rPr>
        <w:tab/>
      </w:r>
      <w:r w:rsidRPr="00CA1E2C">
        <w:rPr>
          <w:rFonts w:cstheme="minorHAnsi"/>
          <w:b/>
          <w:szCs w:val="22"/>
        </w:rPr>
        <w:tab/>
      </w:r>
      <w:r w:rsidRPr="00CA1E2C">
        <w:rPr>
          <w:rFonts w:cstheme="minorHAnsi"/>
          <w:szCs w:val="22"/>
        </w:rPr>
        <w:t>Geospatial Intelligence</w:t>
      </w:r>
    </w:p>
    <w:p w14:paraId="33A00567" w14:textId="17EAF1AD" w:rsidR="00434EE2" w:rsidRPr="00CA1E2C" w:rsidRDefault="003B7426" w:rsidP="00454F9F">
      <w:pPr>
        <w:spacing w:after="60"/>
        <w:ind w:left="1440" w:hanging="1440"/>
        <w:rPr>
          <w:rFonts w:cstheme="minorHAnsi"/>
          <w:szCs w:val="22"/>
        </w:rPr>
      </w:pPr>
      <w:r w:rsidRPr="00CA1E2C">
        <w:rPr>
          <w:rFonts w:cstheme="minorHAnsi"/>
          <w:b/>
          <w:szCs w:val="22"/>
        </w:rPr>
        <w:t>GGE</w:t>
      </w:r>
      <w:r w:rsidRPr="00CA1E2C">
        <w:rPr>
          <w:rFonts w:cstheme="minorHAnsi"/>
          <w:b/>
          <w:szCs w:val="22"/>
        </w:rPr>
        <w:tab/>
      </w:r>
      <w:r w:rsidR="00434EE2" w:rsidRPr="00CA1E2C">
        <w:rPr>
          <w:rFonts w:cstheme="minorHAnsi"/>
          <w:szCs w:val="22"/>
        </w:rPr>
        <w:t>United Nations Group of Governmental Experts</w:t>
      </w:r>
    </w:p>
    <w:p w14:paraId="1CFC1EFB" w14:textId="3F05A97B" w:rsidR="00434EE2" w:rsidRDefault="00434EE2" w:rsidP="00454F9F">
      <w:pPr>
        <w:spacing w:after="60"/>
        <w:ind w:left="1440" w:hanging="1440"/>
        <w:rPr>
          <w:rFonts w:cstheme="minorHAnsi"/>
          <w:szCs w:val="22"/>
        </w:rPr>
      </w:pPr>
      <w:r w:rsidRPr="00CA1E2C">
        <w:rPr>
          <w:rFonts w:cstheme="minorHAnsi"/>
          <w:b/>
          <w:szCs w:val="22"/>
        </w:rPr>
        <w:t>GMDSS</w:t>
      </w:r>
      <w:r w:rsidRPr="00CA1E2C">
        <w:rPr>
          <w:rFonts w:cstheme="minorHAnsi"/>
          <w:b/>
          <w:szCs w:val="22"/>
        </w:rPr>
        <w:tab/>
      </w:r>
      <w:r w:rsidRPr="00CA1E2C">
        <w:rPr>
          <w:rFonts w:cstheme="minorHAnsi"/>
          <w:szCs w:val="22"/>
        </w:rPr>
        <w:t>Global Maritime Distress and Safety System</w:t>
      </w:r>
    </w:p>
    <w:p w14:paraId="34FC62AA" w14:textId="11B424C6" w:rsidR="00DE3BB8" w:rsidRPr="00DE3BB8" w:rsidRDefault="00DE3BB8" w:rsidP="00454F9F">
      <w:pPr>
        <w:spacing w:after="60"/>
        <w:ind w:left="1440" w:hanging="1440"/>
        <w:rPr>
          <w:rFonts w:cstheme="minorHAnsi"/>
          <w:szCs w:val="22"/>
        </w:rPr>
      </w:pPr>
      <w:r w:rsidRPr="00DE3BB8">
        <w:rPr>
          <w:rFonts w:cstheme="minorHAnsi"/>
          <w:b/>
          <w:szCs w:val="22"/>
        </w:rPr>
        <w:t>GOES</w:t>
      </w:r>
      <w:r>
        <w:rPr>
          <w:rFonts w:cstheme="minorHAnsi"/>
          <w:b/>
          <w:szCs w:val="22"/>
        </w:rPr>
        <w:t>-R</w:t>
      </w:r>
      <w:r>
        <w:rPr>
          <w:rFonts w:cstheme="minorHAnsi"/>
          <w:b/>
          <w:szCs w:val="22"/>
        </w:rPr>
        <w:tab/>
      </w:r>
      <w:r w:rsidRPr="00DE3BB8">
        <w:rPr>
          <w:rFonts w:cstheme="minorHAnsi"/>
          <w:szCs w:val="22"/>
        </w:rPr>
        <w:t>Geostationary Operational</w:t>
      </w:r>
      <w:r>
        <w:rPr>
          <w:rFonts w:cstheme="minorHAnsi"/>
          <w:b/>
          <w:szCs w:val="22"/>
        </w:rPr>
        <w:t xml:space="preserve"> </w:t>
      </w:r>
      <w:r w:rsidRPr="00DE3BB8">
        <w:rPr>
          <w:rFonts w:cstheme="minorHAnsi"/>
          <w:szCs w:val="22"/>
        </w:rPr>
        <w:t>Environmental Satellite-R series</w:t>
      </w:r>
    </w:p>
    <w:p w14:paraId="0F3D3F81" w14:textId="6396D1AC" w:rsidR="00434EE2" w:rsidRPr="00CA1E2C" w:rsidRDefault="003B7426" w:rsidP="00454F9F">
      <w:pPr>
        <w:spacing w:after="60"/>
        <w:rPr>
          <w:rFonts w:cstheme="minorHAnsi"/>
          <w:szCs w:val="22"/>
        </w:rPr>
      </w:pPr>
      <w:r w:rsidRPr="00CA1E2C">
        <w:rPr>
          <w:rFonts w:cstheme="minorHAnsi"/>
          <w:b/>
          <w:bCs/>
          <w:szCs w:val="22"/>
        </w:rPr>
        <w:t xml:space="preserve">GNSS </w:t>
      </w:r>
      <w:r w:rsidRPr="00CA1E2C">
        <w:rPr>
          <w:rFonts w:cstheme="minorHAnsi"/>
          <w:b/>
          <w:bCs/>
          <w:szCs w:val="22"/>
        </w:rPr>
        <w:tab/>
      </w:r>
      <w:r w:rsidRPr="00CA1E2C">
        <w:rPr>
          <w:rFonts w:cstheme="minorHAnsi"/>
          <w:b/>
          <w:bCs/>
          <w:szCs w:val="22"/>
        </w:rPr>
        <w:tab/>
      </w:r>
      <w:r w:rsidR="00434EE2" w:rsidRPr="00CA1E2C">
        <w:rPr>
          <w:rFonts w:cstheme="minorHAnsi"/>
          <w:szCs w:val="22"/>
        </w:rPr>
        <w:t>Global Navigation Satellite System</w:t>
      </w:r>
    </w:p>
    <w:p w14:paraId="3BB9F3CE" w14:textId="11A44B46" w:rsidR="00434EE2" w:rsidRPr="00CA1E2C" w:rsidRDefault="003B7426" w:rsidP="00454F9F">
      <w:pPr>
        <w:spacing w:after="60"/>
        <w:rPr>
          <w:rFonts w:cstheme="minorHAnsi"/>
          <w:szCs w:val="22"/>
        </w:rPr>
      </w:pPr>
      <w:r w:rsidRPr="00CA1E2C">
        <w:rPr>
          <w:rFonts w:cstheme="minorHAnsi"/>
          <w:b/>
          <w:bCs/>
          <w:szCs w:val="22"/>
        </w:rPr>
        <w:t xml:space="preserve">GPS </w:t>
      </w:r>
      <w:r w:rsidRPr="00CA1E2C">
        <w:rPr>
          <w:rFonts w:cstheme="minorHAnsi"/>
          <w:b/>
          <w:bCs/>
          <w:szCs w:val="22"/>
        </w:rPr>
        <w:tab/>
      </w:r>
      <w:r w:rsidRPr="00CA1E2C">
        <w:rPr>
          <w:rFonts w:cstheme="minorHAnsi"/>
          <w:b/>
          <w:bCs/>
          <w:szCs w:val="22"/>
        </w:rPr>
        <w:tab/>
      </w:r>
      <w:r w:rsidR="00434EE2" w:rsidRPr="00CA1E2C">
        <w:rPr>
          <w:rFonts w:cstheme="minorHAnsi"/>
          <w:szCs w:val="22"/>
        </w:rPr>
        <w:t>Global Positioning System</w:t>
      </w:r>
    </w:p>
    <w:p w14:paraId="67CB0BA9" w14:textId="6D6B8EDC" w:rsidR="00434EE2" w:rsidRPr="00CA1E2C" w:rsidRDefault="00434EE2" w:rsidP="00454F9F">
      <w:pPr>
        <w:spacing w:after="60"/>
        <w:ind w:left="1440" w:hanging="1440"/>
        <w:rPr>
          <w:rFonts w:cstheme="minorHAnsi"/>
          <w:b/>
          <w:szCs w:val="22"/>
        </w:rPr>
      </w:pPr>
      <w:r w:rsidRPr="00CA1E2C">
        <w:rPr>
          <w:rFonts w:cstheme="minorHAnsi"/>
          <w:b/>
          <w:szCs w:val="22"/>
        </w:rPr>
        <w:t>GRALLE</w:t>
      </w:r>
      <w:r w:rsidRPr="00CA1E2C">
        <w:rPr>
          <w:rFonts w:cstheme="minorHAnsi"/>
          <w:b/>
          <w:szCs w:val="22"/>
        </w:rPr>
        <w:tab/>
      </w:r>
      <w:r w:rsidRPr="00CA1E2C">
        <w:rPr>
          <w:rFonts w:cstheme="minorHAnsi"/>
          <w:szCs w:val="22"/>
        </w:rPr>
        <w:t>Galileo-based Reliable Automatic and Low Latent EWS</w:t>
      </w:r>
    </w:p>
    <w:p w14:paraId="738B4CD3" w14:textId="4961ED7F" w:rsidR="00434EE2" w:rsidRPr="00CA1E2C" w:rsidRDefault="003B7426" w:rsidP="00454F9F">
      <w:pPr>
        <w:spacing w:after="60"/>
        <w:rPr>
          <w:rFonts w:cstheme="minorHAnsi"/>
          <w:szCs w:val="22"/>
        </w:rPr>
      </w:pPr>
      <w:r w:rsidRPr="00CA1E2C">
        <w:rPr>
          <w:rFonts w:cstheme="minorHAnsi"/>
          <w:b/>
          <w:bCs/>
          <w:szCs w:val="22"/>
        </w:rPr>
        <w:t xml:space="preserve">GSO </w:t>
      </w:r>
      <w:r w:rsidRPr="00CA1E2C">
        <w:rPr>
          <w:rFonts w:cstheme="minorHAnsi"/>
          <w:b/>
          <w:bCs/>
          <w:szCs w:val="22"/>
        </w:rPr>
        <w:tab/>
      </w:r>
      <w:r w:rsidRPr="00CA1E2C">
        <w:rPr>
          <w:rFonts w:cstheme="minorHAnsi"/>
          <w:b/>
          <w:bCs/>
          <w:szCs w:val="22"/>
        </w:rPr>
        <w:tab/>
      </w:r>
      <w:r w:rsidR="00434EE2" w:rsidRPr="00CA1E2C">
        <w:rPr>
          <w:rFonts w:cstheme="minorHAnsi"/>
          <w:szCs w:val="22"/>
        </w:rPr>
        <w:t>Geosynchronous Orbit</w:t>
      </w:r>
    </w:p>
    <w:p w14:paraId="420F3336" w14:textId="00433BBB" w:rsidR="00434EE2" w:rsidRPr="00CA1E2C" w:rsidRDefault="003B7426" w:rsidP="00454F9F">
      <w:pPr>
        <w:spacing w:after="60"/>
        <w:rPr>
          <w:rFonts w:cstheme="minorHAnsi"/>
          <w:b/>
          <w:bCs/>
          <w:szCs w:val="22"/>
        </w:rPr>
      </w:pPr>
      <w:r w:rsidRPr="00CA1E2C">
        <w:rPr>
          <w:rFonts w:cstheme="minorHAnsi"/>
          <w:b/>
          <w:bCs/>
          <w:szCs w:val="22"/>
        </w:rPr>
        <w:t xml:space="preserve">HF </w:t>
      </w:r>
      <w:r w:rsidRPr="00CA1E2C">
        <w:rPr>
          <w:rFonts w:cstheme="minorHAnsi"/>
          <w:b/>
          <w:bCs/>
          <w:szCs w:val="22"/>
        </w:rPr>
        <w:tab/>
      </w:r>
      <w:r w:rsidRPr="00CA1E2C">
        <w:rPr>
          <w:rFonts w:cstheme="minorHAnsi"/>
          <w:b/>
          <w:bCs/>
          <w:szCs w:val="22"/>
        </w:rPr>
        <w:tab/>
      </w:r>
      <w:r w:rsidR="00434EE2" w:rsidRPr="00CA1E2C">
        <w:rPr>
          <w:rFonts w:cstheme="minorHAnsi"/>
          <w:szCs w:val="22"/>
        </w:rPr>
        <w:t>High Frequency</w:t>
      </w:r>
    </w:p>
    <w:p w14:paraId="5C2C827F" w14:textId="2A26B29E" w:rsidR="00434EE2" w:rsidRPr="00CA1E2C" w:rsidRDefault="003B7426" w:rsidP="00454F9F">
      <w:pPr>
        <w:spacing w:after="60"/>
        <w:rPr>
          <w:rFonts w:cstheme="minorHAnsi"/>
          <w:szCs w:val="22"/>
        </w:rPr>
      </w:pPr>
      <w:r w:rsidRPr="00CA1E2C">
        <w:rPr>
          <w:rFonts w:cstheme="minorHAnsi"/>
          <w:b/>
          <w:bCs/>
          <w:szCs w:val="22"/>
        </w:rPr>
        <w:t xml:space="preserve">Home Affairs </w:t>
      </w:r>
      <w:r w:rsidRPr="00CA1E2C">
        <w:rPr>
          <w:rFonts w:cstheme="minorHAnsi"/>
          <w:b/>
          <w:bCs/>
          <w:szCs w:val="22"/>
        </w:rPr>
        <w:tab/>
      </w:r>
      <w:r w:rsidR="00434EE2" w:rsidRPr="00CA1E2C">
        <w:rPr>
          <w:rFonts w:cstheme="minorHAnsi"/>
          <w:szCs w:val="22"/>
        </w:rPr>
        <w:t>Department of Home Affairs</w:t>
      </w:r>
    </w:p>
    <w:p w14:paraId="329720D9" w14:textId="262A04FA" w:rsidR="00434EE2" w:rsidRPr="00CA1E2C" w:rsidRDefault="003B7426" w:rsidP="00454F9F">
      <w:pPr>
        <w:spacing w:after="60"/>
        <w:rPr>
          <w:rFonts w:cstheme="minorHAnsi"/>
          <w:szCs w:val="22"/>
        </w:rPr>
      </w:pPr>
      <w:r w:rsidRPr="00CA1E2C">
        <w:rPr>
          <w:rFonts w:cstheme="minorHAnsi"/>
          <w:b/>
          <w:bCs/>
          <w:szCs w:val="22"/>
        </w:rPr>
        <w:t xml:space="preserve">IAC </w:t>
      </w:r>
      <w:r w:rsidRPr="00CA1E2C">
        <w:rPr>
          <w:rFonts w:cstheme="minorHAnsi"/>
          <w:b/>
          <w:bCs/>
          <w:szCs w:val="22"/>
        </w:rPr>
        <w:tab/>
      </w:r>
      <w:r w:rsidRPr="00CA1E2C">
        <w:rPr>
          <w:rFonts w:cstheme="minorHAnsi"/>
          <w:b/>
          <w:bCs/>
          <w:szCs w:val="22"/>
        </w:rPr>
        <w:tab/>
      </w:r>
      <w:r w:rsidR="0098245E" w:rsidRPr="00CA1E2C">
        <w:rPr>
          <w:rFonts w:cstheme="minorHAnsi"/>
          <w:szCs w:val="22"/>
        </w:rPr>
        <w:t>International</w:t>
      </w:r>
      <w:r w:rsidR="00434EE2" w:rsidRPr="00CA1E2C">
        <w:rPr>
          <w:rFonts w:cstheme="minorHAnsi"/>
          <w:szCs w:val="22"/>
        </w:rPr>
        <w:t xml:space="preserve"> Congress</w:t>
      </w:r>
    </w:p>
    <w:p w14:paraId="6AD3EF15" w14:textId="2AC5798C" w:rsidR="00434EE2" w:rsidRPr="00CA1E2C" w:rsidRDefault="003B7426" w:rsidP="00454F9F">
      <w:pPr>
        <w:spacing w:after="60"/>
        <w:ind w:left="1440" w:hanging="1440"/>
        <w:rPr>
          <w:rFonts w:cstheme="minorHAnsi"/>
          <w:b/>
          <w:szCs w:val="22"/>
        </w:rPr>
      </w:pPr>
      <w:r w:rsidRPr="00CA1E2C">
        <w:rPr>
          <w:rFonts w:cstheme="minorHAnsi"/>
          <w:b/>
          <w:szCs w:val="22"/>
        </w:rPr>
        <w:t>IAG</w:t>
      </w:r>
      <w:r w:rsidRPr="00CA1E2C">
        <w:rPr>
          <w:rFonts w:cstheme="minorHAnsi"/>
          <w:b/>
          <w:szCs w:val="22"/>
        </w:rPr>
        <w:tab/>
      </w:r>
      <w:r w:rsidR="00434EE2" w:rsidRPr="00CA1E2C">
        <w:rPr>
          <w:rFonts w:cstheme="minorHAnsi"/>
          <w:szCs w:val="22"/>
        </w:rPr>
        <w:t>International Association for Geodesy</w:t>
      </w:r>
    </w:p>
    <w:p w14:paraId="5F87F90E" w14:textId="261FBDEA" w:rsidR="00434EE2" w:rsidRPr="00CA1E2C" w:rsidRDefault="003B7426" w:rsidP="00454F9F">
      <w:pPr>
        <w:spacing w:after="60"/>
        <w:ind w:left="1440" w:hanging="1440"/>
        <w:rPr>
          <w:rFonts w:cstheme="minorHAnsi"/>
          <w:szCs w:val="22"/>
        </w:rPr>
      </w:pPr>
      <w:r w:rsidRPr="00CA1E2C">
        <w:rPr>
          <w:rFonts w:cstheme="minorHAnsi"/>
          <w:b/>
          <w:bCs/>
          <w:szCs w:val="22"/>
        </w:rPr>
        <w:t xml:space="preserve">IALA </w:t>
      </w:r>
      <w:r w:rsidRPr="00CA1E2C">
        <w:rPr>
          <w:rFonts w:cstheme="minorHAnsi"/>
          <w:b/>
          <w:bCs/>
          <w:szCs w:val="22"/>
        </w:rPr>
        <w:tab/>
      </w:r>
      <w:r w:rsidR="00434EE2" w:rsidRPr="00CA1E2C">
        <w:rPr>
          <w:rFonts w:cstheme="minorHAnsi"/>
          <w:szCs w:val="22"/>
        </w:rPr>
        <w:t>International Association of Marine Aids to Navigation and Lighthouse Authorities</w:t>
      </w:r>
    </w:p>
    <w:p w14:paraId="55102A86" w14:textId="2508DBF0" w:rsidR="00434EE2" w:rsidRPr="00CA1E2C" w:rsidRDefault="003B7426" w:rsidP="00454F9F">
      <w:pPr>
        <w:spacing w:after="60"/>
        <w:ind w:left="1440" w:hanging="1440"/>
        <w:rPr>
          <w:rFonts w:cstheme="minorHAnsi"/>
          <w:szCs w:val="22"/>
        </w:rPr>
      </w:pPr>
      <w:r w:rsidRPr="00CA1E2C">
        <w:rPr>
          <w:rFonts w:cstheme="minorHAnsi"/>
          <w:b/>
          <w:bCs/>
          <w:szCs w:val="22"/>
        </w:rPr>
        <w:t xml:space="preserve">ICAO </w:t>
      </w:r>
      <w:r w:rsidRPr="00CA1E2C">
        <w:rPr>
          <w:rFonts w:cstheme="minorHAnsi"/>
          <w:b/>
          <w:bCs/>
          <w:szCs w:val="22"/>
        </w:rPr>
        <w:tab/>
      </w:r>
      <w:r w:rsidR="00434EE2" w:rsidRPr="00CA1E2C">
        <w:rPr>
          <w:rFonts w:cstheme="minorHAnsi"/>
          <w:szCs w:val="22"/>
        </w:rPr>
        <w:t>International Civil Aviation Organization</w:t>
      </w:r>
    </w:p>
    <w:p w14:paraId="683C444C" w14:textId="54D86222" w:rsidR="00434EE2" w:rsidRPr="00CA1E2C" w:rsidRDefault="003B7426" w:rsidP="00454F9F">
      <w:pPr>
        <w:spacing w:after="60"/>
        <w:rPr>
          <w:rFonts w:cstheme="minorHAnsi"/>
          <w:b/>
          <w:szCs w:val="22"/>
        </w:rPr>
      </w:pPr>
      <w:r w:rsidRPr="00CA1E2C">
        <w:rPr>
          <w:rFonts w:cstheme="minorHAnsi"/>
          <w:b/>
          <w:szCs w:val="22"/>
        </w:rPr>
        <w:t>ICG</w:t>
      </w:r>
      <w:r w:rsidRPr="00CA1E2C">
        <w:rPr>
          <w:rFonts w:cstheme="minorHAnsi"/>
          <w:b/>
          <w:szCs w:val="22"/>
        </w:rPr>
        <w:tab/>
      </w:r>
      <w:r w:rsidRPr="00CA1E2C">
        <w:rPr>
          <w:rFonts w:cstheme="minorHAnsi"/>
          <w:b/>
          <w:szCs w:val="22"/>
        </w:rPr>
        <w:tab/>
      </w:r>
      <w:r w:rsidR="00434EE2" w:rsidRPr="00CA1E2C">
        <w:rPr>
          <w:rFonts w:cstheme="minorHAnsi"/>
          <w:szCs w:val="22"/>
        </w:rPr>
        <w:t>International Committee on GNSS</w:t>
      </w:r>
    </w:p>
    <w:p w14:paraId="6B150DD8" w14:textId="638BE786" w:rsidR="00434EE2" w:rsidRPr="00CA1E2C" w:rsidRDefault="003B7426" w:rsidP="00454F9F">
      <w:pPr>
        <w:spacing w:after="60"/>
        <w:ind w:left="1440" w:hanging="1440"/>
        <w:rPr>
          <w:rFonts w:cstheme="minorHAnsi"/>
          <w:b/>
          <w:szCs w:val="22"/>
        </w:rPr>
      </w:pPr>
      <w:r w:rsidRPr="00CA1E2C">
        <w:rPr>
          <w:rFonts w:cstheme="minorHAnsi"/>
          <w:b/>
          <w:szCs w:val="22"/>
        </w:rPr>
        <w:t>ICSU-WDS</w:t>
      </w:r>
      <w:r w:rsidRPr="00CA1E2C">
        <w:rPr>
          <w:rFonts w:cstheme="minorHAnsi"/>
          <w:b/>
          <w:szCs w:val="22"/>
        </w:rPr>
        <w:tab/>
      </w:r>
      <w:r w:rsidR="00434EE2" w:rsidRPr="00CA1E2C">
        <w:rPr>
          <w:rFonts w:cstheme="minorHAnsi"/>
          <w:szCs w:val="22"/>
        </w:rPr>
        <w:t>International Science Council World Data System</w:t>
      </w:r>
    </w:p>
    <w:p w14:paraId="21C10970" w14:textId="2DDA3783" w:rsidR="00434EE2" w:rsidRPr="00CA1E2C" w:rsidRDefault="003B7426" w:rsidP="00454F9F">
      <w:pPr>
        <w:spacing w:after="60"/>
        <w:rPr>
          <w:rFonts w:cstheme="minorHAnsi"/>
          <w:b/>
          <w:szCs w:val="22"/>
        </w:rPr>
      </w:pPr>
      <w:r w:rsidRPr="00CA1E2C">
        <w:rPr>
          <w:rFonts w:cstheme="minorHAnsi"/>
          <w:b/>
          <w:szCs w:val="22"/>
        </w:rPr>
        <w:t>IDS</w:t>
      </w:r>
      <w:r w:rsidRPr="00CA1E2C">
        <w:rPr>
          <w:rFonts w:cstheme="minorHAnsi"/>
          <w:b/>
          <w:szCs w:val="22"/>
        </w:rPr>
        <w:tab/>
      </w:r>
      <w:r w:rsidRPr="00CA1E2C">
        <w:rPr>
          <w:rFonts w:cstheme="minorHAnsi"/>
          <w:b/>
          <w:szCs w:val="22"/>
        </w:rPr>
        <w:tab/>
      </w:r>
      <w:r w:rsidR="00434EE2" w:rsidRPr="00CA1E2C">
        <w:rPr>
          <w:rFonts w:cstheme="minorHAnsi"/>
          <w:szCs w:val="22"/>
        </w:rPr>
        <w:t>International DORIS Service</w:t>
      </w:r>
    </w:p>
    <w:p w14:paraId="0593CBCF" w14:textId="676F568D" w:rsidR="00434EE2" w:rsidRPr="00CA1E2C" w:rsidRDefault="003B7426" w:rsidP="00454F9F">
      <w:pPr>
        <w:spacing w:after="60"/>
        <w:rPr>
          <w:rFonts w:cstheme="minorHAnsi"/>
          <w:b/>
          <w:szCs w:val="22"/>
        </w:rPr>
      </w:pPr>
      <w:r w:rsidRPr="00CA1E2C">
        <w:rPr>
          <w:rFonts w:cstheme="minorHAnsi"/>
          <w:b/>
          <w:szCs w:val="22"/>
        </w:rPr>
        <w:t xml:space="preserve">IGS </w:t>
      </w:r>
      <w:r w:rsidRPr="00CA1E2C">
        <w:rPr>
          <w:rFonts w:cstheme="minorHAnsi"/>
          <w:b/>
          <w:szCs w:val="22"/>
        </w:rPr>
        <w:tab/>
      </w:r>
      <w:r w:rsidRPr="00CA1E2C">
        <w:rPr>
          <w:rFonts w:cstheme="minorHAnsi"/>
          <w:b/>
          <w:szCs w:val="22"/>
        </w:rPr>
        <w:tab/>
      </w:r>
      <w:r w:rsidR="00434EE2" w:rsidRPr="00CA1E2C">
        <w:rPr>
          <w:rFonts w:cstheme="minorHAnsi"/>
          <w:szCs w:val="22"/>
        </w:rPr>
        <w:t>International GNSS Service</w:t>
      </w:r>
    </w:p>
    <w:p w14:paraId="11FE6792" w14:textId="695F1DCC" w:rsidR="00434EE2" w:rsidRPr="00CA1E2C" w:rsidRDefault="003B7426" w:rsidP="00454F9F">
      <w:pPr>
        <w:spacing w:after="60"/>
        <w:rPr>
          <w:rFonts w:cstheme="minorHAnsi"/>
          <w:b/>
          <w:szCs w:val="22"/>
        </w:rPr>
      </w:pPr>
      <w:r w:rsidRPr="00CA1E2C">
        <w:rPr>
          <w:rFonts w:cstheme="minorHAnsi"/>
          <w:b/>
          <w:szCs w:val="22"/>
        </w:rPr>
        <w:t>ILRS</w:t>
      </w:r>
      <w:r w:rsidRPr="00CA1E2C">
        <w:rPr>
          <w:rFonts w:cstheme="minorHAnsi"/>
          <w:b/>
          <w:szCs w:val="22"/>
        </w:rPr>
        <w:tab/>
      </w:r>
      <w:r w:rsidRPr="00CA1E2C">
        <w:rPr>
          <w:rFonts w:cstheme="minorHAnsi"/>
          <w:b/>
          <w:szCs w:val="22"/>
        </w:rPr>
        <w:tab/>
      </w:r>
      <w:r w:rsidR="00434EE2" w:rsidRPr="00CA1E2C">
        <w:rPr>
          <w:rFonts w:cstheme="minorHAnsi"/>
          <w:szCs w:val="22"/>
        </w:rPr>
        <w:t>International Laser Ranging Service</w:t>
      </w:r>
    </w:p>
    <w:p w14:paraId="67D7F553" w14:textId="3F176A4C" w:rsidR="00434EE2" w:rsidRPr="00CA1E2C" w:rsidRDefault="003B7426" w:rsidP="00454F9F">
      <w:pPr>
        <w:spacing w:after="60"/>
        <w:rPr>
          <w:rFonts w:cstheme="minorHAnsi"/>
          <w:szCs w:val="22"/>
        </w:rPr>
      </w:pPr>
      <w:r w:rsidRPr="00CA1E2C">
        <w:rPr>
          <w:rFonts w:cstheme="minorHAnsi"/>
          <w:b/>
          <w:bCs/>
          <w:szCs w:val="22"/>
        </w:rPr>
        <w:t xml:space="preserve">IMO </w:t>
      </w:r>
      <w:r w:rsidRPr="00CA1E2C">
        <w:rPr>
          <w:rFonts w:cstheme="minorHAnsi"/>
          <w:b/>
          <w:bCs/>
          <w:szCs w:val="22"/>
        </w:rPr>
        <w:tab/>
      </w:r>
      <w:r w:rsidRPr="00CA1E2C">
        <w:rPr>
          <w:rFonts w:cstheme="minorHAnsi"/>
          <w:b/>
          <w:bCs/>
          <w:szCs w:val="22"/>
        </w:rPr>
        <w:tab/>
      </w:r>
      <w:r w:rsidR="00434EE2" w:rsidRPr="00CA1E2C">
        <w:rPr>
          <w:rFonts w:cstheme="minorHAnsi"/>
          <w:szCs w:val="22"/>
        </w:rPr>
        <w:t>International Maritime Organisation</w:t>
      </w:r>
    </w:p>
    <w:p w14:paraId="62EB4E36" w14:textId="2B1ACC6E" w:rsidR="00434EE2" w:rsidRDefault="003B7426" w:rsidP="00454F9F">
      <w:pPr>
        <w:spacing w:after="60"/>
        <w:rPr>
          <w:rFonts w:cstheme="minorHAnsi"/>
          <w:szCs w:val="22"/>
        </w:rPr>
      </w:pPr>
      <w:proofErr w:type="spellStart"/>
      <w:r w:rsidRPr="00CA1E2C">
        <w:rPr>
          <w:rFonts w:cstheme="minorHAnsi"/>
          <w:b/>
          <w:szCs w:val="22"/>
        </w:rPr>
        <w:t>IoT</w:t>
      </w:r>
      <w:proofErr w:type="spellEnd"/>
      <w:r w:rsidRPr="00CA1E2C">
        <w:rPr>
          <w:rFonts w:cstheme="minorHAnsi"/>
          <w:b/>
          <w:szCs w:val="22"/>
        </w:rPr>
        <w:tab/>
      </w:r>
      <w:r w:rsidRPr="00CA1E2C">
        <w:rPr>
          <w:rFonts w:cstheme="minorHAnsi"/>
          <w:b/>
          <w:szCs w:val="22"/>
        </w:rPr>
        <w:tab/>
      </w:r>
      <w:r w:rsidR="00434EE2" w:rsidRPr="00CA1E2C">
        <w:rPr>
          <w:rFonts w:cstheme="minorHAnsi"/>
          <w:szCs w:val="22"/>
        </w:rPr>
        <w:t>Internet of Things</w:t>
      </w:r>
    </w:p>
    <w:p w14:paraId="41D5318B" w14:textId="5D4201A0" w:rsidR="00CD50A1" w:rsidRPr="00CA1E2C" w:rsidRDefault="00CD50A1" w:rsidP="00CD50A1">
      <w:pPr>
        <w:spacing w:after="60"/>
        <w:ind w:left="1440" w:hanging="1440"/>
        <w:rPr>
          <w:rFonts w:cstheme="minorHAnsi"/>
          <w:b/>
          <w:szCs w:val="22"/>
        </w:rPr>
      </w:pPr>
      <w:r w:rsidRPr="00CA1E2C">
        <w:rPr>
          <w:rFonts w:cstheme="minorHAnsi"/>
          <w:b/>
          <w:szCs w:val="22"/>
        </w:rPr>
        <w:t>I</w:t>
      </w:r>
      <w:r>
        <w:rPr>
          <w:rFonts w:cstheme="minorHAnsi"/>
          <w:b/>
          <w:szCs w:val="22"/>
        </w:rPr>
        <w:t>S</w:t>
      </w:r>
      <w:r w:rsidRPr="00CA1E2C">
        <w:rPr>
          <w:rFonts w:cstheme="minorHAnsi"/>
          <w:b/>
          <w:szCs w:val="22"/>
        </w:rPr>
        <w:t>C2N</w:t>
      </w:r>
      <w:r w:rsidRPr="00CA1E2C">
        <w:rPr>
          <w:rFonts w:cstheme="minorHAnsi"/>
          <w:b/>
          <w:szCs w:val="22"/>
        </w:rPr>
        <w:tab/>
      </w:r>
      <w:r w:rsidRPr="00CA1E2C">
        <w:rPr>
          <w:rFonts w:cstheme="minorHAnsi"/>
          <w:szCs w:val="22"/>
        </w:rPr>
        <w:t>International Small-Satellite Command and Control Network</w:t>
      </w:r>
    </w:p>
    <w:p w14:paraId="6DE2461E" w14:textId="77777777" w:rsidR="00CD50A1" w:rsidRPr="00CA1E2C" w:rsidRDefault="00CD50A1" w:rsidP="00454F9F">
      <w:pPr>
        <w:spacing w:after="60"/>
        <w:rPr>
          <w:rFonts w:cstheme="minorHAnsi"/>
          <w:szCs w:val="22"/>
        </w:rPr>
      </w:pPr>
    </w:p>
    <w:p w14:paraId="78245E62" w14:textId="1E9649F3" w:rsidR="00434EE2" w:rsidRPr="00CA1E2C" w:rsidRDefault="003B7426" w:rsidP="00454F9F">
      <w:pPr>
        <w:spacing w:after="60"/>
        <w:ind w:left="1440" w:hanging="1440"/>
        <w:rPr>
          <w:rFonts w:cstheme="minorHAnsi"/>
          <w:szCs w:val="22"/>
        </w:rPr>
      </w:pPr>
      <w:r w:rsidRPr="00CA1E2C">
        <w:rPr>
          <w:rFonts w:cstheme="minorHAnsi"/>
          <w:b/>
          <w:szCs w:val="22"/>
        </w:rPr>
        <w:t>ISECG</w:t>
      </w:r>
      <w:r w:rsidRPr="00CA1E2C">
        <w:rPr>
          <w:rFonts w:cstheme="minorHAnsi"/>
          <w:b/>
          <w:szCs w:val="22"/>
        </w:rPr>
        <w:tab/>
      </w:r>
      <w:r w:rsidR="00434EE2" w:rsidRPr="00CA1E2C">
        <w:rPr>
          <w:rFonts w:cstheme="minorHAnsi"/>
          <w:szCs w:val="22"/>
        </w:rPr>
        <w:t>International Space Exploration Co-ordination Group</w:t>
      </w:r>
    </w:p>
    <w:p w14:paraId="2645BD9B" w14:textId="1DD8B3E6" w:rsidR="00434EE2" w:rsidRPr="00CA1E2C" w:rsidRDefault="003B7426" w:rsidP="00454F9F">
      <w:pPr>
        <w:spacing w:after="60"/>
        <w:ind w:left="1440" w:hanging="1440"/>
        <w:rPr>
          <w:rFonts w:cstheme="minorHAnsi"/>
          <w:b/>
          <w:szCs w:val="22"/>
        </w:rPr>
      </w:pPr>
      <w:r w:rsidRPr="00CA1E2C">
        <w:rPr>
          <w:rFonts w:cstheme="minorHAnsi"/>
          <w:b/>
          <w:szCs w:val="22"/>
        </w:rPr>
        <w:t>ISES</w:t>
      </w:r>
      <w:r w:rsidRPr="00CA1E2C">
        <w:rPr>
          <w:rFonts w:cstheme="minorHAnsi"/>
          <w:b/>
          <w:szCs w:val="22"/>
        </w:rPr>
        <w:tab/>
      </w:r>
      <w:r w:rsidR="00434EE2" w:rsidRPr="00CA1E2C">
        <w:rPr>
          <w:rFonts w:cstheme="minorHAnsi"/>
          <w:szCs w:val="22"/>
        </w:rPr>
        <w:t>International Space Environment Service</w:t>
      </w:r>
    </w:p>
    <w:p w14:paraId="5C879B47" w14:textId="36DD0FD5" w:rsidR="00434EE2" w:rsidRPr="00CA1E2C" w:rsidRDefault="003B7426" w:rsidP="00454F9F">
      <w:pPr>
        <w:spacing w:after="60"/>
        <w:rPr>
          <w:rFonts w:cstheme="minorHAnsi"/>
          <w:szCs w:val="22"/>
        </w:rPr>
      </w:pPr>
      <w:r w:rsidRPr="00CA1E2C">
        <w:rPr>
          <w:rFonts w:cstheme="minorHAnsi"/>
          <w:b/>
          <w:bCs/>
          <w:szCs w:val="22"/>
        </w:rPr>
        <w:t xml:space="preserve">ISRO </w:t>
      </w:r>
      <w:r w:rsidRPr="00CA1E2C">
        <w:rPr>
          <w:rFonts w:cstheme="minorHAnsi"/>
          <w:b/>
          <w:bCs/>
          <w:szCs w:val="22"/>
        </w:rPr>
        <w:tab/>
      </w:r>
      <w:r w:rsidRPr="00CA1E2C">
        <w:rPr>
          <w:rFonts w:cstheme="minorHAnsi"/>
          <w:b/>
          <w:bCs/>
          <w:szCs w:val="22"/>
        </w:rPr>
        <w:tab/>
      </w:r>
      <w:r w:rsidR="00434EE2" w:rsidRPr="00CA1E2C">
        <w:rPr>
          <w:rFonts w:cstheme="minorHAnsi"/>
          <w:szCs w:val="22"/>
        </w:rPr>
        <w:t>Indian Space Research Organisation</w:t>
      </w:r>
    </w:p>
    <w:p w14:paraId="595CE6EE" w14:textId="0DE93BF6" w:rsidR="00434EE2" w:rsidRPr="00CA1E2C" w:rsidRDefault="00434EE2" w:rsidP="00454F9F">
      <w:pPr>
        <w:spacing w:after="60"/>
        <w:ind w:left="1440" w:hanging="1440"/>
        <w:rPr>
          <w:rFonts w:cstheme="minorHAnsi"/>
          <w:b/>
          <w:szCs w:val="22"/>
        </w:rPr>
      </w:pPr>
      <w:r w:rsidRPr="00CA1E2C">
        <w:rPr>
          <w:rFonts w:cstheme="minorHAnsi"/>
          <w:b/>
          <w:szCs w:val="22"/>
        </w:rPr>
        <w:lastRenderedPageBreak/>
        <w:t>IS</w:t>
      </w:r>
      <w:r w:rsidR="003B7426" w:rsidRPr="00CA1E2C">
        <w:rPr>
          <w:rFonts w:cstheme="minorHAnsi"/>
          <w:b/>
          <w:szCs w:val="22"/>
        </w:rPr>
        <w:t>WI</w:t>
      </w:r>
      <w:r w:rsidR="003B7426" w:rsidRPr="00CA1E2C">
        <w:rPr>
          <w:rFonts w:cstheme="minorHAnsi"/>
          <w:b/>
          <w:szCs w:val="22"/>
        </w:rPr>
        <w:tab/>
      </w:r>
      <w:r w:rsidRPr="00CA1E2C">
        <w:rPr>
          <w:rFonts w:cstheme="minorHAnsi"/>
          <w:szCs w:val="22"/>
        </w:rPr>
        <w:t>International Space Weather Initiative</w:t>
      </w:r>
    </w:p>
    <w:p w14:paraId="5C142721" w14:textId="07D4C093" w:rsidR="00434EE2" w:rsidRPr="00CA1E2C" w:rsidRDefault="003B7426" w:rsidP="00454F9F">
      <w:pPr>
        <w:spacing w:after="60"/>
        <w:ind w:left="1440" w:hanging="1440"/>
        <w:rPr>
          <w:rFonts w:cstheme="minorHAnsi"/>
          <w:szCs w:val="22"/>
        </w:rPr>
      </w:pPr>
      <w:r w:rsidRPr="00CA1E2C">
        <w:rPr>
          <w:rFonts w:cstheme="minorHAnsi"/>
          <w:b/>
          <w:bCs/>
          <w:szCs w:val="22"/>
        </w:rPr>
        <w:t xml:space="preserve">ITU </w:t>
      </w:r>
      <w:r w:rsidRPr="00CA1E2C">
        <w:rPr>
          <w:rFonts w:cstheme="minorHAnsi"/>
          <w:b/>
          <w:bCs/>
          <w:szCs w:val="22"/>
        </w:rPr>
        <w:tab/>
      </w:r>
      <w:r w:rsidR="00434EE2" w:rsidRPr="00CA1E2C">
        <w:rPr>
          <w:rFonts w:cstheme="minorHAnsi"/>
          <w:szCs w:val="22"/>
        </w:rPr>
        <w:t>International Telecommunication Union</w:t>
      </w:r>
    </w:p>
    <w:p w14:paraId="0C2E01B2" w14:textId="61FE4AD5" w:rsidR="00434EE2" w:rsidRPr="00CA1E2C" w:rsidRDefault="003B7426" w:rsidP="00454F9F">
      <w:pPr>
        <w:spacing w:after="60"/>
        <w:rPr>
          <w:rFonts w:cstheme="minorHAnsi"/>
          <w:szCs w:val="22"/>
        </w:rPr>
      </w:pPr>
      <w:r w:rsidRPr="00CA1E2C">
        <w:rPr>
          <w:rFonts w:cstheme="minorHAnsi"/>
          <w:b/>
          <w:bCs/>
          <w:szCs w:val="22"/>
        </w:rPr>
        <w:t xml:space="preserve">ITU-R </w:t>
      </w:r>
      <w:r w:rsidRPr="00CA1E2C">
        <w:rPr>
          <w:rFonts w:cstheme="minorHAnsi"/>
          <w:b/>
          <w:bCs/>
          <w:szCs w:val="22"/>
        </w:rPr>
        <w:tab/>
      </w:r>
      <w:r w:rsidRPr="00CA1E2C">
        <w:rPr>
          <w:rFonts w:cstheme="minorHAnsi"/>
          <w:b/>
          <w:bCs/>
          <w:szCs w:val="22"/>
        </w:rPr>
        <w:tab/>
      </w:r>
      <w:r w:rsidR="00434EE2" w:rsidRPr="00CA1E2C">
        <w:rPr>
          <w:rFonts w:cstheme="minorHAnsi"/>
          <w:szCs w:val="22"/>
        </w:rPr>
        <w:t xml:space="preserve">ITU </w:t>
      </w:r>
      <w:proofErr w:type="spellStart"/>
      <w:r w:rsidR="00434EE2" w:rsidRPr="00CA1E2C">
        <w:rPr>
          <w:rFonts w:cstheme="minorHAnsi"/>
          <w:szCs w:val="22"/>
        </w:rPr>
        <w:t>Radiocommunication</w:t>
      </w:r>
      <w:proofErr w:type="spellEnd"/>
      <w:r w:rsidR="00434EE2" w:rsidRPr="00CA1E2C">
        <w:rPr>
          <w:rFonts w:cstheme="minorHAnsi"/>
          <w:szCs w:val="22"/>
        </w:rPr>
        <w:t xml:space="preserve"> Sector</w:t>
      </w:r>
    </w:p>
    <w:p w14:paraId="5C03C1EF" w14:textId="3DB4E13E" w:rsidR="00434EE2" w:rsidRPr="00CA1E2C" w:rsidRDefault="003B7426" w:rsidP="00454F9F">
      <w:pPr>
        <w:spacing w:after="60"/>
        <w:rPr>
          <w:rFonts w:cstheme="minorHAnsi"/>
          <w:szCs w:val="22"/>
        </w:rPr>
      </w:pPr>
      <w:r w:rsidRPr="00CA1E2C">
        <w:rPr>
          <w:rFonts w:cstheme="minorHAnsi"/>
          <w:b/>
          <w:szCs w:val="22"/>
        </w:rPr>
        <w:t>IVS</w:t>
      </w:r>
      <w:r w:rsidRPr="00CA1E2C">
        <w:rPr>
          <w:rFonts w:cstheme="minorHAnsi"/>
          <w:b/>
          <w:szCs w:val="22"/>
        </w:rPr>
        <w:tab/>
      </w:r>
      <w:r w:rsidRPr="00CA1E2C">
        <w:rPr>
          <w:rFonts w:cstheme="minorHAnsi"/>
          <w:b/>
          <w:szCs w:val="22"/>
        </w:rPr>
        <w:tab/>
      </w:r>
      <w:r w:rsidR="00434EE2" w:rsidRPr="00CA1E2C">
        <w:rPr>
          <w:rFonts w:cstheme="minorHAnsi"/>
          <w:szCs w:val="22"/>
        </w:rPr>
        <w:t>International VLBI Service</w:t>
      </w:r>
    </w:p>
    <w:p w14:paraId="1733D77A" w14:textId="013BEE12" w:rsidR="00434EE2" w:rsidRPr="00CA1E2C" w:rsidRDefault="003B7426" w:rsidP="00454F9F">
      <w:pPr>
        <w:spacing w:after="60"/>
        <w:rPr>
          <w:rFonts w:cstheme="minorHAnsi"/>
          <w:szCs w:val="22"/>
        </w:rPr>
      </w:pPr>
      <w:r w:rsidRPr="00CA1E2C">
        <w:rPr>
          <w:rFonts w:cstheme="minorHAnsi"/>
          <w:b/>
          <w:bCs/>
          <w:szCs w:val="22"/>
        </w:rPr>
        <w:t xml:space="preserve">JAXA </w:t>
      </w:r>
      <w:r w:rsidRPr="00CA1E2C">
        <w:rPr>
          <w:rFonts w:cstheme="minorHAnsi"/>
          <w:b/>
          <w:bCs/>
          <w:szCs w:val="22"/>
        </w:rPr>
        <w:tab/>
      </w:r>
      <w:r w:rsidRPr="00CA1E2C">
        <w:rPr>
          <w:rFonts w:cstheme="minorHAnsi"/>
          <w:b/>
          <w:bCs/>
          <w:szCs w:val="22"/>
        </w:rPr>
        <w:tab/>
      </w:r>
      <w:r w:rsidR="00434EE2" w:rsidRPr="00CA1E2C">
        <w:rPr>
          <w:rFonts w:cstheme="minorHAnsi"/>
          <w:szCs w:val="22"/>
        </w:rPr>
        <w:t>Japan Aerospace Exploration Agency</w:t>
      </w:r>
    </w:p>
    <w:p w14:paraId="3ADE1B24" w14:textId="69E831BC" w:rsidR="00434EE2" w:rsidRPr="00CA1E2C" w:rsidRDefault="003B7426" w:rsidP="00454F9F">
      <w:pPr>
        <w:spacing w:after="60"/>
        <w:rPr>
          <w:rFonts w:cstheme="minorHAnsi"/>
          <w:szCs w:val="22"/>
        </w:rPr>
      </w:pPr>
      <w:r w:rsidRPr="00CA1E2C">
        <w:rPr>
          <w:rFonts w:cstheme="minorHAnsi"/>
          <w:b/>
          <w:szCs w:val="22"/>
        </w:rPr>
        <w:t>JORN</w:t>
      </w:r>
      <w:r w:rsidRPr="00CA1E2C">
        <w:rPr>
          <w:rFonts w:cstheme="minorHAnsi"/>
          <w:b/>
          <w:szCs w:val="22"/>
        </w:rPr>
        <w:tab/>
      </w:r>
      <w:r w:rsidRPr="00CA1E2C">
        <w:rPr>
          <w:rFonts w:cstheme="minorHAnsi"/>
          <w:b/>
          <w:szCs w:val="22"/>
        </w:rPr>
        <w:tab/>
      </w:r>
      <w:r w:rsidR="00434EE2" w:rsidRPr="00CA1E2C">
        <w:rPr>
          <w:rFonts w:cstheme="minorHAnsi"/>
          <w:szCs w:val="22"/>
        </w:rPr>
        <w:t>Jindalee Operational Radar Network</w:t>
      </w:r>
    </w:p>
    <w:p w14:paraId="75C41A47" w14:textId="25B2E31F" w:rsidR="00434EE2" w:rsidRPr="00CA1E2C" w:rsidRDefault="003B7426" w:rsidP="00454F9F">
      <w:pPr>
        <w:spacing w:after="60"/>
        <w:rPr>
          <w:rFonts w:cstheme="minorHAnsi"/>
          <w:szCs w:val="22"/>
        </w:rPr>
      </w:pPr>
      <w:r w:rsidRPr="00CA1E2C">
        <w:rPr>
          <w:rFonts w:cstheme="minorHAnsi"/>
          <w:b/>
          <w:szCs w:val="22"/>
        </w:rPr>
        <w:t>JPL</w:t>
      </w:r>
      <w:r w:rsidRPr="00CA1E2C">
        <w:rPr>
          <w:rFonts w:cstheme="minorHAnsi"/>
          <w:b/>
          <w:szCs w:val="22"/>
        </w:rPr>
        <w:tab/>
      </w:r>
      <w:r w:rsidRPr="00CA1E2C">
        <w:rPr>
          <w:rFonts w:cstheme="minorHAnsi"/>
          <w:b/>
          <w:szCs w:val="22"/>
        </w:rPr>
        <w:tab/>
      </w:r>
      <w:r w:rsidR="00434EE2" w:rsidRPr="00CA1E2C">
        <w:rPr>
          <w:rFonts w:cstheme="minorHAnsi"/>
          <w:szCs w:val="22"/>
        </w:rPr>
        <w:t>Jet Propulsion Laboratory</w:t>
      </w:r>
    </w:p>
    <w:p w14:paraId="7F310CB3" w14:textId="7FAE5933" w:rsidR="00434EE2" w:rsidRPr="00CA1E2C" w:rsidRDefault="003B7426" w:rsidP="00454F9F">
      <w:pPr>
        <w:spacing w:after="60"/>
        <w:rPr>
          <w:rFonts w:cstheme="minorHAnsi"/>
          <w:szCs w:val="22"/>
        </w:rPr>
      </w:pPr>
      <w:r w:rsidRPr="00CA1E2C">
        <w:rPr>
          <w:rFonts w:cstheme="minorHAnsi"/>
          <w:b/>
          <w:bCs/>
          <w:szCs w:val="22"/>
        </w:rPr>
        <w:t xml:space="preserve">LEO </w:t>
      </w:r>
      <w:r w:rsidRPr="00CA1E2C">
        <w:rPr>
          <w:rFonts w:cstheme="minorHAnsi"/>
          <w:b/>
          <w:bCs/>
          <w:szCs w:val="22"/>
        </w:rPr>
        <w:tab/>
      </w:r>
      <w:r w:rsidRPr="00CA1E2C">
        <w:rPr>
          <w:rFonts w:cstheme="minorHAnsi"/>
          <w:b/>
          <w:bCs/>
          <w:szCs w:val="22"/>
        </w:rPr>
        <w:tab/>
      </w:r>
      <w:r w:rsidR="00434EE2" w:rsidRPr="00CA1E2C">
        <w:rPr>
          <w:rFonts w:cstheme="minorHAnsi"/>
          <w:szCs w:val="22"/>
        </w:rPr>
        <w:t>Low Earth Orbit</w:t>
      </w:r>
    </w:p>
    <w:p w14:paraId="17C1396C" w14:textId="507B07D4" w:rsidR="00434EE2" w:rsidRPr="00CA1E2C" w:rsidRDefault="00434EE2" w:rsidP="00454F9F">
      <w:pPr>
        <w:spacing w:after="60"/>
        <w:ind w:left="1440" w:hanging="1440"/>
        <w:rPr>
          <w:rFonts w:cstheme="minorHAnsi"/>
          <w:szCs w:val="22"/>
        </w:rPr>
      </w:pPr>
      <w:r w:rsidRPr="00CA1E2C">
        <w:rPr>
          <w:rFonts w:cstheme="minorHAnsi"/>
          <w:b/>
          <w:bCs/>
          <w:szCs w:val="22"/>
        </w:rPr>
        <w:t xml:space="preserve">LEOSAR </w:t>
      </w:r>
      <w:r w:rsidRPr="00CA1E2C">
        <w:rPr>
          <w:rFonts w:cstheme="minorHAnsi"/>
          <w:b/>
          <w:bCs/>
          <w:szCs w:val="22"/>
        </w:rPr>
        <w:tab/>
      </w:r>
      <w:r w:rsidRPr="00CA1E2C">
        <w:rPr>
          <w:rFonts w:cstheme="minorHAnsi"/>
          <w:szCs w:val="22"/>
        </w:rPr>
        <w:t>Low-altitude Earth Orbit Search and Rescue</w:t>
      </w:r>
    </w:p>
    <w:p w14:paraId="15E6A3CF" w14:textId="12F77A05" w:rsidR="00993274" w:rsidRPr="00CA1E2C" w:rsidRDefault="00993274" w:rsidP="00454F9F">
      <w:pPr>
        <w:spacing w:after="60"/>
        <w:ind w:left="1440" w:hanging="1440"/>
        <w:rPr>
          <w:rFonts w:cstheme="minorHAnsi"/>
          <w:szCs w:val="22"/>
        </w:rPr>
      </w:pPr>
      <w:r w:rsidRPr="00CA1E2C">
        <w:rPr>
          <w:rFonts w:cstheme="minorHAnsi"/>
          <w:b/>
          <w:szCs w:val="22"/>
        </w:rPr>
        <w:t>LEOSAT</w:t>
      </w:r>
      <w:r w:rsidRPr="00CA1E2C">
        <w:rPr>
          <w:rFonts w:cstheme="minorHAnsi"/>
          <w:szCs w:val="22"/>
        </w:rPr>
        <w:tab/>
        <w:t>Low Earth Orbit Satellite</w:t>
      </w:r>
    </w:p>
    <w:p w14:paraId="6AC4AA97" w14:textId="4232DF38" w:rsidR="00434EE2" w:rsidRPr="00CA1E2C" w:rsidRDefault="003B7426" w:rsidP="00454F9F">
      <w:pPr>
        <w:spacing w:after="60"/>
        <w:rPr>
          <w:rFonts w:cstheme="minorHAnsi"/>
          <w:szCs w:val="22"/>
        </w:rPr>
      </w:pPr>
      <w:r w:rsidRPr="00CA1E2C">
        <w:rPr>
          <w:rFonts w:cstheme="minorHAnsi"/>
          <w:b/>
          <w:szCs w:val="22"/>
        </w:rPr>
        <w:t>LINZ</w:t>
      </w:r>
      <w:r w:rsidRPr="00CA1E2C">
        <w:rPr>
          <w:rFonts w:cstheme="minorHAnsi"/>
          <w:b/>
          <w:szCs w:val="22"/>
        </w:rPr>
        <w:tab/>
      </w:r>
      <w:r w:rsidRPr="00CA1E2C">
        <w:rPr>
          <w:rFonts w:cstheme="minorHAnsi"/>
          <w:b/>
          <w:szCs w:val="22"/>
        </w:rPr>
        <w:tab/>
      </w:r>
      <w:r w:rsidR="00434EE2" w:rsidRPr="00CA1E2C">
        <w:rPr>
          <w:rFonts w:cstheme="minorHAnsi"/>
          <w:szCs w:val="22"/>
        </w:rPr>
        <w:t>Land Information New Zealand</w:t>
      </w:r>
    </w:p>
    <w:p w14:paraId="15D15234" w14:textId="7528AB30" w:rsidR="00434EE2" w:rsidRPr="00CA1E2C" w:rsidRDefault="003B7426" w:rsidP="00454F9F">
      <w:pPr>
        <w:spacing w:after="60"/>
        <w:ind w:left="1440" w:hanging="1440"/>
        <w:rPr>
          <w:rFonts w:cstheme="minorHAnsi"/>
          <w:szCs w:val="22"/>
        </w:rPr>
      </w:pPr>
      <w:r w:rsidRPr="00CA1E2C">
        <w:rPr>
          <w:rFonts w:cstheme="minorHAnsi"/>
          <w:b/>
          <w:bCs/>
          <w:szCs w:val="22"/>
        </w:rPr>
        <w:t xml:space="preserve">LRIT </w:t>
      </w:r>
      <w:r w:rsidRPr="00CA1E2C">
        <w:rPr>
          <w:rFonts w:cstheme="minorHAnsi"/>
          <w:b/>
          <w:bCs/>
          <w:szCs w:val="22"/>
        </w:rPr>
        <w:tab/>
      </w:r>
      <w:r w:rsidR="00434EE2" w:rsidRPr="00CA1E2C">
        <w:rPr>
          <w:rFonts w:cstheme="minorHAnsi"/>
          <w:szCs w:val="22"/>
        </w:rPr>
        <w:t>Long Range Identification and Tracking</w:t>
      </w:r>
    </w:p>
    <w:p w14:paraId="1A4B4539" w14:textId="74CE9B92" w:rsidR="00434EE2" w:rsidRPr="00CA1E2C" w:rsidRDefault="003B7426" w:rsidP="00454F9F">
      <w:pPr>
        <w:spacing w:after="60"/>
        <w:rPr>
          <w:rFonts w:cstheme="minorHAnsi"/>
          <w:b/>
          <w:szCs w:val="22"/>
        </w:rPr>
      </w:pPr>
      <w:r w:rsidRPr="00CA1E2C">
        <w:rPr>
          <w:rFonts w:cstheme="minorHAnsi"/>
          <w:b/>
          <w:szCs w:val="22"/>
        </w:rPr>
        <w:t>LTS</w:t>
      </w:r>
      <w:r w:rsidRPr="00CA1E2C">
        <w:rPr>
          <w:rFonts w:cstheme="minorHAnsi"/>
          <w:b/>
          <w:szCs w:val="22"/>
        </w:rPr>
        <w:tab/>
      </w:r>
      <w:r w:rsidRPr="00CA1E2C">
        <w:rPr>
          <w:rFonts w:cstheme="minorHAnsi"/>
          <w:b/>
          <w:szCs w:val="22"/>
        </w:rPr>
        <w:tab/>
      </w:r>
      <w:r w:rsidR="00434EE2" w:rsidRPr="00CA1E2C">
        <w:rPr>
          <w:rFonts w:cstheme="minorHAnsi"/>
          <w:szCs w:val="22"/>
        </w:rPr>
        <w:t>Long-Term Sustainability</w:t>
      </w:r>
    </w:p>
    <w:p w14:paraId="54AB5540" w14:textId="5F57F9FD" w:rsidR="00434EE2" w:rsidRPr="00CA1E2C" w:rsidRDefault="003B7426" w:rsidP="00454F9F">
      <w:pPr>
        <w:spacing w:after="60"/>
        <w:ind w:left="1440" w:hanging="1440"/>
        <w:rPr>
          <w:rFonts w:cstheme="minorHAnsi"/>
          <w:szCs w:val="22"/>
        </w:rPr>
      </w:pPr>
      <w:r w:rsidRPr="00CA1E2C">
        <w:rPr>
          <w:rFonts w:cstheme="minorHAnsi"/>
          <w:b/>
          <w:bCs/>
          <w:szCs w:val="22"/>
        </w:rPr>
        <w:t xml:space="preserve">MASTREP </w:t>
      </w:r>
      <w:r w:rsidRPr="00CA1E2C">
        <w:rPr>
          <w:rFonts w:cstheme="minorHAnsi"/>
          <w:b/>
          <w:bCs/>
          <w:szCs w:val="22"/>
        </w:rPr>
        <w:tab/>
      </w:r>
      <w:r w:rsidR="00434EE2" w:rsidRPr="00CA1E2C">
        <w:rPr>
          <w:rFonts w:cstheme="minorHAnsi"/>
          <w:szCs w:val="22"/>
        </w:rPr>
        <w:t>Modernised Australian Ship Tracking and Reporting System</w:t>
      </w:r>
    </w:p>
    <w:p w14:paraId="4BF26545" w14:textId="1F012C7F" w:rsidR="00434EE2" w:rsidRPr="00CA1E2C" w:rsidRDefault="003B7426" w:rsidP="00454F9F">
      <w:pPr>
        <w:spacing w:after="60"/>
        <w:ind w:left="1440" w:hanging="1440"/>
        <w:rPr>
          <w:rFonts w:cstheme="minorHAnsi"/>
          <w:szCs w:val="22"/>
        </w:rPr>
      </w:pPr>
      <w:r w:rsidRPr="00CA1E2C">
        <w:rPr>
          <w:rFonts w:cstheme="minorHAnsi"/>
          <w:b/>
          <w:bCs/>
          <w:szCs w:val="22"/>
        </w:rPr>
        <w:t xml:space="preserve">MEOSAR </w:t>
      </w:r>
      <w:r w:rsidRPr="00CA1E2C">
        <w:rPr>
          <w:rFonts w:cstheme="minorHAnsi"/>
          <w:b/>
          <w:bCs/>
          <w:szCs w:val="22"/>
        </w:rPr>
        <w:tab/>
      </w:r>
      <w:r w:rsidR="00434EE2" w:rsidRPr="00CA1E2C">
        <w:rPr>
          <w:rFonts w:cstheme="minorHAnsi"/>
          <w:szCs w:val="22"/>
        </w:rPr>
        <w:t>Medium-altitude Earth Orbit Search and Rescue</w:t>
      </w:r>
    </w:p>
    <w:p w14:paraId="2D23ECEC" w14:textId="1EDA30AF" w:rsidR="00434EE2" w:rsidRPr="00CA1E2C" w:rsidRDefault="004B2825" w:rsidP="00454F9F">
      <w:pPr>
        <w:spacing w:after="60"/>
        <w:ind w:left="1440" w:hanging="1440"/>
        <w:rPr>
          <w:rFonts w:cstheme="minorHAnsi"/>
          <w:szCs w:val="22"/>
        </w:rPr>
      </w:pPr>
      <w:r w:rsidRPr="00CA1E2C">
        <w:rPr>
          <w:rFonts w:cstheme="minorHAnsi"/>
          <w:b/>
          <w:bCs/>
          <w:szCs w:val="22"/>
        </w:rPr>
        <w:t xml:space="preserve">MILAMOS </w:t>
      </w:r>
      <w:r w:rsidRPr="00CA1E2C">
        <w:rPr>
          <w:rFonts w:cstheme="minorHAnsi"/>
          <w:b/>
          <w:bCs/>
          <w:szCs w:val="22"/>
        </w:rPr>
        <w:tab/>
      </w:r>
      <w:r w:rsidR="00434EE2" w:rsidRPr="00CA1E2C">
        <w:rPr>
          <w:rFonts w:cstheme="minorHAnsi"/>
          <w:szCs w:val="22"/>
        </w:rPr>
        <w:t>Manual on International Law Applicable to Military Uses of Outer Space</w:t>
      </w:r>
    </w:p>
    <w:p w14:paraId="5644DFF1" w14:textId="500835AF" w:rsidR="00434EE2" w:rsidRPr="00CA1E2C" w:rsidRDefault="00434EE2" w:rsidP="00454F9F">
      <w:pPr>
        <w:spacing w:after="60"/>
        <w:rPr>
          <w:rFonts w:cstheme="minorHAnsi"/>
          <w:szCs w:val="22"/>
        </w:rPr>
      </w:pPr>
      <w:r w:rsidRPr="00CA1E2C">
        <w:rPr>
          <w:rFonts w:cstheme="minorHAnsi"/>
          <w:b/>
          <w:szCs w:val="22"/>
        </w:rPr>
        <w:t>MoU</w:t>
      </w:r>
      <w:r w:rsidRPr="00CA1E2C">
        <w:rPr>
          <w:rFonts w:cstheme="minorHAnsi"/>
          <w:b/>
          <w:szCs w:val="22"/>
        </w:rPr>
        <w:tab/>
      </w:r>
      <w:r w:rsidR="004B2825" w:rsidRPr="00CA1E2C">
        <w:rPr>
          <w:rFonts w:cstheme="minorHAnsi"/>
          <w:szCs w:val="22"/>
        </w:rPr>
        <w:tab/>
      </w:r>
      <w:r w:rsidRPr="00CA1E2C">
        <w:rPr>
          <w:rFonts w:cstheme="minorHAnsi"/>
          <w:szCs w:val="22"/>
        </w:rPr>
        <w:t>Memorandum of Understanding</w:t>
      </w:r>
    </w:p>
    <w:p w14:paraId="2B5001F6" w14:textId="343C36A4" w:rsidR="00434EE2" w:rsidRPr="00CA1E2C" w:rsidRDefault="00434EE2" w:rsidP="00454F9F">
      <w:pPr>
        <w:spacing w:after="60"/>
        <w:rPr>
          <w:rFonts w:cstheme="minorHAnsi"/>
          <w:szCs w:val="22"/>
        </w:rPr>
      </w:pPr>
      <w:r w:rsidRPr="00CA1E2C">
        <w:rPr>
          <w:rFonts w:cstheme="minorHAnsi"/>
          <w:b/>
          <w:szCs w:val="22"/>
        </w:rPr>
        <w:t>MSI</w:t>
      </w:r>
      <w:r w:rsidR="004B2825" w:rsidRPr="00CA1E2C">
        <w:rPr>
          <w:rFonts w:cstheme="minorHAnsi"/>
          <w:szCs w:val="22"/>
        </w:rPr>
        <w:tab/>
      </w:r>
      <w:r w:rsidR="004B2825" w:rsidRPr="00CA1E2C">
        <w:rPr>
          <w:rFonts w:cstheme="minorHAnsi"/>
          <w:szCs w:val="22"/>
        </w:rPr>
        <w:tab/>
      </w:r>
      <w:r w:rsidRPr="00CA1E2C">
        <w:rPr>
          <w:rFonts w:cstheme="minorHAnsi"/>
          <w:szCs w:val="22"/>
        </w:rPr>
        <w:t>Maritime Safety Information</w:t>
      </w:r>
      <w:r w:rsidR="00DF313A" w:rsidRPr="00CA1E2C">
        <w:rPr>
          <w:rFonts w:cstheme="minorHAnsi"/>
          <w:szCs w:val="22"/>
        </w:rPr>
        <w:tab/>
      </w:r>
    </w:p>
    <w:p w14:paraId="3767F2F0" w14:textId="66E870BA" w:rsidR="00434EE2" w:rsidRPr="00CA1E2C" w:rsidRDefault="004B2825" w:rsidP="00454F9F">
      <w:pPr>
        <w:spacing w:after="60"/>
        <w:rPr>
          <w:rFonts w:cstheme="minorHAnsi"/>
          <w:b/>
          <w:szCs w:val="22"/>
        </w:rPr>
      </w:pPr>
      <w:r w:rsidRPr="00CA1E2C">
        <w:rPr>
          <w:rFonts w:cstheme="minorHAnsi"/>
          <w:b/>
          <w:szCs w:val="22"/>
        </w:rPr>
        <w:t>MTCR</w:t>
      </w:r>
      <w:r w:rsidRPr="00CA1E2C">
        <w:rPr>
          <w:rFonts w:cstheme="minorHAnsi"/>
          <w:b/>
          <w:szCs w:val="22"/>
        </w:rPr>
        <w:tab/>
      </w:r>
      <w:r w:rsidRPr="00CA1E2C">
        <w:rPr>
          <w:rFonts w:cstheme="minorHAnsi"/>
          <w:b/>
          <w:szCs w:val="22"/>
        </w:rPr>
        <w:tab/>
      </w:r>
      <w:r w:rsidR="00434EE2" w:rsidRPr="00CA1E2C">
        <w:rPr>
          <w:rFonts w:cstheme="minorHAnsi"/>
          <w:szCs w:val="22"/>
        </w:rPr>
        <w:t>Missile Technology Control Regime</w:t>
      </w:r>
    </w:p>
    <w:p w14:paraId="29DFC059" w14:textId="36473DE5" w:rsidR="00434EE2" w:rsidRPr="00CA1E2C" w:rsidRDefault="004B2825" w:rsidP="00454F9F">
      <w:pPr>
        <w:spacing w:after="60"/>
        <w:rPr>
          <w:rFonts w:cstheme="minorHAnsi"/>
          <w:szCs w:val="22"/>
        </w:rPr>
      </w:pPr>
      <w:r w:rsidRPr="00CA1E2C">
        <w:rPr>
          <w:rFonts w:cstheme="minorHAnsi"/>
          <w:b/>
          <w:bCs/>
          <w:szCs w:val="22"/>
        </w:rPr>
        <w:t xml:space="preserve">MWA </w:t>
      </w:r>
      <w:r w:rsidRPr="00CA1E2C">
        <w:rPr>
          <w:rFonts w:cstheme="minorHAnsi"/>
          <w:b/>
          <w:bCs/>
          <w:szCs w:val="22"/>
        </w:rPr>
        <w:tab/>
      </w:r>
      <w:r w:rsidRPr="00CA1E2C">
        <w:rPr>
          <w:rFonts w:cstheme="minorHAnsi"/>
          <w:b/>
          <w:bCs/>
          <w:szCs w:val="22"/>
        </w:rPr>
        <w:tab/>
      </w:r>
      <w:r w:rsidR="00434EE2" w:rsidRPr="00CA1E2C">
        <w:rPr>
          <w:rFonts w:cstheme="minorHAnsi"/>
          <w:szCs w:val="22"/>
        </w:rPr>
        <w:t xml:space="preserve">Murchison </w:t>
      </w:r>
      <w:proofErr w:type="spellStart"/>
      <w:r w:rsidR="00434EE2" w:rsidRPr="00CA1E2C">
        <w:rPr>
          <w:rFonts w:cstheme="minorHAnsi"/>
          <w:szCs w:val="22"/>
        </w:rPr>
        <w:t>Widefield</w:t>
      </w:r>
      <w:proofErr w:type="spellEnd"/>
      <w:r w:rsidR="00434EE2" w:rsidRPr="00CA1E2C">
        <w:rPr>
          <w:rFonts w:cstheme="minorHAnsi"/>
          <w:szCs w:val="22"/>
        </w:rPr>
        <w:t xml:space="preserve"> Array</w:t>
      </w:r>
    </w:p>
    <w:p w14:paraId="07E2E409" w14:textId="6182D12D" w:rsidR="00434EE2" w:rsidRPr="00CA1E2C" w:rsidRDefault="004B2825" w:rsidP="00454F9F">
      <w:pPr>
        <w:spacing w:after="60"/>
        <w:ind w:left="1440" w:hanging="1440"/>
        <w:rPr>
          <w:rFonts w:cstheme="minorHAnsi"/>
          <w:b/>
          <w:szCs w:val="22"/>
        </w:rPr>
      </w:pPr>
      <w:r w:rsidRPr="00CA1E2C">
        <w:rPr>
          <w:rFonts w:cstheme="minorHAnsi"/>
          <w:b/>
          <w:szCs w:val="22"/>
        </w:rPr>
        <w:t>NASA</w:t>
      </w:r>
      <w:r w:rsidRPr="00CA1E2C">
        <w:rPr>
          <w:rFonts w:cstheme="minorHAnsi"/>
          <w:b/>
          <w:szCs w:val="22"/>
        </w:rPr>
        <w:tab/>
      </w:r>
      <w:r w:rsidR="00434EE2" w:rsidRPr="00CA1E2C">
        <w:rPr>
          <w:rFonts w:cstheme="minorHAnsi"/>
          <w:szCs w:val="22"/>
        </w:rPr>
        <w:t>National Aeronautics and Space Administration</w:t>
      </w:r>
    </w:p>
    <w:p w14:paraId="2652EE9C" w14:textId="08816ACD" w:rsidR="00434EE2" w:rsidRPr="00CA1E2C" w:rsidRDefault="00434EE2" w:rsidP="00454F9F">
      <w:pPr>
        <w:spacing w:after="60"/>
        <w:rPr>
          <w:rFonts w:cstheme="minorHAnsi"/>
          <w:szCs w:val="22"/>
        </w:rPr>
      </w:pPr>
      <w:proofErr w:type="spellStart"/>
      <w:r w:rsidRPr="00CA1E2C">
        <w:rPr>
          <w:rFonts w:cstheme="minorHAnsi"/>
          <w:b/>
          <w:bCs/>
          <w:szCs w:val="22"/>
        </w:rPr>
        <w:t>N</w:t>
      </w:r>
      <w:r w:rsidR="00F020FE" w:rsidRPr="00CA1E2C">
        <w:rPr>
          <w:rFonts w:cstheme="minorHAnsi"/>
          <w:b/>
          <w:bCs/>
          <w:szCs w:val="22"/>
        </w:rPr>
        <w:t>av</w:t>
      </w:r>
      <w:r w:rsidRPr="00CA1E2C">
        <w:rPr>
          <w:rFonts w:cstheme="minorHAnsi"/>
          <w:b/>
          <w:bCs/>
          <w:szCs w:val="22"/>
        </w:rPr>
        <w:t>IC</w:t>
      </w:r>
      <w:proofErr w:type="spellEnd"/>
      <w:r w:rsidRPr="00CA1E2C">
        <w:rPr>
          <w:rFonts w:cstheme="minorHAnsi"/>
          <w:b/>
          <w:bCs/>
          <w:szCs w:val="22"/>
        </w:rPr>
        <w:t xml:space="preserve"> </w:t>
      </w:r>
      <w:r w:rsidRPr="00CA1E2C">
        <w:rPr>
          <w:rFonts w:cstheme="minorHAnsi"/>
          <w:b/>
          <w:bCs/>
          <w:szCs w:val="22"/>
        </w:rPr>
        <w:tab/>
      </w:r>
      <w:r w:rsidRPr="00CA1E2C">
        <w:rPr>
          <w:rFonts w:cstheme="minorHAnsi"/>
          <w:b/>
          <w:bCs/>
          <w:szCs w:val="22"/>
        </w:rPr>
        <w:tab/>
      </w:r>
      <w:r w:rsidRPr="00CA1E2C">
        <w:rPr>
          <w:rFonts w:cstheme="minorHAnsi"/>
          <w:szCs w:val="22"/>
        </w:rPr>
        <w:t>Navigation with Indian Constellation</w:t>
      </w:r>
    </w:p>
    <w:p w14:paraId="56989922" w14:textId="6AC3D6EE" w:rsidR="00434EE2" w:rsidRPr="00CA1E2C" w:rsidRDefault="00434EE2" w:rsidP="00454F9F">
      <w:pPr>
        <w:spacing w:after="60"/>
        <w:rPr>
          <w:rFonts w:cstheme="minorHAnsi"/>
          <w:szCs w:val="22"/>
        </w:rPr>
      </w:pPr>
      <w:r w:rsidRPr="00CA1E2C">
        <w:rPr>
          <w:rFonts w:cstheme="minorHAnsi"/>
          <w:b/>
          <w:szCs w:val="22"/>
        </w:rPr>
        <w:t>NEA</w:t>
      </w:r>
      <w:r w:rsidRPr="00CA1E2C">
        <w:rPr>
          <w:rFonts w:cstheme="minorHAnsi"/>
          <w:b/>
          <w:szCs w:val="22"/>
        </w:rPr>
        <w:tab/>
      </w:r>
      <w:r w:rsidR="004B2825" w:rsidRPr="00CA1E2C">
        <w:rPr>
          <w:rFonts w:cstheme="minorHAnsi"/>
          <w:szCs w:val="22"/>
        </w:rPr>
        <w:tab/>
      </w:r>
      <w:r w:rsidRPr="00CA1E2C">
        <w:rPr>
          <w:rFonts w:cstheme="minorHAnsi"/>
          <w:szCs w:val="22"/>
        </w:rPr>
        <w:t>Near Earth Asteroid</w:t>
      </w:r>
    </w:p>
    <w:p w14:paraId="68F3CCD7" w14:textId="45331F28" w:rsidR="00434EE2" w:rsidRPr="00CA1E2C" w:rsidRDefault="004B2825" w:rsidP="00454F9F">
      <w:pPr>
        <w:spacing w:after="60"/>
        <w:rPr>
          <w:rFonts w:cstheme="minorHAnsi"/>
          <w:szCs w:val="22"/>
        </w:rPr>
      </w:pPr>
      <w:r w:rsidRPr="00CA1E2C">
        <w:rPr>
          <w:rFonts w:cstheme="minorHAnsi"/>
          <w:b/>
          <w:bCs/>
          <w:szCs w:val="22"/>
        </w:rPr>
        <w:t xml:space="preserve">NBN </w:t>
      </w:r>
      <w:r w:rsidRPr="00CA1E2C">
        <w:rPr>
          <w:rFonts w:cstheme="minorHAnsi"/>
          <w:b/>
          <w:bCs/>
          <w:szCs w:val="22"/>
        </w:rPr>
        <w:tab/>
      </w:r>
      <w:r w:rsidRPr="00CA1E2C">
        <w:rPr>
          <w:rFonts w:cstheme="minorHAnsi"/>
          <w:b/>
          <w:bCs/>
          <w:szCs w:val="22"/>
        </w:rPr>
        <w:tab/>
      </w:r>
      <w:proofErr w:type="spellStart"/>
      <w:r w:rsidR="00434EE2" w:rsidRPr="00CA1E2C">
        <w:rPr>
          <w:rFonts w:cstheme="minorHAnsi"/>
          <w:szCs w:val="22"/>
        </w:rPr>
        <w:t>NBN</w:t>
      </w:r>
      <w:proofErr w:type="spellEnd"/>
      <w:r w:rsidR="00434EE2" w:rsidRPr="00CA1E2C">
        <w:rPr>
          <w:rFonts w:cstheme="minorHAnsi"/>
          <w:szCs w:val="22"/>
        </w:rPr>
        <w:t xml:space="preserve"> Co Limited</w:t>
      </w:r>
    </w:p>
    <w:p w14:paraId="6C0646E5" w14:textId="7C42471D" w:rsidR="00434EE2" w:rsidRPr="00CA1E2C" w:rsidRDefault="004B2825" w:rsidP="00454F9F">
      <w:pPr>
        <w:spacing w:after="60"/>
        <w:ind w:left="1440" w:hanging="1440"/>
        <w:rPr>
          <w:rFonts w:cstheme="minorHAnsi"/>
          <w:b/>
          <w:szCs w:val="22"/>
        </w:rPr>
      </w:pPr>
      <w:r w:rsidRPr="00CA1E2C">
        <w:rPr>
          <w:rFonts w:cstheme="minorHAnsi"/>
          <w:b/>
          <w:szCs w:val="22"/>
        </w:rPr>
        <w:t>NCRIS</w:t>
      </w:r>
      <w:r w:rsidRPr="00CA1E2C">
        <w:rPr>
          <w:rFonts w:cstheme="minorHAnsi"/>
          <w:b/>
          <w:szCs w:val="22"/>
        </w:rPr>
        <w:tab/>
      </w:r>
      <w:r w:rsidR="00434EE2" w:rsidRPr="00CA1E2C">
        <w:rPr>
          <w:rFonts w:cstheme="minorHAnsi"/>
          <w:szCs w:val="22"/>
        </w:rPr>
        <w:t>National Collaborative Research Infrastructure Strategy</w:t>
      </w:r>
    </w:p>
    <w:p w14:paraId="47DAA385" w14:textId="5B3699B2" w:rsidR="00434EE2" w:rsidRPr="00CA1E2C" w:rsidRDefault="004B2825" w:rsidP="00454F9F">
      <w:pPr>
        <w:spacing w:after="60"/>
        <w:rPr>
          <w:rFonts w:cstheme="minorHAnsi"/>
          <w:szCs w:val="22"/>
        </w:rPr>
      </w:pPr>
      <w:r w:rsidRPr="00CA1E2C">
        <w:rPr>
          <w:rFonts w:cstheme="minorHAnsi"/>
          <w:b/>
          <w:szCs w:val="22"/>
        </w:rPr>
        <w:t>NGO</w:t>
      </w:r>
      <w:r w:rsidRPr="00CA1E2C">
        <w:rPr>
          <w:rFonts w:cstheme="minorHAnsi"/>
          <w:b/>
          <w:szCs w:val="22"/>
        </w:rPr>
        <w:tab/>
      </w:r>
      <w:r w:rsidRPr="00CA1E2C">
        <w:rPr>
          <w:rFonts w:cstheme="minorHAnsi"/>
          <w:b/>
          <w:szCs w:val="22"/>
        </w:rPr>
        <w:tab/>
      </w:r>
      <w:r w:rsidR="00434EE2" w:rsidRPr="00CA1E2C">
        <w:rPr>
          <w:rFonts w:cstheme="minorHAnsi"/>
          <w:szCs w:val="22"/>
        </w:rPr>
        <w:t>Non-Governmental Organisation</w:t>
      </w:r>
    </w:p>
    <w:p w14:paraId="29C0078D" w14:textId="4EB560E2" w:rsidR="00434EE2" w:rsidRPr="00CA1E2C" w:rsidRDefault="004B2825" w:rsidP="00454F9F">
      <w:pPr>
        <w:spacing w:after="60"/>
        <w:ind w:left="1440" w:hanging="1440"/>
        <w:rPr>
          <w:rFonts w:cstheme="minorHAnsi"/>
          <w:szCs w:val="22"/>
        </w:rPr>
      </w:pPr>
      <w:r w:rsidRPr="00CA1E2C">
        <w:rPr>
          <w:rFonts w:cstheme="minorHAnsi"/>
          <w:b/>
          <w:bCs/>
          <w:szCs w:val="22"/>
        </w:rPr>
        <w:t xml:space="preserve">NOAA </w:t>
      </w:r>
      <w:r w:rsidRPr="00CA1E2C">
        <w:rPr>
          <w:rFonts w:cstheme="minorHAnsi"/>
          <w:b/>
          <w:bCs/>
          <w:szCs w:val="22"/>
        </w:rPr>
        <w:tab/>
      </w:r>
      <w:r w:rsidR="00434EE2" w:rsidRPr="00CA1E2C">
        <w:rPr>
          <w:rFonts w:cstheme="minorHAnsi"/>
          <w:szCs w:val="22"/>
        </w:rPr>
        <w:t>US National Oceanic and Atmospheric Administration</w:t>
      </w:r>
    </w:p>
    <w:p w14:paraId="46EE64B8" w14:textId="75C212E6" w:rsidR="00434EE2" w:rsidRPr="00CA1E2C" w:rsidRDefault="004B2825" w:rsidP="00454F9F">
      <w:pPr>
        <w:spacing w:after="60"/>
        <w:rPr>
          <w:rFonts w:cstheme="minorHAnsi"/>
          <w:szCs w:val="22"/>
        </w:rPr>
      </w:pPr>
      <w:r w:rsidRPr="00CA1E2C">
        <w:rPr>
          <w:rFonts w:cstheme="minorHAnsi"/>
          <w:b/>
          <w:bCs/>
          <w:szCs w:val="22"/>
        </w:rPr>
        <w:t xml:space="preserve">NPI </w:t>
      </w:r>
      <w:r w:rsidRPr="00CA1E2C">
        <w:rPr>
          <w:rFonts w:cstheme="minorHAnsi"/>
          <w:b/>
          <w:bCs/>
          <w:szCs w:val="22"/>
        </w:rPr>
        <w:tab/>
      </w:r>
      <w:r w:rsidRPr="00CA1E2C">
        <w:rPr>
          <w:rFonts w:cstheme="minorHAnsi"/>
          <w:b/>
          <w:bCs/>
          <w:szCs w:val="22"/>
        </w:rPr>
        <w:tab/>
      </w:r>
      <w:r w:rsidR="00434EE2" w:rsidRPr="00CA1E2C">
        <w:rPr>
          <w:rFonts w:cstheme="minorHAnsi"/>
          <w:szCs w:val="22"/>
        </w:rPr>
        <w:t>National Positioning Infrastructure</w:t>
      </w:r>
    </w:p>
    <w:p w14:paraId="429ABF09" w14:textId="441F9F95" w:rsidR="00434EE2" w:rsidRPr="00CA1E2C" w:rsidRDefault="004B2825" w:rsidP="00454F9F">
      <w:pPr>
        <w:spacing w:after="60"/>
        <w:ind w:left="1440" w:hanging="1440"/>
        <w:rPr>
          <w:rFonts w:cstheme="minorHAnsi"/>
          <w:szCs w:val="22"/>
        </w:rPr>
      </w:pPr>
      <w:r w:rsidRPr="00CA1E2C">
        <w:rPr>
          <w:rFonts w:cstheme="minorHAnsi"/>
          <w:b/>
          <w:szCs w:val="22"/>
        </w:rPr>
        <w:t>NPIC</w:t>
      </w:r>
      <w:r w:rsidRPr="00CA1E2C">
        <w:rPr>
          <w:rFonts w:cstheme="minorHAnsi"/>
          <w:b/>
          <w:szCs w:val="22"/>
        </w:rPr>
        <w:tab/>
      </w:r>
      <w:r w:rsidR="00434EE2" w:rsidRPr="00CA1E2C">
        <w:rPr>
          <w:rFonts w:cstheme="minorHAnsi"/>
          <w:szCs w:val="22"/>
        </w:rPr>
        <w:t>National Positioning Infrastructure Capability</w:t>
      </w:r>
    </w:p>
    <w:p w14:paraId="6BFEBE54" w14:textId="4A10575F" w:rsidR="00F335EE" w:rsidRPr="00CA1E2C" w:rsidRDefault="00F335EE" w:rsidP="00454F9F">
      <w:pPr>
        <w:spacing w:after="60"/>
        <w:ind w:left="1440" w:hanging="1440"/>
        <w:rPr>
          <w:rFonts w:cstheme="minorHAnsi"/>
          <w:szCs w:val="22"/>
        </w:rPr>
      </w:pPr>
      <w:r w:rsidRPr="00CA1E2C">
        <w:rPr>
          <w:rFonts w:cstheme="minorHAnsi"/>
          <w:b/>
          <w:szCs w:val="22"/>
        </w:rPr>
        <w:t>NSAT</w:t>
      </w:r>
      <w:r w:rsidRPr="00CA1E2C">
        <w:rPr>
          <w:rFonts w:cstheme="minorHAnsi"/>
          <w:szCs w:val="22"/>
        </w:rPr>
        <w:tab/>
        <w:t>National Situational Awareness Tool</w:t>
      </w:r>
    </w:p>
    <w:p w14:paraId="459F8E17" w14:textId="486F224F" w:rsidR="00434EE2" w:rsidRPr="00CA1E2C" w:rsidRDefault="004B2825" w:rsidP="00454F9F">
      <w:pPr>
        <w:spacing w:after="60"/>
        <w:rPr>
          <w:rFonts w:cstheme="minorHAnsi"/>
          <w:b/>
          <w:szCs w:val="22"/>
        </w:rPr>
      </w:pPr>
      <w:r w:rsidRPr="00CA1E2C">
        <w:rPr>
          <w:rFonts w:cstheme="minorHAnsi"/>
          <w:b/>
          <w:szCs w:val="22"/>
        </w:rPr>
        <w:t>NSW</w:t>
      </w:r>
      <w:r w:rsidRPr="00CA1E2C">
        <w:rPr>
          <w:rFonts w:cstheme="minorHAnsi"/>
          <w:b/>
          <w:szCs w:val="22"/>
        </w:rPr>
        <w:tab/>
      </w:r>
      <w:r w:rsidRPr="00CA1E2C">
        <w:rPr>
          <w:rFonts w:cstheme="minorHAnsi"/>
          <w:b/>
          <w:szCs w:val="22"/>
        </w:rPr>
        <w:tab/>
      </w:r>
      <w:r w:rsidR="00434EE2" w:rsidRPr="00CA1E2C">
        <w:rPr>
          <w:rFonts w:cstheme="minorHAnsi"/>
          <w:szCs w:val="22"/>
        </w:rPr>
        <w:t>New South Wales</w:t>
      </w:r>
    </w:p>
    <w:p w14:paraId="151AEFAF" w14:textId="7CB18459" w:rsidR="00434EE2" w:rsidRPr="00CA1E2C" w:rsidRDefault="004B2825" w:rsidP="00454F9F">
      <w:pPr>
        <w:spacing w:after="60"/>
        <w:rPr>
          <w:rFonts w:cstheme="minorHAnsi"/>
          <w:szCs w:val="22"/>
        </w:rPr>
      </w:pPr>
      <w:r w:rsidRPr="00CA1E2C">
        <w:rPr>
          <w:rFonts w:cstheme="minorHAnsi"/>
          <w:b/>
          <w:szCs w:val="22"/>
        </w:rPr>
        <w:t>NT</w:t>
      </w:r>
      <w:r w:rsidRPr="00CA1E2C">
        <w:rPr>
          <w:rFonts w:cstheme="minorHAnsi"/>
          <w:b/>
          <w:szCs w:val="22"/>
        </w:rPr>
        <w:tab/>
      </w:r>
      <w:r w:rsidRPr="00CA1E2C">
        <w:rPr>
          <w:rFonts w:cstheme="minorHAnsi"/>
          <w:b/>
          <w:szCs w:val="22"/>
        </w:rPr>
        <w:tab/>
      </w:r>
      <w:r w:rsidR="00434EE2" w:rsidRPr="00CA1E2C">
        <w:rPr>
          <w:rFonts w:cstheme="minorHAnsi"/>
          <w:szCs w:val="22"/>
        </w:rPr>
        <w:t>Northern Territory</w:t>
      </w:r>
    </w:p>
    <w:p w14:paraId="4569D28F" w14:textId="00858D15" w:rsidR="00434EE2" w:rsidRPr="00CA1E2C" w:rsidRDefault="004B2825" w:rsidP="00454F9F">
      <w:pPr>
        <w:spacing w:after="60"/>
        <w:rPr>
          <w:rFonts w:cstheme="minorHAnsi"/>
          <w:szCs w:val="22"/>
        </w:rPr>
      </w:pPr>
      <w:r w:rsidRPr="00CA1E2C">
        <w:rPr>
          <w:rFonts w:cstheme="minorHAnsi"/>
          <w:b/>
          <w:bCs/>
          <w:szCs w:val="22"/>
        </w:rPr>
        <w:t xml:space="preserve">NWP </w:t>
      </w:r>
      <w:r w:rsidRPr="00CA1E2C">
        <w:rPr>
          <w:rFonts w:cstheme="minorHAnsi"/>
          <w:b/>
          <w:bCs/>
          <w:szCs w:val="22"/>
        </w:rPr>
        <w:tab/>
      </w:r>
      <w:r w:rsidRPr="00CA1E2C">
        <w:rPr>
          <w:rFonts w:cstheme="minorHAnsi"/>
          <w:b/>
          <w:bCs/>
          <w:szCs w:val="22"/>
        </w:rPr>
        <w:tab/>
      </w:r>
      <w:r w:rsidR="00434EE2" w:rsidRPr="00CA1E2C">
        <w:rPr>
          <w:rFonts w:cstheme="minorHAnsi"/>
          <w:szCs w:val="22"/>
        </w:rPr>
        <w:t>Numerical Weather Prediction</w:t>
      </w:r>
    </w:p>
    <w:p w14:paraId="07BF8474" w14:textId="7EC14DF1" w:rsidR="00434EE2" w:rsidRPr="00CA1E2C" w:rsidRDefault="004B2825" w:rsidP="00454F9F">
      <w:pPr>
        <w:spacing w:after="60"/>
        <w:rPr>
          <w:rFonts w:cstheme="minorHAnsi"/>
          <w:b/>
          <w:szCs w:val="22"/>
        </w:rPr>
      </w:pPr>
      <w:r w:rsidRPr="00CA1E2C">
        <w:rPr>
          <w:rFonts w:cstheme="minorHAnsi"/>
          <w:b/>
          <w:szCs w:val="22"/>
        </w:rPr>
        <w:t>NZ</w:t>
      </w:r>
      <w:r w:rsidRPr="00CA1E2C">
        <w:rPr>
          <w:rFonts w:cstheme="minorHAnsi"/>
          <w:b/>
          <w:szCs w:val="22"/>
        </w:rPr>
        <w:tab/>
      </w:r>
      <w:r w:rsidRPr="00CA1E2C">
        <w:rPr>
          <w:rFonts w:cstheme="minorHAnsi"/>
          <w:b/>
          <w:szCs w:val="22"/>
        </w:rPr>
        <w:tab/>
      </w:r>
      <w:r w:rsidR="00434EE2" w:rsidRPr="00CA1E2C">
        <w:rPr>
          <w:rFonts w:cstheme="minorHAnsi"/>
          <w:szCs w:val="22"/>
        </w:rPr>
        <w:t>New Zealand</w:t>
      </w:r>
    </w:p>
    <w:p w14:paraId="59491B13" w14:textId="4857DC26" w:rsidR="00434EE2" w:rsidRPr="00CA1E2C" w:rsidRDefault="004B2825" w:rsidP="00454F9F">
      <w:pPr>
        <w:spacing w:after="60"/>
        <w:rPr>
          <w:rFonts w:cstheme="minorHAnsi"/>
          <w:szCs w:val="22"/>
        </w:rPr>
      </w:pPr>
      <w:r w:rsidRPr="00CA1E2C">
        <w:rPr>
          <w:rFonts w:cstheme="minorHAnsi"/>
          <w:b/>
          <w:bCs/>
          <w:szCs w:val="22"/>
        </w:rPr>
        <w:t xml:space="preserve">OAR </w:t>
      </w:r>
      <w:r w:rsidRPr="00CA1E2C">
        <w:rPr>
          <w:rFonts w:cstheme="minorHAnsi"/>
          <w:b/>
          <w:bCs/>
          <w:szCs w:val="22"/>
        </w:rPr>
        <w:tab/>
      </w:r>
      <w:r w:rsidRPr="00CA1E2C">
        <w:rPr>
          <w:rFonts w:cstheme="minorHAnsi"/>
          <w:b/>
          <w:bCs/>
          <w:szCs w:val="22"/>
        </w:rPr>
        <w:tab/>
      </w:r>
      <w:r w:rsidR="00434EE2" w:rsidRPr="00CA1E2C">
        <w:rPr>
          <w:rFonts w:cstheme="minorHAnsi"/>
          <w:szCs w:val="22"/>
        </w:rPr>
        <w:t>Office of Airspace Regulation</w:t>
      </w:r>
    </w:p>
    <w:p w14:paraId="64A085EF" w14:textId="52351CF5" w:rsidR="00434EE2" w:rsidRPr="00CA1E2C" w:rsidRDefault="004B2825" w:rsidP="00454F9F">
      <w:pPr>
        <w:spacing w:after="60"/>
        <w:rPr>
          <w:rFonts w:cstheme="minorHAnsi"/>
          <w:szCs w:val="22"/>
        </w:rPr>
      </w:pPr>
      <w:r w:rsidRPr="00CA1E2C">
        <w:rPr>
          <w:rFonts w:cstheme="minorHAnsi"/>
          <w:b/>
          <w:szCs w:val="22"/>
        </w:rPr>
        <w:t>ODC</w:t>
      </w:r>
      <w:r w:rsidRPr="00CA1E2C">
        <w:rPr>
          <w:rFonts w:cstheme="minorHAnsi"/>
          <w:b/>
          <w:szCs w:val="22"/>
        </w:rPr>
        <w:tab/>
      </w:r>
      <w:r w:rsidRPr="00CA1E2C">
        <w:rPr>
          <w:rFonts w:cstheme="minorHAnsi"/>
          <w:b/>
          <w:szCs w:val="22"/>
        </w:rPr>
        <w:tab/>
      </w:r>
      <w:r w:rsidR="00434EE2" w:rsidRPr="00CA1E2C">
        <w:rPr>
          <w:rFonts w:cstheme="minorHAnsi"/>
          <w:szCs w:val="22"/>
        </w:rPr>
        <w:t>Open Data Cube</w:t>
      </w:r>
    </w:p>
    <w:p w14:paraId="7D3F2073" w14:textId="470E96D8" w:rsidR="00434EE2" w:rsidRPr="00CA1E2C" w:rsidRDefault="004B2825" w:rsidP="00454F9F">
      <w:pPr>
        <w:spacing w:after="60"/>
        <w:rPr>
          <w:rFonts w:cstheme="minorHAnsi"/>
          <w:szCs w:val="22"/>
        </w:rPr>
      </w:pPr>
      <w:r w:rsidRPr="00CA1E2C">
        <w:rPr>
          <w:rFonts w:cstheme="minorHAnsi"/>
          <w:b/>
          <w:szCs w:val="22"/>
        </w:rPr>
        <w:t>OOSA</w:t>
      </w:r>
      <w:r w:rsidRPr="00CA1E2C">
        <w:rPr>
          <w:rFonts w:cstheme="minorHAnsi"/>
          <w:b/>
          <w:szCs w:val="22"/>
        </w:rPr>
        <w:tab/>
      </w:r>
      <w:r w:rsidRPr="00CA1E2C">
        <w:rPr>
          <w:rFonts w:cstheme="minorHAnsi"/>
          <w:b/>
          <w:szCs w:val="22"/>
        </w:rPr>
        <w:tab/>
      </w:r>
      <w:r w:rsidR="00434EE2" w:rsidRPr="00CA1E2C">
        <w:rPr>
          <w:rFonts w:cstheme="minorHAnsi"/>
          <w:szCs w:val="22"/>
        </w:rPr>
        <w:t>UN Office of Outer Space Affairs</w:t>
      </w:r>
    </w:p>
    <w:p w14:paraId="79CCDAED" w14:textId="40901E89" w:rsidR="00434EE2" w:rsidRPr="00CA1E2C" w:rsidRDefault="00434EE2" w:rsidP="00454F9F">
      <w:pPr>
        <w:spacing w:after="60"/>
        <w:ind w:left="1440" w:hanging="1440"/>
        <w:rPr>
          <w:rFonts w:cstheme="minorHAnsi"/>
          <w:szCs w:val="22"/>
        </w:rPr>
      </w:pPr>
      <w:r w:rsidRPr="00CA1E2C">
        <w:rPr>
          <w:rFonts w:cstheme="minorHAnsi"/>
          <w:b/>
          <w:bCs/>
          <w:color w:val="auto"/>
          <w:szCs w:val="22"/>
        </w:rPr>
        <w:t xml:space="preserve">PM&amp;C </w:t>
      </w:r>
      <w:r w:rsidRPr="00CA1E2C">
        <w:rPr>
          <w:rFonts w:cstheme="minorHAnsi"/>
          <w:b/>
          <w:bCs/>
          <w:szCs w:val="22"/>
        </w:rPr>
        <w:tab/>
      </w:r>
      <w:r w:rsidRPr="00CA1E2C">
        <w:rPr>
          <w:rFonts w:cstheme="minorHAnsi"/>
          <w:szCs w:val="22"/>
        </w:rPr>
        <w:t>Department of the Prime Minister and Cabinet</w:t>
      </w:r>
    </w:p>
    <w:p w14:paraId="42F7BFBE" w14:textId="46B8375F" w:rsidR="00434EE2" w:rsidRPr="00CA1E2C" w:rsidRDefault="004B2825" w:rsidP="00454F9F">
      <w:pPr>
        <w:spacing w:after="60"/>
        <w:rPr>
          <w:rFonts w:cstheme="minorHAnsi"/>
          <w:szCs w:val="22"/>
        </w:rPr>
      </w:pPr>
      <w:r w:rsidRPr="00CA1E2C">
        <w:rPr>
          <w:rFonts w:cstheme="minorHAnsi"/>
          <w:b/>
          <w:bCs/>
          <w:szCs w:val="22"/>
        </w:rPr>
        <w:t xml:space="preserve">PNT </w:t>
      </w:r>
      <w:r w:rsidRPr="00CA1E2C">
        <w:rPr>
          <w:rFonts w:cstheme="minorHAnsi"/>
          <w:b/>
          <w:bCs/>
          <w:szCs w:val="22"/>
        </w:rPr>
        <w:tab/>
      </w:r>
      <w:r w:rsidRPr="00CA1E2C">
        <w:rPr>
          <w:rFonts w:cstheme="minorHAnsi"/>
          <w:b/>
          <w:bCs/>
          <w:szCs w:val="22"/>
        </w:rPr>
        <w:tab/>
      </w:r>
      <w:r w:rsidR="00434EE2" w:rsidRPr="00CA1E2C">
        <w:rPr>
          <w:rFonts w:cstheme="minorHAnsi"/>
          <w:szCs w:val="22"/>
        </w:rPr>
        <w:t>Positioning, Navigation and Timing</w:t>
      </w:r>
    </w:p>
    <w:p w14:paraId="3583A96D" w14:textId="4A981EB5" w:rsidR="00434EE2" w:rsidRPr="00CA1E2C" w:rsidRDefault="00434EE2" w:rsidP="00454F9F">
      <w:pPr>
        <w:spacing w:after="60"/>
        <w:rPr>
          <w:rFonts w:cstheme="minorHAnsi"/>
          <w:b/>
          <w:szCs w:val="22"/>
        </w:rPr>
      </w:pPr>
      <w:r w:rsidRPr="00CA1E2C">
        <w:rPr>
          <w:rFonts w:cstheme="minorHAnsi"/>
          <w:b/>
          <w:szCs w:val="22"/>
        </w:rPr>
        <w:t>PNT-WG</w:t>
      </w:r>
      <w:r w:rsidRPr="00CA1E2C">
        <w:rPr>
          <w:rFonts w:cstheme="minorHAnsi"/>
          <w:b/>
          <w:szCs w:val="22"/>
        </w:rPr>
        <w:tab/>
      </w:r>
      <w:r w:rsidRPr="00CA1E2C">
        <w:rPr>
          <w:rFonts w:cstheme="minorHAnsi"/>
          <w:szCs w:val="22"/>
        </w:rPr>
        <w:t>PNT Working Group</w:t>
      </w:r>
    </w:p>
    <w:p w14:paraId="1707866E" w14:textId="7E398787" w:rsidR="00434EE2" w:rsidRPr="00CA1E2C" w:rsidRDefault="004B2825" w:rsidP="00454F9F">
      <w:pPr>
        <w:spacing w:after="60"/>
        <w:rPr>
          <w:rFonts w:cstheme="minorHAnsi"/>
          <w:b/>
          <w:szCs w:val="22"/>
        </w:rPr>
      </w:pPr>
      <w:r w:rsidRPr="00CA1E2C">
        <w:rPr>
          <w:rFonts w:cstheme="minorHAnsi"/>
          <w:b/>
          <w:szCs w:val="22"/>
        </w:rPr>
        <w:t>QLD</w:t>
      </w:r>
      <w:r w:rsidRPr="00CA1E2C">
        <w:rPr>
          <w:rFonts w:cstheme="minorHAnsi"/>
          <w:b/>
          <w:szCs w:val="22"/>
        </w:rPr>
        <w:tab/>
      </w:r>
      <w:r w:rsidRPr="00CA1E2C">
        <w:rPr>
          <w:rFonts w:cstheme="minorHAnsi"/>
          <w:b/>
          <w:szCs w:val="22"/>
        </w:rPr>
        <w:tab/>
      </w:r>
      <w:r w:rsidR="00434EE2" w:rsidRPr="00CA1E2C">
        <w:rPr>
          <w:rFonts w:cstheme="minorHAnsi"/>
          <w:szCs w:val="22"/>
        </w:rPr>
        <w:t>Queensland</w:t>
      </w:r>
    </w:p>
    <w:p w14:paraId="16BCD68C" w14:textId="3A889F60" w:rsidR="00434EE2" w:rsidRPr="00CA1E2C" w:rsidRDefault="004B2825" w:rsidP="00454F9F">
      <w:pPr>
        <w:spacing w:after="60"/>
        <w:rPr>
          <w:rFonts w:cstheme="minorHAnsi"/>
          <w:szCs w:val="22"/>
        </w:rPr>
      </w:pPr>
      <w:r w:rsidRPr="00CA1E2C">
        <w:rPr>
          <w:rFonts w:cstheme="minorHAnsi"/>
          <w:b/>
          <w:bCs/>
          <w:szCs w:val="22"/>
        </w:rPr>
        <w:t xml:space="preserve">RAAF </w:t>
      </w:r>
      <w:r w:rsidRPr="00CA1E2C">
        <w:rPr>
          <w:rFonts w:cstheme="minorHAnsi"/>
          <w:b/>
          <w:bCs/>
          <w:szCs w:val="22"/>
        </w:rPr>
        <w:tab/>
      </w:r>
      <w:r w:rsidRPr="00CA1E2C">
        <w:rPr>
          <w:rFonts w:cstheme="minorHAnsi"/>
          <w:b/>
          <w:bCs/>
          <w:szCs w:val="22"/>
        </w:rPr>
        <w:tab/>
      </w:r>
      <w:r w:rsidR="00434EE2" w:rsidRPr="00CA1E2C">
        <w:rPr>
          <w:rFonts w:cstheme="minorHAnsi"/>
          <w:szCs w:val="22"/>
        </w:rPr>
        <w:t>Royal Australian Air Force</w:t>
      </w:r>
    </w:p>
    <w:p w14:paraId="657F6F41" w14:textId="6993F305" w:rsidR="00434EE2" w:rsidRPr="00CA1E2C" w:rsidRDefault="004B2825" w:rsidP="00454F9F">
      <w:pPr>
        <w:spacing w:after="60"/>
        <w:rPr>
          <w:rFonts w:cstheme="minorHAnsi"/>
          <w:szCs w:val="22"/>
        </w:rPr>
      </w:pPr>
      <w:r w:rsidRPr="00CA1E2C">
        <w:rPr>
          <w:rFonts w:cstheme="minorHAnsi"/>
          <w:b/>
          <w:bCs/>
          <w:szCs w:val="22"/>
        </w:rPr>
        <w:t xml:space="preserve">R&amp;D </w:t>
      </w:r>
      <w:r w:rsidRPr="00CA1E2C">
        <w:rPr>
          <w:rFonts w:cstheme="minorHAnsi"/>
          <w:b/>
          <w:bCs/>
          <w:szCs w:val="22"/>
        </w:rPr>
        <w:tab/>
      </w:r>
      <w:r w:rsidRPr="00CA1E2C">
        <w:rPr>
          <w:rFonts w:cstheme="minorHAnsi"/>
          <w:b/>
          <w:bCs/>
          <w:szCs w:val="22"/>
        </w:rPr>
        <w:tab/>
      </w:r>
      <w:r w:rsidR="00434EE2" w:rsidRPr="00CA1E2C">
        <w:rPr>
          <w:rFonts w:cstheme="minorHAnsi"/>
          <w:szCs w:val="22"/>
        </w:rPr>
        <w:t>Research and Development</w:t>
      </w:r>
    </w:p>
    <w:p w14:paraId="64DC0BDE" w14:textId="61B2517F" w:rsidR="00434EE2" w:rsidRPr="00CA1E2C" w:rsidRDefault="004B2825" w:rsidP="00454F9F">
      <w:pPr>
        <w:spacing w:after="60"/>
        <w:rPr>
          <w:rFonts w:cstheme="minorHAnsi"/>
          <w:szCs w:val="22"/>
        </w:rPr>
      </w:pPr>
      <w:r w:rsidRPr="00CA1E2C">
        <w:rPr>
          <w:rFonts w:cstheme="minorHAnsi"/>
          <w:b/>
          <w:szCs w:val="22"/>
        </w:rPr>
        <w:t>RFI</w:t>
      </w:r>
      <w:r w:rsidRPr="00CA1E2C">
        <w:rPr>
          <w:rFonts w:cstheme="minorHAnsi"/>
          <w:b/>
          <w:szCs w:val="22"/>
        </w:rPr>
        <w:tab/>
      </w:r>
      <w:r w:rsidRPr="00CA1E2C">
        <w:rPr>
          <w:rFonts w:cstheme="minorHAnsi"/>
          <w:b/>
          <w:szCs w:val="22"/>
        </w:rPr>
        <w:tab/>
      </w:r>
      <w:r w:rsidR="00434EE2" w:rsidRPr="00CA1E2C">
        <w:rPr>
          <w:rFonts w:cstheme="minorHAnsi"/>
          <w:szCs w:val="22"/>
        </w:rPr>
        <w:t>Request for Information</w:t>
      </w:r>
    </w:p>
    <w:p w14:paraId="68C03C22" w14:textId="15741461" w:rsidR="00434EE2" w:rsidRPr="00CA1E2C" w:rsidRDefault="00434EE2" w:rsidP="00454F9F">
      <w:pPr>
        <w:spacing w:after="60"/>
        <w:rPr>
          <w:rFonts w:cstheme="minorHAnsi"/>
          <w:szCs w:val="22"/>
        </w:rPr>
      </w:pPr>
      <w:r w:rsidRPr="00CA1E2C">
        <w:rPr>
          <w:rFonts w:cstheme="minorHAnsi"/>
          <w:b/>
          <w:szCs w:val="22"/>
        </w:rPr>
        <w:t>RIMPAC</w:t>
      </w:r>
      <w:r w:rsidRPr="00CA1E2C">
        <w:rPr>
          <w:rFonts w:cstheme="minorHAnsi"/>
          <w:b/>
          <w:szCs w:val="22"/>
        </w:rPr>
        <w:tab/>
      </w:r>
      <w:r w:rsidRPr="00CA1E2C">
        <w:rPr>
          <w:rFonts w:cstheme="minorHAnsi"/>
          <w:szCs w:val="22"/>
        </w:rPr>
        <w:t>Rim of the Pacific</w:t>
      </w:r>
    </w:p>
    <w:p w14:paraId="31CFC130" w14:textId="49C4ABB8" w:rsidR="00434EE2" w:rsidRPr="00CA1E2C" w:rsidRDefault="004B2825" w:rsidP="00454F9F">
      <w:pPr>
        <w:spacing w:after="60"/>
        <w:rPr>
          <w:rFonts w:cstheme="minorHAnsi"/>
          <w:szCs w:val="22"/>
        </w:rPr>
      </w:pPr>
      <w:r w:rsidRPr="00CA1E2C">
        <w:rPr>
          <w:rFonts w:cstheme="minorHAnsi"/>
          <w:b/>
          <w:bCs/>
          <w:szCs w:val="22"/>
        </w:rPr>
        <w:t xml:space="preserve">RPAS </w:t>
      </w:r>
      <w:r w:rsidRPr="00CA1E2C">
        <w:rPr>
          <w:rFonts w:cstheme="minorHAnsi"/>
          <w:b/>
          <w:bCs/>
          <w:szCs w:val="22"/>
        </w:rPr>
        <w:tab/>
      </w:r>
      <w:r w:rsidRPr="00CA1E2C">
        <w:rPr>
          <w:rFonts w:cstheme="minorHAnsi"/>
          <w:b/>
          <w:bCs/>
          <w:szCs w:val="22"/>
        </w:rPr>
        <w:tab/>
      </w:r>
      <w:r w:rsidR="00434EE2" w:rsidRPr="00CA1E2C">
        <w:rPr>
          <w:rFonts w:cstheme="minorHAnsi"/>
          <w:szCs w:val="22"/>
        </w:rPr>
        <w:t>Remotely Piloted Aircraft Systems</w:t>
      </w:r>
    </w:p>
    <w:p w14:paraId="0A332A4E" w14:textId="2C1F58FD" w:rsidR="00434EE2" w:rsidRPr="00CA1E2C" w:rsidRDefault="004B2825" w:rsidP="00454F9F">
      <w:pPr>
        <w:spacing w:after="60"/>
        <w:rPr>
          <w:rFonts w:cstheme="minorHAnsi"/>
          <w:szCs w:val="22"/>
        </w:rPr>
      </w:pPr>
      <w:r w:rsidRPr="00CA1E2C">
        <w:rPr>
          <w:rFonts w:cstheme="minorHAnsi"/>
          <w:b/>
          <w:bCs/>
          <w:szCs w:val="22"/>
        </w:rPr>
        <w:t xml:space="preserve">SAR </w:t>
      </w:r>
      <w:r w:rsidRPr="00CA1E2C">
        <w:rPr>
          <w:rFonts w:cstheme="minorHAnsi"/>
          <w:b/>
          <w:bCs/>
          <w:szCs w:val="22"/>
        </w:rPr>
        <w:tab/>
      </w:r>
      <w:r w:rsidRPr="00CA1E2C">
        <w:rPr>
          <w:rFonts w:cstheme="minorHAnsi"/>
          <w:b/>
          <w:bCs/>
          <w:szCs w:val="22"/>
        </w:rPr>
        <w:tab/>
      </w:r>
      <w:r w:rsidR="00434EE2" w:rsidRPr="00CA1E2C">
        <w:rPr>
          <w:rFonts w:cstheme="minorHAnsi"/>
          <w:szCs w:val="22"/>
        </w:rPr>
        <w:t>Synthetic Aperture Radar</w:t>
      </w:r>
    </w:p>
    <w:p w14:paraId="67EA99F9" w14:textId="0B1C5FB9" w:rsidR="00434EE2" w:rsidRPr="00CA1E2C" w:rsidRDefault="004B2825" w:rsidP="00454F9F">
      <w:pPr>
        <w:spacing w:after="60"/>
        <w:ind w:left="1440" w:hanging="1440"/>
        <w:rPr>
          <w:rFonts w:cstheme="minorHAnsi"/>
          <w:szCs w:val="22"/>
        </w:rPr>
      </w:pPr>
      <w:r w:rsidRPr="00CA1E2C">
        <w:rPr>
          <w:rFonts w:cstheme="minorHAnsi"/>
          <w:b/>
          <w:bCs/>
          <w:szCs w:val="22"/>
        </w:rPr>
        <w:t xml:space="preserve">SARP </w:t>
      </w:r>
      <w:r w:rsidRPr="00CA1E2C">
        <w:rPr>
          <w:rFonts w:cstheme="minorHAnsi"/>
          <w:b/>
          <w:bCs/>
          <w:szCs w:val="22"/>
        </w:rPr>
        <w:tab/>
      </w:r>
      <w:r w:rsidR="00434EE2" w:rsidRPr="00CA1E2C">
        <w:rPr>
          <w:rFonts w:cstheme="minorHAnsi"/>
          <w:szCs w:val="22"/>
        </w:rPr>
        <w:t>Standards and Recommended Practices</w:t>
      </w:r>
    </w:p>
    <w:p w14:paraId="2E21C2AB" w14:textId="4AD86DF6" w:rsidR="00434EE2" w:rsidRPr="00CA1E2C" w:rsidRDefault="004B2825" w:rsidP="00454F9F">
      <w:pPr>
        <w:spacing w:after="60"/>
        <w:ind w:left="1440" w:hanging="1440"/>
        <w:rPr>
          <w:rFonts w:cstheme="minorHAnsi"/>
          <w:szCs w:val="22"/>
        </w:rPr>
      </w:pPr>
      <w:r w:rsidRPr="00CA1E2C">
        <w:rPr>
          <w:rFonts w:cstheme="minorHAnsi"/>
          <w:b/>
          <w:szCs w:val="22"/>
        </w:rPr>
        <w:t>S&amp;T</w:t>
      </w:r>
      <w:r w:rsidRPr="00CA1E2C">
        <w:rPr>
          <w:rFonts w:cstheme="minorHAnsi"/>
          <w:b/>
          <w:szCs w:val="22"/>
        </w:rPr>
        <w:tab/>
      </w:r>
      <w:r w:rsidR="00FB691E" w:rsidRPr="00CA1E2C">
        <w:rPr>
          <w:rFonts w:cstheme="minorHAnsi"/>
          <w:szCs w:val="22"/>
        </w:rPr>
        <w:t>S</w:t>
      </w:r>
      <w:r w:rsidR="00434EE2" w:rsidRPr="00CA1E2C">
        <w:rPr>
          <w:rFonts w:cstheme="minorHAnsi"/>
          <w:szCs w:val="22"/>
        </w:rPr>
        <w:t>cience and Technology; also State and Territory</w:t>
      </w:r>
    </w:p>
    <w:p w14:paraId="192D3B78" w14:textId="77777777" w:rsidR="008D2727" w:rsidRPr="00CA1E2C" w:rsidRDefault="008D2727" w:rsidP="00454F9F">
      <w:pPr>
        <w:spacing w:after="60"/>
        <w:ind w:left="1440" w:hanging="1440"/>
        <w:rPr>
          <w:rFonts w:cstheme="minorHAnsi"/>
          <w:b/>
          <w:szCs w:val="22"/>
        </w:rPr>
      </w:pPr>
    </w:p>
    <w:p w14:paraId="6035F276" w14:textId="4E898D1A" w:rsidR="00434EE2" w:rsidRPr="00CA1E2C" w:rsidRDefault="004B2825" w:rsidP="00454F9F">
      <w:pPr>
        <w:spacing w:after="60"/>
        <w:rPr>
          <w:rFonts w:cstheme="minorHAnsi"/>
          <w:szCs w:val="22"/>
        </w:rPr>
      </w:pPr>
      <w:r w:rsidRPr="00CA1E2C">
        <w:rPr>
          <w:rFonts w:cstheme="minorHAnsi"/>
          <w:b/>
          <w:szCs w:val="22"/>
        </w:rPr>
        <w:t>SATCOM</w:t>
      </w:r>
      <w:r w:rsidRPr="00CA1E2C">
        <w:rPr>
          <w:rFonts w:cstheme="minorHAnsi"/>
          <w:b/>
          <w:szCs w:val="22"/>
        </w:rPr>
        <w:tab/>
      </w:r>
      <w:r w:rsidR="00434EE2" w:rsidRPr="00CA1E2C">
        <w:rPr>
          <w:rFonts w:cstheme="minorHAnsi"/>
          <w:szCs w:val="22"/>
        </w:rPr>
        <w:t>Satellite Communications</w:t>
      </w:r>
    </w:p>
    <w:p w14:paraId="10A378A1" w14:textId="22B0DD0C" w:rsidR="00434EE2" w:rsidRPr="00CA1E2C" w:rsidRDefault="004B2825" w:rsidP="00454F9F">
      <w:pPr>
        <w:spacing w:after="60"/>
        <w:rPr>
          <w:rFonts w:cstheme="minorHAnsi"/>
          <w:szCs w:val="22"/>
        </w:rPr>
      </w:pPr>
      <w:r w:rsidRPr="00CA1E2C">
        <w:rPr>
          <w:rFonts w:cstheme="minorHAnsi"/>
          <w:b/>
          <w:bCs/>
          <w:szCs w:val="22"/>
        </w:rPr>
        <w:t xml:space="preserve">SBAS </w:t>
      </w:r>
      <w:r w:rsidRPr="00CA1E2C">
        <w:rPr>
          <w:rFonts w:cstheme="minorHAnsi"/>
          <w:b/>
          <w:bCs/>
          <w:szCs w:val="22"/>
        </w:rPr>
        <w:tab/>
      </w:r>
      <w:r w:rsidRPr="00CA1E2C">
        <w:rPr>
          <w:rFonts w:cstheme="minorHAnsi"/>
          <w:b/>
          <w:bCs/>
          <w:szCs w:val="22"/>
        </w:rPr>
        <w:tab/>
      </w:r>
      <w:r w:rsidR="00434EE2" w:rsidRPr="00CA1E2C">
        <w:rPr>
          <w:rFonts w:cstheme="minorHAnsi"/>
          <w:szCs w:val="22"/>
        </w:rPr>
        <w:t>Satellite-based Augmentation System</w:t>
      </w:r>
    </w:p>
    <w:p w14:paraId="6A577135" w14:textId="352A4F31" w:rsidR="00434EE2" w:rsidRPr="00CA1E2C" w:rsidRDefault="004B2825" w:rsidP="00454F9F">
      <w:pPr>
        <w:spacing w:after="60"/>
        <w:rPr>
          <w:rFonts w:cstheme="minorHAnsi"/>
          <w:b/>
          <w:szCs w:val="22"/>
        </w:rPr>
      </w:pPr>
      <w:r w:rsidRPr="00CA1E2C">
        <w:rPr>
          <w:rFonts w:cstheme="minorHAnsi"/>
          <w:b/>
          <w:szCs w:val="22"/>
        </w:rPr>
        <w:t>SBAS-IWG</w:t>
      </w:r>
      <w:r w:rsidRPr="00CA1E2C">
        <w:rPr>
          <w:rFonts w:cstheme="minorHAnsi"/>
          <w:b/>
          <w:szCs w:val="22"/>
        </w:rPr>
        <w:tab/>
      </w:r>
      <w:r w:rsidR="00434EE2" w:rsidRPr="00CA1E2C">
        <w:rPr>
          <w:rFonts w:cstheme="minorHAnsi"/>
          <w:szCs w:val="22"/>
        </w:rPr>
        <w:t>SBAS Interoperability Working Group</w:t>
      </w:r>
    </w:p>
    <w:p w14:paraId="379EEB5A" w14:textId="113E4D21" w:rsidR="00434EE2" w:rsidRPr="00CA1E2C" w:rsidRDefault="004B2825" w:rsidP="00454F9F">
      <w:pPr>
        <w:spacing w:after="60"/>
        <w:rPr>
          <w:rFonts w:cstheme="minorHAnsi"/>
          <w:szCs w:val="22"/>
        </w:rPr>
      </w:pPr>
      <w:r w:rsidRPr="00CA1E2C">
        <w:rPr>
          <w:rFonts w:cstheme="minorHAnsi"/>
          <w:b/>
          <w:szCs w:val="22"/>
        </w:rPr>
        <w:t>SBS</w:t>
      </w:r>
      <w:r w:rsidRPr="00CA1E2C">
        <w:rPr>
          <w:rFonts w:cstheme="minorHAnsi"/>
          <w:b/>
          <w:szCs w:val="22"/>
        </w:rPr>
        <w:tab/>
      </w:r>
      <w:r w:rsidRPr="00CA1E2C">
        <w:rPr>
          <w:rFonts w:cstheme="minorHAnsi"/>
          <w:b/>
          <w:szCs w:val="22"/>
        </w:rPr>
        <w:tab/>
      </w:r>
      <w:r w:rsidR="00434EE2" w:rsidRPr="00CA1E2C">
        <w:rPr>
          <w:rFonts w:cstheme="minorHAnsi"/>
          <w:szCs w:val="22"/>
        </w:rPr>
        <w:t>Special Broadcasting Service</w:t>
      </w:r>
    </w:p>
    <w:p w14:paraId="66B7A127" w14:textId="55465C4C" w:rsidR="00434EE2" w:rsidRPr="00CA1E2C" w:rsidRDefault="004B2825" w:rsidP="00454F9F">
      <w:pPr>
        <w:spacing w:after="60"/>
        <w:ind w:left="1440" w:hanging="1440"/>
        <w:rPr>
          <w:rFonts w:cstheme="minorHAnsi"/>
          <w:szCs w:val="22"/>
        </w:rPr>
      </w:pPr>
      <w:r w:rsidRPr="00CA1E2C">
        <w:rPr>
          <w:rFonts w:cstheme="minorHAnsi"/>
          <w:b/>
          <w:bCs/>
          <w:szCs w:val="22"/>
        </w:rPr>
        <w:t xml:space="preserve">SCC </w:t>
      </w:r>
      <w:r w:rsidRPr="00CA1E2C">
        <w:rPr>
          <w:rFonts w:cstheme="minorHAnsi"/>
          <w:b/>
          <w:bCs/>
          <w:szCs w:val="22"/>
        </w:rPr>
        <w:tab/>
      </w:r>
      <w:r w:rsidR="00434EE2" w:rsidRPr="00CA1E2C">
        <w:rPr>
          <w:rFonts w:cstheme="minorHAnsi"/>
          <w:szCs w:val="22"/>
        </w:rPr>
        <w:t>Australian Government Space Coordination Committee</w:t>
      </w:r>
    </w:p>
    <w:p w14:paraId="2DAE3D9F" w14:textId="48BAC6F5" w:rsidR="00434EE2" w:rsidRPr="00CA1E2C" w:rsidRDefault="004B2825" w:rsidP="00454F9F">
      <w:pPr>
        <w:spacing w:after="60"/>
        <w:ind w:left="1440" w:hanging="1440"/>
        <w:rPr>
          <w:rFonts w:cstheme="minorHAnsi"/>
          <w:szCs w:val="22"/>
        </w:rPr>
      </w:pPr>
      <w:r w:rsidRPr="00CA1E2C">
        <w:rPr>
          <w:rFonts w:cstheme="minorHAnsi"/>
          <w:b/>
          <w:bCs/>
          <w:szCs w:val="22"/>
        </w:rPr>
        <w:t xml:space="preserve">SIAA </w:t>
      </w:r>
      <w:r w:rsidRPr="00CA1E2C">
        <w:rPr>
          <w:rFonts w:cstheme="minorHAnsi"/>
          <w:b/>
          <w:bCs/>
          <w:szCs w:val="22"/>
        </w:rPr>
        <w:tab/>
      </w:r>
      <w:r w:rsidR="00434EE2" w:rsidRPr="00CA1E2C">
        <w:rPr>
          <w:rFonts w:cstheme="minorHAnsi"/>
          <w:szCs w:val="22"/>
        </w:rPr>
        <w:t>Space Industry Association of Australia</w:t>
      </w:r>
    </w:p>
    <w:p w14:paraId="107EB82F" w14:textId="77EC52BD" w:rsidR="00434EE2" w:rsidRPr="00CA1E2C" w:rsidRDefault="004B2825" w:rsidP="00454F9F">
      <w:pPr>
        <w:spacing w:after="60"/>
        <w:rPr>
          <w:rFonts w:cstheme="minorHAnsi"/>
          <w:b/>
          <w:szCs w:val="22"/>
        </w:rPr>
      </w:pPr>
      <w:r w:rsidRPr="00CA1E2C">
        <w:rPr>
          <w:rFonts w:cstheme="minorHAnsi"/>
          <w:b/>
          <w:szCs w:val="22"/>
        </w:rPr>
        <w:t>SIT</w:t>
      </w:r>
      <w:r w:rsidRPr="00CA1E2C">
        <w:rPr>
          <w:rFonts w:cstheme="minorHAnsi"/>
          <w:b/>
          <w:szCs w:val="22"/>
        </w:rPr>
        <w:tab/>
      </w:r>
      <w:r w:rsidRPr="00CA1E2C">
        <w:rPr>
          <w:rFonts w:cstheme="minorHAnsi"/>
          <w:b/>
          <w:szCs w:val="22"/>
        </w:rPr>
        <w:tab/>
      </w:r>
      <w:r w:rsidR="00434EE2" w:rsidRPr="00CA1E2C">
        <w:rPr>
          <w:rFonts w:cstheme="minorHAnsi"/>
          <w:szCs w:val="22"/>
        </w:rPr>
        <w:t>Strategic Implementation Team</w:t>
      </w:r>
    </w:p>
    <w:p w14:paraId="686C981F" w14:textId="4AAA75DF" w:rsidR="00434EE2" w:rsidRPr="00CA1E2C" w:rsidRDefault="004B2825" w:rsidP="00454F9F">
      <w:pPr>
        <w:spacing w:after="60"/>
        <w:rPr>
          <w:rFonts w:cstheme="minorHAnsi"/>
          <w:szCs w:val="22"/>
        </w:rPr>
      </w:pPr>
      <w:r w:rsidRPr="00CA1E2C">
        <w:rPr>
          <w:rFonts w:cstheme="minorHAnsi"/>
          <w:b/>
          <w:bCs/>
          <w:szCs w:val="22"/>
        </w:rPr>
        <w:t xml:space="preserve">SKA </w:t>
      </w:r>
      <w:r w:rsidRPr="00CA1E2C">
        <w:rPr>
          <w:rFonts w:cstheme="minorHAnsi"/>
          <w:b/>
          <w:bCs/>
          <w:szCs w:val="22"/>
        </w:rPr>
        <w:tab/>
      </w:r>
      <w:r w:rsidRPr="00CA1E2C">
        <w:rPr>
          <w:rFonts w:cstheme="minorHAnsi"/>
          <w:b/>
          <w:bCs/>
          <w:szCs w:val="22"/>
        </w:rPr>
        <w:tab/>
      </w:r>
      <w:r w:rsidR="00434EE2" w:rsidRPr="00CA1E2C">
        <w:rPr>
          <w:rFonts w:cstheme="minorHAnsi"/>
          <w:szCs w:val="22"/>
        </w:rPr>
        <w:t>Square Kilometre Array</w:t>
      </w:r>
    </w:p>
    <w:p w14:paraId="2914CE2E" w14:textId="511E7ABD" w:rsidR="00434EE2" w:rsidRPr="00CA1E2C" w:rsidRDefault="004B2825" w:rsidP="00454F9F">
      <w:pPr>
        <w:spacing w:after="60"/>
        <w:rPr>
          <w:rFonts w:cstheme="minorHAnsi"/>
          <w:szCs w:val="22"/>
        </w:rPr>
      </w:pPr>
      <w:r w:rsidRPr="00CA1E2C">
        <w:rPr>
          <w:rFonts w:cstheme="minorHAnsi"/>
          <w:b/>
          <w:bCs/>
          <w:szCs w:val="22"/>
        </w:rPr>
        <w:t xml:space="preserve">SLR </w:t>
      </w:r>
      <w:r w:rsidRPr="00CA1E2C">
        <w:rPr>
          <w:rFonts w:cstheme="minorHAnsi"/>
          <w:b/>
          <w:bCs/>
          <w:szCs w:val="22"/>
        </w:rPr>
        <w:tab/>
      </w:r>
      <w:r w:rsidRPr="00CA1E2C">
        <w:rPr>
          <w:rFonts w:cstheme="minorHAnsi"/>
          <w:b/>
          <w:bCs/>
          <w:szCs w:val="22"/>
        </w:rPr>
        <w:tab/>
      </w:r>
      <w:r w:rsidR="00434EE2" w:rsidRPr="00CA1E2C">
        <w:rPr>
          <w:rFonts w:cstheme="minorHAnsi"/>
          <w:szCs w:val="22"/>
        </w:rPr>
        <w:t>Satellite Laser Ranging</w:t>
      </w:r>
    </w:p>
    <w:p w14:paraId="1E368A4A" w14:textId="4F8F79C7" w:rsidR="00434EE2" w:rsidRPr="00CA1E2C" w:rsidRDefault="004B2825" w:rsidP="00454F9F">
      <w:pPr>
        <w:spacing w:after="60"/>
        <w:rPr>
          <w:rFonts w:cstheme="minorHAnsi"/>
          <w:szCs w:val="22"/>
        </w:rPr>
      </w:pPr>
      <w:r w:rsidRPr="00CA1E2C">
        <w:rPr>
          <w:rFonts w:cstheme="minorHAnsi"/>
          <w:b/>
          <w:szCs w:val="22"/>
        </w:rPr>
        <w:t>SSA</w:t>
      </w:r>
      <w:r w:rsidRPr="00CA1E2C">
        <w:rPr>
          <w:rFonts w:cstheme="minorHAnsi"/>
          <w:b/>
          <w:szCs w:val="22"/>
        </w:rPr>
        <w:tab/>
      </w:r>
      <w:r w:rsidRPr="00CA1E2C">
        <w:rPr>
          <w:rFonts w:cstheme="minorHAnsi"/>
          <w:b/>
          <w:szCs w:val="22"/>
        </w:rPr>
        <w:tab/>
      </w:r>
      <w:r w:rsidR="00434EE2" w:rsidRPr="00CA1E2C">
        <w:rPr>
          <w:rFonts w:cstheme="minorHAnsi"/>
          <w:szCs w:val="22"/>
        </w:rPr>
        <w:t>Space Situational Awareness</w:t>
      </w:r>
    </w:p>
    <w:p w14:paraId="2D63E89D" w14:textId="5B811DB4" w:rsidR="00434EE2" w:rsidRPr="00CA1E2C" w:rsidRDefault="004B2825" w:rsidP="00454F9F">
      <w:pPr>
        <w:spacing w:after="60"/>
        <w:ind w:left="1440" w:hanging="1440"/>
        <w:rPr>
          <w:rFonts w:cstheme="minorHAnsi"/>
          <w:szCs w:val="22"/>
        </w:rPr>
      </w:pPr>
      <w:r w:rsidRPr="00CA1E2C">
        <w:rPr>
          <w:rFonts w:cstheme="minorHAnsi"/>
          <w:b/>
          <w:szCs w:val="22"/>
        </w:rPr>
        <w:t>SSI</w:t>
      </w:r>
      <w:r w:rsidRPr="00CA1E2C">
        <w:rPr>
          <w:rFonts w:cstheme="minorHAnsi"/>
          <w:b/>
          <w:szCs w:val="22"/>
        </w:rPr>
        <w:tab/>
      </w:r>
      <w:r w:rsidR="00434EE2" w:rsidRPr="00CA1E2C">
        <w:rPr>
          <w:rFonts w:cstheme="minorHAnsi"/>
          <w:szCs w:val="22"/>
        </w:rPr>
        <w:t>Statement of Strategic Intent</w:t>
      </w:r>
      <w:r w:rsidR="007B3819" w:rsidRPr="00CA1E2C">
        <w:rPr>
          <w:rFonts w:cstheme="minorHAnsi"/>
          <w:szCs w:val="22"/>
        </w:rPr>
        <w:t xml:space="preserve"> and Cooperation</w:t>
      </w:r>
    </w:p>
    <w:p w14:paraId="042DA82A" w14:textId="224FE954" w:rsidR="00C858D6" w:rsidRPr="00CA1E2C" w:rsidRDefault="00C858D6" w:rsidP="00454F9F">
      <w:pPr>
        <w:spacing w:after="60"/>
        <w:ind w:left="1440" w:hanging="1440"/>
        <w:rPr>
          <w:rFonts w:cstheme="minorHAnsi"/>
          <w:szCs w:val="22"/>
        </w:rPr>
      </w:pPr>
      <w:r w:rsidRPr="00CA1E2C">
        <w:rPr>
          <w:rFonts w:cstheme="minorHAnsi"/>
          <w:b/>
          <w:szCs w:val="22"/>
        </w:rPr>
        <w:t>STSC</w:t>
      </w:r>
      <w:r w:rsidRPr="00CA1E2C">
        <w:rPr>
          <w:rFonts w:cstheme="minorHAnsi"/>
          <w:b/>
          <w:szCs w:val="22"/>
        </w:rPr>
        <w:tab/>
      </w:r>
      <w:r w:rsidRPr="00CA1E2C">
        <w:t>State and Territory Space Coordination</w:t>
      </w:r>
    </w:p>
    <w:p w14:paraId="6CDF9D8F" w14:textId="0F91B191" w:rsidR="00434EE2" w:rsidRPr="00CA1E2C" w:rsidRDefault="004B2825" w:rsidP="00454F9F">
      <w:pPr>
        <w:spacing w:after="60"/>
        <w:ind w:left="1440" w:hanging="1440"/>
        <w:rPr>
          <w:rFonts w:cstheme="minorHAnsi"/>
          <w:b/>
          <w:szCs w:val="22"/>
        </w:rPr>
      </w:pPr>
      <w:r w:rsidRPr="00CA1E2C">
        <w:rPr>
          <w:rFonts w:cstheme="minorHAnsi"/>
          <w:b/>
          <w:szCs w:val="22"/>
        </w:rPr>
        <w:t>STEM</w:t>
      </w:r>
      <w:r w:rsidRPr="00CA1E2C">
        <w:rPr>
          <w:rFonts w:cstheme="minorHAnsi"/>
          <w:b/>
          <w:szCs w:val="22"/>
        </w:rPr>
        <w:tab/>
      </w:r>
      <w:r w:rsidR="00434EE2" w:rsidRPr="00CA1E2C">
        <w:rPr>
          <w:rFonts w:cstheme="minorHAnsi"/>
          <w:szCs w:val="22"/>
        </w:rPr>
        <w:t>Science, Technology, Engineering and Mathematics</w:t>
      </w:r>
    </w:p>
    <w:p w14:paraId="59AC5E93" w14:textId="22534024" w:rsidR="00434EE2" w:rsidRPr="00CA1E2C" w:rsidRDefault="004B2825" w:rsidP="00454F9F">
      <w:pPr>
        <w:spacing w:after="60"/>
        <w:rPr>
          <w:rFonts w:cstheme="minorHAnsi"/>
          <w:szCs w:val="22"/>
        </w:rPr>
      </w:pPr>
      <w:r w:rsidRPr="00CA1E2C">
        <w:rPr>
          <w:rFonts w:cstheme="minorHAnsi"/>
          <w:b/>
          <w:bCs/>
          <w:szCs w:val="22"/>
        </w:rPr>
        <w:t xml:space="preserve">SWS </w:t>
      </w:r>
      <w:r w:rsidRPr="00CA1E2C">
        <w:rPr>
          <w:rFonts w:cstheme="minorHAnsi"/>
          <w:b/>
          <w:bCs/>
          <w:szCs w:val="22"/>
        </w:rPr>
        <w:tab/>
      </w:r>
      <w:r w:rsidRPr="00CA1E2C">
        <w:rPr>
          <w:rFonts w:cstheme="minorHAnsi"/>
          <w:b/>
          <w:bCs/>
          <w:szCs w:val="22"/>
        </w:rPr>
        <w:tab/>
      </w:r>
      <w:r w:rsidR="00434EE2" w:rsidRPr="00CA1E2C">
        <w:rPr>
          <w:rFonts w:cstheme="minorHAnsi"/>
          <w:szCs w:val="22"/>
        </w:rPr>
        <w:t>Space Weather Service</w:t>
      </w:r>
    </w:p>
    <w:p w14:paraId="44B50F55" w14:textId="23E91D7D" w:rsidR="00434EE2" w:rsidRPr="00CA1E2C" w:rsidRDefault="004B2825" w:rsidP="00454F9F">
      <w:pPr>
        <w:spacing w:after="60"/>
        <w:rPr>
          <w:rFonts w:cstheme="minorHAnsi"/>
          <w:szCs w:val="22"/>
        </w:rPr>
      </w:pPr>
      <w:r w:rsidRPr="00CA1E2C">
        <w:rPr>
          <w:rFonts w:cstheme="minorHAnsi"/>
          <w:b/>
          <w:szCs w:val="22"/>
        </w:rPr>
        <w:t>TARS</w:t>
      </w:r>
      <w:r w:rsidRPr="00CA1E2C">
        <w:rPr>
          <w:rFonts w:cstheme="minorHAnsi"/>
          <w:b/>
          <w:szCs w:val="22"/>
        </w:rPr>
        <w:tab/>
      </w:r>
      <w:r w:rsidRPr="00CA1E2C">
        <w:rPr>
          <w:rFonts w:cstheme="minorHAnsi"/>
          <w:b/>
          <w:szCs w:val="22"/>
        </w:rPr>
        <w:tab/>
      </w:r>
      <w:r w:rsidR="00434EE2" w:rsidRPr="00CA1E2C">
        <w:rPr>
          <w:rFonts w:cstheme="minorHAnsi"/>
          <w:szCs w:val="22"/>
        </w:rPr>
        <w:t>Turn-Around Ranging Station</w:t>
      </w:r>
    </w:p>
    <w:p w14:paraId="711A193A" w14:textId="6CDE0EAE" w:rsidR="00434EE2" w:rsidRPr="00CA1E2C" w:rsidRDefault="004B2825" w:rsidP="00454F9F">
      <w:pPr>
        <w:spacing w:after="60"/>
        <w:rPr>
          <w:rFonts w:cstheme="minorHAnsi"/>
          <w:szCs w:val="22"/>
        </w:rPr>
      </w:pPr>
      <w:r w:rsidRPr="00CA1E2C">
        <w:rPr>
          <w:rFonts w:cstheme="minorHAnsi"/>
          <w:b/>
          <w:szCs w:val="22"/>
        </w:rPr>
        <w:t xml:space="preserve">TAS </w:t>
      </w:r>
      <w:r w:rsidRPr="00CA1E2C">
        <w:rPr>
          <w:rFonts w:cstheme="minorHAnsi"/>
          <w:b/>
          <w:szCs w:val="22"/>
        </w:rPr>
        <w:tab/>
      </w:r>
      <w:r w:rsidRPr="00CA1E2C">
        <w:rPr>
          <w:rFonts w:cstheme="minorHAnsi"/>
          <w:b/>
          <w:szCs w:val="22"/>
        </w:rPr>
        <w:tab/>
      </w:r>
      <w:r w:rsidR="00434EE2" w:rsidRPr="00CA1E2C">
        <w:rPr>
          <w:rFonts w:cstheme="minorHAnsi"/>
          <w:szCs w:val="22"/>
        </w:rPr>
        <w:t>Tasmania</w:t>
      </w:r>
    </w:p>
    <w:p w14:paraId="1146AEC0" w14:textId="42B1CC33" w:rsidR="00434EE2" w:rsidRPr="00CA1E2C" w:rsidRDefault="004B2825" w:rsidP="00454F9F">
      <w:pPr>
        <w:spacing w:after="60"/>
        <w:ind w:left="1440" w:hanging="1440"/>
        <w:rPr>
          <w:rFonts w:cstheme="minorHAnsi"/>
          <w:szCs w:val="22"/>
        </w:rPr>
      </w:pPr>
      <w:r w:rsidRPr="00CA1E2C">
        <w:rPr>
          <w:rFonts w:cstheme="minorHAnsi"/>
          <w:b/>
          <w:bCs/>
          <w:szCs w:val="22"/>
        </w:rPr>
        <w:t xml:space="preserve">TCBM </w:t>
      </w:r>
      <w:r w:rsidRPr="00CA1E2C">
        <w:rPr>
          <w:rFonts w:cstheme="minorHAnsi"/>
          <w:b/>
          <w:bCs/>
          <w:szCs w:val="22"/>
        </w:rPr>
        <w:tab/>
      </w:r>
      <w:r w:rsidR="00434EE2" w:rsidRPr="00CA1E2C">
        <w:rPr>
          <w:rFonts w:cstheme="minorHAnsi"/>
          <w:szCs w:val="22"/>
        </w:rPr>
        <w:t>Transparency and Confidence Building Measures</w:t>
      </w:r>
    </w:p>
    <w:p w14:paraId="5FAAA5C8" w14:textId="48FDC04D" w:rsidR="00434EE2" w:rsidRDefault="004B2825" w:rsidP="00454F9F">
      <w:pPr>
        <w:spacing w:after="60"/>
        <w:ind w:left="1440" w:hanging="1440"/>
        <w:rPr>
          <w:rFonts w:cstheme="minorHAnsi"/>
          <w:szCs w:val="22"/>
        </w:rPr>
      </w:pPr>
      <w:r w:rsidRPr="00CA1E2C">
        <w:rPr>
          <w:rFonts w:cstheme="minorHAnsi"/>
          <w:b/>
          <w:szCs w:val="22"/>
        </w:rPr>
        <w:lastRenderedPageBreak/>
        <w:t>TERN</w:t>
      </w:r>
      <w:r w:rsidRPr="00CA1E2C">
        <w:rPr>
          <w:rFonts w:cstheme="minorHAnsi"/>
          <w:b/>
          <w:szCs w:val="22"/>
        </w:rPr>
        <w:tab/>
      </w:r>
      <w:r w:rsidR="00434EE2" w:rsidRPr="00CA1E2C">
        <w:rPr>
          <w:rFonts w:cstheme="minorHAnsi"/>
          <w:szCs w:val="22"/>
        </w:rPr>
        <w:t>Terrestrial Ecosystem Research Network</w:t>
      </w:r>
    </w:p>
    <w:p w14:paraId="5C0BAEB9" w14:textId="169433A6" w:rsidR="00FF3CDC" w:rsidRPr="00CA1E2C" w:rsidRDefault="00FF3CDC" w:rsidP="00454F9F">
      <w:pPr>
        <w:spacing w:after="60"/>
        <w:ind w:left="1440" w:hanging="1440"/>
        <w:rPr>
          <w:rFonts w:cstheme="minorHAnsi"/>
          <w:b/>
          <w:szCs w:val="22"/>
        </w:rPr>
      </w:pPr>
      <w:r>
        <w:rPr>
          <w:rFonts w:cstheme="minorHAnsi"/>
          <w:b/>
          <w:szCs w:val="22"/>
        </w:rPr>
        <w:t>TIROS</w:t>
      </w:r>
      <w:r>
        <w:rPr>
          <w:rFonts w:cstheme="minorHAnsi"/>
          <w:b/>
          <w:szCs w:val="22"/>
        </w:rPr>
        <w:tab/>
      </w:r>
      <w:r w:rsidRPr="00FF3CDC">
        <w:rPr>
          <w:rFonts w:cstheme="minorHAnsi"/>
          <w:szCs w:val="22"/>
        </w:rPr>
        <w:t>Television Infrared Observation Satellite</w:t>
      </w:r>
    </w:p>
    <w:p w14:paraId="30A6E60A" w14:textId="4FFBE643" w:rsidR="00434EE2" w:rsidRPr="00CA1E2C" w:rsidRDefault="004B2825" w:rsidP="00454F9F">
      <w:pPr>
        <w:spacing w:after="60"/>
        <w:ind w:left="1440" w:hanging="1440"/>
        <w:rPr>
          <w:rFonts w:cstheme="minorHAnsi"/>
          <w:szCs w:val="22"/>
        </w:rPr>
      </w:pPr>
      <w:r w:rsidRPr="00CA1E2C">
        <w:rPr>
          <w:rFonts w:cstheme="minorHAnsi"/>
          <w:b/>
          <w:bCs/>
          <w:szCs w:val="22"/>
        </w:rPr>
        <w:t xml:space="preserve">TISN </w:t>
      </w:r>
      <w:r w:rsidRPr="00CA1E2C">
        <w:rPr>
          <w:rFonts w:cstheme="minorHAnsi"/>
          <w:b/>
          <w:bCs/>
          <w:szCs w:val="22"/>
        </w:rPr>
        <w:tab/>
      </w:r>
      <w:r w:rsidR="00434EE2" w:rsidRPr="00CA1E2C">
        <w:rPr>
          <w:rFonts w:cstheme="minorHAnsi"/>
          <w:szCs w:val="22"/>
        </w:rPr>
        <w:t>Trusted Information Sharing Network for Critical Infrastructure Resilience</w:t>
      </w:r>
    </w:p>
    <w:p w14:paraId="0DD3D531" w14:textId="1CC64E99" w:rsidR="00434EE2" w:rsidRPr="00CA1E2C" w:rsidRDefault="004B2825" w:rsidP="00454F9F">
      <w:pPr>
        <w:spacing w:after="60"/>
        <w:rPr>
          <w:rFonts w:cstheme="minorHAnsi"/>
          <w:b/>
          <w:szCs w:val="22"/>
        </w:rPr>
      </w:pPr>
      <w:r w:rsidRPr="00CA1E2C">
        <w:rPr>
          <w:rFonts w:cstheme="minorHAnsi"/>
          <w:b/>
          <w:szCs w:val="22"/>
        </w:rPr>
        <w:t>UAE</w:t>
      </w:r>
      <w:r w:rsidRPr="00CA1E2C">
        <w:rPr>
          <w:rFonts w:cstheme="minorHAnsi"/>
          <w:b/>
          <w:szCs w:val="22"/>
        </w:rPr>
        <w:tab/>
      </w:r>
      <w:r w:rsidRPr="00CA1E2C">
        <w:rPr>
          <w:rFonts w:cstheme="minorHAnsi"/>
          <w:b/>
          <w:szCs w:val="22"/>
        </w:rPr>
        <w:tab/>
      </w:r>
      <w:r w:rsidR="00434EE2" w:rsidRPr="00CA1E2C">
        <w:rPr>
          <w:rFonts w:cstheme="minorHAnsi"/>
          <w:szCs w:val="22"/>
        </w:rPr>
        <w:t>United Arab Emirates</w:t>
      </w:r>
    </w:p>
    <w:p w14:paraId="12A67E30" w14:textId="1DB1DD2A" w:rsidR="00434EE2" w:rsidRPr="00CA1E2C" w:rsidRDefault="004B2825" w:rsidP="00454F9F">
      <w:pPr>
        <w:spacing w:after="60"/>
        <w:rPr>
          <w:rFonts w:cstheme="minorHAnsi"/>
          <w:b/>
          <w:szCs w:val="22"/>
        </w:rPr>
      </w:pPr>
      <w:r w:rsidRPr="00CA1E2C">
        <w:rPr>
          <w:rFonts w:cstheme="minorHAnsi"/>
          <w:b/>
          <w:szCs w:val="22"/>
        </w:rPr>
        <w:t>UK</w:t>
      </w:r>
      <w:r w:rsidRPr="00CA1E2C">
        <w:rPr>
          <w:rFonts w:cstheme="minorHAnsi"/>
          <w:b/>
          <w:szCs w:val="22"/>
        </w:rPr>
        <w:tab/>
      </w:r>
      <w:r w:rsidRPr="00CA1E2C">
        <w:rPr>
          <w:rFonts w:cstheme="minorHAnsi"/>
          <w:b/>
          <w:szCs w:val="22"/>
        </w:rPr>
        <w:tab/>
      </w:r>
      <w:r w:rsidR="00434EE2" w:rsidRPr="00CA1E2C">
        <w:rPr>
          <w:rFonts w:cstheme="minorHAnsi"/>
          <w:szCs w:val="22"/>
        </w:rPr>
        <w:t>United Kingdom</w:t>
      </w:r>
    </w:p>
    <w:p w14:paraId="1843B28F" w14:textId="4330D761" w:rsidR="00434EE2" w:rsidRPr="00CA1E2C" w:rsidRDefault="004B2825" w:rsidP="00454F9F">
      <w:pPr>
        <w:spacing w:after="60"/>
        <w:rPr>
          <w:rFonts w:cstheme="minorHAnsi"/>
          <w:szCs w:val="22"/>
        </w:rPr>
      </w:pPr>
      <w:r w:rsidRPr="00CA1E2C">
        <w:rPr>
          <w:rFonts w:cstheme="minorHAnsi"/>
          <w:b/>
          <w:bCs/>
          <w:szCs w:val="22"/>
        </w:rPr>
        <w:t xml:space="preserve">UN </w:t>
      </w:r>
      <w:r w:rsidRPr="00CA1E2C">
        <w:rPr>
          <w:rFonts w:cstheme="minorHAnsi"/>
          <w:b/>
          <w:bCs/>
          <w:szCs w:val="22"/>
        </w:rPr>
        <w:tab/>
      </w:r>
      <w:r w:rsidRPr="00CA1E2C">
        <w:rPr>
          <w:rFonts w:cstheme="minorHAnsi"/>
          <w:b/>
          <w:bCs/>
          <w:szCs w:val="22"/>
        </w:rPr>
        <w:tab/>
      </w:r>
      <w:r w:rsidR="00434EE2" w:rsidRPr="00CA1E2C">
        <w:rPr>
          <w:rFonts w:cstheme="minorHAnsi"/>
          <w:szCs w:val="22"/>
        </w:rPr>
        <w:t>United Nations</w:t>
      </w:r>
    </w:p>
    <w:p w14:paraId="7825D77C" w14:textId="32DACB12" w:rsidR="00434EE2" w:rsidRPr="00CA1E2C" w:rsidRDefault="004B2825" w:rsidP="00454F9F">
      <w:pPr>
        <w:spacing w:after="60"/>
        <w:ind w:left="1440" w:hanging="1440"/>
        <w:rPr>
          <w:rFonts w:cstheme="minorHAnsi"/>
          <w:szCs w:val="22"/>
        </w:rPr>
      </w:pPr>
      <w:r w:rsidRPr="00CA1E2C">
        <w:rPr>
          <w:rFonts w:cstheme="minorHAnsi"/>
          <w:b/>
          <w:bCs/>
          <w:szCs w:val="22"/>
        </w:rPr>
        <w:t xml:space="preserve">UN-GGIM </w:t>
      </w:r>
      <w:r w:rsidRPr="00CA1E2C">
        <w:rPr>
          <w:rFonts w:cstheme="minorHAnsi"/>
          <w:b/>
          <w:bCs/>
          <w:szCs w:val="22"/>
        </w:rPr>
        <w:tab/>
      </w:r>
      <w:r w:rsidR="00434EE2" w:rsidRPr="00CA1E2C">
        <w:rPr>
          <w:rFonts w:cstheme="minorHAnsi"/>
          <w:szCs w:val="22"/>
        </w:rPr>
        <w:t>The UN Committee of Experts on Global Geospatial Information Management</w:t>
      </w:r>
    </w:p>
    <w:p w14:paraId="5EC8B172" w14:textId="62C3953E" w:rsidR="00434EE2" w:rsidRPr="00CA1E2C" w:rsidRDefault="004B2825" w:rsidP="00A87DDE">
      <w:pPr>
        <w:spacing w:after="60"/>
        <w:ind w:left="1440" w:hanging="1440"/>
        <w:rPr>
          <w:rFonts w:cstheme="minorHAnsi"/>
          <w:b/>
          <w:szCs w:val="22"/>
        </w:rPr>
      </w:pPr>
      <w:r w:rsidRPr="00CA1E2C">
        <w:rPr>
          <w:rFonts w:cstheme="minorHAnsi"/>
          <w:b/>
          <w:szCs w:val="22"/>
        </w:rPr>
        <w:t>UNISPACE+50</w:t>
      </w:r>
      <w:r w:rsidRPr="00CA1E2C">
        <w:rPr>
          <w:rFonts w:cstheme="minorHAnsi"/>
          <w:b/>
          <w:szCs w:val="22"/>
        </w:rPr>
        <w:tab/>
      </w:r>
      <w:r w:rsidR="00434EE2" w:rsidRPr="00CA1E2C">
        <w:rPr>
          <w:rFonts w:cstheme="minorHAnsi"/>
          <w:szCs w:val="22"/>
        </w:rPr>
        <w:t>Fiftieth anniversary of the first United Nations Conference on the Exploration and Peaceful Uses of Outer Space</w:t>
      </w:r>
    </w:p>
    <w:p w14:paraId="544C56ED" w14:textId="627C6641" w:rsidR="00434EE2" w:rsidRPr="00CA1E2C" w:rsidRDefault="004B2825" w:rsidP="00454F9F">
      <w:pPr>
        <w:spacing w:after="60"/>
        <w:rPr>
          <w:rFonts w:cstheme="minorHAnsi"/>
          <w:szCs w:val="22"/>
        </w:rPr>
      </w:pPr>
      <w:r w:rsidRPr="00CA1E2C">
        <w:rPr>
          <w:rFonts w:cstheme="minorHAnsi"/>
          <w:b/>
          <w:bCs/>
          <w:szCs w:val="22"/>
        </w:rPr>
        <w:t xml:space="preserve">UNSW </w:t>
      </w:r>
      <w:r w:rsidRPr="00CA1E2C">
        <w:rPr>
          <w:rFonts w:cstheme="minorHAnsi"/>
          <w:b/>
          <w:bCs/>
          <w:szCs w:val="22"/>
        </w:rPr>
        <w:tab/>
      </w:r>
      <w:r w:rsidRPr="00CA1E2C">
        <w:rPr>
          <w:rFonts w:cstheme="minorHAnsi"/>
          <w:b/>
          <w:bCs/>
          <w:szCs w:val="22"/>
        </w:rPr>
        <w:tab/>
      </w:r>
      <w:r w:rsidR="00434EE2" w:rsidRPr="00CA1E2C">
        <w:rPr>
          <w:rFonts w:cstheme="minorHAnsi"/>
          <w:szCs w:val="22"/>
        </w:rPr>
        <w:t>University of New South Wales</w:t>
      </w:r>
    </w:p>
    <w:p w14:paraId="7D5498CC" w14:textId="57DAD17D" w:rsidR="0035704D" w:rsidRPr="00CA1E2C" w:rsidRDefault="0035704D" w:rsidP="00454F9F">
      <w:pPr>
        <w:spacing w:after="60"/>
        <w:rPr>
          <w:rFonts w:cstheme="minorHAnsi"/>
          <w:b/>
          <w:szCs w:val="22"/>
        </w:rPr>
      </w:pPr>
      <w:r w:rsidRPr="00CA1E2C">
        <w:rPr>
          <w:rFonts w:cstheme="minorHAnsi"/>
          <w:b/>
          <w:szCs w:val="22"/>
        </w:rPr>
        <w:t>US</w:t>
      </w:r>
      <w:r w:rsidRPr="00CA1E2C">
        <w:rPr>
          <w:rFonts w:cstheme="minorHAnsi"/>
          <w:b/>
          <w:szCs w:val="22"/>
        </w:rPr>
        <w:tab/>
      </w:r>
      <w:r w:rsidRPr="00CA1E2C">
        <w:rPr>
          <w:rFonts w:cstheme="minorHAnsi"/>
          <w:b/>
          <w:szCs w:val="22"/>
        </w:rPr>
        <w:tab/>
      </w:r>
      <w:r w:rsidRPr="00CA1E2C">
        <w:rPr>
          <w:rFonts w:cstheme="minorHAnsi"/>
          <w:szCs w:val="22"/>
        </w:rPr>
        <w:t>United States</w:t>
      </w:r>
    </w:p>
    <w:p w14:paraId="0FAFAD40" w14:textId="00113ED5" w:rsidR="00434EE2" w:rsidRPr="00CA1E2C" w:rsidRDefault="004B2825" w:rsidP="00454F9F">
      <w:pPr>
        <w:spacing w:after="60"/>
        <w:rPr>
          <w:rFonts w:cstheme="minorHAnsi"/>
          <w:b/>
          <w:szCs w:val="22"/>
        </w:rPr>
      </w:pPr>
      <w:r w:rsidRPr="00CA1E2C">
        <w:rPr>
          <w:rFonts w:cstheme="minorHAnsi"/>
          <w:b/>
          <w:szCs w:val="22"/>
        </w:rPr>
        <w:t>USG</w:t>
      </w:r>
      <w:r w:rsidRPr="00CA1E2C">
        <w:rPr>
          <w:rFonts w:cstheme="minorHAnsi"/>
          <w:b/>
          <w:szCs w:val="22"/>
        </w:rPr>
        <w:tab/>
      </w:r>
      <w:r w:rsidRPr="00CA1E2C">
        <w:rPr>
          <w:rFonts w:cstheme="minorHAnsi"/>
          <w:b/>
          <w:szCs w:val="22"/>
        </w:rPr>
        <w:tab/>
      </w:r>
      <w:r w:rsidR="00434EE2" w:rsidRPr="00CA1E2C">
        <w:rPr>
          <w:rFonts w:cstheme="minorHAnsi"/>
          <w:szCs w:val="22"/>
        </w:rPr>
        <w:t>Universal Service Guarantee</w:t>
      </w:r>
    </w:p>
    <w:p w14:paraId="619619FC" w14:textId="58DAC8DD" w:rsidR="00434EE2" w:rsidRPr="00CA1E2C" w:rsidRDefault="004B2825" w:rsidP="00454F9F">
      <w:pPr>
        <w:spacing w:after="60"/>
        <w:rPr>
          <w:rFonts w:cstheme="minorHAnsi"/>
          <w:b/>
          <w:szCs w:val="22"/>
        </w:rPr>
      </w:pPr>
      <w:r w:rsidRPr="00CA1E2C">
        <w:rPr>
          <w:rFonts w:cstheme="minorHAnsi"/>
          <w:b/>
          <w:szCs w:val="22"/>
        </w:rPr>
        <w:t>USO</w:t>
      </w:r>
      <w:r w:rsidRPr="00CA1E2C">
        <w:rPr>
          <w:rFonts w:cstheme="minorHAnsi"/>
          <w:b/>
          <w:szCs w:val="22"/>
        </w:rPr>
        <w:tab/>
      </w:r>
      <w:r w:rsidRPr="00CA1E2C">
        <w:rPr>
          <w:rFonts w:cstheme="minorHAnsi"/>
          <w:b/>
          <w:szCs w:val="22"/>
        </w:rPr>
        <w:tab/>
      </w:r>
      <w:r w:rsidR="00434EE2" w:rsidRPr="00CA1E2C">
        <w:rPr>
          <w:rFonts w:cstheme="minorHAnsi"/>
          <w:szCs w:val="22"/>
        </w:rPr>
        <w:t>Universal Service Obligation</w:t>
      </w:r>
    </w:p>
    <w:p w14:paraId="566FB90E" w14:textId="12D277C4" w:rsidR="00434EE2" w:rsidRPr="00CA1E2C" w:rsidRDefault="004B2825" w:rsidP="00454F9F">
      <w:pPr>
        <w:spacing w:after="60"/>
        <w:rPr>
          <w:rFonts w:cstheme="minorHAnsi"/>
          <w:szCs w:val="22"/>
        </w:rPr>
      </w:pPr>
      <w:r w:rsidRPr="00CA1E2C">
        <w:rPr>
          <w:rFonts w:cstheme="minorHAnsi"/>
          <w:b/>
          <w:bCs/>
          <w:szCs w:val="22"/>
        </w:rPr>
        <w:t xml:space="preserve">VAST </w:t>
      </w:r>
      <w:r w:rsidRPr="00CA1E2C">
        <w:rPr>
          <w:rFonts w:cstheme="minorHAnsi"/>
          <w:b/>
          <w:bCs/>
          <w:szCs w:val="22"/>
        </w:rPr>
        <w:tab/>
      </w:r>
      <w:r w:rsidRPr="00CA1E2C">
        <w:rPr>
          <w:rFonts w:cstheme="minorHAnsi"/>
          <w:b/>
          <w:bCs/>
          <w:szCs w:val="22"/>
        </w:rPr>
        <w:tab/>
      </w:r>
      <w:r w:rsidR="00434EE2" w:rsidRPr="00CA1E2C">
        <w:rPr>
          <w:rFonts w:cstheme="minorHAnsi"/>
          <w:szCs w:val="22"/>
        </w:rPr>
        <w:t>Viewer Access Satellite Television</w:t>
      </w:r>
    </w:p>
    <w:p w14:paraId="171B2621" w14:textId="01DAD226" w:rsidR="00434EE2" w:rsidRPr="00CA1E2C" w:rsidRDefault="004B2825" w:rsidP="00454F9F">
      <w:pPr>
        <w:spacing w:after="60"/>
        <w:rPr>
          <w:rFonts w:cstheme="minorHAnsi"/>
          <w:szCs w:val="22"/>
        </w:rPr>
      </w:pPr>
      <w:r w:rsidRPr="00CA1E2C">
        <w:rPr>
          <w:rFonts w:cstheme="minorHAnsi"/>
          <w:b/>
          <w:szCs w:val="22"/>
        </w:rPr>
        <w:t>VHF</w:t>
      </w:r>
      <w:r w:rsidRPr="00CA1E2C">
        <w:rPr>
          <w:rFonts w:cstheme="minorHAnsi"/>
          <w:b/>
          <w:szCs w:val="22"/>
        </w:rPr>
        <w:tab/>
      </w:r>
      <w:r w:rsidR="00FB691E" w:rsidRPr="00CA1E2C">
        <w:rPr>
          <w:rFonts w:cstheme="minorHAnsi"/>
          <w:b/>
          <w:szCs w:val="22"/>
        </w:rPr>
        <w:tab/>
      </w:r>
      <w:r w:rsidR="00434EE2" w:rsidRPr="00CA1E2C">
        <w:rPr>
          <w:rFonts w:cstheme="minorHAnsi"/>
          <w:szCs w:val="22"/>
        </w:rPr>
        <w:t>Very High Frequency</w:t>
      </w:r>
    </w:p>
    <w:p w14:paraId="079283E1" w14:textId="302183D5" w:rsidR="00434EE2" w:rsidRPr="00CA1E2C" w:rsidRDefault="004B2825" w:rsidP="00454F9F">
      <w:pPr>
        <w:spacing w:after="60"/>
        <w:rPr>
          <w:rFonts w:cstheme="minorHAnsi"/>
          <w:szCs w:val="22"/>
        </w:rPr>
      </w:pPr>
      <w:r w:rsidRPr="00CA1E2C">
        <w:rPr>
          <w:rFonts w:cstheme="minorHAnsi"/>
          <w:b/>
          <w:szCs w:val="22"/>
        </w:rPr>
        <w:t>VIC</w:t>
      </w:r>
      <w:r w:rsidRPr="00CA1E2C">
        <w:rPr>
          <w:rFonts w:cstheme="minorHAnsi"/>
          <w:b/>
          <w:szCs w:val="22"/>
        </w:rPr>
        <w:tab/>
      </w:r>
      <w:r w:rsidR="00FB691E" w:rsidRPr="00CA1E2C">
        <w:rPr>
          <w:rFonts w:cstheme="minorHAnsi"/>
          <w:b/>
          <w:szCs w:val="22"/>
        </w:rPr>
        <w:tab/>
      </w:r>
      <w:r w:rsidR="00434EE2" w:rsidRPr="00CA1E2C">
        <w:rPr>
          <w:rFonts w:cstheme="minorHAnsi"/>
          <w:szCs w:val="22"/>
        </w:rPr>
        <w:t>Victoria</w:t>
      </w:r>
    </w:p>
    <w:p w14:paraId="1AD9F195" w14:textId="02969D25" w:rsidR="00434EE2" w:rsidRPr="00CA1E2C" w:rsidRDefault="00434EE2" w:rsidP="00454F9F">
      <w:pPr>
        <w:spacing w:after="60"/>
        <w:rPr>
          <w:rFonts w:cstheme="minorHAnsi"/>
          <w:szCs w:val="22"/>
        </w:rPr>
      </w:pPr>
      <w:r w:rsidRPr="00CA1E2C">
        <w:rPr>
          <w:rFonts w:cstheme="minorHAnsi"/>
          <w:b/>
          <w:szCs w:val="22"/>
        </w:rPr>
        <w:t>VLBI</w:t>
      </w:r>
      <w:r w:rsidRPr="00CA1E2C">
        <w:rPr>
          <w:rFonts w:cstheme="minorHAnsi"/>
          <w:b/>
          <w:szCs w:val="22"/>
        </w:rPr>
        <w:tab/>
      </w:r>
      <w:r w:rsidR="00FB691E" w:rsidRPr="00CA1E2C">
        <w:rPr>
          <w:rFonts w:cstheme="minorHAnsi"/>
          <w:b/>
          <w:szCs w:val="22"/>
        </w:rPr>
        <w:tab/>
      </w:r>
      <w:r w:rsidRPr="00CA1E2C">
        <w:rPr>
          <w:rFonts w:cstheme="minorHAnsi"/>
          <w:szCs w:val="22"/>
        </w:rPr>
        <w:t>Very Long Baseline Interferometry</w:t>
      </w:r>
    </w:p>
    <w:p w14:paraId="3615A65D" w14:textId="78D6AC72" w:rsidR="00434EE2" w:rsidRDefault="00434EE2" w:rsidP="00454F9F">
      <w:pPr>
        <w:spacing w:after="60"/>
        <w:ind w:left="1440" w:hanging="1440"/>
        <w:rPr>
          <w:rFonts w:cstheme="minorHAnsi"/>
          <w:szCs w:val="22"/>
        </w:rPr>
      </w:pPr>
      <w:r w:rsidRPr="00CA1E2C">
        <w:rPr>
          <w:rFonts w:cstheme="minorHAnsi"/>
          <w:b/>
          <w:szCs w:val="22"/>
        </w:rPr>
        <w:t>VSSEC</w:t>
      </w:r>
      <w:r w:rsidRPr="00CA1E2C">
        <w:rPr>
          <w:rFonts w:cstheme="minorHAnsi"/>
          <w:b/>
          <w:szCs w:val="22"/>
        </w:rPr>
        <w:tab/>
      </w:r>
      <w:r w:rsidRPr="00CA1E2C">
        <w:rPr>
          <w:rFonts w:cstheme="minorHAnsi"/>
          <w:szCs w:val="22"/>
        </w:rPr>
        <w:t>Victorian Space Science Education Centre</w:t>
      </w:r>
    </w:p>
    <w:p w14:paraId="73CC123E" w14:textId="53B87288" w:rsidR="00EC64B3" w:rsidRPr="00EC64B3" w:rsidRDefault="00EC64B3" w:rsidP="00454F9F">
      <w:pPr>
        <w:spacing w:after="60"/>
        <w:ind w:left="1440" w:hanging="1440"/>
        <w:rPr>
          <w:rFonts w:cstheme="minorHAnsi"/>
          <w:szCs w:val="22"/>
        </w:rPr>
      </w:pPr>
      <w:r>
        <w:rPr>
          <w:rFonts w:cstheme="minorHAnsi"/>
          <w:b/>
          <w:szCs w:val="22"/>
        </w:rPr>
        <w:t>VTOL</w:t>
      </w:r>
      <w:r>
        <w:rPr>
          <w:rFonts w:cstheme="minorHAnsi"/>
          <w:b/>
          <w:szCs w:val="22"/>
        </w:rPr>
        <w:tab/>
      </w:r>
      <w:r w:rsidRPr="00EC64B3">
        <w:rPr>
          <w:rFonts w:cstheme="minorHAnsi"/>
          <w:szCs w:val="22"/>
        </w:rPr>
        <w:t>Vertical Take Off and Landing</w:t>
      </w:r>
    </w:p>
    <w:p w14:paraId="779C1154" w14:textId="62443F75" w:rsidR="00434EE2" w:rsidRPr="00CA1E2C" w:rsidRDefault="00434EE2" w:rsidP="00454F9F">
      <w:pPr>
        <w:spacing w:after="60"/>
        <w:rPr>
          <w:rFonts w:cstheme="minorHAnsi"/>
          <w:szCs w:val="22"/>
        </w:rPr>
      </w:pPr>
      <w:r w:rsidRPr="00CA1E2C">
        <w:rPr>
          <w:rFonts w:cstheme="minorHAnsi"/>
          <w:b/>
          <w:szCs w:val="22"/>
        </w:rPr>
        <w:t xml:space="preserve">WA </w:t>
      </w:r>
      <w:r w:rsidRPr="00CA1E2C">
        <w:rPr>
          <w:rFonts w:cstheme="minorHAnsi"/>
          <w:b/>
          <w:szCs w:val="22"/>
        </w:rPr>
        <w:tab/>
      </w:r>
      <w:r w:rsidR="00FB691E" w:rsidRPr="00CA1E2C">
        <w:rPr>
          <w:rFonts w:cstheme="minorHAnsi"/>
          <w:b/>
          <w:szCs w:val="22"/>
        </w:rPr>
        <w:tab/>
      </w:r>
      <w:r w:rsidRPr="00CA1E2C">
        <w:rPr>
          <w:rFonts w:cstheme="minorHAnsi"/>
          <w:szCs w:val="22"/>
        </w:rPr>
        <w:t>Western Australia</w:t>
      </w:r>
    </w:p>
    <w:p w14:paraId="3951B1A9" w14:textId="36AE3743" w:rsidR="00434EE2" w:rsidRPr="00CA1E2C" w:rsidRDefault="00434EE2" w:rsidP="00454F9F">
      <w:pPr>
        <w:spacing w:after="60"/>
        <w:ind w:left="1440" w:hanging="1440"/>
        <w:rPr>
          <w:rFonts w:cstheme="minorHAnsi"/>
          <w:szCs w:val="22"/>
        </w:rPr>
      </w:pPr>
      <w:r w:rsidRPr="00CA1E2C">
        <w:rPr>
          <w:rFonts w:cstheme="minorHAnsi"/>
          <w:b/>
          <w:szCs w:val="22"/>
        </w:rPr>
        <w:t>WGCV</w:t>
      </w:r>
      <w:r w:rsidRPr="00CA1E2C">
        <w:rPr>
          <w:rFonts w:cstheme="minorHAnsi"/>
          <w:b/>
          <w:szCs w:val="22"/>
        </w:rPr>
        <w:tab/>
      </w:r>
      <w:r w:rsidRPr="00CA1E2C">
        <w:rPr>
          <w:rFonts w:cstheme="minorHAnsi"/>
          <w:szCs w:val="22"/>
        </w:rPr>
        <w:t>Working Group on Calibration and Validation</w:t>
      </w:r>
    </w:p>
    <w:p w14:paraId="0E197AD6" w14:textId="5B1CC745" w:rsidR="00434EE2" w:rsidRPr="00CA1E2C" w:rsidRDefault="00434EE2" w:rsidP="00454F9F">
      <w:pPr>
        <w:spacing w:after="60"/>
        <w:ind w:left="1440" w:hanging="1440"/>
        <w:rPr>
          <w:rFonts w:cstheme="minorHAnsi"/>
          <w:szCs w:val="22"/>
        </w:rPr>
      </w:pPr>
      <w:r w:rsidRPr="00CA1E2C">
        <w:rPr>
          <w:rFonts w:cstheme="minorHAnsi"/>
          <w:b/>
          <w:szCs w:val="22"/>
        </w:rPr>
        <w:t>WGISS</w:t>
      </w:r>
      <w:r w:rsidRPr="00CA1E2C">
        <w:rPr>
          <w:rFonts w:cstheme="minorHAnsi"/>
          <w:b/>
          <w:szCs w:val="22"/>
        </w:rPr>
        <w:tab/>
      </w:r>
      <w:r w:rsidRPr="00CA1E2C">
        <w:rPr>
          <w:rFonts w:cstheme="minorHAnsi"/>
          <w:szCs w:val="22"/>
        </w:rPr>
        <w:t>Working Group on Information Systems and Services</w:t>
      </w:r>
    </w:p>
    <w:p w14:paraId="028A2070" w14:textId="0BC34C8F" w:rsidR="00434EE2" w:rsidRPr="00CA1E2C" w:rsidRDefault="00434EE2" w:rsidP="00454F9F">
      <w:pPr>
        <w:spacing w:after="60"/>
        <w:rPr>
          <w:rFonts w:cstheme="minorHAnsi"/>
          <w:b/>
          <w:szCs w:val="22"/>
        </w:rPr>
      </w:pPr>
      <w:r w:rsidRPr="00CA1E2C">
        <w:rPr>
          <w:rFonts w:cstheme="minorHAnsi"/>
          <w:b/>
          <w:szCs w:val="22"/>
        </w:rPr>
        <w:t>WGS</w:t>
      </w:r>
      <w:r w:rsidRPr="00CA1E2C">
        <w:rPr>
          <w:rFonts w:cstheme="minorHAnsi"/>
          <w:b/>
          <w:szCs w:val="22"/>
        </w:rPr>
        <w:tab/>
      </w:r>
      <w:r w:rsidR="00FB691E" w:rsidRPr="00CA1E2C">
        <w:rPr>
          <w:rFonts w:cstheme="minorHAnsi"/>
          <w:b/>
          <w:szCs w:val="22"/>
        </w:rPr>
        <w:tab/>
      </w:r>
      <w:r w:rsidRPr="00CA1E2C">
        <w:rPr>
          <w:rFonts w:cstheme="minorHAnsi"/>
          <w:szCs w:val="22"/>
        </w:rPr>
        <w:t>Wideband Global SATCOM</w:t>
      </w:r>
    </w:p>
    <w:p w14:paraId="080B211D" w14:textId="5DDF0B8E" w:rsidR="00434EE2" w:rsidRPr="00CA1E2C" w:rsidRDefault="00434EE2" w:rsidP="00454F9F">
      <w:pPr>
        <w:spacing w:after="60"/>
        <w:ind w:left="1440" w:hanging="1440"/>
        <w:rPr>
          <w:rFonts w:cstheme="minorHAnsi"/>
          <w:b/>
          <w:szCs w:val="22"/>
        </w:rPr>
      </w:pPr>
      <w:r w:rsidRPr="00CA1E2C">
        <w:rPr>
          <w:rFonts w:cstheme="minorHAnsi"/>
          <w:b/>
          <w:szCs w:val="22"/>
        </w:rPr>
        <w:t>WIGOS</w:t>
      </w:r>
      <w:r w:rsidRPr="00CA1E2C">
        <w:rPr>
          <w:rFonts w:cstheme="minorHAnsi"/>
          <w:b/>
          <w:szCs w:val="22"/>
        </w:rPr>
        <w:tab/>
      </w:r>
      <w:r w:rsidRPr="00CA1E2C">
        <w:rPr>
          <w:rFonts w:cstheme="minorHAnsi"/>
          <w:szCs w:val="22"/>
        </w:rPr>
        <w:t>World Meteorological Organisation Integrated Global Observing System</w:t>
      </w:r>
    </w:p>
    <w:p w14:paraId="2E020066" w14:textId="50CB2BBD" w:rsidR="00434EE2" w:rsidRPr="00CA1E2C" w:rsidRDefault="00434EE2" w:rsidP="00454F9F">
      <w:pPr>
        <w:spacing w:after="60"/>
        <w:rPr>
          <w:rFonts w:cstheme="minorHAnsi"/>
          <w:b/>
          <w:bCs/>
          <w:szCs w:val="22"/>
        </w:rPr>
      </w:pPr>
      <w:r w:rsidRPr="00CA1E2C">
        <w:rPr>
          <w:rFonts w:cstheme="minorHAnsi"/>
          <w:b/>
          <w:bCs/>
          <w:szCs w:val="22"/>
        </w:rPr>
        <w:t xml:space="preserve">WMO </w:t>
      </w:r>
      <w:r w:rsidRPr="00CA1E2C">
        <w:rPr>
          <w:rFonts w:cstheme="minorHAnsi"/>
          <w:b/>
          <w:bCs/>
          <w:szCs w:val="22"/>
        </w:rPr>
        <w:tab/>
      </w:r>
      <w:r w:rsidR="00DF313A" w:rsidRPr="00CA1E2C">
        <w:rPr>
          <w:rFonts w:cstheme="minorHAnsi"/>
          <w:b/>
          <w:bCs/>
          <w:szCs w:val="22"/>
        </w:rPr>
        <w:tab/>
      </w:r>
      <w:r w:rsidRPr="00CA1E2C">
        <w:rPr>
          <w:rFonts w:cstheme="minorHAnsi"/>
          <w:szCs w:val="22"/>
        </w:rPr>
        <w:t>World Meteorological Organization</w:t>
      </w:r>
    </w:p>
    <w:p w14:paraId="1DD60FA1" w14:textId="66D7613E" w:rsidR="00434EE2" w:rsidRPr="00CA1E2C" w:rsidRDefault="004B2825" w:rsidP="00454F9F">
      <w:pPr>
        <w:spacing w:after="60"/>
        <w:rPr>
          <w:rFonts w:cstheme="minorHAnsi"/>
          <w:b/>
          <w:szCs w:val="22"/>
        </w:rPr>
      </w:pPr>
      <w:r w:rsidRPr="00CA1E2C">
        <w:rPr>
          <w:rFonts w:cstheme="minorHAnsi"/>
          <w:b/>
          <w:szCs w:val="22"/>
        </w:rPr>
        <w:t>WDC</w:t>
      </w:r>
      <w:r w:rsidRPr="00CA1E2C">
        <w:rPr>
          <w:rFonts w:cstheme="minorHAnsi"/>
          <w:b/>
          <w:szCs w:val="22"/>
        </w:rPr>
        <w:tab/>
      </w:r>
      <w:r w:rsidRPr="00CA1E2C">
        <w:rPr>
          <w:rFonts w:cstheme="minorHAnsi"/>
          <w:b/>
          <w:szCs w:val="22"/>
        </w:rPr>
        <w:tab/>
      </w:r>
      <w:r w:rsidR="00434EE2" w:rsidRPr="00CA1E2C">
        <w:rPr>
          <w:rFonts w:cstheme="minorHAnsi"/>
          <w:szCs w:val="22"/>
        </w:rPr>
        <w:t>World Data Centre</w:t>
      </w:r>
    </w:p>
    <w:p w14:paraId="38226220" w14:textId="62496ED5" w:rsidR="00434EE2" w:rsidRDefault="004B2825" w:rsidP="00454F9F">
      <w:pPr>
        <w:spacing w:after="60"/>
        <w:ind w:left="1440" w:hanging="1440"/>
        <w:rPr>
          <w:rFonts w:cstheme="minorHAnsi"/>
          <w:szCs w:val="22"/>
        </w:rPr>
      </w:pPr>
      <w:r w:rsidRPr="00CA1E2C">
        <w:rPr>
          <w:rFonts w:cstheme="minorHAnsi"/>
          <w:b/>
          <w:bCs/>
          <w:szCs w:val="22"/>
        </w:rPr>
        <w:t xml:space="preserve">WRC </w:t>
      </w:r>
      <w:r w:rsidRPr="00CA1E2C">
        <w:rPr>
          <w:rFonts w:cstheme="minorHAnsi"/>
          <w:b/>
          <w:bCs/>
          <w:szCs w:val="22"/>
        </w:rPr>
        <w:tab/>
      </w:r>
      <w:r w:rsidR="00434EE2" w:rsidRPr="00CA1E2C">
        <w:rPr>
          <w:rFonts w:cstheme="minorHAnsi"/>
          <w:szCs w:val="22"/>
        </w:rPr>
        <w:t xml:space="preserve">World </w:t>
      </w:r>
      <w:proofErr w:type="spellStart"/>
      <w:r w:rsidR="00434EE2" w:rsidRPr="00CA1E2C">
        <w:rPr>
          <w:rFonts w:cstheme="minorHAnsi"/>
          <w:szCs w:val="22"/>
        </w:rPr>
        <w:t>Radiocommunication</w:t>
      </w:r>
      <w:proofErr w:type="spellEnd"/>
      <w:r w:rsidR="00434EE2" w:rsidRPr="00CA1E2C">
        <w:rPr>
          <w:rFonts w:cstheme="minorHAnsi"/>
          <w:szCs w:val="22"/>
        </w:rPr>
        <w:t xml:space="preserve"> Conference</w:t>
      </w:r>
    </w:p>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57"/>
    <w:p w14:paraId="452C653E" w14:textId="77777777" w:rsidR="00F93412" w:rsidRDefault="00F93412" w:rsidP="00454F9F">
      <w:pPr>
        <w:spacing w:after="60"/>
        <w:ind w:left="1440" w:hanging="1440"/>
        <w:rPr>
          <w:rFonts w:cstheme="minorHAnsi"/>
          <w:szCs w:val="22"/>
        </w:rPr>
      </w:pPr>
    </w:p>
    <w:sectPr w:rsidR="00F93412" w:rsidSect="00F93412">
      <w:type w:val="continuous"/>
      <w:pgSz w:w="11906" w:h="16838" w:code="9"/>
      <w:pgMar w:top="1077" w:right="1021" w:bottom="1701" w:left="1021" w:header="454" w:footer="539" w:gutter="0"/>
      <w:cols w:num="2" w:space="282"/>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757C51" w14:textId="77777777" w:rsidR="00F636D1" w:rsidRDefault="00F636D1" w:rsidP="00EC137E">
      <w:r>
        <w:separator/>
      </w:r>
    </w:p>
  </w:endnote>
  <w:endnote w:type="continuationSeparator" w:id="0">
    <w:p w14:paraId="703E1EF7" w14:textId="77777777" w:rsidR="00F636D1" w:rsidRDefault="00F636D1" w:rsidP="00EC137E">
      <w:r>
        <w:continuationSeparator/>
      </w:r>
    </w:p>
  </w:endnote>
  <w:endnote w:type="continuationNotice" w:id="1">
    <w:p w14:paraId="47C1E742" w14:textId="77777777" w:rsidR="00F636D1" w:rsidRDefault="00F636D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roman"/>
    <w:notTrueType/>
    <w:pitch w:val="fixed"/>
    <w:sig w:usb0="00000001"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GothamNarrow-Light">
    <w:altName w:val="Cambria"/>
    <w:charset w:val="00"/>
    <w:family w:val="roman"/>
    <w:pitch w:val="variable"/>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LayoutGrid"/>
      <w:tblW w:w="5000" w:type="pct"/>
      <w:tblBorders>
        <w:top w:val="single" w:sz="36" w:space="0" w:color="004976" w:themeColor="background2"/>
      </w:tblBorders>
      <w:tblLayout w:type="fixed"/>
      <w:tblLook w:val="01E0" w:firstRow="1" w:lastRow="1" w:firstColumn="1" w:lastColumn="1" w:noHBand="0" w:noVBand="0"/>
      <w:tblCaption w:val="Footer Grid"/>
      <w:tblDescription w:val="Footer Grid"/>
    </w:tblPr>
    <w:tblGrid>
      <w:gridCol w:w="8080"/>
      <w:gridCol w:w="1784"/>
    </w:tblGrid>
    <w:tr w:rsidR="00F636D1" w14:paraId="052BFB3D" w14:textId="77777777" w:rsidTr="00694192">
      <w:trPr>
        <w:trHeight w:hRule="exact" w:val="425"/>
        <w:tblHeader/>
      </w:trPr>
      <w:tc>
        <w:tcPr>
          <w:tcW w:w="8080" w:type="dxa"/>
          <w:vAlign w:val="bottom"/>
        </w:tcPr>
        <w:p w14:paraId="0859E5DB" w14:textId="3D45F585" w:rsidR="00F636D1" w:rsidRPr="00420B00" w:rsidRDefault="00F636D1" w:rsidP="00EC137E">
          <w:pPr>
            <w:pStyle w:val="FooterInfo"/>
          </w:pPr>
          <w:r w:rsidRPr="00A10232">
            <w:rPr>
              <w:rStyle w:val="FooterInfoBold"/>
            </w:rPr>
            <w:t>Australian Space Agency</w:t>
          </w:r>
          <w:r w:rsidRPr="00A10232">
            <w:t xml:space="preserve"> </w:t>
          </w:r>
          <w:r w:rsidRPr="00396B3F">
            <w:rPr>
              <w:i/>
            </w:rPr>
            <w:t>State of Space</w:t>
          </w:r>
          <w:r>
            <w:t xml:space="preserve"> report</w:t>
          </w:r>
        </w:p>
      </w:tc>
      <w:tc>
        <w:tcPr>
          <w:tcW w:w="1784" w:type="dxa"/>
          <w:vAlign w:val="bottom"/>
        </w:tcPr>
        <w:p w14:paraId="7BD3BDF9" w14:textId="76DF4E29" w:rsidR="00F636D1" w:rsidRPr="00B64CC4" w:rsidRDefault="00F636D1" w:rsidP="00D70433">
          <w:pPr>
            <w:pStyle w:val="FooterInfo"/>
          </w:pPr>
          <w:r w:rsidRPr="00A10232">
            <w:rPr>
              <w:rStyle w:val="FooterInfoBold"/>
            </w:rPr>
            <w:fldChar w:fldCharType="begin"/>
          </w:r>
          <w:r w:rsidRPr="00A10232">
            <w:rPr>
              <w:rStyle w:val="FooterInfoBold"/>
            </w:rPr>
            <w:instrText xml:space="preserve"> DOCPROPERTY  CoverDate </w:instrText>
          </w:r>
          <w:r w:rsidRPr="00A10232">
            <w:rPr>
              <w:rStyle w:val="FooterInfoBold"/>
            </w:rPr>
            <w:fldChar w:fldCharType="separate"/>
          </w:r>
          <w:r w:rsidR="00C35904">
            <w:rPr>
              <w:rStyle w:val="FooterInfoBold"/>
            </w:rPr>
            <w:t>30 September 2019</w:t>
          </w:r>
          <w:r w:rsidRPr="00A10232">
            <w:rPr>
              <w:rStyle w:val="FooterInfoBold"/>
            </w:rPr>
            <w:fldChar w:fldCharType="end"/>
          </w:r>
          <w:r>
            <w:t xml:space="preserve">  </w:t>
          </w:r>
          <w:r w:rsidRPr="00420B00">
            <w:fldChar w:fldCharType="begin"/>
          </w:r>
          <w:r w:rsidRPr="00420B00">
            <w:instrText xml:space="preserve"> PAGE  \* Arabic  \* MERGEFORMAT </w:instrText>
          </w:r>
          <w:r w:rsidRPr="00420B00">
            <w:fldChar w:fldCharType="separate"/>
          </w:r>
          <w:r w:rsidR="00C35904">
            <w:rPr>
              <w:noProof/>
            </w:rPr>
            <w:t>4</w:t>
          </w:r>
          <w:r w:rsidRPr="00420B00">
            <w:fldChar w:fldCharType="end"/>
          </w:r>
        </w:p>
      </w:tc>
    </w:tr>
  </w:tbl>
  <w:p w14:paraId="0351F75B" w14:textId="77777777" w:rsidR="00F636D1" w:rsidRDefault="00F636D1" w:rsidP="00EC13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LayoutGrid"/>
      <w:tblW w:w="5000" w:type="pct"/>
      <w:tblBorders>
        <w:top w:val="single" w:sz="36" w:space="0" w:color="004976" w:themeColor="background2"/>
      </w:tblBorders>
      <w:tblLayout w:type="fixed"/>
      <w:tblLook w:val="01E0" w:firstRow="1" w:lastRow="1" w:firstColumn="1" w:lastColumn="1" w:noHBand="0" w:noVBand="0"/>
      <w:tblCaption w:val="Footer Grid"/>
      <w:tblDescription w:val="Footer Grid"/>
    </w:tblPr>
    <w:tblGrid>
      <w:gridCol w:w="8080"/>
      <w:gridCol w:w="1784"/>
    </w:tblGrid>
    <w:tr w:rsidR="00F636D1" w14:paraId="37411E08" w14:textId="77777777" w:rsidTr="00694192">
      <w:trPr>
        <w:trHeight w:hRule="exact" w:val="425"/>
        <w:tblHeader/>
      </w:trPr>
      <w:tc>
        <w:tcPr>
          <w:tcW w:w="8080" w:type="dxa"/>
          <w:vAlign w:val="bottom"/>
        </w:tcPr>
        <w:p w14:paraId="5AE9ECA5" w14:textId="5D7A57BB" w:rsidR="00F636D1" w:rsidRPr="00420B00" w:rsidRDefault="00F636D1" w:rsidP="00EC137E">
          <w:pPr>
            <w:pStyle w:val="FooterInfo"/>
          </w:pPr>
          <w:r w:rsidRPr="00A10232">
            <w:rPr>
              <w:rStyle w:val="FooterInfoBold"/>
            </w:rPr>
            <w:t>Australian Space Agency</w:t>
          </w:r>
          <w:r w:rsidRPr="00A10232">
            <w:t xml:space="preserve"> </w:t>
          </w:r>
          <w:r w:rsidRPr="00396B3F">
            <w:rPr>
              <w:i/>
            </w:rPr>
            <w:t>State of Space</w:t>
          </w:r>
          <w:r>
            <w:t xml:space="preserve"> report</w:t>
          </w:r>
        </w:p>
      </w:tc>
      <w:tc>
        <w:tcPr>
          <w:tcW w:w="1784" w:type="dxa"/>
          <w:vAlign w:val="bottom"/>
        </w:tcPr>
        <w:p w14:paraId="5B2861E9" w14:textId="7DD4721B" w:rsidR="00F636D1" w:rsidRPr="00B64CC4" w:rsidRDefault="00F636D1" w:rsidP="00D70433">
          <w:pPr>
            <w:pStyle w:val="FooterInfo"/>
          </w:pPr>
          <w:r w:rsidRPr="00A10232">
            <w:rPr>
              <w:rStyle w:val="FooterInfoBold"/>
            </w:rPr>
            <w:fldChar w:fldCharType="begin"/>
          </w:r>
          <w:r w:rsidRPr="00A10232">
            <w:rPr>
              <w:rStyle w:val="FooterInfoBold"/>
            </w:rPr>
            <w:instrText xml:space="preserve"> DOCPROPERTY  CoverDate </w:instrText>
          </w:r>
          <w:r w:rsidRPr="00A10232">
            <w:rPr>
              <w:rStyle w:val="FooterInfoBold"/>
            </w:rPr>
            <w:fldChar w:fldCharType="separate"/>
          </w:r>
          <w:r w:rsidR="00C35904">
            <w:rPr>
              <w:rStyle w:val="FooterInfoBold"/>
            </w:rPr>
            <w:t>30 September 2019</w:t>
          </w:r>
          <w:r w:rsidRPr="00A10232">
            <w:rPr>
              <w:rStyle w:val="FooterInfoBold"/>
            </w:rPr>
            <w:fldChar w:fldCharType="end"/>
          </w:r>
          <w:r>
            <w:t xml:space="preserve">  </w:t>
          </w:r>
          <w:r w:rsidRPr="00420B00">
            <w:fldChar w:fldCharType="begin"/>
          </w:r>
          <w:r w:rsidRPr="00420B00">
            <w:instrText xml:space="preserve"> PAGE  \* Arabic  \* MERGEFORMAT </w:instrText>
          </w:r>
          <w:r w:rsidRPr="00420B00">
            <w:fldChar w:fldCharType="separate"/>
          </w:r>
          <w:r w:rsidR="00C35904">
            <w:rPr>
              <w:noProof/>
            </w:rPr>
            <w:t>63</w:t>
          </w:r>
          <w:r w:rsidRPr="00420B00">
            <w:fldChar w:fldCharType="end"/>
          </w:r>
        </w:p>
      </w:tc>
    </w:tr>
  </w:tbl>
  <w:p w14:paraId="5829F272" w14:textId="77777777" w:rsidR="00F636D1" w:rsidRDefault="00F636D1" w:rsidP="00EC13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LayoutGrid"/>
      <w:tblW w:w="5000" w:type="pct"/>
      <w:tblBorders>
        <w:top w:val="single" w:sz="36" w:space="0" w:color="004976" w:themeColor="background2"/>
      </w:tblBorders>
      <w:tblLayout w:type="fixed"/>
      <w:tblLook w:val="01E0" w:firstRow="1" w:lastRow="1" w:firstColumn="1" w:lastColumn="1" w:noHBand="0" w:noVBand="0"/>
      <w:tblCaption w:val="Footer Grid"/>
      <w:tblDescription w:val="Footer Grid"/>
    </w:tblPr>
    <w:tblGrid>
      <w:gridCol w:w="8080"/>
      <w:gridCol w:w="1784"/>
    </w:tblGrid>
    <w:tr w:rsidR="00F636D1" w14:paraId="420EEC48" w14:textId="77777777" w:rsidTr="00694192">
      <w:trPr>
        <w:trHeight w:hRule="exact" w:val="425"/>
        <w:tblHeader/>
      </w:trPr>
      <w:tc>
        <w:tcPr>
          <w:tcW w:w="8080" w:type="dxa"/>
          <w:vAlign w:val="bottom"/>
        </w:tcPr>
        <w:p w14:paraId="001AF829" w14:textId="77777777" w:rsidR="00F636D1" w:rsidRPr="00CC5E84" w:rsidRDefault="00F636D1" w:rsidP="00EC137E">
          <w:pPr>
            <w:pStyle w:val="FooterInfo"/>
            <w:rPr>
              <w:rStyle w:val="FooterInfoBold"/>
            </w:rPr>
          </w:pPr>
          <w:r w:rsidRPr="00CC5E84">
            <w:rPr>
              <w:rStyle w:val="FooterInfoBold"/>
            </w:rPr>
            <w:t xml:space="preserve">Australian Space Agency </w:t>
          </w:r>
          <w:r w:rsidRPr="00CC5E84">
            <w:fldChar w:fldCharType="begin"/>
          </w:r>
          <w:r w:rsidRPr="00CC5E84">
            <w:instrText xml:space="preserve"> FILENAME  </w:instrText>
          </w:r>
          <w:r w:rsidRPr="00CC5E84">
            <w:fldChar w:fldCharType="separate"/>
          </w:r>
          <w:r w:rsidR="00C35904">
            <w:rPr>
              <w:noProof/>
            </w:rPr>
            <w:t>state-of-space-report-2018-19.docx</w:t>
          </w:r>
          <w:r w:rsidRPr="00CC5E84">
            <w:fldChar w:fldCharType="end"/>
          </w:r>
        </w:p>
      </w:tc>
      <w:tc>
        <w:tcPr>
          <w:tcW w:w="1784" w:type="dxa"/>
          <w:vAlign w:val="bottom"/>
        </w:tcPr>
        <w:p w14:paraId="25AEE834" w14:textId="77777777" w:rsidR="00F636D1" w:rsidRPr="00CC5E84" w:rsidRDefault="00F636D1" w:rsidP="00EC137E">
          <w:pPr>
            <w:pStyle w:val="FooterInfo"/>
            <w:rPr>
              <w:rStyle w:val="FooterInfoBold"/>
            </w:rPr>
          </w:pPr>
          <w:r w:rsidRPr="00CC5E84">
            <w:rPr>
              <w:rStyle w:val="FooterInfoBold"/>
            </w:rPr>
            <w:fldChar w:fldCharType="begin"/>
          </w:r>
          <w:r w:rsidRPr="00CC5E84">
            <w:rPr>
              <w:rStyle w:val="FooterInfoBold"/>
            </w:rPr>
            <w:instrText xml:space="preserve"> DOCPROPERTY  CoverDate </w:instrText>
          </w:r>
          <w:r w:rsidRPr="00CC5E84">
            <w:rPr>
              <w:rStyle w:val="FooterInfoBold"/>
            </w:rPr>
            <w:fldChar w:fldCharType="separate"/>
          </w:r>
          <w:r w:rsidR="00C35904">
            <w:rPr>
              <w:rStyle w:val="FooterInfoBold"/>
            </w:rPr>
            <w:t>30 September 2019</w:t>
          </w:r>
          <w:r w:rsidRPr="00CC5E84">
            <w:rPr>
              <w:rStyle w:val="FooterInfoBold"/>
            </w:rPr>
            <w:fldChar w:fldCharType="end"/>
          </w:r>
          <w:r w:rsidRPr="00CC5E84">
            <w:rPr>
              <w:rStyle w:val="FooterInfoBold"/>
            </w:rPr>
            <w:t xml:space="preserve">  </w:t>
          </w:r>
          <w:r w:rsidRPr="00CC5E84">
            <w:fldChar w:fldCharType="begin"/>
          </w:r>
          <w:r w:rsidRPr="00CC5E84">
            <w:instrText xml:space="preserve"> PAGE  \* Arabic  \* MERGEFORMAT </w:instrText>
          </w:r>
          <w:r w:rsidRPr="00CC5E84">
            <w:fldChar w:fldCharType="separate"/>
          </w:r>
          <w:r w:rsidRPr="00CC5E84">
            <w:t>4</w:t>
          </w:r>
          <w:r w:rsidRPr="00CC5E84">
            <w:fldChar w:fldCharType="end"/>
          </w:r>
        </w:p>
      </w:tc>
    </w:tr>
  </w:tbl>
  <w:p w14:paraId="518B62C4" w14:textId="77777777" w:rsidR="00F636D1" w:rsidRDefault="00F636D1" w:rsidP="00EC13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BDD241C" w14:textId="77777777" w:rsidR="00F636D1" w:rsidRDefault="00F636D1" w:rsidP="00EC137E"/>
  </w:footnote>
  <w:footnote w:type="continuationSeparator" w:id="0">
    <w:p w14:paraId="3C2157E3" w14:textId="77777777" w:rsidR="00F636D1" w:rsidRDefault="00F636D1" w:rsidP="00EC137E">
      <w:r>
        <w:continuationSeparator/>
      </w:r>
    </w:p>
  </w:footnote>
  <w:footnote w:type="continuationNotice" w:id="1">
    <w:p w14:paraId="2AD4EA05" w14:textId="77777777" w:rsidR="00F636D1" w:rsidRDefault="00F636D1"/>
  </w:footnote>
  <w:footnote w:id="2">
    <w:p w14:paraId="66F7509E" w14:textId="73F53D01" w:rsidR="00F636D1" w:rsidRPr="00000E6B" w:rsidRDefault="00F636D1">
      <w:pPr>
        <w:pStyle w:val="FootnoteText"/>
        <w:rPr>
          <w:sz w:val="20"/>
        </w:rPr>
      </w:pPr>
      <w:r w:rsidRPr="00000E6B">
        <w:rPr>
          <w:rStyle w:val="FootnoteReference"/>
          <w:sz w:val="20"/>
        </w:rPr>
        <w:footnoteRef/>
      </w:r>
      <w:r w:rsidRPr="00000E6B">
        <w:rPr>
          <w:sz w:val="20"/>
        </w:rPr>
        <w:t xml:space="preserve"> On 1 February 2020, Department of Communications and the Arts merged with Department of Infrastructure, Transport, Cities and Regional Development to form Department of Infrastructure, Transport, Regional Development and Communications.</w:t>
      </w:r>
      <w:r>
        <w:rPr>
          <w:sz w:val="20"/>
        </w:rPr>
        <w:t xml:space="preserve"> For historical accuracy, their activities are presented separately, as they occurred during the period of reporting.</w:t>
      </w:r>
    </w:p>
  </w:footnote>
  <w:footnote w:id="3">
    <w:p w14:paraId="3BEC2BD0" w14:textId="0118E249" w:rsidR="00F636D1" w:rsidRDefault="00F636D1">
      <w:pPr>
        <w:pStyle w:val="FootnoteText"/>
      </w:pPr>
      <w:r>
        <w:rPr>
          <w:rStyle w:val="FootnoteReference"/>
        </w:rPr>
        <w:footnoteRef/>
      </w:r>
      <w:r>
        <w:t xml:space="preserve"> </w:t>
      </w:r>
      <w:r>
        <w:rPr>
          <w:sz w:val="18"/>
          <w:szCs w:val="18"/>
        </w:rPr>
        <w:t>Morgan Stanley ‘Investing in S</w:t>
      </w:r>
      <w:r w:rsidRPr="00C64243">
        <w:rPr>
          <w:sz w:val="18"/>
          <w:szCs w:val="18"/>
        </w:rPr>
        <w:t>pace’ 2019</w:t>
      </w:r>
    </w:p>
  </w:footnote>
  <w:footnote w:id="4">
    <w:p w14:paraId="71D3F2D0" w14:textId="36BA6DFA" w:rsidR="00F636D1" w:rsidRDefault="00F636D1">
      <w:pPr>
        <w:pStyle w:val="FootnoteText"/>
      </w:pPr>
      <w:r>
        <w:rPr>
          <w:rStyle w:val="FootnoteReference"/>
        </w:rPr>
        <w:footnoteRef/>
      </w:r>
      <w:r>
        <w:t xml:space="preserve"> </w:t>
      </w:r>
      <w:r w:rsidRPr="00FA3342">
        <w:rPr>
          <w:sz w:val="18"/>
          <w:szCs w:val="18"/>
        </w:rPr>
        <w:t>IBISWorld Industry Report OD5545 Satellite Communications and Astronauts in Australia, November 2018</w:t>
      </w:r>
    </w:p>
  </w:footnote>
  <w:footnote w:id="5">
    <w:p w14:paraId="0375CFE0" w14:textId="2AACFB07" w:rsidR="00F636D1" w:rsidRDefault="00F636D1">
      <w:pPr>
        <w:pStyle w:val="FootnoteText"/>
      </w:pPr>
      <w:r>
        <w:rPr>
          <w:rStyle w:val="FootnoteReference"/>
        </w:rPr>
        <w:footnoteRef/>
      </w:r>
      <w:r>
        <w:t xml:space="preserve"> </w:t>
      </w:r>
      <w:r w:rsidRPr="00FA3342">
        <w:rPr>
          <w:sz w:val="18"/>
          <w:szCs w:val="18"/>
        </w:rPr>
        <w:t>IBISWorld Industry Report OD5545 Satellite Communications and Astronauts in Australia, November 2018</w:t>
      </w:r>
    </w:p>
  </w:footnote>
  <w:footnote w:id="6">
    <w:p w14:paraId="5CB8BAA4" w14:textId="4F14B1A0" w:rsidR="00F636D1" w:rsidRDefault="00F636D1">
      <w:pPr>
        <w:pStyle w:val="FootnoteText"/>
      </w:pPr>
      <w:r>
        <w:rPr>
          <w:rStyle w:val="FootnoteReference"/>
        </w:rPr>
        <w:footnoteRef/>
      </w:r>
      <w:r>
        <w:t xml:space="preserve"> </w:t>
      </w:r>
      <w:r w:rsidRPr="00FA3342">
        <w:rPr>
          <w:sz w:val="18"/>
          <w:szCs w:val="18"/>
        </w:rPr>
        <w:t>IBISWorld Industry Report OD5545 Satellite Communications and Astronauts in Australia, November 2018</w:t>
      </w:r>
    </w:p>
  </w:footnote>
  <w:footnote w:id="7">
    <w:p w14:paraId="5A1B890F" w14:textId="7CF9B8C2" w:rsidR="00F636D1" w:rsidRDefault="00F636D1">
      <w:pPr>
        <w:pStyle w:val="FootnoteText"/>
      </w:pPr>
      <w:r>
        <w:rPr>
          <w:rStyle w:val="FootnoteReference"/>
        </w:rPr>
        <w:footnoteRef/>
      </w:r>
      <w:r>
        <w:t xml:space="preserve"> </w:t>
      </w:r>
      <w:r w:rsidRPr="00FA3342">
        <w:rPr>
          <w:sz w:val="18"/>
          <w:szCs w:val="18"/>
        </w:rPr>
        <w:t>IBISWorld Industry Report OD5545 Satellite Communications and Astronauts in Australia, November 2018</w:t>
      </w:r>
    </w:p>
  </w:footnote>
  <w:footnote w:id="8">
    <w:p w14:paraId="5407E42F" w14:textId="08648255" w:rsidR="00F636D1" w:rsidRDefault="00F636D1" w:rsidP="00AA088A">
      <w:pPr>
        <w:pStyle w:val="FootnoteText"/>
      </w:pPr>
      <w:r>
        <w:rPr>
          <w:rStyle w:val="FootnoteReference"/>
        </w:rPr>
        <w:footnoteRef/>
      </w:r>
      <w:r>
        <w:t xml:space="preserve"> </w:t>
      </w:r>
      <w:r w:rsidRPr="00FA3342">
        <w:rPr>
          <w:sz w:val="18"/>
          <w:szCs w:val="18"/>
        </w:rPr>
        <w:t>IBISWorld Industry Report OD5545 Satellite Communications and Astronauts in Australia, November 2018</w:t>
      </w:r>
    </w:p>
  </w:footnote>
  <w:footnote w:id="9">
    <w:p w14:paraId="29173BAB" w14:textId="1DC9D1D8" w:rsidR="00F636D1" w:rsidRDefault="00F636D1" w:rsidP="001A79C4">
      <w:pPr>
        <w:pStyle w:val="FootnoteText"/>
      </w:pPr>
      <w:r>
        <w:rPr>
          <w:rStyle w:val="FootnoteReference"/>
        </w:rPr>
        <w:footnoteRef/>
      </w:r>
      <w:r>
        <w:t xml:space="preserve"> </w:t>
      </w:r>
      <w:hyperlink r:id="rId1" w:tooltip="Cospas-sarsant.int" w:history="1">
        <w:r w:rsidRPr="001A79C4">
          <w:rPr>
            <w:rStyle w:val="Hyperlink"/>
            <w:sz w:val="18"/>
            <w:szCs w:val="18"/>
          </w:rPr>
          <w:t>http://www.cospas-sarsat.int/</w:t>
        </w:r>
      </w:hyperlink>
    </w:p>
  </w:footnote>
  <w:footnote w:id="10">
    <w:p w14:paraId="6DEE3146" w14:textId="3AF0A68F" w:rsidR="00F636D1" w:rsidRPr="00A56A3F" w:rsidRDefault="00F636D1">
      <w:pPr>
        <w:pStyle w:val="FootnoteText"/>
        <w:rPr>
          <w:sz w:val="18"/>
          <w:szCs w:val="18"/>
        </w:rPr>
      </w:pPr>
      <w:r w:rsidRPr="00A56A3F">
        <w:rPr>
          <w:rStyle w:val="FootnoteReference"/>
          <w:sz w:val="18"/>
          <w:szCs w:val="18"/>
        </w:rPr>
        <w:footnoteRef/>
      </w:r>
      <w:r w:rsidRPr="00A56A3F">
        <w:rPr>
          <w:sz w:val="18"/>
          <w:szCs w:val="18"/>
        </w:rPr>
        <w:t xml:space="preserve"> Office of the Chief Economist Australian Innovation System Report 2017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833763" w14:textId="77777777" w:rsidR="00F636D1" w:rsidRDefault="00F636D1" w:rsidP="00EC137E">
    <w:pPr>
      <w:pStyle w:val="Header"/>
      <w:rPr>
        <w:noProof/>
      </w:rPr>
    </w:pPr>
    <w:bookmarkStart w:id="4" w:name="CoverImage"/>
    <w:bookmarkEnd w:id="4"/>
    <w:r>
      <w:t xml:space="preserve"> </w:t>
    </w:r>
  </w:p>
  <w:p w14:paraId="0BF0BFB6" w14:textId="77777777" w:rsidR="00F636D1" w:rsidRDefault="00F636D1" w:rsidP="00EC137E">
    <w:pPr>
      <w:pStyle w:val="Header"/>
    </w:pPr>
    <w:r>
      <w:rPr>
        <w:noProof/>
      </w:rPr>
      <w:drawing>
        <wp:anchor distT="0" distB="0" distL="114300" distR="114300" simplePos="0" relativeHeight="251658240" behindDoc="1" locked="1" layoutInCell="1" allowOverlap="1" wp14:anchorId="5E19EB3B" wp14:editId="24F20AA6">
          <wp:simplePos x="0" y="0"/>
          <wp:positionH relativeFrom="page">
            <wp:posOffset>0</wp:posOffset>
          </wp:positionH>
          <wp:positionV relativeFrom="page">
            <wp:posOffset>0</wp:posOffset>
          </wp:positionV>
          <wp:extent cx="7559040" cy="2422525"/>
          <wp:effectExtent l="0" t="0" r="3810" b="0"/>
          <wp:wrapNone/>
          <wp:docPr id="3" name="Picture 3" descr="Dotted top banner">
            <a:extLst xmlns:a="http://schemas.openxmlformats.org/drawingml/2006/main">
              <a:ext uri="{C183D7F6-B498-43B3-948B-1728B52AA6E4}">
                <adec:decorative xmlns:mo="http://schemas.microsoft.com/office/mac/office/2008/main" xmlns:mv="urn:schemas-microsoft-com:mac:vml"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w16se="http://schemas.microsoft.com/office/word/2015/wordml/symex"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oc.jpg"/>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7559040" cy="242252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A2B829" w14:textId="77777777" w:rsidR="00F636D1" w:rsidRDefault="00F636D1" w:rsidP="00EC137E">
    <w:pPr>
      <w:pStyle w:val="Header"/>
    </w:pPr>
    <w:r>
      <w:rPr>
        <w:noProof/>
      </w:rPr>
      <w:drawing>
        <wp:anchor distT="0" distB="0" distL="114300" distR="114300" simplePos="0" relativeHeight="251658242" behindDoc="1" locked="1" layoutInCell="1" allowOverlap="1" wp14:anchorId="07899767" wp14:editId="4481FE45">
          <wp:simplePos x="0" y="0"/>
          <wp:positionH relativeFrom="column">
            <wp:posOffset>-635</wp:posOffset>
          </wp:positionH>
          <wp:positionV relativeFrom="page">
            <wp:posOffset>637540</wp:posOffset>
          </wp:positionV>
          <wp:extent cx="3660775" cy="697865"/>
          <wp:effectExtent l="0" t="0" r="0" b="6985"/>
          <wp:wrapNone/>
          <wp:docPr id="4" name="Picture 4" descr="Australian Space Agenc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png"/>
                  <pic:cNvPicPr/>
                </pic:nvPicPr>
                <pic:blipFill>
                  <a:blip r:embed="rId1"/>
                  <a:stretch>
                    <a:fillRect/>
                  </a:stretch>
                </pic:blipFill>
                <pic:spPr>
                  <a:xfrm>
                    <a:off x="0" y="0"/>
                    <a:ext cx="3660775" cy="69786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1" behindDoc="1" locked="1" layoutInCell="1" allowOverlap="1" wp14:anchorId="4A046B37" wp14:editId="26920821">
          <wp:simplePos x="0" y="0"/>
          <wp:positionH relativeFrom="page">
            <wp:posOffset>-635</wp:posOffset>
          </wp:positionH>
          <wp:positionV relativeFrom="page">
            <wp:posOffset>0</wp:posOffset>
          </wp:positionV>
          <wp:extent cx="7559675" cy="10690860"/>
          <wp:effectExtent l="0" t="0" r="3175" b="0"/>
          <wp:wrapNone/>
          <wp:docPr id="5" name="Picture 5" descr="Night with lots of stars background">
            <a:extLst xmlns:a="http://schemas.openxmlformats.org/drawingml/2006/main">
              <a:ext uri="{C183D7F6-B498-43B3-948B-1728B52AA6E4}">
                <adec:decorative xmlns:mo="http://schemas.microsoft.com/office/mac/office/2008/main" xmlns:mv="urn:schemas-microsoft-com:mac:vml"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w16se="http://schemas.microsoft.com/office/word/2015/wordml/symex"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ustralian_Space_Agency_Multi_Page_Document_297X210MM.jpg"/>
                  <pic:cNvPicPr/>
                </pic:nvPicPr>
                <pic:blipFill>
                  <a:blip r:embed="rId2" cstate="email">
                    <a:extLst>
                      <a:ext uri="{28A0092B-C50C-407E-A947-70E740481C1C}">
                        <a14:useLocalDpi xmlns:a14="http://schemas.microsoft.com/office/drawing/2010/main"/>
                      </a:ext>
                    </a:extLst>
                  </a:blip>
                  <a:stretch>
                    <a:fillRect/>
                  </a:stretch>
                </pic:blipFill>
                <pic:spPr>
                  <a:xfrm>
                    <a:off x="0" y="0"/>
                    <a:ext cx="7559675" cy="1069086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1E27CC" w14:textId="77777777" w:rsidR="00F636D1" w:rsidRPr="00D63302" w:rsidRDefault="00F636D1" w:rsidP="00EC137E">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628047" w14:textId="77777777" w:rsidR="00F636D1" w:rsidRPr="00860825" w:rsidRDefault="00F636D1" w:rsidP="00EC13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BD0A11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E3EE9C72"/>
    <w:lvl w:ilvl="0">
      <w:start w:val="1"/>
      <w:numFmt w:val="decimal"/>
      <w:pStyle w:val="ListNumber4"/>
      <w:lvlText w:val="%1."/>
      <w:lvlJc w:val="left"/>
      <w:pPr>
        <w:tabs>
          <w:tab w:val="num" w:pos="1209"/>
        </w:tabs>
        <w:ind w:left="1209" w:hanging="360"/>
      </w:pPr>
    </w:lvl>
  </w:abstractNum>
  <w:abstractNum w:abstractNumId="2" w15:restartNumberingAfterBreak="0">
    <w:nsid w:val="FFFFFF80"/>
    <w:multiLevelType w:val="singleLevel"/>
    <w:tmpl w:val="E6BECB10"/>
    <w:lvl w:ilvl="0">
      <w:start w:val="1"/>
      <w:numFmt w:val="bullet"/>
      <w:pStyle w:val="ListBullet5"/>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2A1E2056"/>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FFFFFF83"/>
    <w:multiLevelType w:val="singleLevel"/>
    <w:tmpl w:val="8B50EBC0"/>
    <w:lvl w:ilvl="0">
      <w:start w:val="1"/>
      <w:numFmt w:val="bullet"/>
      <w:lvlText w:val=""/>
      <w:lvlJc w:val="left"/>
      <w:pPr>
        <w:tabs>
          <w:tab w:val="num" w:pos="643"/>
        </w:tabs>
        <w:ind w:left="643" w:hanging="360"/>
      </w:pPr>
      <w:rPr>
        <w:rFonts w:ascii="Symbol" w:hAnsi="Symbol" w:hint="default"/>
      </w:rPr>
    </w:lvl>
  </w:abstractNum>
  <w:abstractNum w:abstractNumId="5" w15:restartNumberingAfterBreak="0">
    <w:nsid w:val="FFFFFF89"/>
    <w:multiLevelType w:val="singleLevel"/>
    <w:tmpl w:val="6C88F438"/>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B4471B6"/>
    <w:multiLevelType w:val="multilevel"/>
    <w:tmpl w:val="868E9C4C"/>
    <w:lvl w:ilvl="0">
      <w:start w:val="1"/>
      <w:numFmt w:val="none"/>
      <w:pStyle w:val="Source"/>
      <w:lvlText w:val="Source:"/>
      <w:lvlJc w:val="left"/>
      <w:pPr>
        <w:tabs>
          <w:tab w:val="num" w:pos="567"/>
        </w:tabs>
        <w:ind w:left="567" w:hanging="567"/>
      </w:pPr>
      <w:rPr>
        <w:rFonts w:hint="default"/>
      </w:rPr>
    </w:lvl>
    <w:lvl w:ilvl="1">
      <w:start w:val="1"/>
      <w:numFmt w:val="none"/>
      <w:lvlText w:val=""/>
      <w:lvlJc w:val="left"/>
      <w:pPr>
        <w:ind w:left="720" w:hanging="36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7" w15:restartNumberingAfterBreak="0">
    <w:nsid w:val="0B5D107E"/>
    <w:multiLevelType w:val="multilevel"/>
    <w:tmpl w:val="B7AE18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DA773A0"/>
    <w:multiLevelType w:val="multilevel"/>
    <w:tmpl w:val="0C09001D"/>
    <w:styleLink w:val="1ai"/>
    <w:lvl w:ilvl="0">
      <w:start w:val="1"/>
      <w:numFmt w:val="decimal"/>
      <w:lvlText w:val="%1)"/>
      <w:lvlJc w:val="left"/>
      <w:pPr>
        <w:ind w:left="360" w:hanging="360"/>
      </w:pPr>
      <w:rPr>
        <w:rFonts w:asciiTheme="minorHAnsi" w:hAnsiTheme="minorHAnsi" w:cstheme="minorHAnsi"/>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1C1807B3"/>
    <w:multiLevelType w:val="multilevel"/>
    <w:tmpl w:val="0C090023"/>
    <w:styleLink w:val="ArticleSection"/>
    <w:lvl w:ilvl="0">
      <w:start w:val="1"/>
      <w:numFmt w:val="upperRoman"/>
      <w:lvlText w:val="Article %1."/>
      <w:lvlJc w:val="left"/>
      <w:pPr>
        <w:ind w:left="0" w:firstLine="0"/>
      </w:pPr>
      <w:rPr>
        <w:rFonts w:asciiTheme="minorHAnsi" w:hAnsiTheme="minorHAnsi" w:cstheme="minorHAnsi"/>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215379E"/>
    <w:multiLevelType w:val="multilevel"/>
    <w:tmpl w:val="016AB1A4"/>
    <w:styleLink w:val="ListNumbers"/>
    <w:lvl w:ilvl="0">
      <w:start w:val="1"/>
      <w:numFmt w:val="decimal"/>
      <w:pStyle w:val="ListNumber"/>
      <w:lvlText w:val="%1."/>
      <w:lvlJc w:val="left"/>
      <w:pPr>
        <w:ind w:left="340" w:hanging="340"/>
      </w:pPr>
      <w:rPr>
        <w:rFonts w:asciiTheme="minorHAnsi" w:hAnsiTheme="minorHAnsi" w:hint="default"/>
        <w:b/>
        <w:i w:val="0"/>
        <w:color w:val="004976" w:themeColor="background2"/>
      </w:rPr>
    </w:lvl>
    <w:lvl w:ilvl="1">
      <w:start w:val="1"/>
      <w:numFmt w:val="lowerLetter"/>
      <w:pStyle w:val="ListNumber2"/>
      <w:lvlText w:val="%2."/>
      <w:lvlJc w:val="left"/>
      <w:pPr>
        <w:ind w:left="680" w:hanging="340"/>
      </w:pPr>
      <w:rPr>
        <w:rFonts w:asciiTheme="minorHAnsi" w:hAnsiTheme="minorHAnsi" w:hint="default"/>
        <w:b/>
        <w:i w:val="0"/>
        <w:color w:val="004976" w:themeColor="background2"/>
      </w:rPr>
    </w:lvl>
    <w:lvl w:ilvl="2">
      <w:start w:val="1"/>
      <w:numFmt w:val="lowerRoman"/>
      <w:pStyle w:val="ListNumber3"/>
      <w:lvlText w:val="%3."/>
      <w:lvlJc w:val="left"/>
      <w:pPr>
        <w:ind w:left="1020" w:hanging="340"/>
      </w:pPr>
      <w:rPr>
        <w:rFonts w:asciiTheme="minorHAnsi" w:hAnsiTheme="minorHAnsi" w:hint="default"/>
        <w:b/>
        <w:i w:val="0"/>
        <w:color w:val="004976" w:themeColor="background2"/>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
      <w:lvlJc w:val="left"/>
      <w:pPr>
        <w:ind w:left="2380" w:hanging="340"/>
      </w:pPr>
      <w:rPr>
        <w:rFonts w:hint="default"/>
      </w:rPr>
    </w:lvl>
    <w:lvl w:ilvl="7">
      <w:start w:val="1"/>
      <w:numFmt w:val="none"/>
      <w:lvlText w:val=""/>
      <w:lvlJc w:val="left"/>
      <w:pPr>
        <w:ind w:left="2720" w:hanging="340"/>
      </w:pPr>
      <w:rPr>
        <w:rFonts w:hint="default"/>
      </w:rPr>
    </w:lvl>
    <w:lvl w:ilvl="8">
      <w:start w:val="1"/>
      <w:numFmt w:val="none"/>
      <w:lvlText w:val=""/>
      <w:lvlJc w:val="left"/>
      <w:pPr>
        <w:ind w:left="3060" w:hanging="340"/>
      </w:pPr>
      <w:rPr>
        <w:rFonts w:hint="default"/>
      </w:rPr>
    </w:lvl>
  </w:abstractNum>
  <w:abstractNum w:abstractNumId="11" w15:restartNumberingAfterBreak="0">
    <w:nsid w:val="26A014D5"/>
    <w:multiLevelType w:val="multilevel"/>
    <w:tmpl w:val="0C09001F"/>
    <w:styleLink w:val="111111"/>
    <w:lvl w:ilvl="0">
      <w:start w:val="1"/>
      <w:numFmt w:val="decimal"/>
      <w:lvlText w:val="%1."/>
      <w:lvlJc w:val="left"/>
      <w:pPr>
        <w:ind w:left="360" w:hanging="360"/>
      </w:pPr>
      <w:rPr>
        <w:rFonts w:asciiTheme="minorHAnsi" w:hAnsiTheme="minorHAnsi" w:cstheme="minorHAnsi"/>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91C5C46"/>
    <w:multiLevelType w:val="multilevel"/>
    <w:tmpl w:val="BF9C480C"/>
    <w:numStyleLink w:val="DividerNo"/>
  </w:abstractNum>
  <w:abstractNum w:abstractNumId="13" w15:restartNumberingAfterBreak="0">
    <w:nsid w:val="38FB35FA"/>
    <w:multiLevelType w:val="multilevel"/>
    <w:tmpl w:val="1E1C8394"/>
    <w:styleLink w:val="ListBullets"/>
    <w:lvl w:ilvl="0">
      <w:start w:val="1"/>
      <w:numFmt w:val="bullet"/>
      <w:pStyle w:val="ListBullet"/>
      <w:lvlText w:val=""/>
      <w:lvlJc w:val="left"/>
      <w:pPr>
        <w:ind w:left="396" w:hanging="198"/>
      </w:pPr>
      <w:rPr>
        <w:rFonts w:ascii="Symbol" w:hAnsi="Symbol" w:cs="Times New Roman" w:hint="default"/>
        <w:color w:val="004976" w:themeColor="background2"/>
      </w:rPr>
    </w:lvl>
    <w:lvl w:ilvl="1">
      <w:start w:val="1"/>
      <w:numFmt w:val="bullet"/>
      <w:pStyle w:val="ListBullet2"/>
      <w:lvlText w:val="–"/>
      <w:lvlJc w:val="left"/>
      <w:pPr>
        <w:ind w:left="594" w:hanging="198"/>
      </w:pPr>
      <w:rPr>
        <w:rFonts w:ascii="Century Gothic" w:hAnsi="Century Gothic" w:cs="Times New Roman" w:hint="default"/>
        <w:color w:val="000000" w:themeColor="text2"/>
      </w:rPr>
    </w:lvl>
    <w:lvl w:ilvl="2">
      <w:start w:val="1"/>
      <w:numFmt w:val="bullet"/>
      <w:pStyle w:val="ListBullet3"/>
      <w:lvlText w:val="‒"/>
      <w:lvlJc w:val="left"/>
      <w:pPr>
        <w:ind w:left="792" w:hanging="198"/>
      </w:pPr>
      <w:rPr>
        <w:rFonts w:ascii="Arial" w:hAnsi="Arial" w:cs="Arial" w:hint="default"/>
        <w:color w:val="000000" w:themeColor="text2"/>
      </w:rPr>
    </w:lvl>
    <w:lvl w:ilvl="3">
      <w:start w:val="1"/>
      <w:numFmt w:val="none"/>
      <w:lvlText w:val=""/>
      <w:lvlJc w:val="left"/>
      <w:pPr>
        <w:tabs>
          <w:tab w:val="num" w:pos="1334"/>
        </w:tabs>
        <w:ind w:left="990" w:hanging="198"/>
      </w:pPr>
      <w:rPr>
        <w:rFonts w:hint="default"/>
      </w:rPr>
    </w:lvl>
    <w:lvl w:ilvl="4">
      <w:start w:val="1"/>
      <w:numFmt w:val="none"/>
      <w:lvlText w:val=""/>
      <w:lvlJc w:val="left"/>
      <w:pPr>
        <w:tabs>
          <w:tab w:val="num" w:pos="1618"/>
        </w:tabs>
        <w:ind w:left="1188" w:hanging="198"/>
      </w:pPr>
      <w:rPr>
        <w:rFonts w:hint="default"/>
      </w:rPr>
    </w:lvl>
    <w:lvl w:ilvl="5">
      <w:start w:val="1"/>
      <w:numFmt w:val="none"/>
      <w:lvlText w:val=""/>
      <w:lvlJc w:val="left"/>
      <w:pPr>
        <w:tabs>
          <w:tab w:val="num" w:pos="1902"/>
        </w:tabs>
        <w:ind w:left="1386" w:hanging="198"/>
      </w:pPr>
      <w:rPr>
        <w:rFonts w:hint="default"/>
      </w:rPr>
    </w:lvl>
    <w:lvl w:ilvl="6">
      <w:start w:val="1"/>
      <w:numFmt w:val="none"/>
      <w:lvlText w:val=""/>
      <w:lvlJc w:val="left"/>
      <w:pPr>
        <w:tabs>
          <w:tab w:val="num" w:pos="2186"/>
        </w:tabs>
        <w:ind w:left="1584" w:hanging="198"/>
      </w:pPr>
      <w:rPr>
        <w:rFonts w:hint="default"/>
      </w:rPr>
    </w:lvl>
    <w:lvl w:ilvl="7">
      <w:start w:val="1"/>
      <w:numFmt w:val="none"/>
      <w:lvlText w:val=""/>
      <w:lvlJc w:val="left"/>
      <w:pPr>
        <w:tabs>
          <w:tab w:val="num" w:pos="2470"/>
        </w:tabs>
        <w:ind w:left="1782" w:hanging="198"/>
      </w:pPr>
      <w:rPr>
        <w:rFonts w:hint="default"/>
      </w:rPr>
    </w:lvl>
    <w:lvl w:ilvl="8">
      <w:start w:val="1"/>
      <w:numFmt w:val="none"/>
      <w:lvlText w:val=""/>
      <w:lvlJc w:val="left"/>
      <w:pPr>
        <w:tabs>
          <w:tab w:val="num" w:pos="2754"/>
        </w:tabs>
        <w:ind w:left="1980" w:hanging="198"/>
      </w:pPr>
      <w:rPr>
        <w:rFonts w:hint="default"/>
      </w:rPr>
    </w:lvl>
  </w:abstractNum>
  <w:abstractNum w:abstractNumId="14" w15:restartNumberingAfterBreak="0">
    <w:nsid w:val="53BB6C5A"/>
    <w:multiLevelType w:val="hybridMultilevel"/>
    <w:tmpl w:val="D2B2AA8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720" w:hanging="360"/>
      </w:pPr>
      <w:rPr>
        <w:rFonts w:ascii="Courier New" w:hAnsi="Courier New" w:cs="Courier New" w:hint="default"/>
      </w:rPr>
    </w:lvl>
    <w:lvl w:ilvl="2" w:tplc="0C090005">
      <w:start w:val="1"/>
      <w:numFmt w:val="bullet"/>
      <w:lvlText w:val=""/>
      <w:lvlJc w:val="left"/>
      <w:pPr>
        <w:ind w:left="1440" w:hanging="360"/>
      </w:pPr>
      <w:rPr>
        <w:rFonts w:ascii="Wingdings" w:hAnsi="Wingdings" w:hint="default"/>
      </w:rPr>
    </w:lvl>
    <w:lvl w:ilvl="3" w:tplc="0C090001">
      <w:start w:val="1"/>
      <w:numFmt w:val="bullet"/>
      <w:lvlText w:val=""/>
      <w:lvlJc w:val="left"/>
      <w:pPr>
        <w:ind w:left="2160" w:hanging="360"/>
      </w:pPr>
      <w:rPr>
        <w:rFonts w:ascii="Symbol" w:hAnsi="Symbol" w:hint="default"/>
      </w:rPr>
    </w:lvl>
    <w:lvl w:ilvl="4" w:tplc="0C090003">
      <w:start w:val="1"/>
      <w:numFmt w:val="bullet"/>
      <w:lvlText w:val="o"/>
      <w:lvlJc w:val="left"/>
      <w:pPr>
        <w:ind w:left="2880" w:hanging="360"/>
      </w:pPr>
      <w:rPr>
        <w:rFonts w:ascii="Courier New" w:hAnsi="Courier New" w:cs="Courier New" w:hint="default"/>
      </w:rPr>
    </w:lvl>
    <w:lvl w:ilvl="5" w:tplc="0C090005">
      <w:start w:val="1"/>
      <w:numFmt w:val="bullet"/>
      <w:lvlText w:val=""/>
      <w:lvlJc w:val="left"/>
      <w:pPr>
        <w:ind w:left="3600" w:hanging="360"/>
      </w:pPr>
      <w:rPr>
        <w:rFonts w:ascii="Wingdings" w:hAnsi="Wingdings" w:hint="default"/>
      </w:rPr>
    </w:lvl>
    <w:lvl w:ilvl="6" w:tplc="0C090001">
      <w:start w:val="1"/>
      <w:numFmt w:val="bullet"/>
      <w:lvlText w:val=""/>
      <w:lvlJc w:val="left"/>
      <w:pPr>
        <w:ind w:left="4320" w:hanging="360"/>
      </w:pPr>
      <w:rPr>
        <w:rFonts w:ascii="Symbol" w:hAnsi="Symbol" w:hint="default"/>
      </w:rPr>
    </w:lvl>
    <w:lvl w:ilvl="7" w:tplc="0C090003">
      <w:start w:val="1"/>
      <w:numFmt w:val="bullet"/>
      <w:lvlText w:val="o"/>
      <w:lvlJc w:val="left"/>
      <w:pPr>
        <w:ind w:left="5040" w:hanging="360"/>
      </w:pPr>
      <w:rPr>
        <w:rFonts w:ascii="Courier New" w:hAnsi="Courier New" w:cs="Courier New" w:hint="default"/>
      </w:rPr>
    </w:lvl>
    <w:lvl w:ilvl="8" w:tplc="0C090005">
      <w:start w:val="1"/>
      <w:numFmt w:val="bullet"/>
      <w:lvlText w:val=""/>
      <w:lvlJc w:val="left"/>
      <w:pPr>
        <w:ind w:left="5760" w:hanging="360"/>
      </w:pPr>
      <w:rPr>
        <w:rFonts w:ascii="Wingdings" w:hAnsi="Wingdings" w:hint="default"/>
      </w:rPr>
    </w:lvl>
  </w:abstractNum>
  <w:abstractNum w:abstractNumId="15" w15:restartNumberingAfterBreak="0">
    <w:nsid w:val="53C615DB"/>
    <w:multiLevelType w:val="hybridMultilevel"/>
    <w:tmpl w:val="54661DC6"/>
    <w:lvl w:ilvl="0" w:tplc="4A3A1866">
      <w:start w:val="1"/>
      <w:numFmt w:val="bullet"/>
      <w:pStyle w:val="TableBullet"/>
      <w:lvlText w:val=""/>
      <w:lvlJc w:val="left"/>
      <w:pPr>
        <w:ind w:left="720" w:hanging="360"/>
      </w:pPr>
      <w:rPr>
        <w:rFonts w:ascii="Symbol" w:hAnsi="Symbol" w:cs="Times New Roman" w:hint="default"/>
        <w:color w:val="004976" w:themeColor="accen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42F4CE5"/>
    <w:multiLevelType w:val="hybridMultilevel"/>
    <w:tmpl w:val="64383318"/>
    <w:lvl w:ilvl="0" w:tplc="0C090001">
      <w:start w:val="1"/>
      <w:numFmt w:val="bullet"/>
      <w:lvlText w:val=""/>
      <w:lvlJc w:val="left"/>
      <w:pPr>
        <w:ind w:left="918" w:hanging="360"/>
      </w:pPr>
      <w:rPr>
        <w:rFonts w:ascii="Symbol" w:hAnsi="Symbol" w:hint="default"/>
      </w:rPr>
    </w:lvl>
    <w:lvl w:ilvl="1" w:tplc="0C090003" w:tentative="1">
      <w:start w:val="1"/>
      <w:numFmt w:val="bullet"/>
      <w:lvlText w:val="o"/>
      <w:lvlJc w:val="left"/>
      <w:pPr>
        <w:ind w:left="1638" w:hanging="360"/>
      </w:pPr>
      <w:rPr>
        <w:rFonts w:ascii="Courier New" w:hAnsi="Courier New" w:cs="Courier New" w:hint="default"/>
      </w:rPr>
    </w:lvl>
    <w:lvl w:ilvl="2" w:tplc="0C090005" w:tentative="1">
      <w:start w:val="1"/>
      <w:numFmt w:val="bullet"/>
      <w:lvlText w:val=""/>
      <w:lvlJc w:val="left"/>
      <w:pPr>
        <w:ind w:left="2358" w:hanging="360"/>
      </w:pPr>
      <w:rPr>
        <w:rFonts w:ascii="Wingdings" w:hAnsi="Wingdings" w:hint="default"/>
      </w:rPr>
    </w:lvl>
    <w:lvl w:ilvl="3" w:tplc="0C090001" w:tentative="1">
      <w:start w:val="1"/>
      <w:numFmt w:val="bullet"/>
      <w:lvlText w:val=""/>
      <w:lvlJc w:val="left"/>
      <w:pPr>
        <w:ind w:left="3078" w:hanging="360"/>
      </w:pPr>
      <w:rPr>
        <w:rFonts w:ascii="Symbol" w:hAnsi="Symbol" w:hint="default"/>
      </w:rPr>
    </w:lvl>
    <w:lvl w:ilvl="4" w:tplc="0C090003" w:tentative="1">
      <w:start w:val="1"/>
      <w:numFmt w:val="bullet"/>
      <w:lvlText w:val="o"/>
      <w:lvlJc w:val="left"/>
      <w:pPr>
        <w:ind w:left="3798" w:hanging="360"/>
      </w:pPr>
      <w:rPr>
        <w:rFonts w:ascii="Courier New" w:hAnsi="Courier New" w:cs="Courier New" w:hint="default"/>
      </w:rPr>
    </w:lvl>
    <w:lvl w:ilvl="5" w:tplc="0C090005" w:tentative="1">
      <w:start w:val="1"/>
      <w:numFmt w:val="bullet"/>
      <w:lvlText w:val=""/>
      <w:lvlJc w:val="left"/>
      <w:pPr>
        <w:ind w:left="4518" w:hanging="360"/>
      </w:pPr>
      <w:rPr>
        <w:rFonts w:ascii="Wingdings" w:hAnsi="Wingdings" w:hint="default"/>
      </w:rPr>
    </w:lvl>
    <w:lvl w:ilvl="6" w:tplc="0C090001" w:tentative="1">
      <w:start w:val="1"/>
      <w:numFmt w:val="bullet"/>
      <w:lvlText w:val=""/>
      <w:lvlJc w:val="left"/>
      <w:pPr>
        <w:ind w:left="5238" w:hanging="360"/>
      </w:pPr>
      <w:rPr>
        <w:rFonts w:ascii="Symbol" w:hAnsi="Symbol" w:hint="default"/>
      </w:rPr>
    </w:lvl>
    <w:lvl w:ilvl="7" w:tplc="0C090003" w:tentative="1">
      <w:start w:val="1"/>
      <w:numFmt w:val="bullet"/>
      <w:lvlText w:val="o"/>
      <w:lvlJc w:val="left"/>
      <w:pPr>
        <w:ind w:left="5958" w:hanging="360"/>
      </w:pPr>
      <w:rPr>
        <w:rFonts w:ascii="Courier New" w:hAnsi="Courier New" w:cs="Courier New" w:hint="default"/>
      </w:rPr>
    </w:lvl>
    <w:lvl w:ilvl="8" w:tplc="0C090005" w:tentative="1">
      <w:start w:val="1"/>
      <w:numFmt w:val="bullet"/>
      <w:lvlText w:val=""/>
      <w:lvlJc w:val="left"/>
      <w:pPr>
        <w:ind w:left="6678" w:hanging="360"/>
      </w:pPr>
      <w:rPr>
        <w:rFonts w:ascii="Wingdings" w:hAnsi="Wingdings" w:hint="default"/>
      </w:rPr>
    </w:lvl>
  </w:abstractNum>
  <w:abstractNum w:abstractNumId="17" w15:restartNumberingAfterBreak="0">
    <w:nsid w:val="63D94E06"/>
    <w:multiLevelType w:val="multilevel"/>
    <w:tmpl w:val="BF9C480C"/>
    <w:styleLink w:val="DividerNo"/>
    <w:lvl w:ilvl="0">
      <w:start w:val="1"/>
      <w:numFmt w:val="decimalZero"/>
      <w:pStyle w:val="DividerNumber"/>
      <w:lvlText w:val="%1"/>
      <w:lvlJc w:val="left"/>
      <w:pPr>
        <w:ind w:left="510" w:hanging="51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65456429"/>
    <w:multiLevelType w:val="multilevel"/>
    <w:tmpl w:val="B06801D2"/>
    <w:lvl w:ilvl="0">
      <w:start w:val="1"/>
      <w:numFmt w:val="decimal"/>
      <w:lvlText w:val="%1."/>
      <w:lvlJc w:val="left"/>
      <w:pPr>
        <w:ind w:left="369" w:hanging="369"/>
      </w:pPr>
      <w:rPr>
        <w:rFonts w:ascii="Times New Roman" w:hAnsi="Times New Roman" w:cs="Times New Roman" w:hint="default"/>
        <w:color w:val="auto"/>
        <w:sz w:val="24"/>
        <w:szCs w:val="24"/>
      </w:rPr>
    </w:lvl>
    <w:lvl w:ilvl="1">
      <w:start w:val="1"/>
      <w:numFmt w:val="lowerLetter"/>
      <w:lvlText w:val="%2."/>
      <w:lvlJc w:val="left"/>
      <w:pPr>
        <w:ind w:left="738" w:hanging="369"/>
      </w:pPr>
      <w:rPr>
        <w:rFonts w:hint="default"/>
      </w:rPr>
    </w:lvl>
    <w:lvl w:ilvl="2">
      <w:start w:val="1"/>
      <w:numFmt w:val="lowerRoman"/>
      <w:lvlText w:val="%3."/>
      <w:lvlJc w:val="left"/>
      <w:pPr>
        <w:ind w:left="1107" w:hanging="369"/>
      </w:pPr>
      <w:rPr>
        <w:rFonts w:hint="default"/>
      </w:rPr>
    </w:lvl>
    <w:lvl w:ilvl="3">
      <w:start w:val="1"/>
      <w:numFmt w:val="none"/>
      <w:lvlText w:val="%4"/>
      <w:lvlJc w:val="left"/>
      <w:pPr>
        <w:ind w:left="1476" w:hanging="369"/>
      </w:pPr>
      <w:rPr>
        <w:rFonts w:hint="default"/>
      </w:rPr>
    </w:lvl>
    <w:lvl w:ilvl="4">
      <w:start w:val="1"/>
      <w:numFmt w:val="none"/>
      <w:lvlText w:val=""/>
      <w:lvlJc w:val="left"/>
      <w:pPr>
        <w:ind w:left="1845" w:hanging="369"/>
      </w:pPr>
      <w:rPr>
        <w:rFonts w:hint="default"/>
      </w:rPr>
    </w:lvl>
    <w:lvl w:ilvl="5">
      <w:start w:val="1"/>
      <w:numFmt w:val="none"/>
      <w:lvlText w:val=""/>
      <w:lvlJc w:val="left"/>
      <w:pPr>
        <w:ind w:left="2214" w:hanging="369"/>
      </w:pPr>
      <w:rPr>
        <w:rFonts w:hint="default"/>
      </w:rPr>
    </w:lvl>
    <w:lvl w:ilvl="6">
      <w:start w:val="1"/>
      <w:numFmt w:val="none"/>
      <w:lvlText w:val=""/>
      <w:lvlJc w:val="left"/>
      <w:pPr>
        <w:ind w:left="2583" w:hanging="369"/>
      </w:pPr>
      <w:rPr>
        <w:rFonts w:hint="default"/>
      </w:rPr>
    </w:lvl>
    <w:lvl w:ilvl="7">
      <w:start w:val="1"/>
      <w:numFmt w:val="none"/>
      <w:lvlText w:val=""/>
      <w:lvlJc w:val="left"/>
      <w:pPr>
        <w:ind w:left="2952" w:hanging="369"/>
      </w:pPr>
      <w:rPr>
        <w:rFonts w:hint="default"/>
      </w:rPr>
    </w:lvl>
    <w:lvl w:ilvl="8">
      <w:start w:val="1"/>
      <w:numFmt w:val="none"/>
      <w:lvlText w:val=""/>
      <w:lvlJc w:val="left"/>
      <w:pPr>
        <w:ind w:left="3321" w:hanging="369"/>
      </w:pPr>
      <w:rPr>
        <w:rFonts w:hint="default"/>
      </w:rPr>
    </w:lvl>
  </w:abstractNum>
  <w:abstractNum w:abstractNumId="19" w15:restartNumberingAfterBreak="0">
    <w:nsid w:val="7E0133DA"/>
    <w:multiLevelType w:val="hybridMultilevel"/>
    <w:tmpl w:val="FCB201F4"/>
    <w:lvl w:ilvl="0" w:tplc="526434EC">
      <w:start w:val="1"/>
      <w:numFmt w:val="bullet"/>
      <w:lvlText w:val=""/>
      <w:lvlJc w:val="left"/>
      <w:pPr>
        <w:ind w:left="720" w:hanging="360"/>
      </w:pPr>
      <w:rPr>
        <w:rFonts w:ascii="Symbol" w:hAnsi="Symbol" w:hint="default"/>
      </w:rPr>
    </w:lvl>
    <w:lvl w:ilvl="1" w:tplc="92E04148">
      <w:start w:val="1"/>
      <w:numFmt w:val="bullet"/>
      <w:lvlText w:val="o"/>
      <w:lvlJc w:val="left"/>
      <w:pPr>
        <w:ind w:left="1440" w:hanging="360"/>
      </w:pPr>
      <w:rPr>
        <w:rFonts w:ascii="Courier New" w:hAnsi="Courier New" w:cs="Courier New" w:hint="default"/>
      </w:rPr>
    </w:lvl>
    <w:lvl w:ilvl="2" w:tplc="D14281C0">
      <w:start w:val="1"/>
      <w:numFmt w:val="bullet"/>
      <w:lvlText w:val=""/>
      <w:lvlJc w:val="left"/>
      <w:pPr>
        <w:ind w:left="2160" w:hanging="360"/>
      </w:pPr>
      <w:rPr>
        <w:rFonts w:ascii="Wingdings" w:hAnsi="Wingdings" w:hint="default"/>
      </w:rPr>
    </w:lvl>
    <w:lvl w:ilvl="3" w:tplc="09100D04" w:tentative="1">
      <w:start w:val="1"/>
      <w:numFmt w:val="bullet"/>
      <w:lvlText w:val=""/>
      <w:lvlJc w:val="left"/>
      <w:pPr>
        <w:ind w:left="2880" w:hanging="360"/>
      </w:pPr>
      <w:rPr>
        <w:rFonts w:ascii="Symbol" w:hAnsi="Symbol" w:hint="default"/>
      </w:rPr>
    </w:lvl>
    <w:lvl w:ilvl="4" w:tplc="9C029310" w:tentative="1">
      <w:start w:val="1"/>
      <w:numFmt w:val="bullet"/>
      <w:lvlText w:val="o"/>
      <w:lvlJc w:val="left"/>
      <w:pPr>
        <w:ind w:left="3600" w:hanging="360"/>
      </w:pPr>
      <w:rPr>
        <w:rFonts w:ascii="Courier New" w:hAnsi="Courier New" w:cs="Courier New" w:hint="default"/>
      </w:rPr>
    </w:lvl>
    <w:lvl w:ilvl="5" w:tplc="5992CD74" w:tentative="1">
      <w:start w:val="1"/>
      <w:numFmt w:val="bullet"/>
      <w:lvlText w:val=""/>
      <w:lvlJc w:val="left"/>
      <w:pPr>
        <w:ind w:left="4320" w:hanging="360"/>
      </w:pPr>
      <w:rPr>
        <w:rFonts w:ascii="Wingdings" w:hAnsi="Wingdings" w:hint="default"/>
      </w:rPr>
    </w:lvl>
    <w:lvl w:ilvl="6" w:tplc="58DEB62C" w:tentative="1">
      <w:start w:val="1"/>
      <w:numFmt w:val="bullet"/>
      <w:lvlText w:val=""/>
      <w:lvlJc w:val="left"/>
      <w:pPr>
        <w:ind w:left="5040" w:hanging="360"/>
      </w:pPr>
      <w:rPr>
        <w:rFonts w:ascii="Symbol" w:hAnsi="Symbol" w:hint="default"/>
      </w:rPr>
    </w:lvl>
    <w:lvl w:ilvl="7" w:tplc="45ECE822" w:tentative="1">
      <w:start w:val="1"/>
      <w:numFmt w:val="bullet"/>
      <w:lvlText w:val="o"/>
      <w:lvlJc w:val="left"/>
      <w:pPr>
        <w:ind w:left="5760" w:hanging="360"/>
      </w:pPr>
      <w:rPr>
        <w:rFonts w:ascii="Courier New" w:hAnsi="Courier New" w:cs="Courier New" w:hint="default"/>
      </w:rPr>
    </w:lvl>
    <w:lvl w:ilvl="8" w:tplc="1368D5A6" w:tentative="1">
      <w:start w:val="1"/>
      <w:numFmt w:val="bullet"/>
      <w:lvlText w:val=""/>
      <w:lvlJc w:val="left"/>
      <w:pPr>
        <w:ind w:left="6480" w:hanging="360"/>
      </w:pPr>
      <w:rPr>
        <w:rFonts w:ascii="Wingdings" w:hAnsi="Wingdings" w:hint="default"/>
      </w:rPr>
    </w:lvl>
  </w:abstractNum>
  <w:num w:numId="1">
    <w:abstractNumId w:val="11"/>
  </w:num>
  <w:num w:numId="2">
    <w:abstractNumId w:val="8"/>
  </w:num>
  <w:num w:numId="3">
    <w:abstractNumId w:val="9"/>
  </w:num>
  <w:num w:numId="4">
    <w:abstractNumId w:val="10"/>
  </w:num>
  <w:num w:numId="5">
    <w:abstractNumId w:val="13"/>
  </w:num>
  <w:num w:numId="6">
    <w:abstractNumId w:val="17"/>
  </w:num>
  <w:num w:numId="7">
    <w:abstractNumId w:val="3"/>
  </w:num>
  <w:num w:numId="8">
    <w:abstractNumId w:val="2"/>
  </w:num>
  <w:num w:numId="9">
    <w:abstractNumId w:val="1"/>
  </w:num>
  <w:num w:numId="10">
    <w:abstractNumId w:val="0"/>
  </w:num>
  <w:num w:numId="11">
    <w:abstractNumId w:val="6"/>
  </w:num>
  <w:num w:numId="12">
    <w:abstractNumId w:val="10"/>
  </w:num>
  <w:num w:numId="13">
    <w:abstractNumId w:val="13"/>
  </w:num>
  <w:num w:numId="14">
    <w:abstractNumId w:val="15"/>
  </w:num>
  <w:num w:numId="15">
    <w:abstractNumId w:val="12"/>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num>
  <w:num w:numId="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8"/>
  </w:num>
  <w:num w:numId="2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9"/>
  </w:num>
  <w:num w:numId="25">
    <w:abstractNumId w:val="7"/>
  </w:num>
  <w:num w:numId="26">
    <w:abstractNumId w:val="5"/>
  </w:num>
  <w:num w:numId="27">
    <w:abstractNumId w:val="4"/>
  </w:num>
  <w:num w:numId="28">
    <w:abstractNumId w:val="1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2"/>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noPunctuationKerning/>
  <w:characterSpacingControl w:val="doNotCompress"/>
  <w:hdrShapeDefaults>
    <o:shapedefaults v:ext="edit" spidmax="120833"/>
  </w:hdrShapeDefaults>
  <w:footnotePr>
    <w:footnote w:id="-1"/>
    <w:footnote w:id="0"/>
    <w:footnote w:id="1"/>
  </w:footnotePr>
  <w:endnotePr>
    <w:endnote w:id="-1"/>
    <w:endnote w:id="0"/>
    <w:endnote w:id="1"/>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MzQzNTAxNzcyMLM0MDZU0lEKTi0uzszPAykwNqwFALNWKJ8tAAAA"/>
  </w:docVars>
  <w:rsids>
    <w:rsidRoot w:val="00A74A78"/>
    <w:rsid w:val="000000F3"/>
    <w:rsid w:val="00000BE6"/>
    <w:rsid w:val="00000E6B"/>
    <w:rsid w:val="00001381"/>
    <w:rsid w:val="00001F3A"/>
    <w:rsid w:val="00002703"/>
    <w:rsid w:val="00003196"/>
    <w:rsid w:val="00005149"/>
    <w:rsid w:val="00006F13"/>
    <w:rsid w:val="0000755D"/>
    <w:rsid w:val="00007A26"/>
    <w:rsid w:val="00010423"/>
    <w:rsid w:val="00010C68"/>
    <w:rsid w:val="0001103E"/>
    <w:rsid w:val="000117F5"/>
    <w:rsid w:val="00012688"/>
    <w:rsid w:val="00013BD2"/>
    <w:rsid w:val="00014AC6"/>
    <w:rsid w:val="00015815"/>
    <w:rsid w:val="00015DAF"/>
    <w:rsid w:val="00020A94"/>
    <w:rsid w:val="00020FC9"/>
    <w:rsid w:val="000215FE"/>
    <w:rsid w:val="000219BD"/>
    <w:rsid w:val="000222AA"/>
    <w:rsid w:val="00022DA8"/>
    <w:rsid w:val="00022FC1"/>
    <w:rsid w:val="000244A4"/>
    <w:rsid w:val="00024D2C"/>
    <w:rsid w:val="00026354"/>
    <w:rsid w:val="00026A5D"/>
    <w:rsid w:val="00027C44"/>
    <w:rsid w:val="00027D54"/>
    <w:rsid w:val="00027FBA"/>
    <w:rsid w:val="00030015"/>
    <w:rsid w:val="000319A2"/>
    <w:rsid w:val="00031D01"/>
    <w:rsid w:val="000320E2"/>
    <w:rsid w:val="0003327B"/>
    <w:rsid w:val="000379A1"/>
    <w:rsid w:val="00037ED9"/>
    <w:rsid w:val="000412B4"/>
    <w:rsid w:val="000423EB"/>
    <w:rsid w:val="00042490"/>
    <w:rsid w:val="00042C1C"/>
    <w:rsid w:val="0004557A"/>
    <w:rsid w:val="00045719"/>
    <w:rsid w:val="00046678"/>
    <w:rsid w:val="000466D4"/>
    <w:rsid w:val="00046882"/>
    <w:rsid w:val="000515C6"/>
    <w:rsid w:val="0005233D"/>
    <w:rsid w:val="00053D37"/>
    <w:rsid w:val="0005643B"/>
    <w:rsid w:val="000572D4"/>
    <w:rsid w:val="0006086B"/>
    <w:rsid w:val="0006146D"/>
    <w:rsid w:val="0006182D"/>
    <w:rsid w:val="00062056"/>
    <w:rsid w:val="00063BA1"/>
    <w:rsid w:val="00063C6A"/>
    <w:rsid w:val="0006599B"/>
    <w:rsid w:val="00067BC4"/>
    <w:rsid w:val="00070395"/>
    <w:rsid w:val="00070591"/>
    <w:rsid w:val="000731A2"/>
    <w:rsid w:val="000734BB"/>
    <w:rsid w:val="00073D55"/>
    <w:rsid w:val="000741D9"/>
    <w:rsid w:val="0007453A"/>
    <w:rsid w:val="00075BD4"/>
    <w:rsid w:val="00076747"/>
    <w:rsid w:val="00076B00"/>
    <w:rsid w:val="00076B81"/>
    <w:rsid w:val="00077D64"/>
    <w:rsid w:val="00077F25"/>
    <w:rsid w:val="000813E0"/>
    <w:rsid w:val="00081AB9"/>
    <w:rsid w:val="0008212D"/>
    <w:rsid w:val="0008317C"/>
    <w:rsid w:val="00084C68"/>
    <w:rsid w:val="00085FFF"/>
    <w:rsid w:val="00086854"/>
    <w:rsid w:val="00087FBA"/>
    <w:rsid w:val="00090164"/>
    <w:rsid w:val="00093075"/>
    <w:rsid w:val="00093181"/>
    <w:rsid w:val="00093D6F"/>
    <w:rsid w:val="00094E50"/>
    <w:rsid w:val="0009638E"/>
    <w:rsid w:val="000964FA"/>
    <w:rsid w:val="0009654D"/>
    <w:rsid w:val="0009759F"/>
    <w:rsid w:val="000A0BEA"/>
    <w:rsid w:val="000A1ADE"/>
    <w:rsid w:val="000A2165"/>
    <w:rsid w:val="000A219C"/>
    <w:rsid w:val="000A228B"/>
    <w:rsid w:val="000A302F"/>
    <w:rsid w:val="000A383A"/>
    <w:rsid w:val="000A4A09"/>
    <w:rsid w:val="000A4CC5"/>
    <w:rsid w:val="000A507B"/>
    <w:rsid w:val="000A671C"/>
    <w:rsid w:val="000B1078"/>
    <w:rsid w:val="000B20BE"/>
    <w:rsid w:val="000B499F"/>
    <w:rsid w:val="000B570B"/>
    <w:rsid w:val="000B579E"/>
    <w:rsid w:val="000B5F24"/>
    <w:rsid w:val="000B6B5B"/>
    <w:rsid w:val="000B77D6"/>
    <w:rsid w:val="000C3F22"/>
    <w:rsid w:val="000C4338"/>
    <w:rsid w:val="000C44A0"/>
    <w:rsid w:val="000C452E"/>
    <w:rsid w:val="000C4A3B"/>
    <w:rsid w:val="000C550D"/>
    <w:rsid w:val="000C5B04"/>
    <w:rsid w:val="000C6C0A"/>
    <w:rsid w:val="000C7546"/>
    <w:rsid w:val="000C7F12"/>
    <w:rsid w:val="000D1BC1"/>
    <w:rsid w:val="000D2439"/>
    <w:rsid w:val="000D5D4D"/>
    <w:rsid w:val="000E0C55"/>
    <w:rsid w:val="000E1233"/>
    <w:rsid w:val="000E241B"/>
    <w:rsid w:val="000E4191"/>
    <w:rsid w:val="000E4A5D"/>
    <w:rsid w:val="000E771D"/>
    <w:rsid w:val="000F0051"/>
    <w:rsid w:val="000F0FED"/>
    <w:rsid w:val="000F187B"/>
    <w:rsid w:val="000F234C"/>
    <w:rsid w:val="000F3F41"/>
    <w:rsid w:val="000F420F"/>
    <w:rsid w:val="000F49B8"/>
    <w:rsid w:val="000F5436"/>
    <w:rsid w:val="000F5EEE"/>
    <w:rsid w:val="000F6618"/>
    <w:rsid w:val="000F6EEE"/>
    <w:rsid w:val="000F7E67"/>
    <w:rsid w:val="001022F7"/>
    <w:rsid w:val="001028B2"/>
    <w:rsid w:val="00102FB3"/>
    <w:rsid w:val="00103006"/>
    <w:rsid w:val="001031D2"/>
    <w:rsid w:val="0010327F"/>
    <w:rsid w:val="001052D3"/>
    <w:rsid w:val="001057D3"/>
    <w:rsid w:val="0010753D"/>
    <w:rsid w:val="00107939"/>
    <w:rsid w:val="00111D58"/>
    <w:rsid w:val="00111D8F"/>
    <w:rsid w:val="00112AB7"/>
    <w:rsid w:val="00113422"/>
    <w:rsid w:val="00113847"/>
    <w:rsid w:val="00114171"/>
    <w:rsid w:val="00116B1D"/>
    <w:rsid w:val="001208E1"/>
    <w:rsid w:val="00120D26"/>
    <w:rsid w:val="00121728"/>
    <w:rsid w:val="00122DE3"/>
    <w:rsid w:val="00124CBE"/>
    <w:rsid w:val="00125A37"/>
    <w:rsid w:val="00127ACA"/>
    <w:rsid w:val="001312B8"/>
    <w:rsid w:val="00131BB0"/>
    <w:rsid w:val="00133079"/>
    <w:rsid w:val="00135B6C"/>
    <w:rsid w:val="0013698D"/>
    <w:rsid w:val="00136B51"/>
    <w:rsid w:val="00137379"/>
    <w:rsid w:val="001375CF"/>
    <w:rsid w:val="00137984"/>
    <w:rsid w:val="00140797"/>
    <w:rsid w:val="00141D95"/>
    <w:rsid w:val="0014341B"/>
    <w:rsid w:val="00143529"/>
    <w:rsid w:val="001454CB"/>
    <w:rsid w:val="00146668"/>
    <w:rsid w:val="00146F1E"/>
    <w:rsid w:val="001476B2"/>
    <w:rsid w:val="001511B8"/>
    <w:rsid w:val="001519FC"/>
    <w:rsid w:val="00153821"/>
    <w:rsid w:val="00153A88"/>
    <w:rsid w:val="001544B4"/>
    <w:rsid w:val="00155E81"/>
    <w:rsid w:val="001561A1"/>
    <w:rsid w:val="001564EC"/>
    <w:rsid w:val="0015702B"/>
    <w:rsid w:val="00157ABC"/>
    <w:rsid w:val="00157F41"/>
    <w:rsid w:val="001619A0"/>
    <w:rsid w:val="00161C82"/>
    <w:rsid w:val="00162175"/>
    <w:rsid w:val="00162523"/>
    <w:rsid w:val="00162BED"/>
    <w:rsid w:val="0016463B"/>
    <w:rsid w:val="00164A1B"/>
    <w:rsid w:val="00164B15"/>
    <w:rsid w:val="00164CD8"/>
    <w:rsid w:val="001650B3"/>
    <w:rsid w:val="001652FF"/>
    <w:rsid w:val="00170ACB"/>
    <w:rsid w:val="0017119E"/>
    <w:rsid w:val="001725F6"/>
    <w:rsid w:val="001746F2"/>
    <w:rsid w:val="001752F5"/>
    <w:rsid w:val="00176926"/>
    <w:rsid w:val="00176FBC"/>
    <w:rsid w:val="00177077"/>
    <w:rsid w:val="00177264"/>
    <w:rsid w:val="00177FD5"/>
    <w:rsid w:val="00183826"/>
    <w:rsid w:val="001904BA"/>
    <w:rsid w:val="0019115E"/>
    <w:rsid w:val="001917B0"/>
    <w:rsid w:val="0019255E"/>
    <w:rsid w:val="00193508"/>
    <w:rsid w:val="00193CEC"/>
    <w:rsid w:val="001943CD"/>
    <w:rsid w:val="00194D01"/>
    <w:rsid w:val="00195B61"/>
    <w:rsid w:val="00195F27"/>
    <w:rsid w:val="001968AE"/>
    <w:rsid w:val="00196F06"/>
    <w:rsid w:val="00197C93"/>
    <w:rsid w:val="001A0457"/>
    <w:rsid w:val="001A0BAC"/>
    <w:rsid w:val="001A0E21"/>
    <w:rsid w:val="001A188F"/>
    <w:rsid w:val="001A1ABA"/>
    <w:rsid w:val="001A1D62"/>
    <w:rsid w:val="001A24AE"/>
    <w:rsid w:val="001A2697"/>
    <w:rsid w:val="001A2C8A"/>
    <w:rsid w:val="001A3050"/>
    <w:rsid w:val="001A3C17"/>
    <w:rsid w:val="001A4BF4"/>
    <w:rsid w:val="001A591E"/>
    <w:rsid w:val="001A64AB"/>
    <w:rsid w:val="001A6FEF"/>
    <w:rsid w:val="001A777E"/>
    <w:rsid w:val="001A79C4"/>
    <w:rsid w:val="001B31E9"/>
    <w:rsid w:val="001B440C"/>
    <w:rsid w:val="001B4C0E"/>
    <w:rsid w:val="001B5977"/>
    <w:rsid w:val="001B6A63"/>
    <w:rsid w:val="001B6EB3"/>
    <w:rsid w:val="001B7D1C"/>
    <w:rsid w:val="001C012B"/>
    <w:rsid w:val="001C097A"/>
    <w:rsid w:val="001C11BE"/>
    <w:rsid w:val="001C18AB"/>
    <w:rsid w:val="001C2B84"/>
    <w:rsid w:val="001C3863"/>
    <w:rsid w:val="001C3929"/>
    <w:rsid w:val="001C3A10"/>
    <w:rsid w:val="001C4AAF"/>
    <w:rsid w:val="001C58D8"/>
    <w:rsid w:val="001C620D"/>
    <w:rsid w:val="001D1793"/>
    <w:rsid w:val="001D1E1F"/>
    <w:rsid w:val="001D2962"/>
    <w:rsid w:val="001D2A0C"/>
    <w:rsid w:val="001D2C6F"/>
    <w:rsid w:val="001D3D7B"/>
    <w:rsid w:val="001D44C3"/>
    <w:rsid w:val="001D475F"/>
    <w:rsid w:val="001D48D1"/>
    <w:rsid w:val="001D4D23"/>
    <w:rsid w:val="001D4E2D"/>
    <w:rsid w:val="001D644E"/>
    <w:rsid w:val="001D6934"/>
    <w:rsid w:val="001D696E"/>
    <w:rsid w:val="001E0E72"/>
    <w:rsid w:val="001E14C0"/>
    <w:rsid w:val="001E21D8"/>
    <w:rsid w:val="001E28A2"/>
    <w:rsid w:val="001E32C1"/>
    <w:rsid w:val="001E458B"/>
    <w:rsid w:val="001E5C0F"/>
    <w:rsid w:val="001E5E29"/>
    <w:rsid w:val="001E6150"/>
    <w:rsid w:val="001E6ACF"/>
    <w:rsid w:val="001E6C06"/>
    <w:rsid w:val="001E6E48"/>
    <w:rsid w:val="001E6FFA"/>
    <w:rsid w:val="001E7659"/>
    <w:rsid w:val="001F2103"/>
    <w:rsid w:val="001F443D"/>
    <w:rsid w:val="001F5940"/>
    <w:rsid w:val="001F5A9F"/>
    <w:rsid w:val="001F6AFC"/>
    <w:rsid w:val="001F7F7F"/>
    <w:rsid w:val="002004C8"/>
    <w:rsid w:val="00201374"/>
    <w:rsid w:val="0020177F"/>
    <w:rsid w:val="00201DC9"/>
    <w:rsid w:val="00201ECC"/>
    <w:rsid w:val="002037CA"/>
    <w:rsid w:val="00203CF0"/>
    <w:rsid w:val="00204DAA"/>
    <w:rsid w:val="00206445"/>
    <w:rsid w:val="00206649"/>
    <w:rsid w:val="002075E3"/>
    <w:rsid w:val="00207F4B"/>
    <w:rsid w:val="00211819"/>
    <w:rsid w:val="002124A7"/>
    <w:rsid w:val="00214B17"/>
    <w:rsid w:val="00214DBF"/>
    <w:rsid w:val="00215E69"/>
    <w:rsid w:val="00216B23"/>
    <w:rsid w:val="002177F7"/>
    <w:rsid w:val="00221BBF"/>
    <w:rsid w:val="00224E5C"/>
    <w:rsid w:val="002256D8"/>
    <w:rsid w:val="00226141"/>
    <w:rsid w:val="002276A2"/>
    <w:rsid w:val="00230772"/>
    <w:rsid w:val="00232053"/>
    <w:rsid w:val="00232370"/>
    <w:rsid w:val="00232F1F"/>
    <w:rsid w:val="0023315C"/>
    <w:rsid w:val="00233391"/>
    <w:rsid w:val="00233734"/>
    <w:rsid w:val="00233765"/>
    <w:rsid w:val="0023406E"/>
    <w:rsid w:val="00235429"/>
    <w:rsid w:val="00235B62"/>
    <w:rsid w:val="00237E80"/>
    <w:rsid w:val="00237F4A"/>
    <w:rsid w:val="00240509"/>
    <w:rsid w:val="00240979"/>
    <w:rsid w:val="00240AAA"/>
    <w:rsid w:val="00240E24"/>
    <w:rsid w:val="002414B7"/>
    <w:rsid w:val="00241B9E"/>
    <w:rsid w:val="00243F1A"/>
    <w:rsid w:val="00244908"/>
    <w:rsid w:val="0024585F"/>
    <w:rsid w:val="002459C6"/>
    <w:rsid w:val="00245C2F"/>
    <w:rsid w:val="002477E4"/>
    <w:rsid w:val="00252FDD"/>
    <w:rsid w:val="002539D6"/>
    <w:rsid w:val="002544C6"/>
    <w:rsid w:val="00254AD2"/>
    <w:rsid w:val="00254E7E"/>
    <w:rsid w:val="00261994"/>
    <w:rsid w:val="00263B7C"/>
    <w:rsid w:val="00264F20"/>
    <w:rsid w:val="002661F6"/>
    <w:rsid w:val="00266B04"/>
    <w:rsid w:val="00266D03"/>
    <w:rsid w:val="00266EB3"/>
    <w:rsid w:val="0027345B"/>
    <w:rsid w:val="00273F73"/>
    <w:rsid w:val="002741B8"/>
    <w:rsid w:val="0027428C"/>
    <w:rsid w:val="00274D5E"/>
    <w:rsid w:val="00274D9F"/>
    <w:rsid w:val="002752E0"/>
    <w:rsid w:val="0027622A"/>
    <w:rsid w:val="00277112"/>
    <w:rsid w:val="002802A5"/>
    <w:rsid w:val="00280411"/>
    <w:rsid w:val="00280F24"/>
    <w:rsid w:val="00281472"/>
    <w:rsid w:val="00281707"/>
    <w:rsid w:val="00282486"/>
    <w:rsid w:val="00284CA5"/>
    <w:rsid w:val="00284CDC"/>
    <w:rsid w:val="00284DB1"/>
    <w:rsid w:val="00285730"/>
    <w:rsid w:val="002858D0"/>
    <w:rsid w:val="00287560"/>
    <w:rsid w:val="00287B35"/>
    <w:rsid w:val="00290785"/>
    <w:rsid w:val="00290883"/>
    <w:rsid w:val="00290CEE"/>
    <w:rsid w:val="0029134A"/>
    <w:rsid w:val="00292622"/>
    <w:rsid w:val="00292CEB"/>
    <w:rsid w:val="00292EB7"/>
    <w:rsid w:val="0029485E"/>
    <w:rsid w:val="002952D2"/>
    <w:rsid w:val="00295FA1"/>
    <w:rsid w:val="0029634E"/>
    <w:rsid w:val="00297A65"/>
    <w:rsid w:val="00297B8D"/>
    <w:rsid w:val="002A21E7"/>
    <w:rsid w:val="002A3028"/>
    <w:rsid w:val="002A303B"/>
    <w:rsid w:val="002A30F8"/>
    <w:rsid w:val="002A384B"/>
    <w:rsid w:val="002A4657"/>
    <w:rsid w:val="002A5A9F"/>
    <w:rsid w:val="002A5B93"/>
    <w:rsid w:val="002A5DB0"/>
    <w:rsid w:val="002A6028"/>
    <w:rsid w:val="002A67F7"/>
    <w:rsid w:val="002A6921"/>
    <w:rsid w:val="002A69B3"/>
    <w:rsid w:val="002A726E"/>
    <w:rsid w:val="002B2698"/>
    <w:rsid w:val="002B3696"/>
    <w:rsid w:val="002B38DE"/>
    <w:rsid w:val="002B3B27"/>
    <w:rsid w:val="002B48BD"/>
    <w:rsid w:val="002B5A9E"/>
    <w:rsid w:val="002B6B8C"/>
    <w:rsid w:val="002B75ED"/>
    <w:rsid w:val="002C1393"/>
    <w:rsid w:val="002C224F"/>
    <w:rsid w:val="002C2E35"/>
    <w:rsid w:val="002C3DA6"/>
    <w:rsid w:val="002C4797"/>
    <w:rsid w:val="002C4847"/>
    <w:rsid w:val="002C566E"/>
    <w:rsid w:val="002C5C46"/>
    <w:rsid w:val="002C6C9D"/>
    <w:rsid w:val="002C6E2B"/>
    <w:rsid w:val="002C7479"/>
    <w:rsid w:val="002D0D3E"/>
    <w:rsid w:val="002D3072"/>
    <w:rsid w:val="002D3446"/>
    <w:rsid w:val="002D35FA"/>
    <w:rsid w:val="002D3AB0"/>
    <w:rsid w:val="002D4345"/>
    <w:rsid w:val="002D5DC8"/>
    <w:rsid w:val="002E0612"/>
    <w:rsid w:val="002E06A2"/>
    <w:rsid w:val="002E093B"/>
    <w:rsid w:val="002E0CDF"/>
    <w:rsid w:val="002E1C76"/>
    <w:rsid w:val="002E2A1D"/>
    <w:rsid w:val="002E33FF"/>
    <w:rsid w:val="002E357E"/>
    <w:rsid w:val="002E36AB"/>
    <w:rsid w:val="002E3C69"/>
    <w:rsid w:val="002E4565"/>
    <w:rsid w:val="002E5017"/>
    <w:rsid w:val="002E56C7"/>
    <w:rsid w:val="002E61F6"/>
    <w:rsid w:val="002E645B"/>
    <w:rsid w:val="002E70F6"/>
    <w:rsid w:val="002E7101"/>
    <w:rsid w:val="002E7A3D"/>
    <w:rsid w:val="002E7ADE"/>
    <w:rsid w:val="002F0EA6"/>
    <w:rsid w:val="002F2608"/>
    <w:rsid w:val="002F2E02"/>
    <w:rsid w:val="002F335D"/>
    <w:rsid w:val="002F3B9F"/>
    <w:rsid w:val="002F3F54"/>
    <w:rsid w:val="002F4007"/>
    <w:rsid w:val="002F5070"/>
    <w:rsid w:val="002F7804"/>
    <w:rsid w:val="002F7E17"/>
    <w:rsid w:val="003015BE"/>
    <w:rsid w:val="003018CD"/>
    <w:rsid w:val="00302B31"/>
    <w:rsid w:val="0030354E"/>
    <w:rsid w:val="00303E9D"/>
    <w:rsid w:val="00304918"/>
    <w:rsid w:val="00304BB6"/>
    <w:rsid w:val="00305853"/>
    <w:rsid w:val="0031110D"/>
    <w:rsid w:val="0031198D"/>
    <w:rsid w:val="00312A49"/>
    <w:rsid w:val="00312D17"/>
    <w:rsid w:val="00312E78"/>
    <w:rsid w:val="00313E50"/>
    <w:rsid w:val="00314A81"/>
    <w:rsid w:val="00314DBA"/>
    <w:rsid w:val="003164E0"/>
    <w:rsid w:val="00320378"/>
    <w:rsid w:val="00323B15"/>
    <w:rsid w:val="00324B77"/>
    <w:rsid w:val="00324CDB"/>
    <w:rsid w:val="0032514D"/>
    <w:rsid w:val="00325D60"/>
    <w:rsid w:val="00325DDC"/>
    <w:rsid w:val="00326852"/>
    <w:rsid w:val="00326E08"/>
    <w:rsid w:val="00326F32"/>
    <w:rsid w:val="003274E9"/>
    <w:rsid w:val="003303BE"/>
    <w:rsid w:val="003315BD"/>
    <w:rsid w:val="003326E2"/>
    <w:rsid w:val="00333E2F"/>
    <w:rsid w:val="003343CA"/>
    <w:rsid w:val="00335A02"/>
    <w:rsid w:val="003369AA"/>
    <w:rsid w:val="00336E78"/>
    <w:rsid w:val="00337C4C"/>
    <w:rsid w:val="00340A74"/>
    <w:rsid w:val="00340C5B"/>
    <w:rsid w:val="00340E37"/>
    <w:rsid w:val="00341642"/>
    <w:rsid w:val="003418A6"/>
    <w:rsid w:val="0034206A"/>
    <w:rsid w:val="00342A17"/>
    <w:rsid w:val="00343349"/>
    <w:rsid w:val="00343E9B"/>
    <w:rsid w:val="0034577F"/>
    <w:rsid w:val="00345EF7"/>
    <w:rsid w:val="00346949"/>
    <w:rsid w:val="00346F39"/>
    <w:rsid w:val="0034731B"/>
    <w:rsid w:val="00347426"/>
    <w:rsid w:val="003514B9"/>
    <w:rsid w:val="0035166C"/>
    <w:rsid w:val="00351812"/>
    <w:rsid w:val="00351FDF"/>
    <w:rsid w:val="00353ABC"/>
    <w:rsid w:val="00355630"/>
    <w:rsid w:val="0035625B"/>
    <w:rsid w:val="00356A93"/>
    <w:rsid w:val="00356BC5"/>
    <w:rsid w:val="0035704D"/>
    <w:rsid w:val="003573D2"/>
    <w:rsid w:val="00357FC4"/>
    <w:rsid w:val="0036057C"/>
    <w:rsid w:val="003607E8"/>
    <w:rsid w:val="00361720"/>
    <w:rsid w:val="003623F0"/>
    <w:rsid w:val="003631C2"/>
    <w:rsid w:val="003633D3"/>
    <w:rsid w:val="00363EA5"/>
    <w:rsid w:val="00363F67"/>
    <w:rsid w:val="00364089"/>
    <w:rsid w:val="0036495C"/>
    <w:rsid w:val="00367AB2"/>
    <w:rsid w:val="003700B1"/>
    <w:rsid w:val="00370F38"/>
    <w:rsid w:val="003712DD"/>
    <w:rsid w:val="003722DE"/>
    <w:rsid w:val="00373ADD"/>
    <w:rsid w:val="00373F30"/>
    <w:rsid w:val="00373F87"/>
    <w:rsid w:val="003760C9"/>
    <w:rsid w:val="0037622B"/>
    <w:rsid w:val="003767C4"/>
    <w:rsid w:val="00380EE9"/>
    <w:rsid w:val="003810ED"/>
    <w:rsid w:val="003817E8"/>
    <w:rsid w:val="00382D21"/>
    <w:rsid w:val="00383001"/>
    <w:rsid w:val="00384409"/>
    <w:rsid w:val="00386AD8"/>
    <w:rsid w:val="003873E9"/>
    <w:rsid w:val="00387DCD"/>
    <w:rsid w:val="003900D9"/>
    <w:rsid w:val="00390434"/>
    <w:rsid w:val="00390D52"/>
    <w:rsid w:val="00390E90"/>
    <w:rsid w:val="00391A4F"/>
    <w:rsid w:val="0039306A"/>
    <w:rsid w:val="003933B5"/>
    <w:rsid w:val="00395122"/>
    <w:rsid w:val="00395355"/>
    <w:rsid w:val="0039593F"/>
    <w:rsid w:val="00395BF0"/>
    <w:rsid w:val="00395ECA"/>
    <w:rsid w:val="0039620C"/>
    <w:rsid w:val="003962FC"/>
    <w:rsid w:val="00396B3F"/>
    <w:rsid w:val="00397485"/>
    <w:rsid w:val="00397952"/>
    <w:rsid w:val="00397A9C"/>
    <w:rsid w:val="003A37C7"/>
    <w:rsid w:val="003A3D4B"/>
    <w:rsid w:val="003A4006"/>
    <w:rsid w:val="003A4332"/>
    <w:rsid w:val="003A497C"/>
    <w:rsid w:val="003A4EBF"/>
    <w:rsid w:val="003A56CC"/>
    <w:rsid w:val="003A603F"/>
    <w:rsid w:val="003A7CAB"/>
    <w:rsid w:val="003B08E6"/>
    <w:rsid w:val="003B0BF8"/>
    <w:rsid w:val="003B1E6A"/>
    <w:rsid w:val="003B25AE"/>
    <w:rsid w:val="003B5A91"/>
    <w:rsid w:val="003B5AE7"/>
    <w:rsid w:val="003B7426"/>
    <w:rsid w:val="003B7D30"/>
    <w:rsid w:val="003C2126"/>
    <w:rsid w:val="003C3562"/>
    <w:rsid w:val="003C5762"/>
    <w:rsid w:val="003C706C"/>
    <w:rsid w:val="003C71D1"/>
    <w:rsid w:val="003C7441"/>
    <w:rsid w:val="003D16D3"/>
    <w:rsid w:val="003D1DB3"/>
    <w:rsid w:val="003D1F22"/>
    <w:rsid w:val="003D27A1"/>
    <w:rsid w:val="003D36F2"/>
    <w:rsid w:val="003D37B5"/>
    <w:rsid w:val="003D3FC3"/>
    <w:rsid w:val="003D56C1"/>
    <w:rsid w:val="003D5F88"/>
    <w:rsid w:val="003D5FC8"/>
    <w:rsid w:val="003D6252"/>
    <w:rsid w:val="003E1E1E"/>
    <w:rsid w:val="003E207A"/>
    <w:rsid w:val="003E2C94"/>
    <w:rsid w:val="003E3580"/>
    <w:rsid w:val="003E36FE"/>
    <w:rsid w:val="003E3A89"/>
    <w:rsid w:val="003E41F4"/>
    <w:rsid w:val="003E4802"/>
    <w:rsid w:val="003E4BE4"/>
    <w:rsid w:val="003E52AE"/>
    <w:rsid w:val="003E5A3E"/>
    <w:rsid w:val="003E62D4"/>
    <w:rsid w:val="003E6624"/>
    <w:rsid w:val="003E66C9"/>
    <w:rsid w:val="003F00EE"/>
    <w:rsid w:val="003F0A27"/>
    <w:rsid w:val="003F1F74"/>
    <w:rsid w:val="003F2E5E"/>
    <w:rsid w:val="003F362E"/>
    <w:rsid w:val="003F55D9"/>
    <w:rsid w:val="003F65E9"/>
    <w:rsid w:val="003F6F5E"/>
    <w:rsid w:val="00400358"/>
    <w:rsid w:val="00400989"/>
    <w:rsid w:val="00400D81"/>
    <w:rsid w:val="00401326"/>
    <w:rsid w:val="0040245C"/>
    <w:rsid w:val="004031FE"/>
    <w:rsid w:val="00404499"/>
    <w:rsid w:val="004046A0"/>
    <w:rsid w:val="004068A9"/>
    <w:rsid w:val="00407888"/>
    <w:rsid w:val="00410677"/>
    <w:rsid w:val="00411041"/>
    <w:rsid w:val="00411196"/>
    <w:rsid w:val="004139D0"/>
    <w:rsid w:val="00413C9B"/>
    <w:rsid w:val="0041497B"/>
    <w:rsid w:val="00415DEE"/>
    <w:rsid w:val="00417203"/>
    <w:rsid w:val="004200DD"/>
    <w:rsid w:val="00420B00"/>
    <w:rsid w:val="004213CE"/>
    <w:rsid w:val="004216F5"/>
    <w:rsid w:val="00421F50"/>
    <w:rsid w:val="00425F0B"/>
    <w:rsid w:val="00427958"/>
    <w:rsid w:val="0043188C"/>
    <w:rsid w:val="00431F05"/>
    <w:rsid w:val="00432D55"/>
    <w:rsid w:val="00432E32"/>
    <w:rsid w:val="004331D1"/>
    <w:rsid w:val="00434EE2"/>
    <w:rsid w:val="00436E38"/>
    <w:rsid w:val="00436E52"/>
    <w:rsid w:val="00440B7B"/>
    <w:rsid w:val="004421E6"/>
    <w:rsid w:val="004432C6"/>
    <w:rsid w:val="00445F7E"/>
    <w:rsid w:val="00451DDA"/>
    <w:rsid w:val="00452C91"/>
    <w:rsid w:val="00453506"/>
    <w:rsid w:val="00453FE0"/>
    <w:rsid w:val="00454F9F"/>
    <w:rsid w:val="004576D4"/>
    <w:rsid w:val="00457720"/>
    <w:rsid w:val="004600E9"/>
    <w:rsid w:val="00460B94"/>
    <w:rsid w:val="00463CB8"/>
    <w:rsid w:val="0046438E"/>
    <w:rsid w:val="00465100"/>
    <w:rsid w:val="0046569B"/>
    <w:rsid w:val="00465D5A"/>
    <w:rsid w:val="00466294"/>
    <w:rsid w:val="004664E5"/>
    <w:rsid w:val="00466DD0"/>
    <w:rsid w:val="00470292"/>
    <w:rsid w:val="00470BD4"/>
    <w:rsid w:val="00470E30"/>
    <w:rsid w:val="00471C8D"/>
    <w:rsid w:val="0047281A"/>
    <w:rsid w:val="00472F9E"/>
    <w:rsid w:val="00473B6C"/>
    <w:rsid w:val="0047404D"/>
    <w:rsid w:val="00474119"/>
    <w:rsid w:val="00474838"/>
    <w:rsid w:val="00475508"/>
    <w:rsid w:val="00477A57"/>
    <w:rsid w:val="00477C3A"/>
    <w:rsid w:val="00477EA7"/>
    <w:rsid w:val="00481057"/>
    <w:rsid w:val="00481757"/>
    <w:rsid w:val="00482AFE"/>
    <w:rsid w:val="00482E60"/>
    <w:rsid w:val="00483071"/>
    <w:rsid w:val="00483B89"/>
    <w:rsid w:val="0048411C"/>
    <w:rsid w:val="004844A5"/>
    <w:rsid w:val="0048512F"/>
    <w:rsid w:val="004861A7"/>
    <w:rsid w:val="004872E3"/>
    <w:rsid w:val="004905C4"/>
    <w:rsid w:val="004905EE"/>
    <w:rsid w:val="00490D39"/>
    <w:rsid w:val="00491A9C"/>
    <w:rsid w:val="0049252B"/>
    <w:rsid w:val="004926BC"/>
    <w:rsid w:val="0049292E"/>
    <w:rsid w:val="004933C8"/>
    <w:rsid w:val="004934DF"/>
    <w:rsid w:val="00493635"/>
    <w:rsid w:val="00495D06"/>
    <w:rsid w:val="004966EC"/>
    <w:rsid w:val="0049671A"/>
    <w:rsid w:val="004971DD"/>
    <w:rsid w:val="004A03B6"/>
    <w:rsid w:val="004A1BD4"/>
    <w:rsid w:val="004A225D"/>
    <w:rsid w:val="004A2ADC"/>
    <w:rsid w:val="004A39C5"/>
    <w:rsid w:val="004A3C11"/>
    <w:rsid w:val="004A3EBF"/>
    <w:rsid w:val="004A4373"/>
    <w:rsid w:val="004B1F9A"/>
    <w:rsid w:val="004B2825"/>
    <w:rsid w:val="004B4512"/>
    <w:rsid w:val="004B4714"/>
    <w:rsid w:val="004B4A38"/>
    <w:rsid w:val="004B6401"/>
    <w:rsid w:val="004B699F"/>
    <w:rsid w:val="004B6BF9"/>
    <w:rsid w:val="004B7680"/>
    <w:rsid w:val="004C073C"/>
    <w:rsid w:val="004C1560"/>
    <w:rsid w:val="004C1AFC"/>
    <w:rsid w:val="004C1BB5"/>
    <w:rsid w:val="004C35BA"/>
    <w:rsid w:val="004C4A23"/>
    <w:rsid w:val="004C4BAE"/>
    <w:rsid w:val="004C4CDA"/>
    <w:rsid w:val="004C57C6"/>
    <w:rsid w:val="004C59CC"/>
    <w:rsid w:val="004C6C22"/>
    <w:rsid w:val="004D143F"/>
    <w:rsid w:val="004D19E6"/>
    <w:rsid w:val="004D21C4"/>
    <w:rsid w:val="004D24B8"/>
    <w:rsid w:val="004D2841"/>
    <w:rsid w:val="004D5549"/>
    <w:rsid w:val="004D554F"/>
    <w:rsid w:val="004D65A9"/>
    <w:rsid w:val="004E04C2"/>
    <w:rsid w:val="004E0A68"/>
    <w:rsid w:val="004E137A"/>
    <w:rsid w:val="004E27D6"/>
    <w:rsid w:val="004E2E07"/>
    <w:rsid w:val="004E31E9"/>
    <w:rsid w:val="004E38FF"/>
    <w:rsid w:val="004E49A9"/>
    <w:rsid w:val="004E4DB4"/>
    <w:rsid w:val="004E4E72"/>
    <w:rsid w:val="004E52C1"/>
    <w:rsid w:val="004E586A"/>
    <w:rsid w:val="004E59F4"/>
    <w:rsid w:val="004E6D6D"/>
    <w:rsid w:val="004F22A2"/>
    <w:rsid w:val="004F3976"/>
    <w:rsid w:val="004F3B60"/>
    <w:rsid w:val="004F5138"/>
    <w:rsid w:val="004F51AA"/>
    <w:rsid w:val="004F53BD"/>
    <w:rsid w:val="004F54FF"/>
    <w:rsid w:val="004F5E6E"/>
    <w:rsid w:val="004F5F50"/>
    <w:rsid w:val="004F6E76"/>
    <w:rsid w:val="004F786E"/>
    <w:rsid w:val="004F7883"/>
    <w:rsid w:val="004F7D00"/>
    <w:rsid w:val="005009F0"/>
    <w:rsid w:val="00501B88"/>
    <w:rsid w:val="005037A9"/>
    <w:rsid w:val="0050455F"/>
    <w:rsid w:val="0050532C"/>
    <w:rsid w:val="0050788B"/>
    <w:rsid w:val="00507ADE"/>
    <w:rsid w:val="0051000C"/>
    <w:rsid w:val="00510505"/>
    <w:rsid w:val="005109E1"/>
    <w:rsid w:val="005112E1"/>
    <w:rsid w:val="00511916"/>
    <w:rsid w:val="00513845"/>
    <w:rsid w:val="005142DB"/>
    <w:rsid w:val="00514F65"/>
    <w:rsid w:val="005152B0"/>
    <w:rsid w:val="00515330"/>
    <w:rsid w:val="00516E94"/>
    <w:rsid w:val="00517806"/>
    <w:rsid w:val="0052097D"/>
    <w:rsid w:val="00520E55"/>
    <w:rsid w:val="00520E7F"/>
    <w:rsid w:val="00520F8A"/>
    <w:rsid w:val="005221E4"/>
    <w:rsid w:val="005231C4"/>
    <w:rsid w:val="0052364E"/>
    <w:rsid w:val="00523F32"/>
    <w:rsid w:val="00524EFE"/>
    <w:rsid w:val="00525843"/>
    <w:rsid w:val="00525E95"/>
    <w:rsid w:val="0052689E"/>
    <w:rsid w:val="0053044D"/>
    <w:rsid w:val="00531ABF"/>
    <w:rsid w:val="005320A6"/>
    <w:rsid w:val="00532A5F"/>
    <w:rsid w:val="00533176"/>
    <w:rsid w:val="005341E6"/>
    <w:rsid w:val="005349ED"/>
    <w:rsid w:val="005353CF"/>
    <w:rsid w:val="00535C81"/>
    <w:rsid w:val="00536566"/>
    <w:rsid w:val="00537637"/>
    <w:rsid w:val="0053787C"/>
    <w:rsid w:val="00541518"/>
    <w:rsid w:val="00541B99"/>
    <w:rsid w:val="00542B4C"/>
    <w:rsid w:val="0054331B"/>
    <w:rsid w:val="00543CD6"/>
    <w:rsid w:val="0054752C"/>
    <w:rsid w:val="00547FDA"/>
    <w:rsid w:val="00552106"/>
    <w:rsid w:val="00554042"/>
    <w:rsid w:val="00554433"/>
    <w:rsid w:val="00554A50"/>
    <w:rsid w:val="00556033"/>
    <w:rsid w:val="005564B6"/>
    <w:rsid w:val="00556B6D"/>
    <w:rsid w:val="00556EE8"/>
    <w:rsid w:val="00561F6E"/>
    <w:rsid w:val="00562716"/>
    <w:rsid w:val="0056349A"/>
    <w:rsid w:val="00564F19"/>
    <w:rsid w:val="00566A84"/>
    <w:rsid w:val="00570443"/>
    <w:rsid w:val="005712B0"/>
    <w:rsid w:val="00571548"/>
    <w:rsid w:val="005723B4"/>
    <w:rsid w:val="00572F95"/>
    <w:rsid w:val="00573501"/>
    <w:rsid w:val="00574B7D"/>
    <w:rsid w:val="0057746E"/>
    <w:rsid w:val="00580682"/>
    <w:rsid w:val="005818AC"/>
    <w:rsid w:val="00582242"/>
    <w:rsid w:val="00584C43"/>
    <w:rsid w:val="00585440"/>
    <w:rsid w:val="0058700C"/>
    <w:rsid w:val="00587A41"/>
    <w:rsid w:val="00590C72"/>
    <w:rsid w:val="00590DC5"/>
    <w:rsid w:val="00590DFB"/>
    <w:rsid w:val="00592090"/>
    <w:rsid w:val="00592805"/>
    <w:rsid w:val="00592A27"/>
    <w:rsid w:val="00593251"/>
    <w:rsid w:val="00594CCB"/>
    <w:rsid w:val="00595144"/>
    <w:rsid w:val="00595685"/>
    <w:rsid w:val="005961FB"/>
    <w:rsid w:val="005966D7"/>
    <w:rsid w:val="00597B63"/>
    <w:rsid w:val="005A0C06"/>
    <w:rsid w:val="005A1B23"/>
    <w:rsid w:val="005A3589"/>
    <w:rsid w:val="005A4594"/>
    <w:rsid w:val="005A4B38"/>
    <w:rsid w:val="005A4D6D"/>
    <w:rsid w:val="005A55A8"/>
    <w:rsid w:val="005A591E"/>
    <w:rsid w:val="005A6C06"/>
    <w:rsid w:val="005A7F22"/>
    <w:rsid w:val="005B058A"/>
    <w:rsid w:val="005B1586"/>
    <w:rsid w:val="005B2214"/>
    <w:rsid w:val="005B2F1F"/>
    <w:rsid w:val="005B37F6"/>
    <w:rsid w:val="005B4DB0"/>
    <w:rsid w:val="005B4F8F"/>
    <w:rsid w:val="005B629D"/>
    <w:rsid w:val="005C00DA"/>
    <w:rsid w:val="005C06BB"/>
    <w:rsid w:val="005C0A63"/>
    <w:rsid w:val="005C0BB1"/>
    <w:rsid w:val="005C0E7A"/>
    <w:rsid w:val="005C0FF9"/>
    <w:rsid w:val="005C136D"/>
    <w:rsid w:val="005C2223"/>
    <w:rsid w:val="005C332B"/>
    <w:rsid w:val="005C3804"/>
    <w:rsid w:val="005C4352"/>
    <w:rsid w:val="005C5AE7"/>
    <w:rsid w:val="005C6DC6"/>
    <w:rsid w:val="005C75E9"/>
    <w:rsid w:val="005C7760"/>
    <w:rsid w:val="005C77CF"/>
    <w:rsid w:val="005D0C3E"/>
    <w:rsid w:val="005D1644"/>
    <w:rsid w:val="005D190C"/>
    <w:rsid w:val="005D1B4C"/>
    <w:rsid w:val="005D2CF3"/>
    <w:rsid w:val="005D34AC"/>
    <w:rsid w:val="005D46F0"/>
    <w:rsid w:val="005D55F0"/>
    <w:rsid w:val="005D5B4D"/>
    <w:rsid w:val="005D61FE"/>
    <w:rsid w:val="005D7667"/>
    <w:rsid w:val="005D76B7"/>
    <w:rsid w:val="005E051A"/>
    <w:rsid w:val="005E0996"/>
    <w:rsid w:val="005E0DAC"/>
    <w:rsid w:val="005E0F19"/>
    <w:rsid w:val="005E21B5"/>
    <w:rsid w:val="005E3D45"/>
    <w:rsid w:val="005E43AB"/>
    <w:rsid w:val="005E6AC3"/>
    <w:rsid w:val="005E7382"/>
    <w:rsid w:val="005E7E45"/>
    <w:rsid w:val="005E7F23"/>
    <w:rsid w:val="005F1D07"/>
    <w:rsid w:val="005F263D"/>
    <w:rsid w:val="005F3892"/>
    <w:rsid w:val="005F5226"/>
    <w:rsid w:val="005F5B41"/>
    <w:rsid w:val="005F5B43"/>
    <w:rsid w:val="005F654B"/>
    <w:rsid w:val="005F6E6C"/>
    <w:rsid w:val="006006C6"/>
    <w:rsid w:val="00600B06"/>
    <w:rsid w:val="00601088"/>
    <w:rsid w:val="006011B2"/>
    <w:rsid w:val="006019A2"/>
    <w:rsid w:val="00601D70"/>
    <w:rsid w:val="00602669"/>
    <w:rsid w:val="006028FC"/>
    <w:rsid w:val="00602F33"/>
    <w:rsid w:val="006046AD"/>
    <w:rsid w:val="00604F0D"/>
    <w:rsid w:val="006061D0"/>
    <w:rsid w:val="006063FF"/>
    <w:rsid w:val="0060660B"/>
    <w:rsid w:val="006106BC"/>
    <w:rsid w:val="00611A7E"/>
    <w:rsid w:val="00611D8A"/>
    <w:rsid w:val="00612442"/>
    <w:rsid w:val="006125F1"/>
    <w:rsid w:val="006126B8"/>
    <w:rsid w:val="00612FD9"/>
    <w:rsid w:val="006137A3"/>
    <w:rsid w:val="00615410"/>
    <w:rsid w:val="0061605A"/>
    <w:rsid w:val="006164B7"/>
    <w:rsid w:val="00616A54"/>
    <w:rsid w:val="00617DBB"/>
    <w:rsid w:val="0062042D"/>
    <w:rsid w:val="0062180E"/>
    <w:rsid w:val="00621ED9"/>
    <w:rsid w:val="0062222A"/>
    <w:rsid w:val="006231D7"/>
    <w:rsid w:val="00623970"/>
    <w:rsid w:val="00624F79"/>
    <w:rsid w:val="006257A3"/>
    <w:rsid w:val="00625CC3"/>
    <w:rsid w:val="00625D81"/>
    <w:rsid w:val="00625E35"/>
    <w:rsid w:val="00625E65"/>
    <w:rsid w:val="00627137"/>
    <w:rsid w:val="006272A0"/>
    <w:rsid w:val="00627307"/>
    <w:rsid w:val="00627853"/>
    <w:rsid w:val="00627E31"/>
    <w:rsid w:val="00631B1D"/>
    <w:rsid w:val="006323E8"/>
    <w:rsid w:val="00633F73"/>
    <w:rsid w:val="0063418A"/>
    <w:rsid w:val="006345DB"/>
    <w:rsid w:val="006349B8"/>
    <w:rsid w:val="006361D5"/>
    <w:rsid w:val="00636530"/>
    <w:rsid w:val="00636ADD"/>
    <w:rsid w:val="006375B5"/>
    <w:rsid w:val="006379B3"/>
    <w:rsid w:val="006404DD"/>
    <w:rsid w:val="00640DB7"/>
    <w:rsid w:val="00641266"/>
    <w:rsid w:val="0064184E"/>
    <w:rsid w:val="00642A3E"/>
    <w:rsid w:val="00645601"/>
    <w:rsid w:val="00646067"/>
    <w:rsid w:val="00646AE1"/>
    <w:rsid w:val="0065081B"/>
    <w:rsid w:val="0065111B"/>
    <w:rsid w:val="00651BE1"/>
    <w:rsid w:val="006521E6"/>
    <w:rsid w:val="0065344E"/>
    <w:rsid w:val="00653678"/>
    <w:rsid w:val="00653D4E"/>
    <w:rsid w:val="0065421D"/>
    <w:rsid w:val="0065467F"/>
    <w:rsid w:val="006557C8"/>
    <w:rsid w:val="00655B24"/>
    <w:rsid w:val="00655B2A"/>
    <w:rsid w:val="00656812"/>
    <w:rsid w:val="00656A9E"/>
    <w:rsid w:val="0065773A"/>
    <w:rsid w:val="006579C7"/>
    <w:rsid w:val="006600FB"/>
    <w:rsid w:val="00660FCA"/>
    <w:rsid w:val="006624F2"/>
    <w:rsid w:val="00663571"/>
    <w:rsid w:val="00663C67"/>
    <w:rsid w:val="006645F3"/>
    <w:rsid w:val="00664925"/>
    <w:rsid w:val="00664962"/>
    <w:rsid w:val="00666BB9"/>
    <w:rsid w:val="006671CD"/>
    <w:rsid w:val="00667BF0"/>
    <w:rsid w:val="00671066"/>
    <w:rsid w:val="00671475"/>
    <w:rsid w:val="00671A5B"/>
    <w:rsid w:val="00673AC1"/>
    <w:rsid w:val="00674DE8"/>
    <w:rsid w:val="00676030"/>
    <w:rsid w:val="006763DA"/>
    <w:rsid w:val="006764BC"/>
    <w:rsid w:val="00680197"/>
    <w:rsid w:val="00680680"/>
    <w:rsid w:val="00680E71"/>
    <w:rsid w:val="00680EA1"/>
    <w:rsid w:val="00682763"/>
    <w:rsid w:val="00682B26"/>
    <w:rsid w:val="00683119"/>
    <w:rsid w:val="006868E7"/>
    <w:rsid w:val="006870A7"/>
    <w:rsid w:val="00690290"/>
    <w:rsid w:val="00691762"/>
    <w:rsid w:val="00691C77"/>
    <w:rsid w:val="00692DBA"/>
    <w:rsid w:val="0069325E"/>
    <w:rsid w:val="00694192"/>
    <w:rsid w:val="00694B2E"/>
    <w:rsid w:val="006951A3"/>
    <w:rsid w:val="00695AAE"/>
    <w:rsid w:val="00695FAB"/>
    <w:rsid w:val="00695FCC"/>
    <w:rsid w:val="00697663"/>
    <w:rsid w:val="00697850"/>
    <w:rsid w:val="006A042A"/>
    <w:rsid w:val="006A051C"/>
    <w:rsid w:val="006A0831"/>
    <w:rsid w:val="006A0D85"/>
    <w:rsid w:val="006A2B74"/>
    <w:rsid w:val="006A3AA1"/>
    <w:rsid w:val="006A5272"/>
    <w:rsid w:val="006A67B0"/>
    <w:rsid w:val="006A7341"/>
    <w:rsid w:val="006B0BD7"/>
    <w:rsid w:val="006B210F"/>
    <w:rsid w:val="006B262A"/>
    <w:rsid w:val="006B3547"/>
    <w:rsid w:val="006B387B"/>
    <w:rsid w:val="006B3A76"/>
    <w:rsid w:val="006B5F7A"/>
    <w:rsid w:val="006B6DFA"/>
    <w:rsid w:val="006B715A"/>
    <w:rsid w:val="006B7334"/>
    <w:rsid w:val="006B7D27"/>
    <w:rsid w:val="006C059F"/>
    <w:rsid w:val="006C08BB"/>
    <w:rsid w:val="006C3407"/>
    <w:rsid w:val="006C3DF4"/>
    <w:rsid w:val="006C4573"/>
    <w:rsid w:val="006C497E"/>
    <w:rsid w:val="006C4FD5"/>
    <w:rsid w:val="006C648B"/>
    <w:rsid w:val="006C6936"/>
    <w:rsid w:val="006D1E86"/>
    <w:rsid w:val="006D211F"/>
    <w:rsid w:val="006D2182"/>
    <w:rsid w:val="006D29DB"/>
    <w:rsid w:val="006D2A8A"/>
    <w:rsid w:val="006D2ED2"/>
    <w:rsid w:val="006D2F72"/>
    <w:rsid w:val="006D3D0F"/>
    <w:rsid w:val="006D51D6"/>
    <w:rsid w:val="006D5EA0"/>
    <w:rsid w:val="006D6420"/>
    <w:rsid w:val="006D7118"/>
    <w:rsid w:val="006D7324"/>
    <w:rsid w:val="006D7C88"/>
    <w:rsid w:val="006E0C71"/>
    <w:rsid w:val="006E509F"/>
    <w:rsid w:val="006E5680"/>
    <w:rsid w:val="006E58C9"/>
    <w:rsid w:val="006E6226"/>
    <w:rsid w:val="006E6430"/>
    <w:rsid w:val="006E654A"/>
    <w:rsid w:val="006E688A"/>
    <w:rsid w:val="006E7C2E"/>
    <w:rsid w:val="006F04FA"/>
    <w:rsid w:val="006F06E9"/>
    <w:rsid w:val="006F08FA"/>
    <w:rsid w:val="006F17A9"/>
    <w:rsid w:val="006F1DDF"/>
    <w:rsid w:val="006F3291"/>
    <w:rsid w:val="006F3BDD"/>
    <w:rsid w:val="006F400E"/>
    <w:rsid w:val="006F4976"/>
    <w:rsid w:val="006F6A9E"/>
    <w:rsid w:val="006F6C47"/>
    <w:rsid w:val="006F7128"/>
    <w:rsid w:val="006F7ED0"/>
    <w:rsid w:val="0070180F"/>
    <w:rsid w:val="00701C23"/>
    <w:rsid w:val="00701C97"/>
    <w:rsid w:val="0070221D"/>
    <w:rsid w:val="00702A9C"/>
    <w:rsid w:val="007033EA"/>
    <w:rsid w:val="00705749"/>
    <w:rsid w:val="007057E5"/>
    <w:rsid w:val="007066C8"/>
    <w:rsid w:val="0070678E"/>
    <w:rsid w:val="00706EAB"/>
    <w:rsid w:val="00706FD7"/>
    <w:rsid w:val="00710885"/>
    <w:rsid w:val="00711811"/>
    <w:rsid w:val="00714D58"/>
    <w:rsid w:val="00714D6D"/>
    <w:rsid w:val="00717A27"/>
    <w:rsid w:val="00717E7C"/>
    <w:rsid w:val="00720AE8"/>
    <w:rsid w:val="007222AE"/>
    <w:rsid w:val="00724A44"/>
    <w:rsid w:val="0072528B"/>
    <w:rsid w:val="007254E1"/>
    <w:rsid w:val="00727EC6"/>
    <w:rsid w:val="0073015F"/>
    <w:rsid w:val="00730BE0"/>
    <w:rsid w:val="007318E9"/>
    <w:rsid w:val="00731E66"/>
    <w:rsid w:val="00733220"/>
    <w:rsid w:val="007334AD"/>
    <w:rsid w:val="0073462B"/>
    <w:rsid w:val="00736760"/>
    <w:rsid w:val="00737A47"/>
    <w:rsid w:val="0074140F"/>
    <w:rsid w:val="007424D9"/>
    <w:rsid w:val="00742B9D"/>
    <w:rsid w:val="007430D0"/>
    <w:rsid w:val="0074450C"/>
    <w:rsid w:val="00744FE7"/>
    <w:rsid w:val="00744FF9"/>
    <w:rsid w:val="00747219"/>
    <w:rsid w:val="00753A12"/>
    <w:rsid w:val="00753F2A"/>
    <w:rsid w:val="007549CF"/>
    <w:rsid w:val="0075595D"/>
    <w:rsid w:val="00755985"/>
    <w:rsid w:val="007563BD"/>
    <w:rsid w:val="007568EC"/>
    <w:rsid w:val="00756F4B"/>
    <w:rsid w:val="00757862"/>
    <w:rsid w:val="00761E40"/>
    <w:rsid w:val="00761F75"/>
    <w:rsid w:val="00762D05"/>
    <w:rsid w:val="00763183"/>
    <w:rsid w:val="007635FA"/>
    <w:rsid w:val="00763D68"/>
    <w:rsid w:val="00764C65"/>
    <w:rsid w:val="00765A17"/>
    <w:rsid w:val="00765C3D"/>
    <w:rsid w:val="00766163"/>
    <w:rsid w:val="00766265"/>
    <w:rsid w:val="00767967"/>
    <w:rsid w:val="00771020"/>
    <w:rsid w:val="00771992"/>
    <w:rsid w:val="00771C47"/>
    <w:rsid w:val="0077295F"/>
    <w:rsid w:val="00772D18"/>
    <w:rsid w:val="00773078"/>
    <w:rsid w:val="00774636"/>
    <w:rsid w:val="007749E8"/>
    <w:rsid w:val="00774C1E"/>
    <w:rsid w:val="0077510A"/>
    <w:rsid w:val="00776FF3"/>
    <w:rsid w:val="0077793E"/>
    <w:rsid w:val="007779C4"/>
    <w:rsid w:val="00780260"/>
    <w:rsid w:val="0078246F"/>
    <w:rsid w:val="0078440A"/>
    <w:rsid w:val="007853C3"/>
    <w:rsid w:val="00785B9C"/>
    <w:rsid w:val="00786995"/>
    <w:rsid w:val="0078773E"/>
    <w:rsid w:val="007917D3"/>
    <w:rsid w:val="0079253D"/>
    <w:rsid w:val="007927DC"/>
    <w:rsid w:val="007938C4"/>
    <w:rsid w:val="00794929"/>
    <w:rsid w:val="00795FD8"/>
    <w:rsid w:val="007969FB"/>
    <w:rsid w:val="007A0814"/>
    <w:rsid w:val="007A0DF5"/>
    <w:rsid w:val="007A11E1"/>
    <w:rsid w:val="007A302B"/>
    <w:rsid w:val="007A371F"/>
    <w:rsid w:val="007A39D2"/>
    <w:rsid w:val="007A3D5E"/>
    <w:rsid w:val="007A3E3C"/>
    <w:rsid w:val="007A40B7"/>
    <w:rsid w:val="007A4ED9"/>
    <w:rsid w:val="007A58CF"/>
    <w:rsid w:val="007A7197"/>
    <w:rsid w:val="007A7614"/>
    <w:rsid w:val="007B04E9"/>
    <w:rsid w:val="007B08F3"/>
    <w:rsid w:val="007B0B7A"/>
    <w:rsid w:val="007B229F"/>
    <w:rsid w:val="007B2DE9"/>
    <w:rsid w:val="007B30B6"/>
    <w:rsid w:val="007B3819"/>
    <w:rsid w:val="007B41CF"/>
    <w:rsid w:val="007B4BE7"/>
    <w:rsid w:val="007B53AB"/>
    <w:rsid w:val="007B66F1"/>
    <w:rsid w:val="007C0FCA"/>
    <w:rsid w:val="007C127A"/>
    <w:rsid w:val="007C1786"/>
    <w:rsid w:val="007C1CE0"/>
    <w:rsid w:val="007C27B1"/>
    <w:rsid w:val="007C2CE4"/>
    <w:rsid w:val="007C5834"/>
    <w:rsid w:val="007C7686"/>
    <w:rsid w:val="007D070F"/>
    <w:rsid w:val="007D0D87"/>
    <w:rsid w:val="007D0F0F"/>
    <w:rsid w:val="007D1411"/>
    <w:rsid w:val="007D2BB2"/>
    <w:rsid w:val="007D2CC6"/>
    <w:rsid w:val="007D40AD"/>
    <w:rsid w:val="007D6DF9"/>
    <w:rsid w:val="007D77D9"/>
    <w:rsid w:val="007E0874"/>
    <w:rsid w:val="007E09BB"/>
    <w:rsid w:val="007E14F8"/>
    <w:rsid w:val="007E1D1F"/>
    <w:rsid w:val="007E2B15"/>
    <w:rsid w:val="007E3254"/>
    <w:rsid w:val="007E441A"/>
    <w:rsid w:val="007E6413"/>
    <w:rsid w:val="007E717C"/>
    <w:rsid w:val="007E7F42"/>
    <w:rsid w:val="007F0FAA"/>
    <w:rsid w:val="007F13DA"/>
    <w:rsid w:val="007F3017"/>
    <w:rsid w:val="007F3BAA"/>
    <w:rsid w:val="007F589B"/>
    <w:rsid w:val="007F711C"/>
    <w:rsid w:val="007F7662"/>
    <w:rsid w:val="00800124"/>
    <w:rsid w:val="00800F69"/>
    <w:rsid w:val="008015B3"/>
    <w:rsid w:val="00801A6E"/>
    <w:rsid w:val="00801EDD"/>
    <w:rsid w:val="00802628"/>
    <w:rsid w:val="0080390D"/>
    <w:rsid w:val="008048FD"/>
    <w:rsid w:val="00804DE1"/>
    <w:rsid w:val="008056F7"/>
    <w:rsid w:val="008059C1"/>
    <w:rsid w:val="00805F19"/>
    <w:rsid w:val="0080601C"/>
    <w:rsid w:val="0080761E"/>
    <w:rsid w:val="00807B8D"/>
    <w:rsid w:val="00807FEB"/>
    <w:rsid w:val="00810888"/>
    <w:rsid w:val="008112BE"/>
    <w:rsid w:val="00811CEF"/>
    <w:rsid w:val="0081290D"/>
    <w:rsid w:val="00813BF0"/>
    <w:rsid w:val="00814BFD"/>
    <w:rsid w:val="00815193"/>
    <w:rsid w:val="0081545F"/>
    <w:rsid w:val="008161FE"/>
    <w:rsid w:val="008174BE"/>
    <w:rsid w:val="00817676"/>
    <w:rsid w:val="0081770D"/>
    <w:rsid w:val="00822506"/>
    <w:rsid w:val="00823B57"/>
    <w:rsid w:val="00823B9B"/>
    <w:rsid w:val="00831FC1"/>
    <w:rsid w:val="008324C4"/>
    <w:rsid w:val="0083453D"/>
    <w:rsid w:val="00834D31"/>
    <w:rsid w:val="0083501F"/>
    <w:rsid w:val="0083518D"/>
    <w:rsid w:val="00837C00"/>
    <w:rsid w:val="00840003"/>
    <w:rsid w:val="00841028"/>
    <w:rsid w:val="00841ECE"/>
    <w:rsid w:val="00843923"/>
    <w:rsid w:val="00844D3A"/>
    <w:rsid w:val="00844F89"/>
    <w:rsid w:val="0084570E"/>
    <w:rsid w:val="00846D44"/>
    <w:rsid w:val="00846DC6"/>
    <w:rsid w:val="008471AE"/>
    <w:rsid w:val="0085224D"/>
    <w:rsid w:val="008527B5"/>
    <w:rsid w:val="008540C3"/>
    <w:rsid w:val="00856668"/>
    <w:rsid w:val="00856DCF"/>
    <w:rsid w:val="0085716A"/>
    <w:rsid w:val="008571A3"/>
    <w:rsid w:val="008577C7"/>
    <w:rsid w:val="008579D4"/>
    <w:rsid w:val="00857C26"/>
    <w:rsid w:val="008600AE"/>
    <w:rsid w:val="00860825"/>
    <w:rsid w:val="00862A92"/>
    <w:rsid w:val="00863D4D"/>
    <w:rsid w:val="00864C20"/>
    <w:rsid w:val="00864F32"/>
    <w:rsid w:val="0086511D"/>
    <w:rsid w:val="0086627A"/>
    <w:rsid w:val="00867B20"/>
    <w:rsid w:val="00870C25"/>
    <w:rsid w:val="008713B4"/>
    <w:rsid w:val="008720D8"/>
    <w:rsid w:val="0087212D"/>
    <w:rsid w:val="00872E36"/>
    <w:rsid w:val="00872F1E"/>
    <w:rsid w:val="008736D7"/>
    <w:rsid w:val="0087373C"/>
    <w:rsid w:val="00877D85"/>
    <w:rsid w:val="0088205A"/>
    <w:rsid w:val="00882826"/>
    <w:rsid w:val="00883E29"/>
    <w:rsid w:val="008840B1"/>
    <w:rsid w:val="00884D7F"/>
    <w:rsid w:val="008859C7"/>
    <w:rsid w:val="00886966"/>
    <w:rsid w:val="00886F3B"/>
    <w:rsid w:val="00890185"/>
    <w:rsid w:val="00891B35"/>
    <w:rsid w:val="00891D2A"/>
    <w:rsid w:val="00892E76"/>
    <w:rsid w:val="00892E97"/>
    <w:rsid w:val="0089314C"/>
    <w:rsid w:val="008932CE"/>
    <w:rsid w:val="00894AFD"/>
    <w:rsid w:val="00896294"/>
    <w:rsid w:val="008A0D7D"/>
    <w:rsid w:val="008A0F97"/>
    <w:rsid w:val="008A220B"/>
    <w:rsid w:val="008A406F"/>
    <w:rsid w:val="008A4A6C"/>
    <w:rsid w:val="008A63B9"/>
    <w:rsid w:val="008A6764"/>
    <w:rsid w:val="008A7137"/>
    <w:rsid w:val="008A796F"/>
    <w:rsid w:val="008A7D08"/>
    <w:rsid w:val="008B0612"/>
    <w:rsid w:val="008B1288"/>
    <w:rsid w:val="008B28FC"/>
    <w:rsid w:val="008B3869"/>
    <w:rsid w:val="008B3995"/>
    <w:rsid w:val="008B3E7E"/>
    <w:rsid w:val="008B3ECA"/>
    <w:rsid w:val="008B404C"/>
    <w:rsid w:val="008B652F"/>
    <w:rsid w:val="008B6E9D"/>
    <w:rsid w:val="008B73C1"/>
    <w:rsid w:val="008B7D6B"/>
    <w:rsid w:val="008C0977"/>
    <w:rsid w:val="008C14A2"/>
    <w:rsid w:val="008C195D"/>
    <w:rsid w:val="008C23B6"/>
    <w:rsid w:val="008C2D42"/>
    <w:rsid w:val="008C3EB9"/>
    <w:rsid w:val="008C404E"/>
    <w:rsid w:val="008C410A"/>
    <w:rsid w:val="008C5E6E"/>
    <w:rsid w:val="008C70CD"/>
    <w:rsid w:val="008C7C5C"/>
    <w:rsid w:val="008D0932"/>
    <w:rsid w:val="008D192E"/>
    <w:rsid w:val="008D2727"/>
    <w:rsid w:val="008D2D1E"/>
    <w:rsid w:val="008D34D0"/>
    <w:rsid w:val="008D378F"/>
    <w:rsid w:val="008D38CB"/>
    <w:rsid w:val="008D3964"/>
    <w:rsid w:val="008D4074"/>
    <w:rsid w:val="008D6A81"/>
    <w:rsid w:val="008D6DA4"/>
    <w:rsid w:val="008D78D6"/>
    <w:rsid w:val="008E0D9A"/>
    <w:rsid w:val="008E2667"/>
    <w:rsid w:val="008E2F3D"/>
    <w:rsid w:val="008E32F8"/>
    <w:rsid w:val="008E4249"/>
    <w:rsid w:val="008E42F8"/>
    <w:rsid w:val="008E4B4F"/>
    <w:rsid w:val="008E6B3E"/>
    <w:rsid w:val="008E723E"/>
    <w:rsid w:val="008E762D"/>
    <w:rsid w:val="008F0193"/>
    <w:rsid w:val="008F2612"/>
    <w:rsid w:val="008F506C"/>
    <w:rsid w:val="008F6623"/>
    <w:rsid w:val="008F7301"/>
    <w:rsid w:val="008F777F"/>
    <w:rsid w:val="008F7C5C"/>
    <w:rsid w:val="0090024E"/>
    <w:rsid w:val="009002EF"/>
    <w:rsid w:val="009017FB"/>
    <w:rsid w:val="00904DCD"/>
    <w:rsid w:val="00906693"/>
    <w:rsid w:val="00907B86"/>
    <w:rsid w:val="00907E35"/>
    <w:rsid w:val="009107BA"/>
    <w:rsid w:val="00910B23"/>
    <w:rsid w:val="00911525"/>
    <w:rsid w:val="0091352C"/>
    <w:rsid w:val="009139D5"/>
    <w:rsid w:val="0091471F"/>
    <w:rsid w:val="0091731D"/>
    <w:rsid w:val="00917D2A"/>
    <w:rsid w:val="00917D99"/>
    <w:rsid w:val="00920747"/>
    <w:rsid w:val="00921EE1"/>
    <w:rsid w:val="00922BCF"/>
    <w:rsid w:val="00923576"/>
    <w:rsid w:val="009239A5"/>
    <w:rsid w:val="00923EE1"/>
    <w:rsid w:val="009256B6"/>
    <w:rsid w:val="009263AA"/>
    <w:rsid w:val="00930793"/>
    <w:rsid w:val="00930B29"/>
    <w:rsid w:val="00930BEB"/>
    <w:rsid w:val="00931203"/>
    <w:rsid w:val="00932E3C"/>
    <w:rsid w:val="00934CED"/>
    <w:rsid w:val="00935ACB"/>
    <w:rsid w:val="00936540"/>
    <w:rsid w:val="00937D2D"/>
    <w:rsid w:val="00940B9A"/>
    <w:rsid w:val="00941491"/>
    <w:rsid w:val="00941851"/>
    <w:rsid w:val="00942A1E"/>
    <w:rsid w:val="00944491"/>
    <w:rsid w:val="00944C82"/>
    <w:rsid w:val="00944E7A"/>
    <w:rsid w:val="00946046"/>
    <w:rsid w:val="00946456"/>
    <w:rsid w:val="00946583"/>
    <w:rsid w:val="00946E85"/>
    <w:rsid w:val="00947372"/>
    <w:rsid w:val="0094757D"/>
    <w:rsid w:val="00947ACD"/>
    <w:rsid w:val="009502D6"/>
    <w:rsid w:val="009502E6"/>
    <w:rsid w:val="009509FA"/>
    <w:rsid w:val="00950CCE"/>
    <w:rsid w:val="009518B2"/>
    <w:rsid w:val="009519BD"/>
    <w:rsid w:val="009521DF"/>
    <w:rsid w:val="00952562"/>
    <w:rsid w:val="00952A6A"/>
    <w:rsid w:val="00953318"/>
    <w:rsid w:val="00953731"/>
    <w:rsid w:val="00953ABF"/>
    <w:rsid w:val="00953CDD"/>
    <w:rsid w:val="009550F1"/>
    <w:rsid w:val="00955129"/>
    <w:rsid w:val="00955D46"/>
    <w:rsid w:val="00956E9D"/>
    <w:rsid w:val="00956ED4"/>
    <w:rsid w:val="00957425"/>
    <w:rsid w:val="00957C0A"/>
    <w:rsid w:val="009612BC"/>
    <w:rsid w:val="0096170F"/>
    <w:rsid w:val="009640FE"/>
    <w:rsid w:val="00966420"/>
    <w:rsid w:val="00967243"/>
    <w:rsid w:val="0097033E"/>
    <w:rsid w:val="00970C7E"/>
    <w:rsid w:val="009715B0"/>
    <w:rsid w:val="00972728"/>
    <w:rsid w:val="00972CF6"/>
    <w:rsid w:val="00972EB6"/>
    <w:rsid w:val="00973DFE"/>
    <w:rsid w:val="009753DE"/>
    <w:rsid w:val="00975730"/>
    <w:rsid w:val="00975E80"/>
    <w:rsid w:val="00977046"/>
    <w:rsid w:val="009774F9"/>
    <w:rsid w:val="00977EE4"/>
    <w:rsid w:val="00980B0F"/>
    <w:rsid w:val="00980E38"/>
    <w:rsid w:val="0098245E"/>
    <w:rsid w:val="00983710"/>
    <w:rsid w:val="009843D1"/>
    <w:rsid w:val="009844F3"/>
    <w:rsid w:val="00984A71"/>
    <w:rsid w:val="009850FB"/>
    <w:rsid w:val="00985594"/>
    <w:rsid w:val="00985E6D"/>
    <w:rsid w:val="00986845"/>
    <w:rsid w:val="009868C6"/>
    <w:rsid w:val="00987020"/>
    <w:rsid w:val="00987B8A"/>
    <w:rsid w:val="009905FB"/>
    <w:rsid w:val="009916C9"/>
    <w:rsid w:val="00991BF0"/>
    <w:rsid w:val="0099221D"/>
    <w:rsid w:val="00993274"/>
    <w:rsid w:val="00993EF5"/>
    <w:rsid w:val="009941DE"/>
    <w:rsid w:val="00994584"/>
    <w:rsid w:val="00994861"/>
    <w:rsid w:val="00994EB2"/>
    <w:rsid w:val="0099508C"/>
    <w:rsid w:val="0099653C"/>
    <w:rsid w:val="009967D6"/>
    <w:rsid w:val="00996813"/>
    <w:rsid w:val="009A1281"/>
    <w:rsid w:val="009A12A5"/>
    <w:rsid w:val="009A1950"/>
    <w:rsid w:val="009A1B23"/>
    <w:rsid w:val="009A204F"/>
    <w:rsid w:val="009A2EBB"/>
    <w:rsid w:val="009A46FE"/>
    <w:rsid w:val="009A4AA1"/>
    <w:rsid w:val="009A564C"/>
    <w:rsid w:val="009A60C4"/>
    <w:rsid w:val="009A668C"/>
    <w:rsid w:val="009A7180"/>
    <w:rsid w:val="009A7990"/>
    <w:rsid w:val="009A7B51"/>
    <w:rsid w:val="009B1394"/>
    <w:rsid w:val="009B16AD"/>
    <w:rsid w:val="009B1B63"/>
    <w:rsid w:val="009B35D2"/>
    <w:rsid w:val="009B3C3F"/>
    <w:rsid w:val="009B3FDB"/>
    <w:rsid w:val="009B4063"/>
    <w:rsid w:val="009B4A6E"/>
    <w:rsid w:val="009B51EA"/>
    <w:rsid w:val="009B5713"/>
    <w:rsid w:val="009B5BD3"/>
    <w:rsid w:val="009B5EDC"/>
    <w:rsid w:val="009B616F"/>
    <w:rsid w:val="009B7A7D"/>
    <w:rsid w:val="009B7D13"/>
    <w:rsid w:val="009C0AC4"/>
    <w:rsid w:val="009C399F"/>
    <w:rsid w:val="009C3CAF"/>
    <w:rsid w:val="009C3FB3"/>
    <w:rsid w:val="009C4AEF"/>
    <w:rsid w:val="009C4D67"/>
    <w:rsid w:val="009C5917"/>
    <w:rsid w:val="009D2B67"/>
    <w:rsid w:val="009D2D64"/>
    <w:rsid w:val="009D34B7"/>
    <w:rsid w:val="009D615D"/>
    <w:rsid w:val="009D6628"/>
    <w:rsid w:val="009E055D"/>
    <w:rsid w:val="009E11B6"/>
    <w:rsid w:val="009E11C5"/>
    <w:rsid w:val="009E2622"/>
    <w:rsid w:val="009E3066"/>
    <w:rsid w:val="009E39F2"/>
    <w:rsid w:val="009E4A65"/>
    <w:rsid w:val="009E61DB"/>
    <w:rsid w:val="009E637B"/>
    <w:rsid w:val="009E6528"/>
    <w:rsid w:val="009E6EC1"/>
    <w:rsid w:val="009E6F74"/>
    <w:rsid w:val="009E75FB"/>
    <w:rsid w:val="009F00AF"/>
    <w:rsid w:val="009F1974"/>
    <w:rsid w:val="009F36A9"/>
    <w:rsid w:val="009F430A"/>
    <w:rsid w:val="009F4F91"/>
    <w:rsid w:val="009F528C"/>
    <w:rsid w:val="009F55C1"/>
    <w:rsid w:val="009F6137"/>
    <w:rsid w:val="009F6B9E"/>
    <w:rsid w:val="009F7BFF"/>
    <w:rsid w:val="009F7DD9"/>
    <w:rsid w:val="00A01F87"/>
    <w:rsid w:val="00A0213F"/>
    <w:rsid w:val="00A03309"/>
    <w:rsid w:val="00A033CF"/>
    <w:rsid w:val="00A04520"/>
    <w:rsid w:val="00A04D40"/>
    <w:rsid w:val="00A05270"/>
    <w:rsid w:val="00A05D04"/>
    <w:rsid w:val="00A078CB"/>
    <w:rsid w:val="00A07D73"/>
    <w:rsid w:val="00A100C4"/>
    <w:rsid w:val="00A10232"/>
    <w:rsid w:val="00A10478"/>
    <w:rsid w:val="00A10886"/>
    <w:rsid w:val="00A13828"/>
    <w:rsid w:val="00A142E4"/>
    <w:rsid w:val="00A14B86"/>
    <w:rsid w:val="00A206CC"/>
    <w:rsid w:val="00A20838"/>
    <w:rsid w:val="00A20A17"/>
    <w:rsid w:val="00A2146B"/>
    <w:rsid w:val="00A22A90"/>
    <w:rsid w:val="00A2387F"/>
    <w:rsid w:val="00A24131"/>
    <w:rsid w:val="00A250F7"/>
    <w:rsid w:val="00A25A7C"/>
    <w:rsid w:val="00A25F48"/>
    <w:rsid w:val="00A27000"/>
    <w:rsid w:val="00A308B0"/>
    <w:rsid w:val="00A30FF6"/>
    <w:rsid w:val="00A3230F"/>
    <w:rsid w:val="00A33526"/>
    <w:rsid w:val="00A35434"/>
    <w:rsid w:val="00A354CE"/>
    <w:rsid w:val="00A36EDA"/>
    <w:rsid w:val="00A40929"/>
    <w:rsid w:val="00A40B12"/>
    <w:rsid w:val="00A40D66"/>
    <w:rsid w:val="00A41DEB"/>
    <w:rsid w:val="00A43A40"/>
    <w:rsid w:val="00A450D7"/>
    <w:rsid w:val="00A457DB"/>
    <w:rsid w:val="00A459DB"/>
    <w:rsid w:val="00A46DAC"/>
    <w:rsid w:val="00A46F06"/>
    <w:rsid w:val="00A47E06"/>
    <w:rsid w:val="00A503AC"/>
    <w:rsid w:val="00A50424"/>
    <w:rsid w:val="00A52E32"/>
    <w:rsid w:val="00A5333D"/>
    <w:rsid w:val="00A53568"/>
    <w:rsid w:val="00A5380A"/>
    <w:rsid w:val="00A53990"/>
    <w:rsid w:val="00A53A59"/>
    <w:rsid w:val="00A53FCD"/>
    <w:rsid w:val="00A54071"/>
    <w:rsid w:val="00A54A7E"/>
    <w:rsid w:val="00A55018"/>
    <w:rsid w:val="00A552F2"/>
    <w:rsid w:val="00A55B76"/>
    <w:rsid w:val="00A56A3F"/>
    <w:rsid w:val="00A6014C"/>
    <w:rsid w:val="00A6212A"/>
    <w:rsid w:val="00A6237A"/>
    <w:rsid w:val="00A637CF"/>
    <w:rsid w:val="00A63D90"/>
    <w:rsid w:val="00A6563D"/>
    <w:rsid w:val="00A66B6A"/>
    <w:rsid w:val="00A67856"/>
    <w:rsid w:val="00A67CB4"/>
    <w:rsid w:val="00A701B7"/>
    <w:rsid w:val="00A709D3"/>
    <w:rsid w:val="00A71039"/>
    <w:rsid w:val="00A71F0F"/>
    <w:rsid w:val="00A736D7"/>
    <w:rsid w:val="00A74A78"/>
    <w:rsid w:val="00A756D7"/>
    <w:rsid w:val="00A758B2"/>
    <w:rsid w:val="00A75C68"/>
    <w:rsid w:val="00A77200"/>
    <w:rsid w:val="00A776EA"/>
    <w:rsid w:val="00A808DE"/>
    <w:rsid w:val="00A824FB"/>
    <w:rsid w:val="00A85E00"/>
    <w:rsid w:val="00A861D2"/>
    <w:rsid w:val="00A87DDE"/>
    <w:rsid w:val="00A9009B"/>
    <w:rsid w:val="00A90119"/>
    <w:rsid w:val="00A908CF"/>
    <w:rsid w:val="00A91D65"/>
    <w:rsid w:val="00A92459"/>
    <w:rsid w:val="00A92EC1"/>
    <w:rsid w:val="00A93565"/>
    <w:rsid w:val="00A93B07"/>
    <w:rsid w:val="00A9412A"/>
    <w:rsid w:val="00A9491A"/>
    <w:rsid w:val="00A95078"/>
    <w:rsid w:val="00A950C8"/>
    <w:rsid w:val="00A95358"/>
    <w:rsid w:val="00A95D4E"/>
    <w:rsid w:val="00A97C8B"/>
    <w:rsid w:val="00A97E68"/>
    <w:rsid w:val="00AA0466"/>
    <w:rsid w:val="00AA05B7"/>
    <w:rsid w:val="00AA082B"/>
    <w:rsid w:val="00AA088A"/>
    <w:rsid w:val="00AA0F7B"/>
    <w:rsid w:val="00AA1DA2"/>
    <w:rsid w:val="00AA2719"/>
    <w:rsid w:val="00AA30BB"/>
    <w:rsid w:val="00AA3771"/>
    <w:rsid w:val="00AA535E"/>
    <w:rsid w:val="00AA7789"/>
    <w:rsid w:val="00AA7A2B"/>
    <w:rsid w:val="00AA7B23"/>
    <w:rsid w:val="00AB04BE"/>
    <w:rsid w:val="00AB1048"/>
    <w:rsid w:val="00AB1C9E"/>
    <w:rsid w:val="00AB2C32"/>
    <w:rsid w:val="00AB2EB2"/>
    <w:rsid w:val="00AB374D"/>
    <w:rsid w:val="00AB3A4C"/>
    <w:rsid w:val="00AB3D0A"/>
    <w:rsid w:val="00AB3F7E"/>
    <w:rsid w:val="00AB4467"/>
    <w:rsid w:val="00AB5E3C"/>
    <w:rsid w:val="00AB6C03"/>
    <w:rsid w:val="00AB7E66"/>
    <w:rsid w:val="00AC0D57"/>
    <w:rsid w:val="00AC0E81"/>
    <w:rsid w:val="00AC1382"/>
    <w:rsid w:val="00AC21BB"/>
    <w:rsid w:val="00AC235F"/>
    <w:rsid w:val="00AC2D7C"/>
    <w:rsid w:val="00AC2DE3"/>
    <w:rsid w:val="00AC397D"/>
    <w:rsid w:val="00AC41E9"/>
    <w:rsid w:val="00AC41F3"/>
    <w:rsid w:val="00AC50FA"/>
    <w:rsid w:val="00AC5221"/>
    <w:rsid w:val="00AC786E"/>
    <w:rsid w:val="00AC7E2B"/>
    <w:rsid w:val="00AC7EC2"/>
    <w:rsid w:val="00AD00CD"/>
    <w:rsid w:val="00AD162A"/>
    <w:rsid w:val="00AD2102"/>
    <w:rsid w:val="00AD2456"/>
    <w:rsid w:val="00AD264E"/>
    <w:rsid w:val="00AD3144"/>
    <w:rsid w:val="00AD5851"/>
    <w:rsid w:val="00AE00C4"/>
    <w:rsid w:val="00AE0213"/>
    <w:rsid w:val="00AE131B"/>
    <w:rsid w:val="00AE14E4"/>
    <w:rsid w:val="00AE1A56"/>
    <w:rsid w:val="00AE2F9D"/>
    <w:rsid w:val="00AE498A"/>
    <w:rsid w:val="00AE49CA"/>
    <w:rsid w:val="00AE4D17"/>
    <w:rsid w:val="00AE69F0"/>
    <w:rsid w:val="00AF02BF"/>
    <w:rsid w:val="00AF0741"/>
    <w:rsid w:val="00AF3C84"/>
    <w:rsid w:val="00AF50A9"/>
    <w:rsid w:val="00AF5212"/>
    <w:rsid w:val="00AF674B"/>
    <w:rsid w:val="00AF725B"/>
    <w:rsid w:val="00AF7F5A"/>
    <w:rsid w:val="00B0027B"/>
    <w:rsid w:val="00B0057D"/>
    <w:rsid w:val="00B00908"/>
    <w:rsid w:val="00B010DC"/>
    <w:rsid w:val="00B01D48"/>
    <w:rsid w:val="00B02024"/>
    <w:rsid w:val="00B0317E"/>
    <w:rsid w:val="00B048A4"/>
    <w:rsid w:val="00B049A5"/>
    <w:rsid w:val="00B052AC"/>
    <w:rsid w:val="00B059D0"/>
    <w:rsid w:val="00B05B20"/>
    <w:rsid w:val="00B10433"/>
    <w:rsid w:val="00B10F04"/>
    <w:rsid w:val="00B11AE9"/>
    <w:rsid w:val="00B12720"/>
    <w:rsid w:val="00B14746"/>
    <w:rsid w:val="00B1499A"/>
    <w:rsid w:val="00B17037"/>
    <w:rsid w:val="00B2071D"/>
    <w:rsid w:val="00B20CEF"/>
    <w:rsid w:val="00B22430"/>
    <w:rsid w:val="00B22F30"/>
    <w:rsid w:val="00B239C5"/>
    <w:rsid w:val="00B23C16"/>
    <w:rsid w:val="00B241D3"/>
    <w:rsid w:val="00B24B0D"/>
    <w:rsid w:val="00B24BFF"/>
    <w:rsid w:val="00B2531C"/>
    <w:rsid w:val="00B25CA0"/>
    <w:rsid w:val="00B2628F"/>
    <w:rsid w:val="00B269CC"/>
    <w:rsid w:val="00B26F3A"/>
    <w:rsid w:val="00B3028C"/>
    <w:rsid w:val="00B303E2"/>
    <w:rsid w:val="00B3117E"/>
    <w:rsid w:val="00B31CE0"/>
    <w:rsid w:val="00B3229A"/>
    <w:rsid w:val="00B323CB"/>
    <w:rsid w:val="00B32512"/>
    <w:rsid w:val="00B32626"/>
    <w:rsid w:val="00B330EB"/>
    <w:rsid w:val="00B348CC"/>
    <w:rsid w:val="00B356A5"/>
    <w:rsid w:val="00B35D05"/>
    <w:rsid w:val="00B35E88"/>
    <w:rsid w:val="00B3609C"/>
    <w:rsid w:val="00B36841"/>
    <w:rsid w:val="00B44065"/>
    <w:rsid w:val="00B45023"/>
    <w:rsid w:val="00B45F06"/>
    <w:rsid w:val="00B50073"/>
    <w:rsid w:val="00B508E8"/>
    <w:rsid w:val="00B50DC1"/>
    <w:rsid w:val="00B51D11"/>
    <w:rsid w:val="00B533DF"/>
    <w:rsid w:val="00B534D9"/>
    <w:rsid w:val="00B53BC1"/>
    <w:rsid w:val="00B53C03"/>
    <w:rsid w:val="00B53CDF"/>
    <w:rsid w:val="00B5473C"/>
    <w:rsid w:val="00B54949"/>
    <w:rsid w:val="00B5518B"/>
    <w:rsid w:val="00B551D1"/>
    <w:rsid w:val="00B55382"/>
    <w:rsid w:val="00B56492"/>
    <w:rsid w:val="00B5682A"/>
    <w:rsid w:val="00B578E1"/>
    <w:rsid w:val="00B61AAC"/>
    <w:rsid w:val="00B621AB"/>
    <w:rsid w:val="00B6262F"/>
    <w:rsid w:val="00B633EE"/>
    <w:rsid w:val="00B643C1"/>
    <w:rsid w:val="00B64CC4"/>
    <w:rsid w:val="00B6741A"/>
    <w:rsid w:val="00B6761E"/>
    <w:rsid w:val="00B7157B"/>
    <w:rsid w:val="00B715A9"/>
    <w:rsid w:val="00B71995"/>
    <w:rsid w:val="00B71AC9"/>
    <w:rsid w:val="00B72521"/>
    <w:rsid w:val="00B7415A"/>
    <w:rsid w:val="00B74BF2"/>
    <w:rsid w:val="00B75192"/>
    <w:rsid w:val="00B75C0A"/>
    <w:rsid w:val="00B75C48"/>
    <w:rsid w:val="00B76201"/>
    <w:rsid w:val="00B76756"/>
    <w:rsid w:val="00B77417"/>
    <w:rsid w:val="00B81DE0"/>
    <w:rsid w:val="00B81F1F"/>
    <w:rsid w:val="00B82040"/>
    <w:rsid w:val="00B82461"/>
    <w:rsid w:val="00B82671"/>
    <w:rsid w:val="00B8268F"/>
    <w:rsid w:val="00B83F18"/>
    <w:rsid w:val="00B85060"/>
    <w:rsid w:val="00B85F2A"/>
    <w:rsid w:val="00B9049E"/>
    <w:rsid w:val="00B90880"/>
    <w:rsid w:val="00B90E8D"/>
    <w:rsid w:val="00B91551"/>
    <w:rsid w:val="00B91E31"/>
    <w:rsid w:val="00B9360E"/>
    <w:rsid w:val="00B945A3"/>
    <w:rsid w:val="00B95057"/>
    <w:rsid w:val="00B955C8"/>
    <w:rsid w:val="00B95AB8"/>
    <w:rsid w:val="00B964A7"/>
    <w:rsid w:val="00B96703"/>
    <w:rsid w:val="00B976B8"/>
    <w:rsid w:val="00BA2BE6"/>
    <w:rsid w:val="00BA2D7D"/>
    <w:rsid w:val="00BA3037"/>
    <w:rsid w:val="00BA3B74"/>
    <w:rsid w:val="00BA4122"/>
    <w:rsid w:val="00BA58B4"/>
    <w:rsid w:val="00BA5DC9"/>
    <w:rsid w:val="00BA6024"/>
    <w:rsid w:val="00BA7037"/>
    <w:rsid w:val="00BA7DAD"/>
    <w:rsid w:val="00BB0128"/>
    <w:rsid w:val="00BB0FA7"/>
    <w:rsid w:val="00BB1260"/>
    <w:rsid w:val="00BB1B63"/>
    <w:rsid w:val="00BB2021"/>
    <w:rsid w:val="00BB2555"/>
    <w:rsid w:val="00BB2B26"/>
    <w:rsid w:val="00BB368D"/>
    <w:rsid w:val="00BB4DB6"/>
    <w:rsid w:val="00BB5190"/>
    <w:rsid w:val="00BB6268"/>
    <w:rsid w:val="00BB6C97"/>
    <w:rsid w:val="00BC0483"/>
    <w:rsid w:val="00BC0EAA"/>
    <w:rsid w:val="00BC0ED2"/>
    <w:rsid w:val="00BC1B17"/>
    <w:rsid w:val="00BC29C4"/>
    <w:rsid w:val="00BC2CFF"/>
    <w:rsid w:val="00BC2F7E"/>
    <w:rsid w:val="00BC385C"/>
    <w:rsid w:val="00BC3932"/>
    <w:rsid w:val="00BC4314"/>
    <w:rsid w:val="00BC442A"/>
    <w:rsid w:val="00BC4A41"/>
    <w:rsid w:val="00BC67EA"/>
    <w:rsid w:val="00BC6AC2"/>
    <w:rsid w:val="00BC6D8C"/>
    <w:rsid w:val="00BD097C"/>
    <w:rsid w:val="00BD09EF"/>
    <w:rsid w:val="00BD1B80"/>
    <w:rsid w:val="00BD28AF"/>
    <w:rsid w:val="00BD291D"/>
    <w:rsid w:val="00BD3599"/>
    <w:rsid w:val="00BD39ED"/>
    <w:rsid w:val="00BD4770"/>
    <w:rsid w:val="00BD667F"/>
    <w:rsid w:val="00BD7063"/>
    <w:rsid w:val="00BD7CE0"/>
    <w:rsid w:val="00BE02DB"/>
    <w:rsid w:val="00BE0C68"/>
    <w:rsid w:val="00BE2316"/>
    <w:rsid w:val="00BE23D5"/>
    <w:rsid w:val="00BE2C1A"/>
    <w:rsid w:val="00BE33A5"/>
    <w:rsid w:val="00BE3EA3"/>
    <w:rsid w:val="00BE4A3C"/>
    <w:rsid w:val="00BE5043"/>
    <w:rsid w:val="00BE5D74"/>
    <w:rsid w:val="00BE6A52"/>
    <w:rsid w:val="00BE70FF"/>
    <w:rsid w:val="00BE79F9"/>
    <w:rsid w:val="00BF0F44"/>
    <w:rsid w:val="00BF0FD4"/>
    <w:rsid w:val="00BF1407"/>
    <w:rsid w:val="00BF1FEF"/>
    <w:rsid w:val="00BF2512"/>
    <w:rsid w:val="00BF2BB6"/>
    <w:rsid w:val="00BF2DAC"/>
    <w:rsid w:val="00BF5795"/>
    <w:rsid w:val="00BF583D"/>
    <w:rsid w:val="00BF5D25"/>
    <w:rsid w:val="00BF75B6"/>
    <w:rsid w:val="00BF7B79"/>
    <w:rsid w:val="00C0079D"/>
    <w:rsid w:val="00C00889"/>
    <w:rsid w:val="00C00E2E"/>
    <w:rsid w:val="00C0102E"/>
    <w:rsid w:val="00C02A47"/>
    <w:rsid w:val="00C0384C"/>
    <w:rsid w:val="00C03A28"/>
    <w:rsid w:val="00C03D17"/>
    <w:rsid w:val="00C03E26"/>
    <w:rsid w:val="00C05C47"/>
    <w:rsid w:val="00C05F0F"/>
    <w:rsid w:val="00C10027"/>
    <w:rsid w:val="00C1048F"/>
    <w:rsid w:val="00C117D9"/>
    <w:rsid w:val="00C119D4"/>
    <w:rsid w:val="00C11DB7"/>
    <w:rsid w:val="00C11F5C"/>
    <w:rsid w:val="00C12B71"/>
    <w:rsid w:val="00C12C02"/>
    <w:rsid w:val="00C1397B"/>
    <w:rsid w:val="00C13A62"/>
    <w:rsid w:val="00C1480B"/>
    <w:rsid w:val="00C1527C"/>
    <w:rsid w:val="00C15F7E"/>
    <w:rsid w:val="00C16B43"/>
    <w:rsid w:val="00C17636"/>
    <w:rsid w:val="00C17BA1"/>
    <w:rsid w:val="00C207FE"/>
    <w:rsid w:val="00C20D44"/>
    <w:rsid w:val="00C21488"/>
    <w:rsid w:val="00C21B94"/>
    <w:rsid w:val="00C224E2"/>
    <w:rsid w:val="00C22CA3"/>
    <w:rsid w:val="00C26C5A"/>
    <w:rsid w:val="00C26F26"/>
    <w:rsid w:val="00C270B6"/>
    <w:rsid w:val="00C2753F"/>
    <w:rsid w:val="00C27C23"/>
    <w:rsid w:val="00C30E16"/>
    <w:rsid w:val="00C32592"/>
    <w:rsid w:val="00C33F13"/>
    <w:rsid w:val="00C3425E"/>
    <w:rsid w:val="00C346E6"/>
    <w:rsid w:val="00C348B3"/>
    <w:rsid w:val="00C35904"/>
    <w:rsid w:val="00C35BF1"/>
    <w:rsid w:val="00C36293"/>
    <w:rsid w:val="00C37116"/>
    <w:rsid w:val="00C37567"/>
    <w:rsid w:val="00C4020A"/>
    <w:rsid w:val="00C415CF"/>
    <w:rsid w:val="00C41707"/>
    <w:rsid w:val="00C43DEB"/>
    <w:rsid w:val="00C4464B"/>
    <w:rsid w:val="00C462FF"/>
    <w:rsid w:val="00C4641B"/>
    <w:rsid w:val="00C4644F"/>
    <w:rsid w:val="00C464D8"/>
    <w:rsid w:val="00C4671E"/>
    <w:rsid w:val="00C4687D"/>
    <w:rsid w:val="00C50144"/>
    <w:rsid w:val="00C503B0"/>
    <w:rsid w:val="00C50885"/>
    <w:rsid w:val="00C5174B"/>
    <w:rsid w:val="00C518EC"/>
    <w:rsid w:val="00C51F50"/>
    <w:rsid w:val="00C5250E"/>
    <w:rsid w:val="00C53632"/>
    <w:rsid w:val="00C5364D"/>
    <w:rsid w:val="00C53988"/>
    <w:rsid w:val="00C556CD"/>
    <w:rsid w:val="00C5739A"/>
    <w:rsid w:val="00C57A25"/>
    <w:rsid w:val="00C61837"/>
    <w:rsid w:val="00C63303"/>
    <w:rsid w:val="00C63C72"/>
    <w:rsid w:val="00C63D8D"/>
    <w:rsid w:val="00C63E0E"/>
    <w:rsid w:val="00C64243"/>
    <w:rsid w:val="00C67376"/>
    <w:rsid w:val="00C72870"/>
    <w:rsid w:val="00C73084"/>
    <w:rsid w:val="00C74770"/>
    <w:rsid w:val="00C74CF6"/>
    <w:rsid w:val="00C75353"/>
    <w:rsid w:val="00C75B48"/>
    <w:rsid w:val="00C76234"/>
    <w:rsid w:val="00C80385"/>
    <w:rsid w:val="00C81175"/>
    <w:rsid w:val="00C818CE"/>
    <w:rsid w:val="00C81A41"/>
    <w:rsid w:val="00C82030"/>
    <w:rsid w:val="00C82A8E"/>
    <w:rsid w:val="00C84F82"/>
    <w:rsid w:val="00C858D6"/>
    <w:rsid w:val="00C86805"/>
    <w:rsid w:val="00C87283"/>
    <w:rsid w:val="00C872C3"/>
    <w:rsid w:val="00C87602"/>
    <w:rsid w:val="00C878D3"/>
    <w:rsid w:val="00C901F3"/>
    <w:rsid w:val="00C9039B"/>
    <w:rsid w:val="00C91FCE"/>
    <w:rsid w:val="00C92686"/>
    <w:rsid w:val="00C9306D"/>
    <w:rsid w:val="00C95F67"/>
    <w:rsid w:val="00C9654A"/>
    <w:rsid w:val="00CA0038"/>
    <w:rsid w:val="00CA011A"/>
    <w:rsid w:val="00CA0418"/>
    <w:rsid w:val="00CA08E9"/>
    <w:rsid w:val="00CA1BFF"/>
    <w:rsid w:val="00CA1D9E"/>
    <w:rsid w:val="00CA1E2C"/>
    <w:rsid w:val="00CA2DA9"/>
    <w:rsid w:val="00CA3226"/>
    <w:rsid w:val="00CA332E"/>
    <w:rsid w:val="00CA347D"/>
    <w:rsid w:val="00CA49E1"/>
    <w:rsid w:val="00CA4EAE"/>
    <w:rsid w:val="00CA684E"/>
    <w:rsid w:val="00CA6917"/>
    <w:rsid w:val="00CA6E06"/>
    <w:rsid w:val="00CA761F"/>
    <w:rsid w:val="00CA7728"/>
    <w:rsid w:val="00CB0317"/>
    <w:rsid w:val="00CB0D24"/>
    <w:rsid w:val="00CB4081"/>
    <w:rsid w:val="00CB4333"/>
    <w:rsid w:val="00CB59AB"/>
    <w:rsid w:val="00CB5DE8"/>
    <w:rsid w:val="00CB7F5A"/>
    <w:rsid w:val="00CC1505"/>
    <w:rsid w:val="00CC2987"/>
    <w:rsid w:val="00CC2D75"/>
    <w:rsid w:val="00CC334E"/>
    <w:rsid w:val="00CC368A"/>
    <w:rsid w:val="00CC40FA"/>
    <w:rsid w:val="00CC557C"/>
    <w:rsid w:val="00CC5587"/>
    <w:rsid w:val="00CC5E84"/>
    <w:rsid w:val="00CC6B12"/>
    <w:rsid w:val="00CC6F9F"/>
    <w:rsid w:val="00CD05D7"/>
    <w:rsid w:val="00CD1B49"/>
    <w:rsid w:val="00CD4147"/>
    <w:rsid w:val="00CD464E"/>
    <w:rsid w:val="00CD50A1"/>
    <w:rsid w:val="00CD58F5"/>
    <w:rsid w:val="00CD5A86"/>
    <w:rsid w:val="00CD5CE6"/>
    <w:rsid w:val="00CD5FCD"/>
    <w:rsid w:val="00CD6215"/>
    <w:rsid w:val="00CD6498"/>
    <w:rsid w:val="00CD652F"/>
    <w:rsid w:val="00CD6A97"/>
    <w:rsid w:val="00CD70F1"/>
    <w:rsid w:val="00CE00BD"/>
    <w:rsid w:val="00CE021A"/>
    <w:rsid w:val="00CE1AF1"/>
    <w:rsid w:val="00CE292F"/>
    <w:rsid w:val="00CE3C94"/>
    <w:rsid w:val="00CE57A5"/>
    <w:rsid w:val="00CE6D85"/>
    <w:rsid w:val="00CE6E37"/>
    <w:rsid w:val="00CE7583"/>
    <w:rsid w:val="00CE7EC3"/>
    <w:rsid w:val="00CF02C6"/>
    <w:rsid w:val="00CF1511"/>
    <w:rsid w:val="00CF20F6"/>
    <w:rsid w:val="00CF2B12"/>
    <w:rsid w:val="00CF312B"/>
    <w:rsid w:val="00CF4270"/>
    <w:rsid w:val="00CF4A09"/>
    <w:rsid w:val="00CF6151"/>
    <w:rsid w:val="00CF7148"/>
    <w:rsid w:val="00CF7BCD"/>
    <w:rsid w:val="00CF7E4E"/>
    <w:rsid w:val="00D00A2F"/>
    <w:rsid w:val="00D01943"/>
    <w:rsid w:val="00D04316"/>
    <w:rsid w:val="00D05126"/>
    <w:rsid w:val="00D056AF"/>
    <w:rsid w:val="00D06023"/>
    <w:rsid w:val="00D06666"/>
    <w:rsid w:val="00D074C1"/>
    <w:rsid w:val="00D07A46"/>
    <w:rsid w:val="00D1056E"/>
    <w:rsid w:val="00D11109"/>
    <w:rsid w:val="00D114B6"/>
    <w:rsid w:val="00D11A2B"/>
    <w:rsid w:val="00D11D89"/>
    <w:rsid w:val="00D13B4E"/>
    <w:rsid w:val="00D14D2B"/>
    <w:rsid w:val="00D154E6"/>
    <w:rsid w:val="00D15517"/>
    <w:rsid w:val="00D1567A"/>
    <w:rsid w:val="00D16624"/>
    <w:rsid w:val="00D168D5"/>
    <w:rsid w:val="00D16DC6"/>
    <w:rsid w:val="00D17324"/>
    <w:rsid w:val="00D1790A"/>
    <w:rsid w:val="00D2084B"/>
    <w:rsid w:val="00D21191"/>
    <w:rsid w:val="00D23317"/>
    <w:rsid w:val="00D235A1"/>
    <w:rsid w:val="00D248DB"/>
    <w:rsid w:val="00D2504D"/>
    <w:rsid w:val="00D25527"/>
    <w:rsid w:val="00D25BC5"/>
    <w:rsid w:val="00D25C21"/>
    <w:rsid w:val="00D25C27"/>
    <w:rsid w:val="00D25F06"/>
    <w:rsid w:val="00D25F63"/>
    <w:rsid w:val="00D274DF"/>
    <w:rsid w:val="00D275C7"/>
    <w:rsid w:val="00D30193"/>
    <w:rsid w:val="00D30E7C"/>
    <w:rsid w:val="00D32729"/>
    <w:rsid w:val="00D340CC"/>
    <w:rsid w:val="00D35DF4"/>
    <w:rsid w:val="00D36786"/>
    <w:rsid w:val="00D369ED"/>
    <w:rsid w:val="00D372C9"/>
    <w:rsid w:val="00D40D6C"/>
    <w:rsid w:val="00D40E91"/>
    <w:rsid w:val="00D4137C"/>
    <w:rsid w:val="00D41C15"/>
    <w:rsid w:val="00D425CA"/>
    <w:rsid w:val="00D42EA1"/>
    <w:rsid w:val="00D4381D"/>
    <w:rsid w:val="00D43FFB"/>
    <w:rsid w:val="00D443B9"/>
    <w:rsid w:val="00D44B8C"/>
    <w:rsid w:val="00D45B41"/>
    <w:rsid w:val="00D45FA1"/>
    <w:rsid w:val="00D4665A"/>
    <w:rsid w:val="00D468F1"/>
    <w:rsid w:val="00D46B87"/>
    <w:rsid w:val="00D47356"/>
    <w:rsid w:val="00D50CFD"/>
    <w:rsid w:val="00D51006"/>
    <w:rsid w:val="00D5132D"/>
    <w:rsid w:val="00D51B0B"/>
    <w:rsid w:val="00D52270"/>
    <w:rsid w:val="00D5250D"/>
    <w:rsid w:val="00D5261E"/>
    <w:rsid w:val="00D53067"/>
    <w:rsid w:val="00D539EB"/>
    <w:rsid w:val="00D545A2"/>
    <w:rsid w:val="00D54F98"/>
    <w:rsid w:val="00D55B97"/>
    <w:rsid w:val="00D56029"/>
    <w:rsid w:val="00D61E96"/>
    <w:rsid w:val="00D63302"/>
    <w:rsid w:val="00D633C1"/>
    <w:rsid w:val="00D63624"/>
    <w:rsid w:val="00D64637"/>
    <w:rsid w:val="00D64E07"/>
    <w:rsid w:val="00D64F06"/>
    <w:rsid w:val="00D6529F"/>
    <w:rsid w:val="00D66043"/>
    <w:rsid w:val="00D70433"/>
    <w:rsid w:val="00D7047F"/>
    <w:rsid w:val="00D70F52"/>
    <w:rsid w:val="00D7134F"/>
    <w:rsid w:val="00D717C9"/>
    <w:rsid w:val="00D71BE7"/>
    <w:rsid w:val="00D71C4D"/>
    <w:rsid w:val="00D72446"/>
    <w:rsid w:val="00D72571"/>
    <w:rsid w:val="00D72853"/>
    <w:rsid w:val="00D72BD5"/>
    <w:rsid w:val="00D72D22"/>
    <w:rsid w:val="00D73E00"/>
    <w:rsid w:val="00D758D8"/>
    <w:rsid w:val="00D771D0"/>
    <w:rsid w:val="00D77E5C"/>
    <w:rsid w:val="00D77FC6"/>
    <w:rsid w:val="00D8032A"/>
    <w:rsid w:val="00D822FA"/>
    <w:rsid w:val="00D82441"/>
    <w:rsid w:val="00D83694"/>
    <w:rsid w:val="00D8402F"/>
    <w:rsid w:val="00D8429E"/>
    <w:rsid w:val="00D8546F"/>
    <w:rsid w:val="00D8736D"/>
    <w:rsid w:val="00D87A4A"/>
    <w:rsid w:val="00D9002F"/>
    <w:rsid w:val="00D917C5"/>
    <w:rsid w:val="00D92915"/>
    <w:rsid w:val="00D92BF3"/>
    <w:rsid w:val="00D939B7"/>
    <w:rsid w:val="00D962EA"/>
    <w:rsid w:val="00D969C3"/>
    <w:rsid w:val="00D96E58"/>
    <w:rsid w:val="00D97E11"/>
    <w:rsid w:val="00DA01E9"/>
    <w:rsid w:val="00DA22C7"/>
    <w:rsid w:val="00DA2663"/>
    <w:rsid w:val="00DA378F"/>
    <w:rsid w:val="00DA4691"/>
    <w:rsid w:val="00DA5CC6"/>
    <w:rsid w:val="00DA66A6"/>
    <w:rsid w:val="00DA6AE8"/>
    <w:rsid w:val="00DA6F0E"/>
    <w:rsid w:val="00DA7975"/>
    <w:rsid w:val="00DB0A56"/>
    <w:rsid w:val="00DB1872"/>
    <w:rsid w:val="00DB22F0"/>
    <w:rsid w:val="00DB2B85"/>
    <w:rsid w:val="00DB38DF"/>
    <w:rsid w:val="00DB3E70"/>
    <w:rsid w:val="00DB4540"/>
    <w:rsid w:val="00DB543A"/>
    <w:rsid w:val="00DB6462"/>
    <w:rsid w:val="00DB7A8A"/>
    <w:rsid w:val="00DB7D98"/>
    <w:rsid w:val="00DC0FF7"/>
    <w:rsid w:val="00DC1119"/>
    <w:rsid w:val="00DC3CED"/>
    <w:rsid w:val="00DC5519"/>
    <w:rsid w:val="00DC57F2"/>
    <w:rsid w:val="00DC5D80"/>
    <w:rsid w:val="00DC62BD"/>
    <w:rsid w:val="00DC7568"/>
    <w:rsid w:val="00DC75D8"/>
    <w:rsid w:val="00DC7AF4"/>
    <w:rsid w:val="00DD0538"/>
    <w:rsid w:val="00DD08BB"/>
    <w:rsid w:val="00DD150D"/>
    <w:rsid w:val="00DD17EC"/>
    <w:rsid w:val="00DD1A9F"/>
    <w:rsid w:val="00DD4038"/>
    <w:rsid w:val="00DD4351"/>
    <w:rsid w:val="00DD55C6"/>
    <w:rsid w:val="00DD6424"/>
    <w:rsid w:val="00DE182E"/>
    <w:rsid w:val="00DE1F69"/>
    <w:rsid w:val="00DE1FA2"/>
    <w:rsid w:val="00DE3BB8"/>
    <w:rsid w:val="00DE498C"/>
    <w:rsid w:val="00DE5103"/>
    <w:rsid w:val="00DE5155"/>
    <w:rsid w:val="00DE520A"/>
    <w:rsid w:val="00DE6197"/>
    <w:rsid w:val="00DE6FF9"/>
    <w:rsid w:val="00DE7118"/>
    <w:rsid w:val="00DE7A78"/>
    <w:rsid w:val="00DF0394"/>
    <w:rsid w:val="00DF0CD4"/>
    <w:rsid w:val="00DF124E"/>
    <w:rsid w:val="00DF2228"/>
    <w:rsid w:val="00DF313A"/>
    <w:rsid w:val="00DF32A5"/>
    <w:rsid w:val="00DF557E"/>
    <w:rsid w:val="00DF578F"/>
    <w:rsid w:val="00DF778A"/>
    <w:rsid w:val="00E020E7"/>
    <w:rsid w:val="00E02CC6"/>
    <w:rsid w:val="00E0357A"/>
    <w:rsid w:val="00E03FCE"/>
    <w:rsid w:val="00E043EC"/>
    <w:rsid w:val="00E044A6"/>
    <w:rsid w:val="00E04FE8"/>
    <w:rsid w:val="00E05282"/>
    <w:rsid w:val="00E06753"/>
    <w:rsid w:val="00E06BBD"/>
    <w:rsid w:val="00E06EC8"/>
    <w:rsid w:val="00E10703"/>
    <w:rsid w:val="00E123DD"/>
    <w:rsid w:val="00E12C97"/>
    <w:rsid w:val="00E132CE"/>
    <w:rsid w:val="00E13F71"/>
    <w:rsid w:val="00E1457C"/>
    <w:rsid w:val="00E14F63"/>
    <w:rsid w:val="00E15C40"/>
    <w:rsid w:val="00E17E28"/>
    <w:rsid w:val="00E211BB"/>
    <w:rsid w:val="00E2320C"/>
    <w:rsid w:val="00E24785"/>
    <w:rsid w:val="00E24885"/>
    <w:rsid w:val="00E2683E"/>
    <w:rsid w:val="00E2769F"/>
    <w:rsid w:val="00E30C27"/>
    <w:rsid w:val="00E317C4"/>
    <w:rsid w:val="00E325A8"/>
    <w:rsid w:val="00E3293F"/>
    <w:rsid w:val="00E33233"/>
    <w:rsid w:val="00E33E68"/>
    <w:rsid w:val="00E34276"/>
    <w:rsid w:val="00E347E2"/>
    <w:rsid w:val="00E34D26"/>
    <w:rsid w:val="00E372DD"/>
    <w:rsid w:val="00E3756B"/>
    <w:rsid w:val="00E377DB"/>
    <w:rsid w:val="00E379B0"/>
    <w:rsid w:val="00E41418"/>
    <w:rsid w:val="00E41E04"/>
    <w:rsid w:val="00E42B28"/>
    <w:rsid w:val="00E43A73"/>
    <w:rsid w:val="00E43DEC"/>
    <w:rsid w:val="00E44353"/>
    <w:rsid w:val="00E503FD"/>
    <w:rsid w:val="00E51A7C"/>
    <w:rsid w:val="00E5259C"/>
    <w:rsid w:val="00E529D6"/>
    <w:rsid w:val="00E52B69"/>
    <w:rsid w:val="00E54EAD"/>
    <w:rsid w:val="00E56BA0"/>
    <w:rsid w:val="00E56D28"/>
    <w:rsid w:val="00E620C4"/>
    <w:rsid w:val="00E6291B"/>
    <w:rsid w:val="00E63ED9"/>
    <w:rsid w:val="00E67713"/>
    <w:rsid w:val="00E67E34"/>
    <w:rsid w:val="00E70666"/>
    <w:rsid w:val="00E7198A"/>
    <w:rsid w:val="00E72266"/>
    <w:rsid w:val="00E746B8"/>
    <w:rsid w:val="00E749ED"/>
    <w:rsid w:val="00E74C1B"/>
    <w:rsid w:val="00E77859"/>
    <w:rsid w:val="00E8004A"/>
    <w:rsid w:val="00E8030C"/>
    <w:rsid w:val="00E80ABD"/>
    <w:rsid w:val="00E8101B"/>
    <w:rsid w:val="00E812EA"/>
    <w:rsid w:val="00E81A64"/>
    <w:rsid w:val="00E85E34"/>
    <w:rsid w:val="00E86C4E"/>
    <w:rsid w:val="00E875CE"/>
    <w:rsid w:val="00E876AC"/>
    <w:rsid w:val="00E87CC8"/>
    <w:rsid w:val="00E91314"/>
    <w:rsid w:val="00E92230"/>
    <w:rsid w:val="00E93EA7"/>
    <w:rsid w:val="00E951DB"/>
    <w:rsid w:val="00E97B66"/>
    <w:rsid w:val="00E97D9A"/>
    <w:rsid w:val="00E97D9C"/>
    <w:rsid w:val="00EA0E55"/>
    <w:rsid w:val="00EA20C0"/>
    <w:rsid w:val="00EA2737"/>
    <w:rsid w:val="00EA3FD0"/>
    <w:rsid w:val="00EA52D9"/>
    <w:rsid w:val="00EA57D8"/>
    <w:rsid w:val="00EA5845"/>
    <w:rsid w:val="00EB0A92"/>
    <w:rsid w:val="00EB0CA7"/>
    <w:rsid w:val="00EB11C1"/>
    <w:rsid w:val="00EB12FE"/>
    <w:rsid w:val="00EB1330"/>
    <w:rsid w:val="00EB15D3"/>
    <w:rsid w:val="00EB1AE1"/>
    <w:rsid w:val="00EB2A89"/>
    <w:rsid w:val="00EB2A99"/>
    <w:rsid w:val="00EB306D"/>
    <w:rsid w:val="00EB35ED"/>
    <w:rsid w:val="00EB51DB"/>
    <w:rsid w:val="00EB5C95"/>
    <w:rsid w:val="00EB63AE"/>
    <w:rsid w:val="00EB7F84"/>
    <w:rsid w:val="00EC137E"/>
    <w:rsid w:val="00EC15D2"/>
    <w:rsid w:val="00EC20EF"/>
    <w:rsid w:val="00EC3565"/>
    <w:rsid w:val="00EC3581"/>
    <w:rsid w:val="00EC3592"/>
    <w:rsid w:val="00EC64B3"/>
    <w:rsid w:val="00EC6CA3"/>
    <w:rsid w:val="00EC6EB1"/>
    <w:rsid w:val="00EC77A9"/>
    <w:rsid w:val="00ED08E9"/>
    <w:rsid w:val="00ED110C"/>
    <w:rsid w:val="00ED1EE8"/>
    <w:rsid w:val="00ED2214"/>
    <w:rsid w:val="00ED2519"/>
    <w:rsid w:val="00ED2E13"/>
    <w:rsid w:val="00ED3ED3"/>
    <w:rsid w:val="00ED4138"/>
    <w:rsid w:val="00ED46D9"/>
    <w:rsid w:val="00ED4745"/>
    <w:rsid w:val="00ED4A04"/>
    <w:rsid w:val="00ED502F"/>
    <w:rsid w:val="00ED506E"/>
    <w:rsid w:val="00ED50FB"/>
    <w:rsid w:val="00ED519E"/>
    <w:rsid w:val="00ED54C8"/>
    <w:rsid w:val="00ED66AB"/>
    <w:rsid w:val="00ED7503"/>
    <w:rsid w:val="00EE0ADD"/>
    <w:rsid w:val="00EE0B35"/>
    <w:rsid w:val="00EE1629"/>
    <w:rsid w:val="00EE3284"/>
    <w:rsid w:val="00EE4F41"/>
    <w:rsid w:val="00EE64B2"/>
    <w:rsid w:val="00EE6E2D"/>
    <w:rsid w:val="00EE6E98"/>
    <w:rsid w:val="00EE7011"/>
    <w:rsid w:val="00EF0356"/>
    <w:rsid w:val="00EF1690"/>
    <w:rsid w:val="00EF186C"/>
    <w:rsid w:val="00EF18A1"/>
    <w:rsid w:val="00EF19A2"/>
    <w:rsid w:val="00EF25BA"/>
    <w:rsid w:val="00EF2D56"/>
    <w:rsid w:val="00EF2EFA"/>
    <w:rsid w:val="00EF4FD3"/>
    <w:rsid w:val="00EF546D"/>
    <w:rsid w:val="00EF55C7"/>
    <w:rsid w:val="00EF59F0"/>
    <w:rsid w:val="00EF6195"/>
    <w:rsid w:val="00F0077B"/>
    <w:rsid w:val="00F00AFE"/>
    <w:rsid w:val="00F01071"/>
    <w:rsid w:val="00F01CCF"/>
    <w:rsid w:val="00F01CFC"/>
    <w:rsid w:val="00F020FE"/>
    <w:rsid w:val="00F02774"/>
    <w:rsid w:val="00F029D1"/>
    <w:rsid w:val="00F04B7F"/>
    <w:rsid w:val="00F04D3B"/>
    <w:rsid w:val="00F054D1"/>
    <w:rsid w:val="00F0577D"/>
    <w:rsid w:val="00F05FA6"/>
    <w:rsid w:val="00F061A8"/>
    <w:rsid w:val="00F111A3"/>
    <w:rsid w:val="00F1147A"/>
    <w:rsid w:val="00F12278"/>
    <w:rsid w:val="00F12636"/>
    <w:rsid w:val="00F136D9"/>
    <w:rsid w:val="00F13BF1"/>
    <w:rsid w:val="00F13C5D"/>
    <w:rsid w:val="00F14519"/>
    <w:rsid w:val="00F152BF"/>
    <w:rsid w:val="00F153A1"/>
    <w:rsid w:val="00F15B12"/>
    <w:rsid w:val="00F16A49"/>
    <w:rsid w:val="00F175E2"/>
    <w:rsid w:val="00F178A8"/>
    <w:rsid w:val="00F2024C"/>
    <w:rsid w:val="00F202E1"/>
    <w:rsid w:val="00F20471"/>
    <w:rsid w:val="00F215D1"/>
    <w:rsid w:val="00F217BB"/>
    <w:rsid w:val="00F22367"/>
    <w:rsid w:val="00F22C52"/>
    <w:rsid w:val="00F22D40"/>
    <w:rsid w:val="00F24C7A"/>
    <w:rsid w:val="00F2508F"/>
    <w:rsid w:val="00F251C7"/>
    <w:rsid w:val="00F25298"/>
    <w:rsid w:val="00F259DB"/>
    <w:rsid w:val="00F260AE"/>
    <w:rsid w:val="00F2753E"/>
    <w:rsid w:val="00F277CC"/>
    <w:rsid w:val="00F31873"/>
    <w:rsid w:val="00F32AB5"/>
    <w:rsid w:val="00F3334C"/>
    <w:rsid w:val="00F335EE"/>
    <w:rsid w:val="00F33728"/>
    <w:rsid w:val="00F340F7"/>
    <w:rsid w:val="00F34340"/>
    <w:rsid w:val="00F34B5A"/>
    <w:rsid w:val="00F34D72"/>
    <w:rsid w:val="00F35A43"/>
    <w:rsid w:val="00F36221"/>
    <w:rsid w:val="00F4033C"/>
    <w:rsid w:val="00F40687"/>
    <w:rsid w:val="00F41987"/>
    <w:rsid w:val="00F41ED4"/>
    <w:rsid w:val="00F44116"/>
    <w:rsid w:val="00F442A3"/>
    <w:rsid w:val="00F44525"/>
    <w:rsid w:val="00F44A73"/>
    <w:rsid w:val="00F44DBA"/>
    <w:rsid w:val="00F45156"/>
    <w:rsid w:val="00F451EE"/>
    <w:rsid w:val="00F459CA"/>
    <w:rsid w:val="00F45E2D"/>
    <w:rsid w:val="00F476B8"/>
    <w:rsid w:val="00F4785B"/>
    <w:rsid w:val="00F50D9D"/>
    <w:rsid w:val="00F5191A"/>
    <w:rsid w:val="00F54537"/>
    <w:rsid w:val="00F55A80"/>
    <w:rsid w:val="00F56432"/>
    <w:rsid w:val="00F57151"/>
    <w:rsid w:val="00F57AA9"/>
    <w:rsid w:val="00F57E16"/>
    <w:rsid w:val="00F602E2"/>
    <w:rsid w:val="00F60926"/>
    <w:rsid w:val="00F61C83"/>
    <w:rsid w:val="00F61D43"/>
    <w:rsid w:val="00F62F20"/>
    <w:rsid w:val="00F636D1"/>
    <w:rsid w:val="00F64EDB"/>
    <w:rsid w:val="00F652D5"/>
    <w:rsid w:val="00F65378"/>
    <w:rsid w:val="00F65E9B"/>
    <w:rsid w:val="00F679B7"/>
    <w:rsid w:val="00F70055"/>
    <w:rsid w:val="00F70288"/>
    <w:rsid w:val="00F704FF"/>
    <w:rsid w:val="00F72AEA"/>
    <w:rsid w:val="00F72BC5"/>
    <w:rsid w:val="00F734DB"/>
    <w:rsid w:val="00F736BB"/>
    <w:rsid w:val="00F73E49"/>
    <w:rsid w:val="00F74439"/>
    <w:rsid w:val="00F7532F"/>
    <w:rsid w:val="00F75434"/>
    <w:rsid w:val="00F75BD7"/>
    <w:rsid w:val="00F76312"/>
    <w:rsid w:val="00F77125"/>
    <w:rsid w:val="00F800BF"/>
    <w:rsid w:val="00F8032D"/>
    <w:rsid w:val="00F804BC"/>
    <w:rsid w:val="00F8051C"/>
    <w:rsid w:val="00F814B5"/>
    <w:rsid w:val="00F81CF8"/>
    <w:rsid w:val="00F834F9"/>
    <w:rsid w:val="00F838AB"/>
    <w:rsid w:val="00F83DE7"/>
    <w:rsid w:val="00F840BC"/>
    <w:rsid w:val="00F84105"/>
    <w:rsid w:val="00F856F9"/>
    <w:rsid w:val="00F85B0F"/>
    <w:rsid w:val="00F867D6"/>
    <w:rsid w:val="00F871D1"/>
    <w:rsid w:val="00F87486"/>
    <w:rsid w:val="00F91CE5"/>
    <w:rsid w:val="00F91E3A"/>
    <w:rsid w:val="00F9223D"/>
    <w:rsid w:val="00F93412"/>
    <w:rsid w:val="00F945BD"/>
    <w:rsid w:val="00F954BB"/>
    <w:rsid w:val="00F9588E"/>
    <w:rsid w:val="00F96463"/>
    <w:rsid w:val="00F96DC8"/>
    <w:rsid w:val="00F97C9F"/>
    <w:rsid w:val="00FA1259"/>
    <w:rsid w:val="00FA2694"/>
    <w:rsid w:val="00FA2756"/>
    <w:rsid w:val="00FA3342"/>
    <w:rsid w:val="00FA3732"/>
    <w:rsid w:val="00FA375C"/>
    <w:rsid w:val="00FA4189"/>
    <w:rsid w:val="00FA4413"/>
    <w:rsid w:val="00FA4AF3"/>
    <w:rsid w:val="00FA4FA2"/>
    <w:rsid w:val="00FA519A"/>
    <w:rsid w:val="00FA777A"/>
    <w:rsid w:val="00FA7AEE"/>
    <w:rsid w:val="00FB0802"/>
    <w:rsid w:val="00FB1822"/>
    <w:rsid w:val="00FB1852"/>
    <w:rsid w:val="00FB2099"/>
    <w:rsid w:val="00FB269B"/>
    <w:rsid w:val="00FB2C42"/>
    <w:rsid w:val="00FB31D5"/>
    <w:rsid w:val="00FB691E"/>
    <w:rsid w:val="00FB6D77"/>
    <w:rsid w:val="00FB713A"/>
    <w:rsid w:val="00FB7827"/>
    <w:rsid w:val="00FB7D9A"/>
    <w:rsid w:val="00FC0CCD"/>
    <w:rsid w:val="00FC0D4C"/>
    <w:rsid w:val="00FC5412"/>
    <w:rsid w:val="00FC61F3"/>
    <w:rsid w:val="00FC643A"/>
    <w:rsid w:val="00FC664F"/>
    <w:rsid w:val="00FC68E9"/>
    <w:rsid w:val="00FC690A"/>
    <w:rsid w:val="00FC69CE"/>
    <w:rsid w:val="00FC7892"/>
    <w:rsid w:val="00FC78F3"/>
    <w:rsid w:val="00FC79CC"/>
    <w:rsid w:val="00FD21F8"/>
    <w:rsid w:val="00FD242A"/>
    <w:rsid w:val="00FD2B78"/>
    <w:rsid w:val="00FD2BE4"/>
    <w:rsid w:val="00FD2F02"/>
    <w:rsid w:val="00FD370B"/>
    <w:rsid w:val="00FD508A"/>
    <w:rsid w:val="00FD52AF"/>
    <w:rsid w:val="00FD5A3D"/>
    <w:rsid w:val="00FD6D95"/>
    <w:rsid w:val="00FD7AF7"/>
    <w:rsid w:val="00FD7BA3"/>
    <w:rsid w:val="00FE06FB"/>
    <w:rsid w:val="00FE0B44"/>
    <w:rsid w:val="00FE1240"/>
    <w:rsid w:val="00FE149E"/>
    <w:rsid w:val="00FE165B"/>
    <w:rsid w:val="00FE2ACD"/>
    <w:rsid w:val="00FE2C87"/>
    <w:rsid w:val="00FE2FBD"/>
    <w:rsid w:val="00FE31EA"/>
    <w:rsid w:val="00FE5E7B"/>
    <w:rsid w:val="00FE5F09"/>
    <w:rsid w:val="00FE6157"/>
    <w:rsid w:val="00FE6A4B"/>
    <w:rsid w:val="00FE6C57"/>
    <w:rsid w:val="00FE7442"/>
    <w:rsid w:val="00FF039E"/>
    <w:rsid w:val="00FF09EF"/>
    <w:rsid w:val="00FF1172"/>
    <w:rsid w:val="00FF24BA"/>
    <w:rsid w:val="00FF2C2D"/>
    <w:rsid w:val="00FF2E13"/>
    <w:rsid w:val="00FF3CDC"/>
    <w:rsid w:val="00FF42D5"/>
    <w:rsid w:val="00FF4CCA"/>
    <w:rsid w:val="00FF6F31"/>
    <w:rsid w:val="00FF733F"/>
    <w:rsid w:val="00FF7B8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0833"/>
    <o:shapelayout v:ext="edit">
      <o:idmap v:ext="edit" data="1"/>
    </o:shapelayout>
  </w:shapeDefaults>
  <w:decimalSymbol w:val="."/>
  <w:listSeparator w:val=","/>
  <w14:docId w14:val="23DFEE80"/>
  <w15:docId w15:val="{15D608CB-2292-4C8D-B72F-945B134956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GB" w:eastAsia="en-GB" w:bidi="ar-SA"/>
      </w:rPr>
    </w:rPrDefault>
    <w:pPrDefault/>
  </w:docDefaults>
  <w:latentStyles w:defLockedState="0" w:defUIPriority="98" w:defSemiHidden="0" w:defUnhideWhenUsed="0" w:defQFormat="0" w:count="371">
    <w:lsdException w:name="Normal" w:uiPriority="0" w:qFormat="1"/>
    <w:lsdException w:name="heading 1" w:uiPriority="1" w:qFormat="1"/>
    <w:lsdException w:name="heading 2" w:uiPriority="1" w:qFormat="1"/>
    <w:lsdException w:name="heading 3" w:uiPriority="1" w:qFormat="1"/>
    <w:lsdException w:name="heading 4" w:uiPriority="1" w:qFormat="1"/>
    <w:lsdException w:name="heading 5" w:uiPriority="1" w:qFormat="1"/>
    <w:lsdException w:name="heading 6" w:uiPriority="1"/>
    <w:lsdException w:name="heading 7" w:semiHidden="1" w:uiPriority="1" w:unhideWhenUsed="1"/>
    <w:lsdException w:name="heading 8" w:semiHidden="1" w:uiPriority="1" w:unhideWhenUsed="1"/>
    <w:lsdException w:name="heading 9" w:semiHidden="1" w:uiPriority="1" w:unhideWhenUsed="1"/>
    <w:lsdException w:name="index 1" w:semiHidden="1" w:uiPriority="97" w:unhideWhenUsed="1"/>
    <w:lsdException w:name="index 2" w:semiHidden="1" w:uiPriority="97" w:unhideWhenUsed="1"/>
    <w:lsdException w:name="index 3" w:semiHidden="1" w:uiPriority="97" w:unhideWhenUsed="1"/>
    <w:lsdException w:name="index 4" w:semiHidden="1" w:uiPriority="97" w:unhideWhenUsed="1"/>
    <w:lsdException w:name="index 5" w:semiHidden="1" w:uiPriority="97" w:unhideWhenUsed="1"/>
    <w:lsdException w:name="index 6" w:semiHidden="1" w:uiPriority="97" w:unhideWhenUsed="1"/>
    <w:lsdException w:name="index 7" w:semiHidden="1" w:uiPriority="97" w:unhideWhenUsed="1"/>
    <w:lsdException w:name="index 8" w:semiHidden="1" w:uiPriority="97" w:unhideWhenUsed="1"/>
    <w:lsdException w:name="index 9" w:semiHidden="1" w:uiPriority="97"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97" w:unhideWhenUsed="1"/>
    <w:lsdException w:name="toc 6" w:semiHidden="1" w:uiPriority="97" w:unhideWhenUsed="1"/>
    <w:lsdException w:name="toc 7" w:semiHidden="1" w:uiPriority="97" w:unhideWhenUsed="1"/>
    <w:lsdException w:name="toc 8" w:semiHidden="1" w:uiPriority="97" w:unhideWhenUsed="1"/>
    <w:lsdException w:name="toc 9" w:semiHidden="1" w:uiPriority="97" w:unhideWhenUsed="1"/>
    <w:lsdException w:name="Normal Indent" w:semiHidden="1" w:uiPriority="97"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 w:unhideWhenUsed="1"/>
    <w:lsdException w:name="index heading" w:semiHidden="1" w:uiPriority="97" w:unhideWhenUsed="1"/>
    <w:lsdException w:name="caption" w:semiHidden="1" w:uiPriority="11" w:unhideWhenUsed="1" w:qFormat="1"/>
    <w:lsdException w:name="table of figures" w:semiHidden="1" w:uiPriority="99" w:unhideWhenUsed="1"/>
    <w:lsdException w:name="envelope address" w:semiHidden="1" w:uiPriority="97" w:unhideWhenUsed="1"/>
    <w:lsdException w:name="envelope return" w:semiHidden="1" w:uiPriority="97" w:unhideWhenUsed="1"/>
    <w:lsdException w:name="footnote reference" w:semiHidden="1" w:uiPriority="99" w:unhideWhenUsed="1"/>
    <w:lsdException w:name="annotation reference" w:semiHidden="1" w:uiPriority="97" w:unhideWhenUsed="1"/>
    <w:lsdException w:name="line number" w:semiHidden="1" w:uiPriority="97" w:unhideWhenUsed="1"/>
    <w:lsdException w:name="page number" w:semiHidden="1" w:uiPriority="11" w:unhideWhenUsed="1"/>
    <w:lsdException w:name="endnote reference" w:semiHidden="1" w:uiPriority="97" w:unhideWhenUsed="1"/>
    <w:lsdException w:name="endnote text" w:semiHidden="1" w:uiPriority="97" w:unhideWhenUsed="1"/>
    <w:lsdException w:name="table of authorities" w:semiHidden="1" w:uiPriority="97" w:unhideWhenUsed="1"/>
    <w:lsdException w:name="macro" w:semiHidden="1" w:uiPriority="97" w:unhideWhenUsed="1"/>
    <w:lsdException w:name="toa heading" w:semiHidden="1" w:uiPriority="97" w:unhideWhenUsed="1"/>
    <w:lsdException w:name="List" w:semiHidden="1" w:uiPriority="4" w:unhideWhenUsed="1"/>
    <w:lsdException w:name="List Bullet" w:semiHidden="1" w:uiPriority="2" w:unhideWhenUsed="1" w:qFormat="1"/>
    <w:lsdException w:name="List Number" w:uiPriority="99" w:qFormat="1"/>
    <w:lsdException w:name="List 2" w:semiHidden="1" w:uiPriority="4" w:unhideWhenUsed="1"/>
    <w:lsdException w:name="List 3" w:semiHidden="1" w:uiPriority="4" w:unhideWhenUsed="1"/>
    <w:lsdException w:name="List 4" w:uiPriority="4"/>
    <w:lsdException w:name="List 5" w:semiHidden="1" w:uiPriority="4"/>
    <w:lsdException w:name="List Bullet 2" w:semiHidden="1" w:uiPriority="2" w:unhideWhenUsed="1" w:qFormat="1"/>
    <w:lsdException w:name="List Bullet 3" w:semiHidden="1" w:uiPriority="2" w:unhideWhenUsed="1"/>
    <w:lsdException w:name="List Bullet 4" w:semiHidden="1" w:uiPriority="2" w:unhideWhenUsed="1"/>
    <w:lsdException w:name="List Bullet 5" w:semiHidden="1" w:uiPriority="2" w:unhideWhenUsed="1"/>
    <w:lsdException w:name="List Number 2" w:semiHidden="1" w:uiPriority="99" w:unhideWhenUsed="1" w:qFormat="1"/>
    <w:lsdException w:name="List Number 3" w:semiHidden="1" w:uiPriority="99" w:unhideWhenUsed="1" w:qFormat="1"/>
    <w:lsdException w:name="List Number 4" w:semiHidden="1" w:uiPriority="99" w:unhideWhenUsed="1"/>
    <w:lsdException w:name="List Number 5" w:semiHidden="1" w:uiPriority="99" w:unhideWhenUsed="1"/>
    <w:lsdException w:name="Title" w:uiPriority="97"/>
    <w:lsdException w:name="Closing" w:semiHidden="1" w:uiPriority="97" w:unhideWhenUsed="1"/>
    <w:lsdException w:name="Signature" w:semiHidden="1" w:uiPriority="97" w:unhideWhenUsed="1"/>
    <w:lsdException w:name="Default Paragraph Font" w:semiHidden="1" w:uiPriority="1" w:unhideWhenUsed="1"/>
    <w:lsdException w:name="Body Text" w:semiHidden="1" w:uiPriority="97" w:unhideWhenUsed="1"/>
    <w:lsdException w:name="Body Text Indent" w:semiHidden="1" w:uiPriority="97" w:unhideWhenUsed="1"/>
    <w:lsdException w:name="List Continue" w:semiHidden="1" w:uiPriority="18" w:unhideWhenUsed="1"/>
    <w:lsdException w:name="List Continue 2" w:semiHidden="1" w:uiPriority="18" w:unhideWhenUsed="1"/>
    <w:lsdException w:name="List Continue 3" w:semiHidden="1" w:uiPriority="18" w:unhideWhenUsed="1"/>
    <w:lsdException w:name="List Continue 4" w:semiHidden="1" w:uiPriority="18" w:unhideWhenUsed="1"/>
    <w:lsdException w:name="List Continue 5" w:semiHidden="1" w:uiPriority="18" w:unhideWhenUsed="1"/>
    <w:lsdException w:name="Message Header" w:semiHidden="1" w:uiPriority="97" w:unhideWhenUsed="1"/>
    <w:lsdException w:name="Subtitle" w:uiPriority="97"/>
    <w:lsdException w:name="Salutation" w:uiPriority="97"/>
    <w:lsdException w:name="Date" w:uiPriority="97"/>
    <w:lsdException w:name="Body Text First Indent" w:uiPriority="97"/>
    <w:lsdException w:name="Body Text First Indent 2" w:semiHidden="1" w:uiPriority="97" w:unhideWhenUsed="1"/>
    <w:lsdException w:name="Note Heading" w:semiHidden="1" w:uiPriority="97" w:unhideWhenUsed="1"/>
    <w:lsdException w:name="Body Text 2" w:semiHidden="1" w:uiPriority="97" w:unhideWhenUsed="1"/>
    <w:lsdException w:name="Body Text 3" w:semiHidden="1" w:uiPriority="97" w:unhideWhenUsed="1"/>
    <w:lsdException w:name="Body Text Indent 2" w:semiHidden="1" w:uiPriority="97" w:unhideWhenUsed="1"/>
    <w:lsdException w:name="Body Text Indent 3" w:semiHidden="1" w:uiPriority="97" w:unhideWhenUsed="1"/>
    <w:lsdException w:name="Block Text" w:semiHidden="1" w:uiPriority="97" w:unhideWhenUsed="1"/>
    <w:lsdException w:name="Hyperlink" w:semiHidden="1" w:uiPriority="99" w:unhideWhenUsed="1"/>
    <w:lsdException w:name="FollowedHyperlink" w:semiHidden="1" w:uiPriority="97" w:unhideWhenUsed="1"/>
    <w:lsdException w:name="Strong" w:uiPriority="22" w:qFormat="1"/>
    <w:lsdException w:name="Emphasis" w:uiPriority="20" w:qFormat="1"/>
    <w:lsdException w:name="Document Map" w:semiHidden="1" w:uiPriority="97" w:unhideWhenUsed="1"/>
    <w:lsdException w:name="Plain Text" w:semiHidden="1" w:uiPriority="97" w:unhideWhenUsed="1"/>
    <w:lsdException w:name="E-mail Signature" w:semiHidden="1" w:uiPriority="97" w:unhideWhenUsed="1"/>
    <w:lsdException w:name="HTML Top of Form" w:semiHidden="1" w:uiPriority="0" w:unhideWhenUsed="1"/>
    <w:lsdException w:name="HTML Bottom of Form" w:semiHidden="1" w:uiPriority="0" w:unhideWhenUsed="1"/>
    <w:lsdException w:name="Normal (Web)" w:semiHidden="1" w:uiPriority="99" w:unhideWhenUsed="1"/>
    <w:lsdException w:name="HTML Acronym" w:semiHidden="1" w:uiPriority="97" w:unhideWhenUsed="1"/>
    <w:lsdException w:name="HTML Address" w:semiHidden="1" w:uiPriority="97" w:unhideWhenUsed="1"/>
    <w:lsdException w:name="HTML Cite" w:semiHidden="1" w:uiPriority="97" w:unhideWhenUsed="1"/>
    <w:lsdException w:name="HTML Code" w:semiHidden="1" w:uiPriority="97" w:unhideWhenUsed="1"/>
    <w:lsdException w:name="HTML Definition" w:semiHidden="1" w:uiPriority="97" w:unhideWhenUsed="1"/>
    <w:lsdException w:name="HTML Keyboard" w:semiHidden="1" w:uiPriority="97" w:unhideWhenUsed="1"/>
    <w:lsdException w:name="HTML Preformatted" w:semiHidden="1" w:uiPriority="97" w:unhideWhenUsed="1"/>
    <w:lsdException w:name="HTML Sample" w:semiHidden="1" w:uiPriority="97" w:unhideWhenUsed="1"/>
    <w:lsdException w:name="HTML Typewriter" w:semiHidden="1" w:uiPriority="97" w:unhideWhenUsed="1"/>
    <w:lsdException w:name="HTML Variable" w:semiHidden="1" w:uiPriority="97" w:unhideWhenUsed="1"/>
    <w:lsdException w:name="Normal Table" w:semiHidden="1" w:unhideWhenUsed="1"/>
    <w:lsdException w:name="annotation subject" w:semiHidden="1" w:uiPriority="97" w:unhideWhenUsed="1"/>
    <w:lsdException w:name="No List" w:semiHidden="1" w:uiPriority="99" w:unhideWhenUsed="1"/>
    <w:lsdException w:name="Outline List 1" w:semiHidden="1" w:uiPriority="97" w:unhideWhenUsed="1"/>
    <w:lsdException w:name="Outline List 2" w:semiHidden="1" w:uiPriority="97" w:unhideWhenUsed="1"/>
    <w:lsdException w:name="Outline List 3" w:semiHidden="1" w:uiPriority="97"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7" w:unhideWhenUsed="1"/>
    <w:lsdException w:name="Table Grid" w:uiPriority="0"/>
    <w:lsdException w:name="Table Theme" w:semiHidden="1" w:unhideWhenUsed="1"/>
    <w:lsdException w:name="Placeholder Text" w:semiHidden="1" w:uiPriority="1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Quote" w:uiPriority="29"/>
    <w:lsdException w:name="Intense Quote" w:uiPriority="97"/>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97"/>
    <w:lsdException w:name="Intense Emphasis" w:uiPriority="97"/>
    <w:lsdException w:name="Subtle Reference" w:uiPriority="97"/>
    <w:lsdException w:name="Intense Reference" w:uiPriority="97"/>
    <w:lsdException w:name="Book Title" w:uiPriority="97"/>
    <w:lsdException w:name="Bibliography" w:semiHidden="1" w:uiPriority="97" w:unhideWhenUsed="1"/>
    <w:lsdException w:name="TOC Heading" w:semiHidden="1" w:uiPriority="97"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39C5"/>
    <w:pPr>
      <w:spacing w:after="120"/>
    </w:pPr>
    <w:rPr>
      <w:rFonts w:asciiTheme="minorHAnsi" w:eastAsia="MS Mincho" w:hAnsiTheme="minorHAnsi"/>
      <w:color w:val="000000" w:themeColor="text2"/>
      <w:sz w:val="22"/>
      <w:lang w:val="en-AU" w:eastAsia="en-AU"/>
    </w:rPr>
  </w:style>
  <w:style w:type="paragraph" w:styleId="Heading1">
    <w:name w:val="heading 1"/>
    <w:basedOn w:val="Normal"/>
    <w:next w:val="Normal"/>
    <w:link w:val="Heading1Char"/>
    <w:uiPriority w:val="1"/>
    <w:qFormat/>
    <w:rsid w:val="00923EE1"/>
    <w:pPr>
      <w:keepNext/>
      <w:spacing w:after="200"/>
      <w:outlineLvl w:val="0"/>
    </w:pPr>
    <w:rPr>
      <w:rFonts w:asciiTheme="majorHAnsi" w:hAnsiTheme="majorHAnsi" w:cstheme="majorHAnsi"/>
      <w:b/>
      <w:bCs/>
      <w:color w:val="004976" w:themeColor="background2"/>
      <w:kern w:val="32"/>
      <w:sz w:val="56"/>
      <w:szCs w:val="32"/>
    </w:rPr>
  </w:style>
  <w:style w:type="paragraph" w:styleId="Heading2">
    <w:name w:val="heading 2"/>
    <w:basedOn w:val="Normal"/>
    <w:next w:val="Normal"/>
    <w:link w:val="Heading2Char"/>
    <w:uiPriority w:val="1"/>
    <w:qFormat/>
    <w:rsid w:val="00923EE1"/>
    <w:pPr>
      <w:keepNext/>
      <w:spacing w:after="80"/>
      <w:outlineLvl w:val="1"/>
    </w:pPr>
    <w:rPr>
      <w:rFonts w:asciiTheme="majorHAnsi" w:hAnsiTheme="majorHAnsi" w:cstheme="majorHAnsi"/>
      <w:b/>
      <w:bCs/>
      <w:iCs/>
      <w:color w:val="004976" w:themeColor="background2"/>
      <w:sz w:val="44"/>
      <w:szCs w:val="28"/>
    </w:rPr>
  </w:style>
  <w:style w:type="paragraph" w:styleId="Heading3">
    <w:name w:val="heading 3"/>
    <w:basedOn w:val="Normal"/>
    <w:next w:val="Normal"/>
    <w:link w:val="Heading3Char"/>
    <w:uiPriority w:val="1"/>
    <w:qFormat/>
    <w:rsid w:val="00923EE1"/>
    <w:pPr>
      <w:keepNext/>
      <w:spacing w:after="80"/>
      <w:outlineLvl w:val="2"/>
    </w:pPr>
    <w:rPr>
      <w:rFonts w:asciiTheme="majorHAnsi" w:hAnsiTheme="majorHAnsi" w:cstheme="majorHAnsi"/>
      <w:b/>
      <w:bCs/>
      <w:color w:val="004976" w:themeColor="background2"/>
      <w:sz w:val="32"/>
      <w:szCs w:val="26"/>
    </w:rPr>
  </w:style>
  <w:style w:type="paragraph" w:styleId="Heading4">
    <w:name w:val="heading 4"/>
    <w:basedOn w:val="Normal"/>
    <w:next w:val="Normal"/>
    <w:link w:val="Heading4Char"/>
    <w:uiPriority w:val="1"/>
    <w:semiHidden/>
    <w:qFormat/>
    <w:rsid w:val="00923EE1"/>
    <w:pPr>
      <w:keepNext/>
      <w:spacing w:before="310"/>
      <w:outlineLvl w:val="3"/>
    </w:pPr>
    <w:rPr>
      <w:rFonts w:asciiTheme="majorHAnsi" w:hAnsiTheme="majorHAnsi" w:cstheme="majorHAnsi"/>
      <w:bCs/>
      <w:color w:val="004976" w:themeColor="background2"/>
      <w:szCs w:val="28"/>
    </w:rPr>
  </w:style>
  <w:style w:type="paragraph" w:styleId="Heading5">
    <w:name w:val="heading 5"/>
    <w:basedOn w:val="Normal"/>
    <w:next w:val="Normal"/>
    <w:uiPriority w:val="1"/>
    <w:semiHidden/>
    <w:qFormat/>
    <w:rsid w:val="00923EE1"/>
    <w:pPr>
      <w:spacing w:before="240" w:after="60"/>
      <w:outlineLvl w:val="4"/>
    </w:pPr>
    <w:rPr>
      <w:rFonts w:asciiTheme="majorHAnsi" w:hAnsiTheme="majorHAnsi" w:cstheme="majorHAnsi"/>
      <w:b/>
      <w:bCs/>
      <w:i/>
      <w:iCs/>
      <w:sz w:val="16"/>
      <w:szCs w:val="26"/>
    </w:rPr>
  </w:style>
  <w:style w:type="paragraph" w:styleId="Heading6">
    <w:name w:val="heading 6"/>
    <w:basedOn w:val="Normal"/>
    <w:next w:val="Normal"/>
    <w:uiPriority w:val="1"/>
    <w:semiHidden/>
    <w:rsid w:val="00923EE1"/>
    <w:pPr>
      <w:spacing w:before="240" w:after="60"/>
      <w:outlineLvl w:val="5"/>
    </w:pPr>
    <w:rPr>
      <w:rFonts w:asciiTheme="majorHAnsi" w:hAnsiTheme="majorHAnsi" w:cstheme="majorHAnsi"/>
      <w:b/>
      <w:bCs/>
      <w:sz w:val="16"/>
      <w:szCs w:val="22"/>
    </w:rPr>
  </w:style>
  <w:style w:type="paragraph" w:styleId="Heading7">
    <w:name w:val="heading 7"/>
    <w:basedOn w:val="Normal"/>
    <w:next w:val="Normal"/>
    <w:uiPriority w:val="1"/>
    <w:semiHidden/>
    <w:rsid w:val="00923EE1"/>
    <w:pPr>
      <w:spacing w:before="240" w:after="60"/>
      <w:outlineLvl w:val="6"/>
    </w:pPr>
    <w:rPr>
      <w:rFonts w:asciiTheme="majorHAnsi" w:hAnsiTheme="majorHAnsi" w:cstheme="majorHAnsi"/>
      <w:sz w:val="24"/>
    </w:rPr>
  </w:style>
  <w:style w:type="paragraph" w:styleId="Heading8">
    <w:name w:val="heading 8"/>
    <w:basedOn w:val="Normal"/>
    <w:next w:val="Normal"/>
    <w:uiPriority w:val="1"/>
    <w:semiHidden/>
    <w:rsid w:val="00923EE1"/>
    <w:pPr>
      <w:spacing w:before="240" w:after="60"/>
      <w:outlineLvl w:val="7"/>
    </w:pPr>
    <w:rPr>
      <w:rFonts w:asciiTheme="majorHAnsi" w:hAnsiTheme="majorHAnsi" w:cstheme="majorHAnsi"/>
      <w:i/>
      <w:iCs/>
      <w:sz w:val="24"/>
    </w:rPr>
  </w:style>
  <w:style w:type="paragraph" w:styleId="Heading9">
    <w:name w:val="heading 9"/>
    <w:basedOn w:val="Normal"/>
    <w:next w:val="Normal"/>
    <w:uiPriority w:val="1"/>
    <w:semiHidden/>
    <w:rsid w:val="00923EE1"/>
    <w:pPr>
      <w:spacing w:before="240" w:after="60"/>
      <w:outlineLvl w:val="8"/>
    </w:pPr>
    <w:rPr>
      <w:rFonts w:asciiTheme="majorHAnsi" w:hAnsiTheme="majorHAnsi" w:cstheme="majorHAns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iPriority w:val="11"/>
    <w:qFormat/>
    <w:rsid w:val="00E10703"/>
    <w:pPr>
      <w:spacing w:before="170" w:line="80" w:lineRule="atLeast"/>
    </w:pPr>
    <w:rPr>
      <w:bCs/>
      <w:color w:val="004976" w:themeColor="background2"/>
      <w:kern w:val="60"/>
    </w:rPr>
  </w:style>
  <w:style w:type="paragraph" w:styleId="TOC1">
    <w:name w:val="toc 1"/>
    <w:basedOn w:val="Normal"/>
    <w:next w:val="Normal"/>
    <w:uiPriority w:val="39"/>
    <w:rsid w:val="003E36FE"/>
    <w:pPr>
      <w:tabs>
        <w:tab w:val="right" w:pos="7019"/>
      </w:tabs>
      <w:spacing w:before="220" w:after="20"/>
    </w:pPr>
    <w:rPr>
      <w:rFonts w:asciiTheme="majorHAnsi" w:hAnsiTheme="majorHAnsi"/>
      <w:b/>
      <w:color w:val="004976" w:themeColor="background2"/>
      <w:sz w:val="32"/>
    </w:rPr>
  </w:style>
  <w:style w:type="table" w:styleId="TableGrid">
    <w:name w:val="Table Grid"/>
    <w:basedOn w:val="TableNormal"/>
    <w:rsid w:val="00923E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923EE1"/>
    <w:pPr>
      <w:tabs>
        <w:tab w:val="center" w:pos="4153"/>
        <w:tab w:val="right" w:pos="8306"/>
      </w:tabs>
    </w:pPr>
    <w:rPr>
      <w:caps/>
      <w:kern w:val="60"/>
      <w:sz w:val="13"/>
    </w:rPr>
  </w:style>
  <w:style w:type="paragraph" w:styleId="Footer">
    <w:name w:val="footer"/>
    <w:basedOn w:val="Normal"/>
    <w:link w:val="FooterChar"/>
    <w:uiPriority w:val="9"/>
    <w:rsid w:val="00923EE1"/>
    <w:rPr>
      <w:color w:val="004976" w:themeColor="accent1"/>
      <w:sz w:val="12"/>
    </w:rPr>
  </w:style>
  <w:style w:type="character" w:styleId="PageNumber">
    <w:name w:val="page number"/>
    <w:basedOn w:val="DefaultParagraphFont"/>
    <w:uiPriority w:val="11"/>
    <w:rsid w:val="00923EE1"/>
    <w:rPr>
      <w:rFonts w:asciiTheme="minorHAnsi" w:hAnsiTheme="minorHAnsi" w:cstheme="minorHAnsi"/>
      <w:sz w:val="14"/>
    </w:rPr>
  </w:style>
  <w:style w:type="paragraph" w:styleId="ListBullet">
    <w:name w:val="List Bullet"/>
    <w:basedOn w:val="Normal"/>
    <w:uiPriority w:val="2"/>
    <w:qFormat/>
    <w:rsid w:val="008579D4"/>
    <w:pPr>
      <w:numPr>
        <w:numId w:val="13"/>
      </w:numPr>
      <w:spacing w:before="120"/>
    </w:pPr>
  </w:style>
  <w:style w:type="paragraph" w:customStyle="1" w:styleId="IntroCopy">
    <w:name w:val="Intro Copy"/>
    <w:basedOn w:val="Normal"/>
    <w:next w:val="Normal"/>
    <w:qFormat/>
    <w:rsid w:val="00923EE1"/>
    <w:pPr>
      <w:spacing w:before="340" w:after="360" w:line="400" w:lineRule="atLeast"/>
    </w:pPr>
    <w:rPr>
      <w:color w:val="004976" w:themeColor="background2"/>
      <w:sz w:val="32"/>
    </w:rPr>
  </w:style>
  <w:style w:type="paragraph" w:customStyle="1" w:styleId="CoverTitle">
    <w:name w:val="Cover Title"/>
    <w:basedOn w:val="Normal"/>
    <w:next w:val="Normal"/>
    <w:uiPriority w:val="11"/>
    <w:rsid w:val="00E812EA"/>
    <w:pPr>
      <w:spacing w:after="400" w:line="204" w:lineRule="auto"/>
      <w:contextualSpacing/>
    </w:pPr>
    <w:rPr>
      <w:rFonts w:asciiTheme="majorHAnsi" w:eastAsia="Times New Roman" w:hAnsiTheme="majorHAnsi" w:cstheme="majorHAnsi"/>
      <w:b/>
      <w:bCs/>
      <w:color w:val="FFFFFF"/>
      <w:spacing w:val="-3"/>
      <w:sz w:val="64"/>
      <w:szCs w:val="38"/>
      <w:lang w:eastAsia="en-US"/>
    </w:rPr>
  </w:style>
  <w:style w:type="paragraph" w:customStyle="1" w:styleId="DividerIntro">
    <w:name w:val="Divider Intro"/>
    <w:basedOn w:val="Normal"/>
    <w:qFormat/>
    <w:rsid w:val="00923EE1"/>
    <w:rPr>
      <w:color w:val="FFFFFF"/>
    </w:rPr>
  </w:style>
  <w:style w:type="paragraph" w:customStyle="1" w:styleId="CoverSubtitle">
    <w:name w:val="Cover Subtitle"/>
    <w:basedOn w:val="Normal"/>
    <w:uiPriority w:val="11"/>
    <w:rsid w:val="00923EE1"/>
    <w:pPr>
      <w:spacing w:line="400" w:lineRule="atLeast"/>
    </w:pPr>
    <w:rPr>
      <w:rFonts w:asciiTheme="majorHAnsi" w:hAnsiTheme="majorHAnsi" w:cstheme="minorHAnsi"/>
      <w:b/>
      <w:color w:val="FFFFFF"/>
      <w:sz w:val="43"/>
    </w:rPr>
  </w:style>
  <w:style w:type="paragraph" w:customStyle="1" w:styleId="TableBullet">
    <w:name w:val="Table Bullet"/>
    <w:basedOn w:val="TableText"/>
    <w:qFormat/>
    <w:rsid w:val="00401326"/>
    <w:pPr>
      <w:numPr>
        <w:numId w:val="14"/>
      </w:numPr>
      <w:ind w:left="198" w:hanging="198"/>
    </w:pPr>
  </w:style>
  <w:style w:type="paragraph" w:customStyle="1" w:styleId="TableText">
    <w:name w:val="Table Text"/>
    <w:basedOn w:val="Normal"/>
    <w:uiPriority w:val="9"/>
    <w:qFormat/>
    <w:rsid w:val="00923EE1"/>
    <w:pPr>
      <w:spacing w:before="80" w:after="80"/>
    </w:pPr>
    <w:rPr>
      <w:rFonts w:eastAsia="Times New Roman"/>
      <w:color w:val="004976" w:themeColor="background2"/>
      <w:spacing w:val="-3"/>
      <w:szCs w:val="19"/>
    </w:rPr>
  </w:style>
  <w:style w:type="paragraph" w:styleId="FootnoteText">
    <w:name w:val="footnote text"/>
    <w:basedOn w:val="Normal"/>
    <w:link w:val="FootnoteTextChar"/>
    <w:uiPriority w:val="99"/>
    <w:rsid w:val="00F14519"/>
    <w:pPr>
      <w:pBdr>
        <w:top w:val="single" w:sz="4" w:space="8" w:color="auto"/>
      </w:pBdr>
      <w:tabs>
        <w:tab w:val="left" w:pos="113"/>
      </w:tabs>
      <w:spacing w:after="40" w:line="160" w:lineRule="atLeast"/>
      <w:ind w:left="170" w:hanging="170"/>
    </w:pPr>
    <w:rPr>
      <w:rFonts w:eastAsiaTheme="minorHAnsi"/>
      <w:lang w:eastAsia="en-US"/>
    </w:rPr>
  </w:style>
  <w:style w:type="character" w:customStyle="1" w:styleId="FootnoteTextChar">
    <w:name w:val="Footnote Text Char"/>
    <w:basedOn w:val="DefaultParagraphFont"/>
    <w:link w:val="FootnoteText"/>
    <w:uiPriority w:val="99"/>
    <w:rsid w:val="00F14519"/>
    <w:rPr>
      <w:rFonts w:asciiTheme="minorHAnsi" w:eastAsiaTheme="minorHAnsi" w:hAnsiTheme="minorHAnsi"/>
      <w:color w:val="000000" w:themeColor="text2"/>
      <w:sz w:val="22"/>
      <w:lang w:val="en-AU" w:eastAsia="en-US"/>
    </w:rPr>
  </w:style>
  <w:style w:type="paragraph" w:customStyle="1" w:styleId="Source">
    <w:name w:val="Source"/>
    <w:uiPriority w:val="97"/>
    <w:semiHidden/>
    <w:qFormat/>
    <w:rsid w:val="00923EE1"/>
    <w:pPr>
      <w:numPr>
        <w:numId w:val="11"/>
      </w:numPr>
    </w:pPr>
    <w:rPr>
      <w:rFonts w:asciiTheme="minorHAnsi" w:eastAsia="Times New Roman" w:hAnsiTheme="minorHAnsi" w:cstheme="minorHAnsi"/>
      <w:spacing w:val="-3"/>
      <w:sz w:val="16"/>
      <w:szCs w:val="14"/>
      <w:lang w:val="en-AU" w:eastAsia="en-AU"/>
    </w:rPr>
  </w:style>
  <w:style w:type="numbering" w:styleId="111111">
    <w:name w:val="Outline List 2"/>
    <w:basedOn w:val="NoList"/>
    <w:uiPriority w:val="97"/>
    <w:semiHidden/>
    <w:rsid w:val="00923EE1"/>
    <w:pPr>
      <w:numPr>
        <w:numId w:val="1"/>
      </w:numPr>
    </w:pPr>
  </w:style>
  <w:style w:type="numbering" w:styleId="1ai">
    <w:name w:val="Outline List 1"/>
    <w:basedOn w:val="NoList"/>
    <w:uiPriority w:val="97"/>
    <w:semiHidden/>
    <w:rsid w:val="00923EE1"/>
    <w:pPr>
      <w:numPr>
        <w:numId w:val="2"/>
      </w:numPr>
    </w:pPr>
  </w:style>
  <w:style w:type="numbering" w:styleId="ArticleSection">
    <w:name w:val="Outline List 3"/>
    <w:basedOn w:val="NoList"/>
    <w:uiPriority w:val="97"/>
    <w:semiHidden/>
    <w:rsid w:val="00923EE1"/>
    <w:pPr>
      <w:numPr>
        <w:numId w:val="3"/>
      </w:numPr>
    </w:pPr>
  </w:style>
  <w:style w:type="paragraph" w:styleId="BalloonText">
    <w:name w:val="Balloon Text"/>
    <w:basedOn w:val="Normal"/>
    <w:link w:val="BalloonTextChar"/>
    <w:uiPriority w:val="97"/>
    <w:semiHidden/>
    <w:rsid w:val="00923EE1"/>
    <w:rPr>
      <w:sz w:val="16"/>
      <w:szCs w:val="16"/>
    </w:rPr>
  </w:style>
  <w:style w:type="character" w:customStyle="1" w:styleId="BalloonTextChar">
    <w:name w:val="Balloon Text Char"/>
    <w:basedOn w:val="DefaultParagraphFont"/>
    <w:link w:val="BalloonText"/>
    <w:uiPriority w:val="97"/>
    <w:semiHidden/>
    <w:rsid w:val="00923EE1"/>
    <w:rPr>
      <w:rFonts w:asciiTheme="minorHAnsi" w:eastAsia="MS Mincho" w:hAnsiTheme="minorHAnsi"/>
      <w:color w:val="000000" w:themeColor="text2"/>
      <w:sz w:val="16"/>
      <w:szCs w:val="16"/>
      <w:lang w:val="en-AU" w:eastAsia="ja-JP"/>
    </w:rPr>
  </w:style>
  <w:style w:type="paragraph" w:styleId="Bibliography">
    <w:name w:val="Bibliography"/>
    <w:basedOn w:val="Normal"/>
    <w:next w:val="Normal"/>
    <w:uiPriority w:val="97"/>
    <w:semiHidden/>
    <w:unhideWhenUsed/>
    <w:rsid w:val="00923EE1"/>
  </w:style>
  <w:style w:type="paragraph" w:styleId="BlockText">
    <w:name w:val="Block Text"/>
    <w:basedOn w:val="Normal"/>
    <w:uiPriority w:val="97"/>
    <w:semiHidden/>
    <w:rsid w:val="00923EE1"/>
    <w:pPr>
      <w:pBdr>
        <w:top w:val="single" w:sz="2" w:space="10" w:color="004976" w:themeColor="accent1" w:shadow="1" w:frame="1"/>
        <w:left w:val="single" w:sz="2" w:space="10" w:color="004976" w:themeColor="accent1" w:shadow="1" w:frame="1"/>
        <w:bottom w:val="single" w:sz="2" w:space="10" w:color="004976" w:themeColor="accent1" w:shadow="1" w:frame="1"/>
        <w:right w:val="single" w:sz="2" w:space="10" w:color="004976" w:themeColor="accent1" w:shadow="1" w:frame="1"/>
      </w:pBdr>
      <w:ind w:left="1152" w:right="1152"/>
    </w:pPr>
    <w:rPr>
      <w:rFonts w:eastAsiaTheme="minorEastAsia"/>
      <w:i/>
      <w:iCs/>
      <w:color w:val="004976" w:themeColor="accent1"/>
    </w:rPr>
  </w:style>
  <w:style w:type="paragraph" w:styleId="BodyText">
    <w:name w:val="Body Text"/>
    <w:basedOn w:val="Normal"/>
    <w:link w:val="BodyTextChar"/>
    <w:uiPriority w:val="97"/>
    <w:semiHidden/>
    <w:rsid w:val="00923EE1"/>
  </w:style>
  <w:style w:type="character" w:customStyle="1" w:styleId="BodyTextChar">
    <w:name w:val="Body Text Char"/>
    <w:basedOn w:val="DefaultParagraphFont"/>
    <w:link w:val="BodyText"/>
    <w:uiPriority w:val="97"/>
    <w:semiHidden/>
    <w:rsid w:val="00923EE1"/>
    <w:rPr>
      <w:rFonts w:asciiTheme="minorHAnsi" w:eastAsia="MS Mincho" w:hAnsiTheme="minorHAnsi"/>
      <w:color w:val="000000" w:themeColor="text2"/>
      <w:lang w:val="en-AU" w:eastAsia="ja-JP"/>
    </w:rPr>
  </w:style>
  <w:style w:type="paragraph" w:styleId="BodyText2">
    <w:name w:val="Body Text 2"/>
    <w:basedOn w:val="Normal"/>
    <w:link w:val="BodyText2Char"/>
    <w:uiPriority w:val="97"/>
    <w:semiHidden/>
    <w:rsid w:val="00923EE1"/>
    <w:pPr>
      <w:spacing w:line="480" w:lineRule="auto"/>
    </w:pPr>
  </w:style>
  <w:style w:type="character" w:customStyle="1" w:styleId="BodyText2Char">
    <w:name w:val="Body Text 2 Char"/>
    <w:basedOn w:val="DefaultParagraphFont"/>
    <w:link w:val="BodyText2"/>
    <w:uiPriority w:val="97"/>
    <w:semiHidden/>
    <w:rsid w:val="00923EE1"/>
    <w:rPr>
      <w:rFonts w:asciiTheme="minorHAnsi" w:eastAsia="MS Mincho" w:hAnsiTheme="minorHAnsi"/>
      <w:color w:val="000000" w:themeColor="text2"/>
      <w:lang w:val="en-AU" w:eastAsia="ja-JP"/>
    </w:rPr>
  </w:style>
  <w:style w:type="paragraph" w:styleId="BodyText3">
    <w:name w:val="Body Text 3"/>
    <w:basedOn w:val="Normal"/>
    <w:link w:val="BodyText3Char"/>
    <w:uiPriority w:val="97"/>
    <w:semiHidden/>
    <w:rsid w:val="00923EE1"/>
    <w:rPr>
      <w:sz w:val="16"/>
      <w:szCs w:val="16"/>
    </w:rPr>
  </w:style>
  <w:style w:type="character" w:customStyle="1" w:styleId="BodyText3Char">
    <w:name w:val="Body Text 3 Char"/>
    <w:basedOn w:val="DefaultParagraphFont"/>
    <w:link w:val="BodyText3"/>
    <w:uiPriority w:val="97"/>
    <w:semiHidden/>
    <w:rsid w:val="00923EE1"/>
    <w:rPr>
      <w:rFonts w:asciiTheme="minorHAnsi" w:eastAsia="MS Mincho" w:hAnsiTheme="minorHAnsi"/>
      <w:color w:val="000000" w:themeColor="text2"/>
      <w:sz w:val="16"/>
      <w:szCs w:val="16"/>
      <w:lang w:val="en-AU" w:eastAsia="ja-JP"/>
    </w:rPr>
  </w:style>
  <w:style w:type="paragraph" w:styleId="BodyTextFirstIndent">
    <w:name w:val="Body Text First Indent"/>
    <w:basedOn w:val="BodyText"/>
    <w:link w:val="BodyTextFirstIndentChar"/>
    <w:uiPriority w:val="97"/>
    <w:semiHidden/>
    <w:rsid w:val="00923EE1"/>
    <w:pPr>
      <w:spacing w:after="80"/>
      <w:ind w:firstLine="360"/>
    </w:pPr>
  </w:style>
  <w:style w:type="character" w:customStyle="1" w:styleId="BodyTextFirstIndentChar">
    <w:name w:val="Body Text First Indent Char"/>
    <w:basedOn w:val="BodyTextChar"/>
    <w:link w:val="BodyTextFirstIndent"/>
    <w:uiPriority w:val="97"/>
    <w:semiHidden/>
    <w:rsid w:val="00923EE1"/>
    <w:rPr>
      <w:rFonts w:asciiTheme="minorHAnsi" w:eastAsia="MS Mincho" w:hAnsiTheme="minorHAnsi"/>
      <w:color w:val="000000" w:themeColor="text2"/>
      <w:lang w:val="en-AU" w:eastAsia="ja-JP"/>
    </w:rPr>
  </w:style>
  <w:style w:type="paragraph" w:styleId="BodyTextIndent">
    <w:name w:val="Body Text Indent"/>
    <w:basedOn w:val="Normal"/>
    <w:link w:val="BodyTextIndentChar"/>
    <w:uiPriority w:val="97"/>
    <w:semiHidden/>
    <w:rsid w:val="00923EE1"/>
    <w:pPr>
      <w:ind w:left="283"/>
    </w:pPr>
  </w:style>
  <w:style w:type="character" w:customStyle="1" w:styleId="BodyTextIndentChar">
    <w:name w:val="Body Text Indent Char"/>
    <w:basedOn w:val="DefaultParagraphFont"/>
    <w:link w:val="BodyTextIndent"/>
    <w:uiPriority w:val="97"/>
    <w:semiHidden/>
    <w:rsid w:val="00923EE1"/>
    <w:rPr>
      <w:rFonts w:asciiTheme="minorHAnsi" w:eastAsia="MS Mincho" w:hAnsiTheme="minorHAnsi"/>
      <w:color w:val="000000" w:themeColor="text2"/>
      <w:lang w:val="en-AU" w:eastAsia="ja-JP"/>
    </w:rPr>
  </w:style>
  <w:style w:type="paragraph" w:styleId="BodyTextFirstIndent2">
    <w:name w:val="Body Text First Indent 2"/>
    <w:basedOn w:val="BodyTextIndent"/>
    <w:link w:val="BodyTextFirstIndent2Char"/>
    <w:uiPriority w:val="97"/>
    <w:semiHidden/>
    <w:rsid w:val="00923EE1"/>
    <w:pPr>
      <w:spacing w:after="80"/>
      <w:ind w:left="360" w:firstLine="360"/>
    </w:pPr>
  </w:style>
  <w:style w:type="character" w:customStyle="1" w:styleId="BodyTextFirstIndent2Char">
    <w:name w:val="Body Text First Indent 2 Char"/>
    <w:basedOn w:val="BodyTextIndentChar"/>
    <w:link w:val="BodyTextFirstIndent2"/>
    <w:uiPriority w:val="97"/>
    <w:semiHidden/>
    <w:rsid w:val="00923EE1"/>
    <w:rPr>
      <w:rFonts w:asciiTheme="minorHAnsi" w:eastAsia="MS Mincho" w:hAnsiTheme="minorHAnsi"/>
      <w:color w:val="000000" w:themeColor="text2"/>
      <w:lang w:val="en-AU" w:eastAsia="ja-JP"/>
    </w:rPr>
  </w:style>
  <w:style w:type="paragraph" w:styleId="BodyTextIndent2">
    <w:name w:val="Body Text Indent 2"/>
    <w:basedOn w:val="Normal"/>
    <w:link w:val="BodyTextIndent2Char"/>
    <w:uiPriority w:val="97"/>
    <w:semiHidden/>
    <w:rsid w:val="00923EE1"/>
    <w:pPr>
      <w:spacing w:line="480" w:lineRule="auto"/>
      <w:ind w:left="283"/>
    </w:pPr>
  </w:style>
  <w:style w:type="character" w:customStyle="1" w:styleId="BodyTextIndent2Char">
    <w:name w:val="Body Text Indent 2 Char"/>
    <w:basedOn w:val="DefaultParagraphFont"/>
    <w:link w:val="BodyTextIndent2"/>
    <w:uiPriority w:val="97"/>
    <w:semiHidden/>
    <w:rsid w:val="00923EE1"/>
    <w:rPr>
      <w:rFonts w:asciiTheme="minorHAnsi" w:eastAsia="MS Mincho" w:hAnsiTheme="minorHAnsi"/>
      <w:color w:val="000000" w:themeColor="text2"/>
      <w:lang w:val="en-AU" w:eastAsia="ja-JP"/>
    </w:rPr>
  </w:style>
  <w:style w:type="paragraph" w:styleId="BodyTextIndent3">
    <w:name w:val="Body Text Indent 3"/>
    <w:basedOn w:val="Normal"/>
    <w:link w:val="BodyTextIndent3Char"/>
    <w:uiPriority w:val="97"/>
    <w:semiHidden/>
    <w:rsid w:val="00923EE1"/>
    <w:pPr>
      <w:ind w:left="283"/>
    </w:pPr>
    <w:rPr>
      <w:sz w:val="16"/>
      <w:szCs w:val="16"/>
    </w:rPr>
  </w:style>
  <w:style w:type="character" w:customStyle="1" w:styleId="BodyTextIndent3Char">
    <w:name w:val="Body Text Indent 3 Char"/>
    <w:basedOn w:val="DefaultParagraphFont"/>
    <w:link w:val="BodyTextIndent3"/>
    <w:uiPriority w:val="97"/>
    <w:semiHidden/>
    <w:rsid w:val="00923EE1"/>
    <w:rPr>
      <w:rFonts w:asciiTheme="minorHAnsi" w:eastAsia="MS Mincho" w:hAnsiTheme="minorHAnsi"/>
      <w:color w:val="000000" w:themeColor="text2"/>
      <w:sz w:val="16"/>
      <w:szCs w:val="16"/>
      <w:lang w:val="en-AU" w:eastAsia="ja-JP"/>
    </w:rPr>
  </w:style>
  <w:style w:type="character" w:styleId="BookTitle">
    <w:name w:val="Book Title"/>
    <w:basedOn w:val="DefaultParagraphFont"/>
    <w:uiPriority w:val="97"/>
    <w:semiHidden/>
    <w:rsid w:val="00923EE1"/>
    <w:rPr>
      <w:rFonts w:asciiTheme="minorHAnsi" w:hAnsiTheme="minorHAnsi" w:cstheme="minorHAnsi"/>
      <w:b/>
      <w:bCs/>
      <w:smallCaps/>
      <w:spacing w:val="5"/>
    </w:rPr>
  </w:style>
  <w:style w:type="paragraph" w:styleId="Closing">
    <w:name w:val="Closing"/>
    <w:basedOn w:val="Normal"/>
    <w:link w:val="ClosingChar"/>
    <w:uiPriority w:val="97"/>
    <w:semiHidden/>
    <w:rsid w:val="00923EE1"/>
    <w:pPr>
      <w:ind w:left="4252"/>
    </w:pPr>
  </w:style>
  <w:style w:type="character" w:customStyle="1" w:styleId="ClosingChar">
    <w:name w:val="Closing Char"/>
    <w:basedOn w:val="DefaultParagraphFont"/>
    <w:link w:val="Closing"/>
    <w:uiPriority w:val="97"/>
    <w:semiHidden/>
    <w:rsid w:val="00923EE1"/>
    <w:rPr>
      <w:rFonts w:asciiTheme="minorHAnsi" w:eastAsia="MS Mincho" w:hAnsiTheme="minorHAnsi"/>
      <w:color w:val="000000" w:themeColor="text2"/>
      <w:lang w:val="en-AU" w:eastAsia="ja-JP"/>
    </w:rPr>
  </w:style>
  <w:style w:type="table" w:styleId="ColorfulGrid">
    <w:name w:val="Colorful Grid"/>
    <w:basedOn w:val="TableNormal"/>
    <w:uiPriority w:val="98"/>
    <w:rsid w:val="00923EE1"/>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Mar>
        <w:top w:w="57" w:type="dxa"/>
        <w:left w:w="57" w:type="dxa"/>
        <w:bottom w:w="57" w:type="dxa"/>
        <w:right w:w="57" w:type="dxa"/>
      </w:tcMar>
    </w:tcPr>
    <w:tblStylePr w:type="firstRow">
      <w:rPr>
        <w:rFonts w:asciiTheme="majorHAnsi" w:hAnsiTheme="majorHAnsi" w:cstheme="majorHAnsi"/>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98"/>
    <w:rsid w:val="00923EE1"/>
    <w:rPr>
      <w:color w:val="000000" w:themeColor="text1"/>
    </w:rPr>
    <w:tblPr>
      <w:tblStyleRowBandSize w:val="1"/>
      <w:tblStyleColBandSize w:val="1"/>
      <w:tblBorders>
        <w:insideH w:val="single" w:sz="4" w:space="0" w:color="FFFFFF" w:themeColor="background1"/>
      </w:tblBorders>
    </w:tblPr>
    <w:tcPr>
      <w:shd w:val="clear" w:color="auto" w:fill="B0E0FF" w:themeFill="accent1" w:themeFillTint="33"/>
      <w:tcMar>
        <w:top w:w="57" w:type="dxa"/>
        <w:left w:w="57" w:type="dxa"/>
        <w:bottom w:w="57" w:type="dxa"/>
        <w:right w:w="57" w:type="dxa"/>
      </w:tcMar>
    </w:tcPr>
    <w:tblStylePr w:type="firstRow">
      <w:rPr>
        <w:rFonts w:asciiTheme="majorHAnsi" w:hAnsiTheme="majorHAnsi" w:cstheme="majorHAnsi"/>
        <w:b/>
        <w:bCs/>
      </w:rPr>
      <w:tblPr/>
      <w:tcPr>
        <w:shd w:val="clear" w:color="auto" w:fill="62C2FF" w:themeFill="accent1" w:themeFillTint="66"/>
      </w:tcPr>
    </w:tblStylePr>
    <w:tblStylePr w:type="lastRow">
      <w:rPr>
        <w:b/>
        <w:bCs/>
        <w:color w:val="000000" w:themeColor="text1"/>
      </w:rPr>
      <w:tblPr/>
      <w:tcPr>
        <w:shd w:val="clear" w:color="auto" w:fill="62C2FF" w:themeFill="accent1" w:themeFillTint="66"/>
      </w:tcPr>
    </w:tblStylePr>
    <w:tblStylePr w:type="firstCol">
      <w:rPr>
        <w:color w:val="FFFFFF" w:themeColor="background1"/>
      </w:rPr>
      <w:tblPr/>
      <w:tcPr>
        <w:shd w:val="clear" w:color="auto" w:fill="003658" w:themeFill="accent1" w:themeFillShade="BF"/>
      </w:tcPr>
    </w:tblStylePr>
    <w:tblStylePr w:type="lastCol">
      <w:rPr>
        <w:color w:val="FFFFFF" w:themeColor="background1"/>
      </w:rPr>
      <w:tblPr/>
      <w:tcPr>
        <w:shd w:val="clear" w:color="auto" w:fill="003658" w:themeFill="accent1" w:themeFillShade="BF"/>
      </w:tcPr>
    </w:tblStylePr>
    <w:tblStylePr w:type="band1Vert">
      <w:tblPr/>
      <w:tcPr>
        <w:shd w:val="clear" w:color="auto" w:fill="3BB3FF" w:themeFill="accent1" w:themeFillTint="7F"/>
      </w:tcPr>
    </w:tblStylePr>
    <w:tblStylePr w:type="band1Horz">
      <w:tblPr/>
      <w:tcPr>
        <w:shd w:val="clear" w:color="auto" w:fill="3BB3FF" w:themeFill="accent1" w:themeFillTint="7F"/>
      </w:tcPr>
    </w:tblStylePr>
  </w:style>
  <w:style w:type="table" w:styleId="ColorfulGrid-Accent2">
    <w:name w:val="Colorful Grid Accent 2"/>
    <w:basedOn w:val="TableNormal"/>
    <w:uiPriority w:val="98"/>
    <w:rsid w:val="00923EE1"/>
    <w:rPr>
      <w:color w:val="000000" w:themeColor="text1"/>
    </w:rPr>
    <w:tblPr>
      <w:tblStyleRowBandSize w:val="1"/>
      <w:tblStyleColBandSize w:val="1"/>
      <w:tblBorders>
        <w:insideH w:val="single" w:sz="4" w:space="0" w:color="FFFFFF" w:themeColor="background1"/>
      </w:tblBorders>
    </w:tblPr>
    <w:tcPr>
      <w:shd w:val="clear" w:color="auto" w:fill="FFF0CC" w:themeFill="accent2" w:themeFillTint="33"/>
      <w:tcMar>
        <w:top w:w="57" w:type="dxa"/>
        <w:left w:w="57" w:type="dxa"/>
        <w:bottom w:w="57" w:type="dxa"/>
        <w:right w:w="57" w:type="dxa"/>
      </w:tcMar>
    </w:tcPr>
    <w:tblStylePr w:type="firstRow">
      <w:rPr>
        <w:rFonts w:asciiTheme="majorHAnsi" w:hAnsiTheme="majorHAnsi" w:cstheme="majorHAnsi"/>
        <w:b/>
        <w:bCs/>
      </w:rPr>
      <w:tblPr/>
      <w:tcPr>
        <w:shd w:val="clear" w:color="auto" w:fill="FFE199" w:themeFill="accent2" w:themeFillTint="66"/>
      </w:tcPr>
    </w:tblStylePr>
    <w:tblStylePr w:type="lastRow">
      <w:rPr>
        <w:b/>
        <w:bCs/>
        <w:color w:val="000000" w:themeColor="text1"/>
      </w:rPr>
      <w:tblPr/>
      <w:tcPr>
        <w:shd w:val="clear" w:color="auto" w:fill="FFE199" w:themeFill="accent2" w:themeFillTint="66"/>
      </w:tcPr>
    </w:tblStylePr>
    <w:tblStylePr w:type="firstCol">
      <w:rPr>
        <w:color w:val="FFFFFF" w:themeColor="background1"/>
      </w:rPr>
      <w:tblPr/>
      <w:tcPr>
        <w:shd w:val="clear" w:color="auto" w:fill="BF8700" w:themeFill="accent2" w:themeFillShade="BF"/>
      </w:tcPr>
    </w:tblStylePr>
    <w:tblStylePr w:type="lastCol">
      <w:rPr>
        <w:color w:val="FFFFFF" w:themeColor="background1"/>
      </w:rPr>
      <w:tblPr/>
      <w:tcPr>
        <w:shd w:val="clear" w:color="auto" w:fill="BF8700" w:themeFill="accent2" w:themeFillShade="BF"/>
      </w:tcPr>
    </w:tblStylePr>
    <w:tblStylePr w:type="band1Vert">
      <w:tblPr/>
      <w:tcPr>
        <w:shd w:val="clear" w:color="auto" w:fill="FFDA80" w:themeFill="accent2" w:themeFillTint="7F"/>
      </w:tcPr>
    </w:tblStylePr>
    <w:tblStylePr w:type="band1Horz">
      <w:tblPr/>
      <w:tcPr>
        <w:shd w:val="clear" w:color="auto" w:fill="FFDA80" w:themeFill="accent2" w:themeFillTint="7F"/>
      </w:tcPr>
    </w:tblStylePr>
  </w:style>
  <w:style w:type="table" w:styleId="ColorfulGrid-Accent3">
    <w:name w:val="Colorful Grid Accent 3"/>
    <w:basedOn w:val="TableNormal"/>
    <w:uiPriority w:val="98"/>
    <w:rsid w:val="00923EE1"/>
    <w:rPr>
      <w:color w:val="000000" w:themeColor="text1"/>
    </w:rPr>
    <w:tblPr>
      <w:tblStyleRowBandSize w:val="1"/>
      <w:tblStyleColBandSize w:val="1"/>
      <w:tblBorders>
        <w:insideH w:val="single" w:sz="4" w:space="0" w:color="FFFFFF" w:themeColor="background1"/>
      </w:tblBorders>
    </w:tblPr>
    <w:tcPr>
      <w:shd w:val="clear" w:color="auto" w:fill="D1E2D3" w:themeFill="accent3" w:themeFillTint="33"/>
      <w:tcMar>
        <w:top w:w="57" w:type="dxa"/>
        <w:left w:w="57" w:type="dxa"/>
        <w:bottom w:w="57" w:type="dxa"/>
        <w:right w:w="57" w:type="dxa"/>
      </w:tcMar>
    </w:tcPr>
    <w:tblStylePr w:type="firstRow">
      <w:rPr>
        <w:rFonts w:asciiTheme="majorHAnsi" w:hAnsiTheme="majorHAnsi" w:cstheme="majorHAnsi"/>
        <w:b/>
        <w:bCs/>
      </w:rPr>
      <w:tblPr/>
      <w:tcPr>
        <w:shd w:val="clear" w:color="auto" w:fill="A3C6A8" w:themeFill="accent3" w:themeFillTint="66"/>
      </w:tcPr>
    </w:tblStylePr>
    <w:tblStylePr w:type="lastRow">
      <w:rPr>
        <w:b/>
        <w:bCs/>
        <w:color w:val="000000" w:themeColor="text1"/>
      </w:rPr>
      <w:tblPr/>
      <w:tcPr>
        <w:shd w:val="clear" w:color="auto" w:fill="A3C6A8" w:themeFill="accent3" w:themeFillTint="66"/>
      </w:tcPr>
    </w:tblStylePr>
    <w:tblStylePr w:type="firstCol">
      <w:rPr>
        <w:color w:val="FFFFFF" w:themeColor="background1"/>
      </w:rPr>
      <w:tblPr/>
      <w:tcPr>
        <w:shd w:val="clear" w:color="auto" w:fill="28402C" w:themeFill="accent3" w:themeFillShade="BF"/>
      </w:tcPr>
    </w:tblStylePr>
    <w:tblStylePr w:type="lastCol">
      <w:rPr>
        <w:color w:val="FFFFFF" w:themeColor="background1"/>
      </w:rPr>
      <w:tblPr/>
      <w:tcPr>
        <w:shd w:val="clear" w:color="auto" w:fill="28402C" w:themeFill="accent3" w:themeFillShade="BF"/>
      </w:tcPr>
    </w:tblStylePr>
    <w:tblStylePr w:type="band1Vert">
      <w:tblPr/>
      <w:tcPr>
        <w:shd w:val="clear" w:color="auto" w:fill="8DB893" w:themeFill="accent3" w:themeFillTint="7F"/>
      </w:tcPr>
    </w:tblStylePr>
    <w:tblStylePr w:type="band1Horz">
      <w:tblPr/>
      <w:tcPr>
        <w:shd w:val="clear" w:color="auto" w:fill="8DB893" w:themeFill="accent3" w:themeFillTint="7F"/>
      </w:tcPr>
    </w:tblStylePr>
  </w:style>
  <w:style w:type="table" w:styleId="ColorfulGrid-Accent4">
    <w:name w:val="Colorful Grid Accent 4"/>
    <w:basedOn w:val="TableNormal"/>
    <w:uiPriority w:val="98"/>
    <w:rsid w:val="00923EE1"/>
    <w:rPr>
      <w:color w:val="000000" w:themeColor="text1"/>
    </w:rPr>
    <w:tblPr>
      <w:tblStyleRowBandSize w:val="1"/>
      <w:tblStyleColBandSize w:val="1"/>
      <w:tblBorders>
        <w:insideH w:val="single" w:sz="4" w:space="0" w:color="FFFFFF" w:themeColor="background1"/>
      </w:tblBorders>
    </w:tblPr>
    <w:tcPr>
      <w:shd w:val="clear" w:color="auto" w:fill="F8E0D7" w:themeFill="accent4" w:themeFillTint="33"/>
      <w:tcMar>
        <w:top w:w="57" w:type="dxa"/>
        <w:left w:w="57" w:type="dxa"/>
        <w:bottom w:w="57" w:type="dxa"/>
        <w:right w:w="57" w:type="dxa"/>
      </w:tcMar>
    </w:tcPr>
    <w:tblStylePr w:type="firstRow">
      <w:rPr>
        <w:rFonts w:asciiTheme="majorHAnsi" w:hAnsiTheme="majorHAnsi" w:cstheme="majorHAnsi"/>
        <w:b/>
        <w:bCs/>
      </w:rPr>
      <w:tblPr/>
      <w:tcPr>
        <w:shd w:val="clear" w:color="auto" w:fill="F1C1B0" w:themeFill="accent4" w:themeFillTint="66"/>
      </w:tcPr>
    </w:tblStylePr>
    <w:tblStylePr w:type="lastRow">
      <w:rPr>
        <w:b/>
        <w:bCs/>
        <w:color w:val="000000" w:themeColor="text1"/>
      </w:rPr>
      <w:tblPr/>
      <w:tcPr>
        <w:shd w:val="clear" w:color="auto" w:fill="F1C1B0" w:themeFill="accent4" w:themeFillTint="66"/>
      </w:tcPr>
    </w:tblStylePr>
    <w:tblStylePr w:type="firstCol">
      <w:rPr>
        <w:color w:val="FFFFFF" w:themeColor="background1"/>
      </w:rPr>
      <w:tblPr/>
      <w:tcPr>
        <w:shd w:val="clear" w:color="auto" w:fill="B1461F" w:themeFill="accent4" w:themeFillShade="BF"/>
      </w:tcPr>
    </w:tblStylePr>
    <w:tblStylePr w:type="lastCol">
      <w:rPr>
        <w:color w:val="FFFFFF" w:themeColor="background1"/>
      </w:rPr>
      <w:tblPr/>
      <w:tcPr>
        <w:shd w:val="clear" w:color="auto" w:fill="B1461F" w:themeFill="accent4" w:themeFillShade="BF"/>
      </w:tcPr>
    </w:tblStylePr>
    <w:tblStylePr w:type="band1Vert">
      <w:tblPr/>
      <w:tcPr>
        <w:shd w:val="clear" w:color="auto" w:fill="EDB29D" w:themeFill="accent4" w:themeFillTint="7F"/>
      </w:tcPr>
    </w:tblStylePr>
    <w:tblStylePr w:type="band1Horz">
      <w:tblPr/>
      <w:tcPr>
        <w:shd w:val="clear" w:color="auto" w:fill="EDB29D" w:themeFill="accent4" w:themeFillTint="7F"/>
      </w:tcPr>
    </w:tblStylePr>
  </w:style>
  <w:style w:type="table" w:styleId="ColorfulGrid-Accent5">
    <w:name w:val="Colorful Grid Accent 5"/>
    <w:basedOn w:val="TableNormal"/>
    <w:uiPriority w:val="98"/>
    <w:rsid w:val="00923EE1"/>
    <w:rPr>
      <w:color w:val="000000" w:themeColor="text1"/>
    </w:rPr>
    <w:tblPr>
      <w:tblStyleRowBandSize w:val="1"/>
      <w:tblStyleColBandSize w:val="1"/>
      <w:tblBorders>
        <w:insideH w:val="single" w:sz="4" w:space="0" w:color="FFFFFF" w:themeColor="background1"/>
      </w:tblBorders>
    </w:tblPr>
    <w:tcPr>
      <w:shd w:val="clear" w:color="auto" w:fill="F4D4CE" w:themeFill="accent5" w:themeFillTint="33"/>
      <w:tcMar>
        <w:top w:w="57" w:type="dxa"/>
        <w:left w:w="57" w:type="dxa"/>
        <w:bottom w:w="57" w:type="dxa"/>
        <w:right w:w="57" w:type="dxa"/>
      </w:tcMar>
    </w:tcPr>
    <w:tblStylePr w:type="firstRow">
      <w:rPr>
        <w:rFonts w:asciiTheme="majorHAnsi" w:hAnsiTheme="majorHAnsi" w:cstheme="majorHAnsi"/>
        <w:b/>
        <w:bCs/>
      </w:rPr>
      <w:tblPr/>
      <w:tcPr>
        <w:shd w:val="clear" w:color="auto" w:fill="EAAA9E" w:themeFill="accent5" w:themeFillTint="66"/>
      </w:tcPr>
    </w:tblStylePr>
    <w:tblStylePr w:type="lastRow">
      <w:rPr>
        <w:b/>
        <w:bCs/>
        <w:color w:val="000000" w:themeColor="text1"/>
      </w:rPr>
      <w:tblPr/>
      <w:tcPr>
        <w:shd w:val="clear" w:color="auto" w:fill="EAAA9E" w:themeFill="accent5" w:themeFillTint="66"/>
      </w:tcPr>
    </w:tblStylePr>
    <w:tblStylePr w:type="firstCol">
      <w:rPr>
        <w:color w:val="FFFFFF" w:themeColor="background1"/>
      </w:rPr>
      <w:tblPr/>
      <w:tcPr>
        <w:shd w:val="clear" w:color="auto" w:fill="852D1C" w:themeFill="accent5" w:themeFillShade="BF"/>
      </w:tcPr>
    </w:tblStylePr>
    <w:tblStylePr w:type="lastCol">
      <w:rPr>
        <w:color w:val="FFFFFF" w:themeColor="background1"/>
      </w:rPr>
      <w:tblPr/>
      <w:tcPr>
        <w:shd w:val="clear" w:color="auto" w:fill="852D1C" w:themeFill="accent5" w:themeFillShade="BF"/>
      </w:tcPr>
    </w:tblStylePr>
    <w:tblStylePr w:type="band1Vert">
      <w:tblPr/>
      <w:tcPr>
        <w:shd w:val="clear" w:color="auto" w:fill="E59586" w:themeFill="accent5" w:themeFillTint="7F"/>
      </w:tcPr>
    </w:tblStylePr>
    <w:tblStylePr w:type="band1Horz">
      <w:tblPr/>
      <w:tcPr>
        <w:shd w:val="clear" w:color="auto" w:fill="E59586" w:themeFill="accent5" w:themeFillTint="7F"/>
      </w:tcPr>
    </w:tblStylePr>
  </w:style>
  <w:style w:type="table" w:styleId="ColorfulGrid-Accent6">
    <w:name w:val="Colorful Grid Accent 6"/>
    <w:basedOn w:val="TableNormal"/>
    <w:uiPriority w:val="98"/>
    <w:rsid w:val="00923EE1"/>
    <w:rPr>
      <w:color w:val="000000" w:themeColor="text1"/>
    </w:rPr>
    <w:tblPr>
      <w:tblStyleRowBandSize w:val="1"/>
      <w:tblStyleColBandSize w:val="1"/>
      <w:tblBorders>
        <w:insideH w:val="single" w:sz="4" w:space="0" w:color="FFFFFF" w:themeColor="background1"/>
      </w:tblBorders>
    </w:tblPr>
    <w:tcPr>
      <w:shd w:val="clear" w:color="auto" w:fill="EBEFEE" w:themeFill="accent6" w:themeFillTint="33"/>
      <w:tcMar>
        <w:top w:w="57" w:type="dxa"/>
        <w:left w:w="57" w:type="dxa"/>
        <w:bottom w:w="57" w:type="dxa"/>
        <w:right w:w="57" w:type="dxa"/>
      </w:tcMar>
    </w:tcPr>
    <w:tblStylePr w:type="firstRow">
      <w:rPr>
        <w:rFonts w:asciiTheme="majorHAnsi" w:hAnsiTheme="majorHAnsi" w:cstheme="majorHAnsi"/>
        <w:b/>
        <w:bCs/>
      </w:rPr>
      <w:tblPr/>
      <w:tcPr>
        <w:shd w:val="clear" w:color="auto" w:fill="D7DFDD" w:themeFill="accent6" w:themeFillTint="66"/>
      </w:tcPr>
    </w:tblStylePr>
    <w:tblStylePr w:type="lastRow">
      <w:rPr>
        <w:b/>
        <w:bCs/>
        <w:color w:val="000000" w:themeColor="text1"/>
      </w:rPr>
      <w:tblPr/>
      <w:tcPr>
        <w:shd w:val="clear" w:color="auto" w:fill="D7DFDD" w:themeFill="accent6" w:themeFillTint="66"/>
      </w:tcPr>
    </w:tblStylePr>
    <w:tblStylePr w:type="firstCol">
      <w:rPr>
        <w:color w:val="FFFFFF" w:themeColor="background1"/>
      </w:rPr>
      <w:tblPr/>
      <w:tcPr>
        <w:shd w:val="clear" w:color="auto" w:fill="6F8A84" w:themeFill="accent6" w:themeFillShade="BF"/>
      </w:tcPr>
    </w:tblStylePr>
    <w:tblStylePr w:type="lastCol">
      <w:rPr>
        <w:color w:val="FFFFFF" w:themeColor="background1"/>
      </w:rPr>
      <w:tblPr/>
      <w:tcPr>
        <w:shd w:val="clear" w:color="auto" w:fill="6F8A84" w:themeFill="accent6" w:themeFillShade="BF"/>
      </w:tcPr>
    </w:tblStylePr>
    <w:tblStylePr w:type="band1Vert">
      <w:tblPr/>
      <w:tcPr>
        <w:shd w:val="clear" w:color="auto" w:fill="CED7D5" w:themeFill="accent6" w:themeFillTint="7F"/>
      </w:tcPr>
    </w:tblStylePr>
    <w:tblStylePr w:type="band1Horz">
      <w:tblPr/>
      <w:tcPr>
        <w:shd w:val="clear" w:color="auto" w:fill="CED7D5" w:themeFill="accent6" w:themeFillTint="7F"/>
      </w:tcPr>
    </w:tblStylePr>
  </w:style>
  <w:style w:type="table" w:styleId="ColorfulList">
    <w:name w:val="Colorful List"/>
    <w:basedOn w:val="TableNormal"/>
    <w:uiPriority w:val="98"/>
    <w:rsid w:val="00923EE1"/>
    <w:rPr>
      <w:color w:val="000000" w:themeColor="text1"/>
    </w:rPr>
    <w:tblPr>
      <w:tblStyleRowBandSize w:val="1"/>
      <w:tblStyleColBandSize w:val="1"/>
    </w:tblPr>
    <w:tcPr>
      <w:shd w:val="clear" w:color="auto" w:fill="E6E6E6" w:themeFill="text1" w:themeFillTint="19"/>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bottom w:val="single" w:sz="12" w:space="0" w:color="FFFFFF" w:themeColor="background1"/>
        </w:tcBorders>
        <w:shd w:val="clear" w:color="auto" w:fill="CC9000" w:themeFill="accent2" w:themeFillShade="CC"/>
      </w:tcPr>
    </w:tblStylePr>
    <w:tblStylePr w:type="lastRow">
      <w:rPr>
        <w:b/>
        <w:bCs/>
        <w:color w:val="CC9000"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98"/>
    <w:rsid w:val="00923EE1"/>
    <w:rPr>
      <w:color w:val="000000" w:themeColor="text1"/>
    </w:rPr>
    <w:tblPr>
      <w:tblStyleRowBandSize w:val="1"/>
      <w:tblStyleColBandSize w:val="1"/>
    </w:tblPr>
    <w:tcPr>
      <w:shd w:val="clear" w:color="auto" w:fill="D8F0FF" w:themeFill="accent1" w:themeFillTint="19"/>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bottom w:val="single" w:sz="12" w:space="0" w:color="FFFFFF" w:themeColor="background1"/>
        </w:tcBorders>
        <w:shd w:val="clear" w:color="auto" w:fill="CC9000" w:themeFill="accent2" w:themeFillShade="CC"/>
      </w:tcPr>
    </w:tblStylePr>
    <w:tblStylePr w:type="lastRow">
      <w:rPr>
        <w:b/>
        <w:bCs/>
        <w:color w:val="CC9000"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9ED9FF" w:themeFill="accent1" w:themeFillTint="3F"/>
      </w:tcPr>
    </w:tblStylePr>
    <w:tblStylePr w:type="band1Horz">
      <w:tblPr/>
      <w:tcPr>
        <w:shd w:val="clear" w:color="auto" w:fill="B0E0FF" w:themeFill="accent1" w:themeFillTint="33"/>
      </w:tcPr>
    </w:tblStylePr>
  </w:style>
  <w:style w:type="table" w:styleId="ColorfulList-Accent2">
    <w:name w:val="Colorful List Accent 2"/>
    <w:basedOn w:val="TableNormal"/>
    <w:uiPriority w:val="98"/>
    <w:rsid w:val="00923EE1"/>
    <w:rPr>
      <w:color w:val="000000" w:themeColor="text1"/>
    </w:rPr>
    <w:tblPr>
      <w:tblStyleRowBandSize w:val="1"/>
      <w:tblStyleColBandSize w:val="1"/>
    </w:tblPr>
    <w:tcPr>
      <w:shd w:val="clear" w:color="auto" w:fill="FFF7E6" w:themeFill="accent2" w:themeFillTint="19"/>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bottom w:val="single" w:sz="12" w:space="0" w:color="FFFFFF" w:themeColor="background1"/>
        </w:tcBorders>
        <w:shd w:val="clear" w:color="auto" w:fill="CC9000" w:themeFill="accent2" w:themeFillShade="CC"/>
      </w:tcPr>
    </w:tblStylePr>
    <w:tblStylePr w:type="lastRow">
      <w:rPr>
        <w:b/>
        <w:bCs/>
        <w:color w:val="CC9000"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ECC0" w:themeFill="accent2" w:themeFillTint="3F"/>
      </w:tcPr>
    </w:tblStylePr>
    <w:tblStylePr w:type="band1Horz">
      <w:tblPr/>
      <w:tcPr>
        <w:shd w:val="clear" w:color="auto" w:fill="FFF0CC" w:themeFill="accent2" w:themeFillTint="33"/>
      </w:tcPr>
    </w:tblStylePr>
  </w:style>
  <w:style w:type="table" w:styleId="ColorfulList-Accent3">
    <w:name w:val="Colorful List Accent 3"/>
    <w:basedOn w:val="TableNormal"/>
    <w:uiPriority w:val="98"/>
    <w:rsid w:val="00923EE1"/>
    <w:rPr>
      <w:color w:val="000000" w:themeColor="text1"/>
    </w:rPr>
    <w:tblPr>
      <w:tblStyleRowBandSize w:val="1"/>
      <w:tblStyleColBandSize w:val="1"/>
    </w:tblPr>
    <w:tcPr>
      <w:shd w:val="clear" w:color="auto" w:fill="E8F1E9" w:themeFill="accent3" w:themeFillTint="19"/>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bottom w:val="single" w:sz="12" w:space="0" w:color="FFFFFF" w:themeColor="background1"/>
        </w:tcBorders>
        <w:shd w:val="clear" w:color="auto" w:fill="BD4B21" w:themeFill="accent4" w:themeFillShade="CC"/>
      </w:tcPr>
    </w:tblStylePr>
    <w:tblStylePr w:type="lastRow">
      <w:rPr>
        <w:b/>
        <w:bCs/>
        <w:color w:val="BD4B21"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6DCC9" w:themeFill="accent3" w:themeFillTint="3F"/>
      </w:tcPr>
    </w:tblStylePr>
    <w:tblStylePr w:type="band1Horz">
      <w:tblPr/>
      <w:tcPr>
        <w:shd w:val="clear" w:color="auto" w:fill="D1E2D3" w:themeFill="accent3" w:themeFillTint="33"/>
      </w:tcPr>
    </w:tblStylePr>
  </w:style>
  <w:style w:type="table" w:styleId="ColorfulList-Accent4">
    <w:name w:val="Colorful List Accent 4"/>
    <w:basedOn w:val="TableNormal"/>
    <w:uiPriority w:val="98"/>
    <w:rsid w:val="00923EE1"/>
    <w:rPr>
      <w:color w:val="000000" w:themeColor="text1"/>
    </w:rPr>
    <w:tblPr>
      <w:tblStyleRowBandSize w:val="1"/>
      <w:tblStyleColBandSize w:val="1"/>
    </w:tblPr>
    <w:tcPr>
      <w:shd w:val="clear" w:color="auto" w:fill="FBEFEB" w:themeFill="accent4" w:themeFillTint="19"/>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bottom w:val="single" w:sz="12" w:space="0" w:color="FFFFFF" w:themeColor="background1"/>
        </w:tcBorders>
        <w:shd w:val="clear" w:color="auto" w:fill="2B452F" w:themeFill="accent3" w:themeFillShade="CC"/>
      </w:tcPr>
    </w:tblStylePr>
    <w:tblStylePr w:type="lastRow">
      <w:rPr>
        <w:b/>
        <w:bCs/>
        <w:color w:val="2B452F"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6D9CE" w:themeFill="accent4" w:themeFillTint="3F"/>
      </w:tcPr>
    </w:tblStylePr>
    <w:tblStylePr w:type="band1Horz">
      <w:tblPr/>
      <w:tcPr>
        <w:shd w:val="clear" w:color="auto" w:fill="F8E0D7" w:themeFill="accent4" w:themeFillTint="33"/>
      </w:tcPr>
    </w:tblStylePr>
  </w:style>
  <w:style w:type="table" w:styleId="ColorfulList-Accent5">
    <w:name w:val="Colorful List Accent 5"/>
    <w:basedOn w:val="TableNormal"/>
    <w:uiPriority w:val="98"/>
    <w:rsid w:val="00923EE1"/>
    <w:rPr>
      <w:color w:val="000000" w:themeColor="text1"/>
    </w:rPr>
    <w:tblPr>
      <w:tblStyleRowBandSize w:val="1"/>
      <w:tblStyleColBandSize w:val="1"/>
    </w:tblPr>
    <w:tcPr>
      <w:shd w:val="clear" w:color="auto" w:fill="FAEAE7" w:themeFill="accent5" w:themeFillTint="19"/>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bottom w:val="single" w:sz="12" w:space="0" w:color="FFFFFF" w:themeColor="background1"/>
        </w:tcBorders>
        <w:shd w:val="clear" w:color="auto" w:fill="78928C" w:themeFill="accent6" w:themeFillShade="CC"/>
      </w:tcPr>
    </w:tblStylePr>
    <w:tblStylePr w:type="lastRow">
      <w:rPr>
        <w:b/>
        <w:bCs/>
        <w:color w:val="78928C"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CAC3" w:themeFill="accent5" w:themeFillTint="3F"/>
      </w:tcPr>
    </w:tblStylePr>
    <w:tblStylePr w:type="band1Horz">
      <w:tblPr/>
      <w:tcPr>
        <w:shd w:val="clear" w:color="auto" w:fill="F4D4CE" w:themeFill="accent5" w:themeFillTint="33"/>
      </w:tcPr>
    </w:tblStylePr>
  </w:style>
  <w:style w:type="table" w:styleId="ColorfulList-Accent6">
    <w:name w:val="Colorful List Accent 6"/>
    <w:basedOn w:val="TableNormal"/>
    <w:uiPriority w:val="98"/>
    <w:rsid w:val="00923EE1"/>
    <w:rPr>
      <w:color w:val="000000" w:themeColor="text1"/>
    </w:rPr>
    <w:tblPr>
      <w:tblStyleRowBandSize w:val="1"/>
      <w:tblStyleColBandSize w:val="1"/>
    </w:tblPr>
    <w:tcPr>
      <w:shd w:val="clear" w:color="auto" w:fill="F5F7F6" w:themeFill="accent6" w:themeFillTint="19"/>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bottom w:val="single" w:sz="12" w:space="0" w:color="FFFFFF" w:themeColor="background1"/>
        </w:tcBorders>
        <w:shd w:val="clear" w:color="auto" w:fill="8E301E" w:themeFill="accent5" w:themeFillShade="CC"/>
      </w:tcPr>
    </w:tblStylePr>
    <w:tblStylePr w:type="lastRow">
      <w:rPr>
        <w:b/>
        <w:bCs/>
        <w:color w:val="8E301E"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BEA" w:themeFill="accent6" w:themeFillTint="3F"/>
      </w:tcPr>
    </w:tblStylePr>
    <w:tblStylePr w:type="band1Horz">
      <w:tblPr/>
      <w:tcPr>
        <w:shd w:val="clear" w:color="auto" w:fill="EBEFEE" w:themeFill="accent6" w:themeFillTint="33"/>
      </w:tcPr>
    </w:tblStylePr>
  </w:style>
  <w:style w:type="table" w:styleId="ColorfulShading">
    <w:name w:val="Colorful Shading"/>
    <w:basedOn w:val="TableNormal"/>
    <w:uiPriority w:val="98"/>
    <w:rsid w:val="00923EE1"/>
    <w:rPr>
      <w:color w:val="000000" w:themeColor="text1"/>
    </w:rPr>
    <w:tblPr>
      <w:tblStyleRowBandSize w:val="1"/>
      <w:tblStyleColBandSize w:val="1"/>
      <w:tblBorders>
        <w:top w:val="single" w:sz="24" w:space="0" w:color="FFB500"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24" w:space="0" w:color="FFB50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98"/>
    <w:rsid w:val="00923EE1"/>
    <w:rPr>
      <w:color w:val="000000" w:themeColor="text1"/>
    </w:rPr>
    <w:tblPr>
      <w:tblStyleRowBandSize w:val="1"/>
      <w:tblStyleColBandSize w:val="1"/>
      <w:tblBorders>
        <w:top w:val="single" w:sz="24" w:space="0" w:color="FFB500" w:themeColor="accent2"/>
        <w:left w:val="single" w:sz="4" w:space="0" w:color="004976" w:themeColor="accent1"/>
        <w:bottom w:val="single" w:sz="4" w:space="0" w:color="004976" w:themeColor="accent1"/>
        <w:right w:val="single" w:sz="4" w:space="0" w:color="004976" w:themeColor="accent1"/>
        <w:insideH w:val="single" w:sz="4" w:space="0" w:color="FFFFFF" w:themeColor="background1"/>
        <w:insideV w:val="single" w:sz="4" w:space="0" w:color="FFFFFF" w:themeColor="background1"/>
      </w:tblBorders>
    </w:tblPr>
    <w:tcPr>
      <w:shd w:val="clear" w:color="auto" w:fill="D8F0FF" w:themeFill="accent1" w:themeFillTint="19"/>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24" w:space="0" w:color="FFB50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2B46" w:themeFill="accent1" w:themeFillShade="99"/>
      </w:tcPr>
    </w:tblStylePr>
    <w:tblStylePr w:type="firstCol">
      <w:rPr>
        <w:color w:val="FFFFFF" w:themeColor="background1"/>
      </w:rPr>
      <w:tblPr/>
      <w:tcPr>
        <w:tcBorders>
          <w:top w:val="nil"/>
          <w:left w:val="nil"/>
          <w:bottom w:val="nil"/>
          <w:right w:val="nil"/>
          <w:insideH w:val="single" w:sz="4" w:space="0" w:color="002B46" w:themeColor="accent1" w:themeShade="99"/>
          <w:insideV w:val="nil"/>
        </w:tcBorders>
        <w:shd w:val="clear" w:color="auto" w:fill="002B46"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02B46" w:themeFill="accent1" w:themeFillShade="99"/>
      </w:tcPr>
    </w:tblStylePr>
    <w:tblStylePr w:type="band1Vert">
      <w:tblPr/>
      <w:tcPr>
        <w:shd w:val="clear" w:color="auto" w:fill="62C2FF" w:themeFill="accent1" w:themeFillTint="66"/>
      </w:tcPr>
    </w:tblStylePr>
    <w:tblStylePr w:type="band1Horz">
      <w:tblPr/>
      <w:tcPr>
        <w:shd w:val="clear" w:color="auto" w:fill="3BB3FF"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98"/>
    <w:rsid w:val="00923EE1"/>
    <w:rPr>
      <w:color w:val="000000" w:themeColor="text1"/>
    </w:rPr>
    <w:tblPr>
      <w:tblStyleRowBandSize w:val="1"/>
      <w:tblStyleColBandSize w:val="1"/>
      <w:tblBorders>
        <w:top w:val="single" w:sz="24" w:space="0" w:color="FFB500" w:themeColor="accent2"/>
        <w:left w:val="single" w:sz="4" w:space="0" w:color="FFB500" w:themeColor="accent2"/>
        <w:bottom w:val="single" w:sz="4" w:space="0" w:color="FFB500" w:themeColor="accent2"/>
        <w:right w:val="single" w:sz="4" w:space="0" w:color="FFB500" w:themeColor="accent2"/>
        <w:insideH w:val="single" w:sz="4" w:space="0" w:color="FFFFFF" w:themeColor="background1"/>
        <w:insideV w:val="single" w:sz="4" w:space="0" w:color="FFFFFF" w:themeColor="background1"/>
      </w:tblBorders>
    </w:tblPr>
    <w:tcPr>
      <w:shd w:val="clear" w:color="auto" w:fill="FFF7E6" w:themeFill="accent2" w:themeFillTint="19"/>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24" w:space="0" w:color="FFB50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6C00" w:themeFill="accent2" w:themeFillShade="99"/>
      </w:tcPr>
    </w:tblStylePr>
    <w:tblStylePr w:type="firstCol">
      <w:rPr>
        <w:color w:val="FFFFFF" w:themeColor="background1"/>
      </w:rPr>
      <w:tblPr/>
      <w:tcPr>
        <w:tcBorders>
          <w:top w:val="nil"/>
          <w:left w:val="nil"/>
          <w:bottom w:val="nil"/>
          <w:right w:val="nil"/>
          <w:insideH w:val="single" w:sz="4" w:space="0" w:color="996C00" w:themeColor="accent2" w:themeShade="99"/>
          <w:insideV w:val="nil"/>
        </w:tcBorders>
        <w:shd w:val="clear" w:color="auto" w:fill="996C0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6C00" w:themeFill="accent2" w:themeFillShade="99"/>
      </w:tcPr>
    </w:tblStylePr>
    <w:tblStylePr w:type="band1Vert">
      <w:tblPr/>
      <w:tcPr>
        <w:shd w:val="clear" w:color="auto" w:fill="FFE199" w:themeFill="accent2" w:themeFillTint="66"/>
      </w:tcPr>
    </w:tblStylePr>
    <w:tblStylePr w:type="band1Horz">
      <w:tblPr/>
      <w:tcPr>
        <w:shd w:val="clear" w:color="auto" w:fill="FFDA80"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98"/>
    <w:rsid w:val="00923EE1"/>
    <w:rPr>
      <w:color w:val="000000" w:themeColor="text1"/>
    </w:rPr>
    <w:tblPr>
      <w:tblStyleRowBandSize w:val="1"/>
      <w:tblStyleColBandSize w:val="1"/>
      <w:tblBorders>
        <w:top w:val="single" w:sz="24" w:space="0" w:color="DC673B" w:themeColor="accent4"/>
        <w:left w:val="single" w:sz="4" w:space="0" w:color="36573B" w:themeColor="accent3"/>
        <w:bottom w:val="single" w:sz="4" w:space="0" w:color="36573B" w:themeColor="accent3"/>
        <w:right w:val="single" w:sz="4" w:space="0" w:color="36573B" w:themeColor="accent3"/>
        <w:insideH w:val="single" w:sz="4" w:space="0" w:color="FFFFFF" w:themeColor="background1"/>
        <w:insideV w:val="single" w:sz="4" w:space="0" w:color="FFFFFF" w:themeColor="background1"/>
      </w:tblBorders>
    </w:tblPr>
    <w:tcPr>
      <w:shd w:val="clear" w:color="auto" w:fill="E8F1E9" w:themeFill="accent3" w:themeFillTint="19"/>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24" w:space="0" w:color="DC673B"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03423" w:themeFill="accent3" w:themeFillShade="99"/>
      </w:tcPr>
    </w:tblStylePr>
    <w:tblStylePr w:type="firstCol">
      <w:rPr>
        <w:color w:val="FFFFFF" w:themeColor="background1"/>
      </w:rPr>
      <w:tblPr/>
      <w:tcPr>
        <w:tcBorders>
          <w:top w:val="nil"/>
          <w:left w:val="nil"/>
          <w:bottom w:val="nil"/>
          <w:right w:val="nil"/>
          <w:insideH w:val="single" w:sz="4" w:space="0" w:color="203423" w:themeColor="accent3" w:themeShade="99"/>
          <w:insideV w:val="nil"/>
        </w:tcBorders>
        <w:shd w:val="clear" w:color="auto" w:fill="203423"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203423" w:themeFill="accent3" w:themeFillShade="99"/>
      </w:tcPr>
    </w:tblStylePr>
    <w:tblStylePr w:type="band1Vert">
      <w:tblPr/>
      <w:tcPr>
        <w:shd w:val="clear" w:color="auto" w:fill="A3C6A8" w:themeFill="accent3" w:themeFillTint="66"/>
      </w:tcPr>
    </w:tblStylePr>
    <w:tblStylePr w:type="band1Horz">
      <w:tblPr/>
      <w:tcPr>
        <w:shd w:val="clear" w:color="auto" w:fill="8DB893" w:themeFill="accent3" w:themeFillTint="7F"/>
      </w:tcPr>
    </w:tblStylePr>
  </w:style>
  <w:style w:type="table" w:styleId="ColorfulShading-Accent4">
    <w:name w:val="Colorful Shading Accent 4"/>
    <w:basedOn w:val="TableNormal"/>
    <w:uiPriority w:val="98"/>
    <w:rsid w:val="00923EE1"/>
    <w:rPr>
      <w:color w:val="000000" w:themeColor="text1"/>
    </w:rPr>
    <w:tblPr>
      <w:tblStyleRowBandSize w:val="1"/>
      <w:tblStyleColBandSize w:val="1"/>
      <w:tblBorders>
        <w:top w:val="single" w:sz="24" w:space="0" w:color="36573B" w:themeColor="accent3"/>
        <w:left w:val="single" w:sz="4" w:space="0" w:color="DC673B" w:themeColor="accent4"/>
        <w:bottom w:val="single" w:sz="4" w:space="0" w:color="DC673B" w:themeColor="accent4"/>
        <w:right w:val="single" w:sz="4" w:space="0" w:color="DC673B" w:themeColor="accent4"/>
        <w:insideH w:val="single" w:sz="4" w:space="0" w:color="FFFFFF" w:themeColor="background1"/>
        <w:insideV w:val="single" w:sz="4" w:space="0" w:color="FFFFFF" w:themeColor="background1"/>
      </w:tblBorders>
    </w:tblPr>
    <w:tcPr>
      <w:shd w:val="clear" w:color="auto" w:fill="FBEFEB" w:themeFill="accent4" w:themeFillTint="19"/>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24" w:space="0" w:color="36573B"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8D3819" w:themeFill="accent4" w:themeFillShade="99"/>
      </w:tcPr>
    </w:tblStylePr>
    <w:tblStylePr w:type="firstCol">
      <w:rPr>
        <w:color w:val="FFFFFF" w:themeColor="background1"/>
      </w:rPr>
      <w:tblPr/>
      <w:tcPr>
        <w:tcBorders>
          <w:top w:val="nil"/>
          <w:left w:val="nil"/>
          <w:bottom w:val="nil"/>
          <w:right w:val="nil"/>
          <w:insideH w:val="single" w:sz="4" w:space="0" w:color="8D3819" w:themeColor="accent4" w:themeShade="99"/>
          <w:insideV w:val="nil"/>
        </w:tcBorders>
        <w:shd w:val="clear" w:color="auto" w:fill="8D3819"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8D3819" w:themeFill="accent4" w:themeFillShade="99"/>
      </w:tcPr>
    </w:tblStylePr>
    <w:tblStylePr w:type="band1Vert">
      <w:tblPr/>
      <w:tcPr>
        <w:shd w:val="clear" w:color="auto" w:fill="F1C1B0" w:themeFill="accent4" w:themeFillTint="66"/>
      </w:tcPr>
    </w:tblStylePr>
    <w:tblStylePr w:type="band1Horz">
      <w:tblPr/>
      <w:tcPr>
        <w:shd w:val="clear" w:color="auto" w:fill="EDB29D"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98"/>
    <w:rsid w:val="00923EE1"/>
    <w:rPr>
      <w:color w:val="000000" w:themeColor="text1"/>
    </w:rPr>
    <w:tblPr>
      <w:tblStyleRowBandSize w:val="1"/>
      <w:tblStyleColBandSize w:val="1"/>
      <w:tblBorders>
        <w:top w:val="single" w:sz="24" w:space="0" w:color="9DB0AC" w:themeColor="accent6"/>
        <w:left w:val="single" w:sz="4" w:space="0" w:color="B33D26" w:themeColor="accent5"/>
        <w:bottom w:val="single" w:sz="4" w:space="0" w:color="B33D26" w:themeColor="accent5"/>
        <w:right w:val="single" w:sz="4" w:space="0" w:color="B33D26" w:themeColor="accent5"/>
        <w:insideH w:val="single" w:sz="4" w:space="0" w:color="FFFFFF" w:themeColor="background1"/>
        <w:insideV w:val="single" w:sz="4" w:space="0" w:color="FFFFFF" w:themeColor="background1"/>
      </w:tblBorders>
    </w:tblPr>
    <w:tcPr>
      <w:shd w:val="clear" w:color="auto" w:fill="FAEAE7" w:themeFill="accent5" w:themeFillTint="19"/>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24" w:space="0" w:color="9DB0AC"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B2416" w:themeFill="accent5" w:themeFillShade="99"/>
      </w:tcPr>
    </w:tblStylePr>
    <w:tblStylePr w:type="firstCol">
      <w:rPr>
        <w:color w:val="FFFFFF" w:themeColor="background1"/>
      </w:rPr>
      <w:tblPr/>
      <w:tcPr>
        <w:tcBorders>
          <w:top w:val="nil"/>
          <w:left w:val="nil"/>
          <w:bottom w:val="nil"/>
          <w:right w:val="nil"/>
          <w:insideH w:val="single" w:sz="4" w:space="0" w:color="6B2416" w:themeColor="accent5" w:themeShade="99"/>
          <w:insideV w:val="nil"/>
        </w:tcBorders>
        <w:shd w:val="clear" w:color="auto" w:fill="6B2416"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6B2416" w:themeFill="accent5" w:themeFillShade="99"/>
      </w:tcPr>
    </w:tblStylePr>
    <w:tblStylePr w:type="band1Vert">
      <w:tblPr/>
      <w:tcPr>
        <w:shd w:val="clear" w:color="auto" w:fill="EAAA9E" w:themeFill="accent5" w:themeFillTint="66"/>
      </w:tcPr>
    </w:tblStylePr>
    <w:tblStylePr w:type="band1Horz">
      <w:tblPr/>
      <w:tcPr>
        <w:shd w:val="clear" w:color="auto" w:fill="E59586"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98"/>
    <w:rsid w:val="00923EE1"/>
    <w:rPr>
      <w:color w:val="000000" w:themeColor="text1"/>
    </w:rPr>
    <w:tblPr>
      <w:tblStyleRowBandSize w:val="1"/>
      <w:tblStyleColBandSize w:val="1"/>
      <w:tblBorders>
        <w:top w:val="single" w:sz="24" w:space="0" w:color="B33D26" w:themeColor="accent5"/>
        <w:left w:val="single" w:sz="4" w:space="0" w:color="9DB0AC" w:themeColor="accent6"/>
        <w:bottom w:val="single" w:sz="4" w:space="0" w:color="9DB0AC" w:themeColor="accent6"/>
        <w:right w:val="single" w:sz="4" w:space="0" w:color="9DB0AC" w:themeColor="accent6"/>
        <w:insideH w:val="single" w:sz="4" w:space="0" w:color="FFFFFF" w:themeColor="background1"/>
        <w:insideV w:val="single" w:sz="4" w:space="0" w:color="FFFFFF" w:themeColor="background1"/>
      </w:tblBorders>
    </w:tblPr>
    <w:tcPr>
      <w:shd w:val="clear" w:color="auto" w:fill="F5F7F6" w:themeFill="accent6" w:themeFillTint="19"/>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24" w:space="0" w:color="B33D2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96E69" w:themeFill="accent6" w:themeFillShade="99"/>
      </w:tcPr>
    </w:tblStylePr>
    <w:tblStylePr w:type="firstCol">
      <w:rPr>
        <w:color w:val="FFFFFF" w:themeColor="background1"/>
      </w:rPr>
      <w:tblPr/>
      <w:tcPr>
        <w:tcBorders>
          <w:top w:val="nil"/>
          <w:left w:val="nil"/>
          <w:bottom w:val="nil"/>
          <w:right w:val="nil"/>
          <w:insideH w:val="single" w:sz="4" w:space="0" w:color="596E69" w:themeColor="accent6" w:themeShade="99"/>
          <w:insideV w:val="nil"/>
        </w:tcBorders>
        <w:shd w:val="clear" w:color="auto" w:fill="596E69"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596E69" w:themeFill="accent6" w:themeFillShade="99"/>
      </w:tcPr>
    </w:tblStylePr>
    <w:tblStylePr w:type="band1Vert">
      <w:tblPr/>
      <w:tcPr>
        <w:shd w:val="clear" w:color="auto" w:fill="D7DFDD" w:themeFill="accent6" w:themeFillTint="66"/>
      </w:tcPr>
    </w:tblStylePr>
    <w:tblStylePr w:type="band1Horz">
      <w:tblPr/>
      <w:tcPr>
        <w:shd w:val="clear" w:color="auto" w:fill="CED7D5"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7"/>
    <w:semiHidden/>
    <w:rsid w:val="00923EE1"/>
    <w:rPr>
      <w:rFonts w:asciiTheme="minorHAnsi" w:hAnsiTheme="minorHAnsi" w:cstheme="minorHAnsi"/>
      <w:sz w:val="16"/>
      <w:szCs w:val="16"/>
    </w:rPr>
  </w:style>
  <w:style w:type="paragraph" w:styleId="CommentText">
    <w:name w:val="annotation text"/>
    <w:basedOn w:val="Normal"/>
    <w:link w:val="CommentTextChar"/>
    <w:uiPriority w:val="99"/>
    <w:semiHidden/>
    <w:rsid w:val="00923EE1"/>
  </w:style>
  <w:style w:type="character" w:customStyle="1" w:styleId="CommentTextChar">
    <w:name w:val="Comment Text Char"/>
    <w:basedOn w:val="DefaultParagraphFont"/>
    <w:link w:val="CommentText"/>
    <w:uiPriority w:val="99"/>
    <w:semiHidden/>
    <w:rsid w:val="00923EE1"/>
    <w:rPr>
      <w:rFonts w:asciiTheme="minorHAnsi" w:eastAsia="MS Mincho" w:hAnsiTheme="minorHAnsi"/>
      <w:color w:val="000000" w:themeColor="text2"/>
      <w:lang w:val="en-AU" w:eastAsia="ja-JP"/>
    </w:rPr>
  </w:style>
  <w:style w:type="paragraph" w:styleId="CommentSubject">
    <w:name w:val="annotation subject"/>
    <w:basedOn w:val="CommentText"/>
    <w:next w:val="CommentText"/>
    <w:link w:val="CommentSubjectChar"/>
    <w:uiPriority w:val="97"/>
    <w:semiHidden/>
    <w:rsid w:val="00923EE1"/>
    <w:rPr>
      <w:b/>
      <w:bCs/>
    </w:rPr>
  </w:style>
  <w:style w:type="character" w:customStyle="1" w:styleId="CommentSubjectChar">
    <w:name w:val="Comment Subject Char"/>
    <w:basedOn w:val="CommentTextChar"/>
    <w:link w:val="CommentSubject"/>
    <w:uiPriority w:val="97"/>
    <w:semiHidden/>
    <w:rsid w:val="00923EE1"/>
    <w:rPr>
      <w:rFonts w:asciiTheme="minorHAnsi" w:eastAsia="MS Mincho" w:hAnsiTheme="minorHAnsi"/>
      <w:b/>
      <w:bCs/>
      <w:color w:val="000000" w:themeColor="text2"/>
      <w:lang w:val="en-AU" w:eastAsia="ja-JP"/>
    </w:rPr>
  </w:style>
  <w:style w:type="table" w:styleId="DarkList">
    <w:name w:val="Dark List"/>
    <w:basedOn w:val="TableNormal"/>
    <w:uiPriority w:val="98"/>
    <w:rsid w:val="00923EE1"/>
    <w:rPr>
      <w:color w:val="FFFFFF" w:themeColor="background1"/>
    </w:rPr>
    <w:tblPr>
      <w:tblStyleRowBandSize w:val="1"/>
      <w:tblStyleColBandSize w:val="1"/>
    </w:tblPr>
    <w:tcPr>
      <w:shd w:val="clear" w:color="auto" w:fill="000000" w:themeFill="text1"/>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98"/>
    <w:rsid w:val="00923EE1"/>
    <w:rPr>
      <w:color w:val="FFFFFF" w:themeColor="background1"/>
    </w:rPr>
    <w:tblPr>
      <w:tblStyleRowBandSize w:val="1"/>
      <w:tblStyleColBandSize w:val="1"/>
    </w:tblPr>
    <w:tcPr>
      <w:shd w:val="clear" w:color="auto" w:fill="004976" w:themeFill="accent1"/>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243A"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03658"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03658" w:themeFill="accent1" w:themeFillShade="BF"/>
      </w:tcPr>
    </w:tblStylePr>
    <w:tblStylePr w:type="band1Vert">
      <w:tblPr/>
      <w:tcPr>
        <w:tcBorders>
          <w:top w:val="nil"/>
          <w:left w:val="nil"/>
          <w:bottom w:val="nil"/>
          <w:right w:val="nil"/>
          <w:insideH w:val="nil"/>
          <w:insideV w:val="nil"/>
        </w:tcBorders>
        <w:shd w:val="clear" w:color="auto" w:fill="003658" w:themeFill="accent1" w:themeFillShade="BF"/>
      </w:tcPr>
    </w:tblStylePr>
    <w:tblStylePr w:type="band1Horz">
      <w:tblPr/>
      <w:tcPr>
        <w:tcBorders>
          <w:top w:val="nil"/>
          <w:left w:val="nil"/>
          <w:bottom w:val="nil"/>
          <w:right w:val="nil"/>
          <w:insideH w:val="nil"/>
          <w:insideV w:val="nil"/>
        </w:tcBorders>
        <w:shd w:val="clear" w:color="auto" w:fill="003658" w:themeFill="accent1" w:themeFillShade="BF"/>
      </w:tcPr>
    </w:tblStylePr>
  </w:style>
  <w:style w:type="table" w:styleId="DarkList-Accent2">
    <w:name w:val="Dark List Accent 2"/>
    <w:basedOn w:val="TableNormal"/>
    <w:uiPriority w:val="98"/>
    <w:rsid w:val="00923EE1"/>
    <w:rPr>
      <w:color w:val="FFFFFF" w:themeColor="background1"/>
    </w:rPr>
    <w:tblPr>
      <w:tblStyleRowBandSize w:val="1"/>
      <w:tblStyleColBandSize w:val="1"/>
    </w:tblPr>
    <w:tcPr>
      <w:shd w:val="clear" w:color="auto" w:fill="FFB500" w:themeFill="accent2"/>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5A00"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8700"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8700" w:themeFill="accent2" w:themeFillShade="BF"/>
      </w:tcPr>
    </w:tblStylePr>
    <w:tblStylePr w:type="band1Vert">
      <w:tblPr/>
      <w:tcPr>
        <w:tcBorders>
          <w:top w:val="nil"/>
          <w:left w:val="nil"/>
          <w:bottom w:val="nil"/>
          <w:right w:val="nil"/>
          <w:insideH w:val="nil"/>
          <w:insideV w:val="nil"/>
        </w:tcBorders>
        <w:shd w:val="clear" w:color="auto" w:fill="BF8700" w:themeFill="accent2" w:themeFillShade="BF"/>
      </w:tcPr>
    </w:tblStylePr>
    <w:tblStylePr w:type="band1Horz">
      <w:tblPr/>
      <w:tcPr>
        <w:tcBorders>
          <w:top w:val="nil"/>
          <w:left w:val="nil"/>
          <w:bottom w:val="nil"/>
          <w:right w:val="nil"/>
          <w:insideH w:val="nil"/>
          <w:insideV w:val="nil"/>
        </w:tcBorders>
        <w:shd w:val="clear" w:color="auto" w:fill="BF8700" w:themeFill="accent2" w:themeFillShade="BF"/>
      </w:tcPr>
    </w:tblStylePr>
  </w:style>
  <w:style w:type="table" w:styleId="DarkList-Accent3">
    <w:name w:val="Dark List Accent 3"/>
    <w:basedOn w:val="TableNormal"/>
    <w:uiPriority w:val="98"/>
    <w:rsid w:val="00923EE1"/>
    <w:rPr>
      <w:color w:val="FFFFFF" w:themeColor="background1"/>
    </w:rPr>
    <w:tblPr>
      <w:tblStyleRowBandSize w:val="1"/>
      <w:tblStyleColBandSize w:val="1"/>
    </w:tblPr>
    <w:tcPr>
      <w:shd w:val="clear" w:color="auto" w:fill="36573B" w:themeFill="accent3"/>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A2B1D"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28402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28402C" w:themeFill="accent3" w:themeFillShade="BF"/>
      </w:tcPr>
    </w:tblStylePr>
    <w:tblStylePr w:type="band1Vert">
      <w:tblPr/>
      <w:tcPr>
        <w:tcBorders>
          <w:top w:val="nil"/>
          <w:left w:val="nil"/>
          <w:bottom w:val="nil"/>
          <w:right w:val="nil"/>
          <w:insideH w:val="nil"/>
          <w:insideV w:val="nil"/>
        </w:tcBorders>
        <w:shd w:val="clear" w:color="auto" w:fill="28402C" w:themeFill="accent3" w:themeFillShade="BF"/>
      </w:tcPr>
    </w:tblStylePr>
    <w:tblStylePr w:type="band1Horz">
      <w:tblPr/>
      <w:tcPr>
        <w:tcBorders>
          <w:top w:val="nil"/>
          <w:left w:val="nil"/>
          <w:bottom w:val="nil"/>
          <w:right w:val="nil"/>
          <w:insideH w:val="nil"/>
          <w:insideV w:val="nil"/>
        </w:tcBorders>
        <w:shd w:val="clear" w:color="auto" w:fill="28402C" w:themeFill="accent3" w:themeFillShade="BF"/>
      </w:tcPr>
    </w:tblStylePr>
  </w:style>
  <w:style w:type="table" w:styleId="DarkList-Accent4">
    <w:name w:val="Dark List Accent 4"/>
    <w:basedOn w:val="TableNormal"/>
    <w:uiPriority w:val="98"/>
    <w:rsid w:val="00923EE1"/>
    <w:rPr>
      <w:color w:val="FFFFFF" w:themeColor="background1"/>
    </w:rPr>
    <w:tblPr>
      <w:tblStyleRowBandSize w:val="1"/>
      <w:tblStyleColBandSize w:val="1"/>
    </w:tblPr>
    <w:tcPr>
      <w:shd w:val="clear" w:color="auto" w:fill="DC673B" w:themeFill="accent4"/>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52F15"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B1461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B1461F" w:themeFill="accent4" w:themeFillShade="BF"/>
      </w:tcPr>
    </w:tblStylePr>
    <w:tblStylePr w:type="band1Vert">
      <w:tblPr/>
      <w:tcPr>
        <w:tcBorders>
          <w:top w:val="nil"/>
          <w:left w:val="nil"/>
          <w:bottom w:val="nil"/>
          <w:right w:val="nil"/>
          <w:insideH w:val="nil"/>
          <w:insideV w:val="nil"/>
        </w:tcBorders>
        <w:shd w:val="clear" w:color="auto" w:fill="B1461F" w:themeFill="accent4" w:themeFillShade="BF"/>
      </w:tcPr>
    </w:tblStylePr>
    <w:tblStylePr w:type="band1Horz">
      <w:tblPr/>
      <w:tcPr>
        <w:tcBorders>
          <w:top w:val="nil"/>
          <w:left w:val="nil"/>
          <w:bottom w:val="nil"/>
          <w:right w:val="nil"/>
          <w:insideH w:val="nil"/>
          <w:insideV w:val="nil"/>
        </w:tcBorders>
        <w:shd w:val="clear" w:color="auto" w:fill="B1461F" w:themeFill="accent4" w:themeFillShade="BF"/>
      </w:tcPr>
    </w:tblStylePr>
  </w:style>
  <w:style w:type="table" w:styleId="DarkList-Accent5">
    <w:name w:val="Dark List Accent 5"/>
    <w:basedOn w:val="TableNormal"/>
    <w:uiPriority w:val="98"/>
    <w:rsid w:val="00923EE1"/>
    <w:rPr>
      <w:color w:val="FFFFFF" w:themeColor="background1"/>
    </w:rPr>
    <w:tblPr>
      <w:tblStyleRowBandSize w:val="1"/>
      <w:tblStyleColBandSize w:val="1"/>
    </w:tblPr>
    <w:tcPr>
      <w:shd w:val="clear" w:color="auto" w:fill="B33D26" w:themeFill="accent5"/>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91E13"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852D1C"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852D1C" w:themeFill="accent5" w:themeFillShade="BF"/>
      </w:tcPr>
    </w:tblStylePr>
    <w:tblStylePr w:type="band1Vert">
      <w:tblPr/>
      <w:tcPr>
        <w:tcBorders>
          <w:top w:val="nil"/>
          <w:left w:val="nil"/>
          <w:bottom w:val="nil"/>
          <w:right w:val="nil"/>
          <w:insideH w:val="nil"/>
          <w:insideV w:val="nil"/>
        </w:tcBorders>
        <w:shd w:val="clear" w:color="auto" w:fill="852D1C" w:themeFill="accent5" w:themeFillShade="BF"/>
      </w:tcPr>
    </w:tblStylePr>
    <w:tblStylePr w:type="band1Horz">
      <w:tblPr/>
      <w:tcPr>
        <w:tcBorders>
          <w:top w:val="nil"/>
          <w:left w:val="nil"/>
          <w:bottom w:val="nil"/>
          <w:right w:val="nil"/>
          <w:insideH w:val="nil"/>
          <w:insideV w:val="nil"/>
        </w:tcBorders>
        <w:shd w:val="clear" w:color="auto" w:fill="852D1C" w:themeFill="accent5" w:themeFillShade="BF"/>
      </w:tcPr>
    </w:tblStylePr>
  </w:style>
  <w:style w:type="table" w:styleId="DarkList-Accent6">
    <w:name w:val="Dark List Accent 6"/>
    <w:basedOn w:val="TableNormal"/>
    <w:uiPriority w:val="98"/>
    <w:rsid w:val="00923EE1"/>
    <w:rPr>
      <w:color w:val="FFFFFF" w:themeColor="background1"/>
    </w:rPr>
    <w:tblPr>
      <w:tblStyleRowBandSize w:val="1"/>
      <w:tblStyleColBandSize w:val="1"/>
    </w:tblPr>
    <w:tcPr>
      <w:shd w:val="clear" w:color="auto" w:fill="9DB0AC" w:themeFill="accent6"/>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A5B5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6F8A84"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6F8A84" w:themeFill="accent6" w:themeFillShade="BF"/>
      </w:tcPr>
    </w:tblStylePr>
    <w:tblStylePr w:type="band1Vert">
      <w:tblPr/>
      <w:tcPr>
        <w:tcBorders>
          <w:top w:val="nil"/>
          <w:left w:val="nil"/>
          <w:bottom w:val="nil"/>
          <w:right w:val="nil"/>
          <w:insideH w:val="nil"/>
          <w:insideV w:val="nil"/>
        </w:tcBorders>
        <w:shd w:val="clear" w:color="auto" w:fill="6F8A84" w:themeFill="accent6" w:themeFillShade="BF"/>
      </w:tcPr>
    </w:tblStylePr>
    <w:tblStylePr w:type="band1Horz">
      <w:tblPr/>
      <w:tcPr>
        <w:tcBorders>
          <w:top w:val="nil"/>
          <w:left w:val="nil"/>
          <w:bottom w:val="nil"/>
          <w:right w:val="nil"/>
          <w:insideH w:val="nil"/>
          <w:insideV w:val="nil"/>
        </w:tcBorders>
        <w:shd w:val="clear" w:color="auto" w:fill="6F8A84" w:themeFill="accent6" w:themeFillShade="BF"/>
      </w:tcPr>
    </w:tblStylePr>
  </w:style>
  <w:style w:type="paragraph" w:customStyle="1" w:styleId="TableHeading">
    <w:name w:val="Table Heading"/>
    <w:basedOn w:val="TableText"/>
    <w:qFormat/>
    <w:rsid w:val="00923EE1"/>
    <w:rPr>
      <w:rFonts w:asciiTheme="majorHAnsi" w:hAnsiTheme="majorHAnsi"/>
      <w:b/>
    </w:rPr>
  </w:style>
  <w:style w:type="paragraph" w:styleId="DocumentMap">
    <w:name w:val="Document Map"/>
    <w:basedOn w:val="Normal"/>
    <w:link w:val="DocumentMapChar"/>
    <w:uiPriority w:val="97"/>
    <w:semiHidden/>
    <w:rsid w:val="00923EE1"/>
    <w:rPr>
      <w:sz w:val="16"/>
      <w:szCs w:val="16"/>
    </w:rPr>
  </w:style>
  <w:style w:type="character" w:customStyle="1" w:styleId="DocumentMapChar">
    <w:name w:val="Document Map Char"/>
    <w:basedOn w:val="DefaultParagraphFont"/>
    <w:link w:val="DocumentMap"/>
    <w:uiPriority w:val="97"/>
    <w:semiHidden/>
    <w:rsid w:val="00923EE1"/>
    <w:rPr>
      <w:rFonts w:asciiTheme="minorHAnsi" w:eastAsia="MS Mincho" w:hAnsiTheme="minorHAnsi"/>
      <w:color w:val="000000" w:themeColor="text2"/>
      <w:sz w:val="16"/>
      <w:szCs w:val="16"/>
      <w:lang w:val="en-AU" w:eastAsia="ja-JP"/>
    </w:rPr>
  </w:style>
  <w:style w:type="paragraph" w:styleId="E-mailSignature">
    <w:name w:val="E-mail Signature"/>
    <w:basedOn w:val="Normal"/>
    <w:link w:val="E-mailSignatureChar"/>
    <w:uiPriority w:val="97"/>
    <w:semiHidden/>
    <w:rsid w:val="00923EE1"/>
  </w:style>
  <w:style w:type="character" w:customStyle="1" w:styleId="E-mailSignatureChar">
    <w:name w:val="E-mail Signature Char"/>
    <w:basedOn w:val="DefaultParagraphFont"/>
    <w:link w:val="E-mailSignature"/>
    <w:uiPriority w:val="97"/>
    <w:semiHidden/>
    <w:rsid w:val="00923EE1"/>
    <w:rPr>
      <w:rFonts w:asciiTheme="minorHAnsi" w:eastAsia="MS Mincho" w:hAnsiTheme="minorHAnsi"/>
      <w:color w:val="000000" w:themeColor="text2"/>
      <w:lang w:val="en-AU" w:eastAsia="ja-JP"/>
    </w:rPr>
  </w:style>
  <w:style w:type="character" w:styleId="Emphasis">
    <w:name w:val="Emphasis"/>
    <w:basedOn w:val="DefaultParagraphFont"/>
    <w:uiPriority w:val="20"/>
    <w:qFormat/>
    <w:rsid w:val="00923EE1"/>
    <w:rPr>
      <w:rFonts w:asciiTheme="minorHAnsi" w:hAnsiTheme="minorHAnsi" w:cstheme="minorHAnsi"/>
      <w:i/>
      <w:iCs/>
    </w:rPr>
  </w:style>
  <w:style w:type="character" w:styleId="EndnoteReference">
    <w:name w:val="endnote reference"/>
    <w:basedOn w:val="DefaultParagraphFont"/>
    <w:uiPriority w:val="97"/>
    <w:semiHidden/>
    <w:rsid w:val="00923EE1"/>
    <w:rPr>
      <w:rFonts w:asciiTheme="minorHAnsi" w:hAnsiTheme="minorHAnsi" w:cstheme="minorHAnsi"/>
      <w:vertAlign w:val="superscript"/>
    </w:rPr>
  </w:style>
  <w:style w:type="paragraph" w:styleId="EndnoteText">
    <w:name w:val="endnote text"/>
    <w:basedOn w:val="Normal"/>
    <w:link w:val="EndnoteTextChar"/>
    <w:uiPriority w:val="97"/>
    <w:semiHidden/>
    <w:rsid w:val="00923EE1"/>
  </w:style>
  <w:style w:type="character" w:customStyle="1" w:styleId="EndnoteTextChar">
    <w:name w:val="Endnote Text Char"/>
    <w:basedOn w:val="DefaultParagraphFont"/>
    <w:link w:val="EndnoteText"/>
    <w:uiPriority w:val="97"/>
    <w:semiHidden/>
    <w:rsid w:val="00923EE1"/>
    <w:rPr>
      <w:rFonts w:asciiTheme="minorHAnsi" w:eastAsia="MS Mincho" w:hAnsiTheme="minorHAnsi"/>
      <w:color w:val="000000" w:themeColor="text2"/>
      <w:lang w:val="en-AU" w:eastAsia="ja-JP"/>
    </w:rPr>
  </w:style>
  <w:style w:type="paragraph" w:styleId="EnvelopeAddress">
    <w:name w:val="envelope address"/>
    <w:basedOn w:val="Normal"/>
    <w:uiPriority w:val="97"/>
    <w:semiHidden/>
    <w:rsid w:val="00923EE1"/>
    <w:pPr>
      <w:framePr w:w="7920" w:h="1980" w:hRule="exact" w:hSpace="180" w:wrap="auto" w:hAnchor="page" w:xAlign="center" w:yAlign="bottom"/>
      <w:ind w:left="2880"/>
    </w:pPr>
    <w:rPr>
      <w:rFonts w:eastAsiaTheme="majorEastAsia"/>
      <w:sz w:val="24"/>
    </w:rPr>
  </w:style>
  <w:style w:type="paragraph" w:styleId="EnvelopeReturn">
    <w:name w:val="envelope return"/>
    <w:basedOn w:val="Normal"/>
    <w:uiPriority w:val="97"/>
    <w:semiHidden/>
    <w:rsid w:val="00923EE1"/>
    <w:rPr>
      <w:rFonts w:eastAsiaTheme="majorEastAsia"/>
    </w:rPr>
  </w:style>
  <w:style w:type="character" w:styleId="FollowedHyperlink">
    <w:name w:val="FollowedHyperlink"/>
    <w:basedOn w:val="DefaultParagraphFont"/>
    <w:uiPriority w:val="97"/>
    <w:semiHidden/>
    <w:rsid w:val="00923EE1"/>
    <w:rPr>
      <w:rFonts w:asciiTheme="minorHAnsi" w:hAnsiTheme="minorHAnsi" w:cstheme="minorHAnsi"/>
      <w:color w:val="8C857B" w:themeColor="followedHyperlink"/>
      <w:u w:val="single"/>
    </w:rPr>
  </w:style>
  <w:style w:type="character" w:styleId="FootnoteReference">
    <w:name w:val="footnote reference"/>
    <w:basedOn w:val="DefaultParagraphFont"/>
    <w:uiPriority w:val="99"/>
    <w:rsid w:val="00923EE1"/>
    <w:rPr>
      <w:rFonts w:asciiTheme="minorHAnsi" w:hAnsiTheme="minorHAnsi" w:cstheme="minorHAnsi"/>
      <w:vertAlign w:val="superscript"/>
    </w:rPr>
  </w:style>
  <w:style w:type="character" w:styleId="HTMLAcronym">
    <w:name w:val="HTML Acronym"/>
    <w:basedOn w:val="DefaultParagraphFont"/>
    <w:uiPriority w:val="97"/>
    <w:semiHidden/>
    <w:rsid w:val="00923EE1"/>
    <w:rPr>
      <w:rFonts w:asciiTheme="minorHAnsi" w:hAnsiTheme="minorHAnsi" w:cstheme="minorHAnsi"/>
    </w:rPr>
  </w:style>
  <w:style w:type="paragraph" w:styleId="HTMLAddress">
    <w:name w:val="HTML Address"/>
    <w:basedOn w:val="Normal"/>
    <w:link w:val="HTMLAddressChar"/>
    <w:uiPriority w:val="97"/>
    <w:semiHidden/>
    <w:rsid w:val="00923EE1"/>
    <w:rPr>
      <w:i/>
      <w:iCs/>
    </w:rPr>
  </w:style>
  <w:style w:type="character" w:customStyle="1" w:styleId="HTMLAddressChar">
    <w:name w:val="HTML Address Char"/>
    <w:basedOn w:val="DefaultParagraphFont"/>
    <w:link w:val="HTMLAddress"/>
    <w:uiPriority w:val="97"/>
    <w:semiHidden/>
    <w:rsid w:val="00923EE1"/>
    <w:rPr>
      <w:rFonts w:asciiTheme="minorHAnsi" w:eastAsia="MS Mincho" w:hAnsiTheme="minorHAnsi"/>
      <w:i/>
      <w:iCs/>
      <w:color w:val="000000" w:themeColor="text2"/>
      <w:lang w:val="en-AU" w:eastAsia="ja-JP"/>
    </w:rPr>
  </w:style>
  <w:style w:type="character" w:styleId="HTMLCite">
    <w:name w:val="HTML Cite"/>
    <w:basedOn w:val="DefaultParagraphFont"/>
    <w:uiPriority w:val="97"/>
    <w:semiHidden/>
    <w:rsid w:val="00923EE1"/>
    <w:rPr>
      <w:rFonts w:asciiTheme="minorHAnsi" w:hAnsiTheme="minorHAnsi" w:cstheme="minorHAnsi"/>
      <w:i/>
      <w:iCs/>
    </w:rPr>
  </w:style>
  <w:style w:type="character" w:styleId="HTMLCode">
    <w:name w:val="HTML Code"/>
    <w:basedOn w:val="DefaultParagraphFont"/>
    <w:uiPriority w:val="97"/>
    <w:semiHidden/>
    <w:rsid w:val="00923EE1"/>
    <w:rPr>
      <w:rFonts w:ascii="Consolas" w:hAnsi="Consolas" w:cs="Consolas"/>
      <w:sz w:val="20"/>
      <w:szCs w:val="20"/>
    </w:rPr>
  </w:style>
  <w:style w:type="character" w:styleId="HTMLDefinition">
    <w:name w:val="HTML Definition"/>
    <w:basedOn w:val="DefaultParagraphFont"/>
    <w:uiPriority w:val="97"/>
    <w:semiHidden/>
    <w:rsid w:val="00923EE1"/>
    <w:rPr>
      <w:rFonts w:asciiTheme="minorHAnsi" w:hAnsiTheme="minorHAnsi" w:cstheme="minorHAnsi"/>
      <w:i/>
      <w:iCs/>
    </w:rPr>
  </w:style>
  <w:style w:type="character" w:styleId="HTMLKeyboard">
    <w:name w:val="HTML Keyboard"/>
    <w:basedOn w:val="DefaultParagraphFont"/>
    <w:uiPriority w:val="97"/>
    <w:semiHidden/>
    <w:rsid w:val="00923EE1"/>
    <w:rPr>
      <w:rFonts w:ascii="Consolas" w:hAnsi="Consolas" w:cs="Consolas"/>
      <w:sz w:val="20"/>
      <w:szCs w:val="20"/>
    </w:rPr>
  </w:style>
  <w:style w:type="paragraph" w:styleId="HTMLPreformatted">
    <w:name w:val="HTML Preformatted"/>
    <w:basedOn w:val="Normal"/>
    <w:link w:val="HTMLPreformattedChar"/>
    <w:uiPriority w:val="97"/>
    <w:semiHidden/>
    <w:rsid w:val="00923EE1"/>
  </w:style>
  <w:style w:type="character" w:customStyle="1" w:styleId="HTMLPreformattedChar">
    <w:name w:val="HTML Preformatted Char"/>
    <w:basedOn w:val="DefaultParagraphFont"/>
    <w:link w:val="HTMLPreformatted"/>
    <w:uiPriority w:val="97"/>
    <w:semiHidden/>
    <w:rsid w:val="00923EE1"/>
    <w:rPr>
      <w:rFonts w:asciiTheme="minorHAnsi" w:eastAsia="MS Mincho" w:hAnsiTheme="minorHAnsi"/>
      <w:color w:val="000000" w:themeColor="text2"/>
      <w:lang w:val="en-AU" w:eastAsia="ja-JP"/>
    </w:rPr>
  </w:style>
  <w:style w:type="character" w:styleId="HTMLSample">
    <w:name w:val="HTML Sample"/>
    <w:basedOn w:val="DefaultParagraphFont"/>
    <w:uiPriority w:val="97"/>
    <w:semiHidden/>
    <w:rsid w:val="00923EE1"/>
    <w:rPr>
      <w:rFonts w:ascii="Consolas" w:hAnsi="Consolas" w:cs="Consolas"/>
      <w:sz w:val="24"/>
      <w:szCs w:val="24"/>
    </w:rPr>
  </w:style>
  <w:style w:type="character" w:styleId="HTMLTypewriter">
    <w:name w:val="HTML Typewriter"/>
    <w:basedOn w:val="DefaultParagraphFont"/>
    <w:uiPriority w:val="97"/>
    <w:semiHidden/>
    <w:rsid w:val="00923EE1"/>
    <w:rPr>
      <w:rFonts w:ascii="Consolas" w:hAnsi="Consolas" w:cs="Consolas"/>
      <w:sz w:val="20"/>
      <w:szCs w:val="20"/>
    </w:rPr>
  </w:style>
  <w:style w:type="character" w:styleId="HTMLVariable">
    <w:name w:val="HTML Variable"/>
    <w:basedOn w:val="DefaultParagraphFont"/>
    <w:uiPriority w:val="97"/>
    <w:semiHidden/>
    <w:rsid w:val="00923EE1"/>
    <w:rPr>
      <w:rFonts w:asciiTheme="minorHAnsi" w:hAnsiTheme="minorHAnsi" w:cstheme="minorHAnsi"/>
      <w:i/>
      <w:iCs/>
    </w:rPr>
  </w:style>
  <w:style w:type="character" w:styleId="Hyperlink">
    <w:name w:val="Hyperlink"/>
    <w:basedOn w:val="DefaultParagraphFont"/>
    <w:uiPriority w:val="99"/>
    <w:rsid w:val="00923EE1"/>
    <w:rPr>
      <w:rFonts w:asciiTheme="minorHAnsi" w:hAnsiTheme="minorHAnsi" w:cstheme="minorHAnsi"/>
      <w:color w:val="004976" w:themeColor="hyperlink"/>
      <w:u w:val="single"/>
    </w:rPr>
  </w:style>
  <w:style w:type="paragraph" w:styleId="Index1">
    <w:name w:val="index 1"/>
    <w:basedOn w:val="Normal"/>
    <w:next w:val="Normal"/>
    <w:autoRedefine/>
    <w:uiPriority w:val="97"/>
    <w:semiHidden/>
    <w:rsid w:val="00923EE1"/>
    <w:pPr>
      <w:ind w:left="200" w:hanging="200"/>
    </w:pPr>
  </w:style>
  <w:style w:type="paragraph" w:styleId="Index2">
    <w:name w:val="index 2"/>
    <w:basedOn w:val="Normal"/>
    <w:next w:val="Normal"/>
    <w:autoRedefine/>
    <w:uiPriority w:val="97"/>
    <w:semiHidden/>
    <w:rsid w:val="00923EE1"/>
    <w:pPr>
      <w:ind w:left="400" w:hanging="200"/>
    </w:pPr>
  </w:style>
  <w:style w:type="paragraph" w:styleId="Index3">
    <w:name w:val="index 3"/>
    <w:basedOn w:val="Normal"/>
    <w:next w:val="Normal"/>
    <w:autoRedefine/>
    <w:uiPriority w:val="97"/>
    <w:semiHidden/>
    <w:rsid w:val="00923EE1"/>
    <w:pPr>
      <w:ind w:left="600" w:hanging="200"/>
    </w:pPr>
  </w:style>
  <w:style w:type="paragraph" w:styleId="Index4">
    <w:name w:val="index 4"/>
    <w:basedOn w:val="Normal"/>
    <w:next w:val="Normal"/>
    <w:autoRedefine/>
    <w:uiPriority w:val="97"/>
    <w:semiHidden/>
    <w:rsid w:val="00923EE1"/>
    <w:pPr>
      <w:ind w:left="800" w:hanging="200"/>
    </w:pPr>
  </w:style>
  <w:style w:type="paragraph" w:styleId="Index5">
    <w:name w:val="index 5"/>
    <w:basedOn w:val="Normal"/>
    <w:next w:val="Normal"/>
    <w:autoRedefine/>
    <w:uiPriority w:val="97"/>
    <w:semiHidden/>
    <w:rsid w:val="00923EE1"/>
    <w:pPr>
      <w:ind w:left="1000" w:hanging="200"/>
    </w:pPr>
  </w:style>
  <w:style w:type="paragraph" w:styleId="Index6">
    <w:name w:val="index 6"/>
    <w:basedOn w:val="Normal"/>
    <w:next w:val="Normal"/>
    <w:autoRedefine/>
    <w:uiPriority w:val="97"/>
    <w:semiHidden/>
    <w:rsid w:val="00923EE1"/>
    <w:pPr>
      <w:ind w:left="1200" w:hanging="200"/>
    </w:pPr>
  </w:style>
  <w:style w:type="paragraph" w:styleId="Index7">
    <w:name w:val="index 7"/>
    <w:basedOn w:val="Normal"/>
    <w:next w:val="Normal"/>
    <w:autoRedefine/>
    <w:uiPriority w:val="97"/>
    <w:semiHidden/>
    <w:rsid w:val="00923EE1"/>
    <w:pPr>
      <w:ind w:left="1400" w:hanging="200"/>
    </w:pPr>
  </w:style>
  <w:style w:type="paragraph" w:styleId="Index8">
    <w:name w:val="index 8"/>
    <w:basedOn w:val="Normal"/>
    <w:next w:val="Normal"/>
    <w:autoRedefine/>
    <w:uiPriority w:val="97"/>
    <w:semiHidden/>
    <w:rsid w:val="00923EE1"/>
    <w:pPr>
      <w:ind w:left="1600" w:hanging="200"/>
    </w:pPr>
  </w:style>
  <w:style w:type="paragraph" w:styleId="Index9">
    <w:name w:val="index 9"/>
    <w:basedOn w:val="Normal"/>
    <w:next w:val="Normal"/>
    <w:autoRedefine/>
    <w:uiPriority w:val="97"/>
    <w:semiHidden/>
    <w:rsid w:val="00923EE1"/>
    <w:pPr>
      <w:ind w:left="1800" w:hanging="200"/>
    </w:pPr>
  </w:style>
  <w:style w:type="paragraph" w:styleId="IndexHeading">
    <w:name w:val="index heading"/>
    <w:basedOn w:val="Normal"/>
    <w:next w:val="Index1"/>
    <w:uiPriority w:val="97"/>
    <w:semiHidden/>
    <w:rsid w:val="00923EE1"/>
    <w:rPr>
      <w:rFonts w:asciiTheme="majorHAnsi" w:eastAsiaTheme="majorEastAsia" w:hAnsiTheme="majorHAnsi" w:cstheme="majorHAnsi"/>
      <w:b/>
      <w:bCs/>
    </w:rPr>
  </w:style>
  <w:style w:type="character" w:styleId="IntenseEmphasis">
    <w:name w:val="Intense Emphasis"/>
    <w:basedOn w:val="DefaultParagraphFont"/>
    <w:uiPriority w:val="97"/>
    <w:semiHidden/>
    <w:rsid w:val="00923EE1"/>
    <w:rPr>
      <w:rFonts w:asciiTheme="minorHAnsi" w:hAnsiTheme="minorHAnsi" w:cstheme="minorHAnsi"/>
      <w:b/>
      <w:bCs/>
      <w:i/>
      <w:iCs/>
      <w:color w:val="004976" w:themeColor="accent1"/>
    </w:rPr>
  </w:style>
  <w:style w:type="paragraph" w:styleId="IntenseQuote">
    <w:name w:val="Intense Quote"/>
    <w:basedOn w:val="Normal"/>
    <w:next w:val="Normal"/>
    <w:link w:val="IntenseQuoteChar"/>
    <w:uiPriority w:val="97"/>
    <w:semiHidden/>
    <w:rsid w:val="00923EE1"/>
    <w:pPr>
      <w:pBdr>
        <w:bottom w:val="single" w:sz="4" w:space="4" w:color="004976" w:themeColor="accent1"/>
      </w:pBdr>
      <w:spacing w:before="200" w:after="280"/>
      <w:ind w:left="936" w:right="936"/>
    </w:pPr>
    <w:rPr>
      <w:b/>
      <w:bCs/>
      <w:i/>
      <w:iCs/>
      <w:color w:val="004976" w:themeColor="accent1"/>
    </w:rPr>
  </w:style>
  <w:style w:type="character" w:customStyle="1" w:styleId="IntenseQuoteChar">
    <w:name w:val="Intense Quote Char"/>
    <w:basedOn w:val="DefaultParagraphFont"/>
    <w:link w:val="IntenseQuote"/>
    <w:uiPriority w:val="97"/>
    <w:semiHidden/>
    <w:rsid w:val="00923EE1"/>
    <w:rPr>
      <w:rFonts w:asciiTheme="minorHAnsi" w:eastAsia="MS Mincho" w:hAnsiTheme="minorHAnsi"/>
      <w:b/>
      <w:bCs/>
      <w:i/>
      <w:iCs/>
      <w:color w:val="004976" w:themeColor="accent1"/>
      <w:lang w:val="en-AU" w:eastAsia="ja-JP"/>
    </w:rPr>
  </w:style>
  <w:style w:type="character" w:styleId="IntenseReference">
    <w:name w:val="Intense Reference"/>
    <w:basedOn w:val="DefaultParagraphFont"/>
    <w:uiPriority w:val="97"/>
    <w:semiHidden/>
    <w:rsid w:val="00923EE1"/>
    <w:rPr>
      <w:rFonts w:asciiTheme="minorHAnsi" w:hAnsiTheme="minorHAnsi" w:cstheme="minorHAnsi"/>
      <w:b/>
      <w:bCs/>
      <w:smallCaps/>
      <w:color w:val="FFB500" w:themeColor="accent2"/>
      <w:spacing w:val="5"/>
      <w:u w:val="single"/>
    </w:rPr>
  </w:style>
  <w:style w:type="table" w:styleId="LightGrid">
    <w:name w:val="Light Grid"/>
    <w:basedOn w:val="TableNormal"/>
    <w:uiPriority w:val="98"/>
    <w:rsid w:val="00923EE1"/>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HAns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98"/>
    <w:rsid w:val="00923EE1"/>
    <w:tblPr>
      <w:tblStyleRowBandSize w:val="1"/>
      <w:tblStyleColBandSize w:val="1"/>
      <w:tblBorders>
        <w:top w:val="single" w:sz="8" w:space="0" w:color="004976" w:themeColor="accent1"/>
        <w:left w:val="single" w:sz="8" w:space="0" w:color="004976" w:themeColor="accent1"/>
        <w:bottom w:val="single" w:sz="8" w:space="0" w:color="004976" w:themeColor="accent1"/>
        <w:right w:val="single" w:sz="8" w:space="0" w:color="004976" w:themeColor="accent1"/>
        <w:insideH w:val="single" w:sz="8" w:space="0" w:color="004976" w:themeColor="accent1"/>
        <w:insideV w:val="single" w:sz="8" w:space="0" w:color="004976" w:themeColor="accent1"/>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HAnsi"/>
        <w:b/>
        <w:bCs/>
      </w:rPr>
      <w:tblPr/>
      <w:tcPr>
        <w:tcBorders>
          <w:top w:val="single" w:sz="8" w:space="0" w:color="004976" w:themeColor="accent1"/>
          <w:left w:val="single" w:sz="8" w:space="0" w:color="004976" w:themeColor="accent1"/>
          <w:bottom w:val="single" w:sz="18" w:space="0" w:color="004976" w:themeColor="accent1"/>
          <w:right w:val="single" w:sz="8" w:space="0" w:color="004976" w:themeColor="accent1"/>
          <w:insideH w:val="nil"/>
          <w:insideV w:val="single" w:sz="8" w:space="0" w:color="004976"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4976" w:themeColor="accent1"/>
          <w:left w:val="single" w:sz="8" w:space="0" w:color="004976" w:themeColor="accent1"/>
          <w:bottom w:val="single" w:sz="8" w:space="0" w:color="004976" w:themeColor="accent1"/>
          <w:right w:val="single" w:sz="8" w:space="0" w:color="004976" w:themeColor="accent1"/>
          <w:insideH w:val="nil"/>
          <w:insideV w:val="single" w:sz="8" w:space="0" w:color="004976"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4976" w:themeColor="accent1"/>
          <w:left w:val="single" w:sz="8" w:space="0" w:color="004976" w:themeColor="accent1"/>
          <w:bottom w:val="single" w:sz="8" w:space="0" w:color="004976" w:themeColor="accent1"/>
          <w:right w:val="single" w:sz="8" w:space="0" w:color="004976" w:themeColor="accent1"/>
        </w:tcBorders>
      </w:tcPr>
    </w:tblStylePr>
    <w:tblStylePr w:type="band1Vert">
      <w:tblPr/>
      <w:tcPr>
        <w:tcBorders>
          <w:top w:val="single" w:sz="8" w:space="0" w:color="004976" w:themeColor="accent1"/>
          <w:left w:val="single" w:sz="8" w:space="0" w:color="004976" w:themeColor="accent1"/>
          <w:bottom w:val="single" w:sz="8" w:space="0" w:color="004976" w:themeColor="accent1"/>
          <w:right w:val="single" w:sz="8" w:space="0" w:color="004976" w:themeColor="accent1"/>
        </w:tcBorders>
        <w:shd w:val="clear" w:color="auto" w:fill="9ED9FF" w:themeFill="accent1" w:themeFillTint="3F"/>
      </w:tcPr>
    </w:tblStylePr>
    <w:tblStylePr w:type="band1Horz">
      <w:tblPr/>
      <w:tcPr>
        <w:tcBorders>
          <w:top w:val="single" w:sz="8" w:space="0" w:color="004976" w:themeColor="accent1"/>
          <w:left w:val="single" w:sz="8" w:space="0" w:color="004976" w:themeColor="accent1"/>
          <w:bottom w:val="single" w:sz="8" w:space="0" w:color="004976" w:themeColor="accent1"/>
          <w:right w:val="single" w:sz="8" w:space="0" w:color="004976" w:themeColor="accent1"/>
          <w:insideV w:val="single" w:sz="8" w:space="0" w:color="004976" w:themeColor="accent1"/>
        </w:tcBorders>
        <w:shd w:val="clear" w:color="auto" w:fill="9ED9FF" w:themeFill="accent1" w:themeFillTint="3F"/>
      </w:tcPr>
    </w:tblStylePr>
    <w:tblStylePr w:type="band2Horz">
      <w:tblPr/>
      <w:tcPr>
        <w:tcBorders>
          <w:top w:val="single" w:sz="8" w:space="0" w:color="004976" w:themeColor="accent1"/>
          <w:left w:val="single" w:sz="8" w:space="0" w:color="004976" w:themeColor="accent1"/>
          <w:bottom w:val="single" w:sz="8" w:space="0" w:color="004976" w:themeColor="accent1"/>
          <w:right w:val="single" w:sz="8" w:space="0" w:color="004976" w:themeColor="accent1"/>
          <w:insideV w:val="single" w:sz="8" w:space="0" w:color="004976" w:themeColor="accent1"/>
        </w:tcBorders>
      </w:tcPr>
    </w:tblStylePr>
  </w:style>
  <w:style w:type="table" w:styleId="LightGrid-Accent2">
    <w:name w:val="Light Grid Accent 2"/>
    <w:basedOn w:val="TableNormal"/>
    <w:uiPriority w:val="98"/>
    <w:rsid w:val="00923EE1"/>
    <w:tblPr>
      <w:tblStyleRowBandSize w:val="1"/>
      <w:tblStyleColBandSize w:val="1"/>
      <w:tblBorders>
        <w:top w:val="single" w:sz="8" w:space="0" w:color="FFB500" w:themeColor="accent2"/>
        <w:left w:val="single" w:sz="8" w:space="0" w:color="FFB500" w:themeColor="accent2"/>
        <w:bottom w:val="single" w:sz="8" w:space="0" w:color="FFB500" w:themeColor="accent2"/>
        <w:right w:val="single" w:sz="8" w:space="0" w:color="FFB500" w:themeColor="accent2"/>
        <w:insideH w:val="single" w:sz="8" w:space="0" w:color="FFB500" w:themeColor="accent2"/>
        <w:insideV w:val="single" w:sz="8" w:space="0" w:color="FFB500" w:themeColor="accent2"/>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HAnsi"/>
        <w:b/>
        <w:bCs/>
      </w:rPr>
      <w:tblPr/>
      <w:tcPr>
        <w:tcBorders>
          <w:top w:val="single" w:sz="8" w:space="0" w:color="FFB500" w:themeColor="accent2"/>
          <w:left w:val="single" w:sz="8" w:space="0" w:color="FFB500" w:themeColor="accent2"/>
          <w:bottom w:val="single" w:sz="18" w:space="0" w:color="FFB500" w:themeColor="accent2"/>
          <w:right w:val="single" w:sz="8" w:space="0" w:color="FFB500" w:themeColor="accent2"/>
          <w:insideH w:val="nil"/>
          <w:insideV w:val="single" w:sz="8" w:space="0" w:color="FFB5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B500" w:themeColor="accent2"/>
          <w:left w:val="single" w:sz="8" w:space="0" w:color="FFB500" w:themeColor="accent2"/>
          <w:bottom w:val="single" w:sz="8" w:space="0" w:color="FFB500" w:themeColor="accent2"/>
          <w:right w:val="single" w:sz="8" w:space="0" w:color="FFB500" w:themeColor="accent2"/>
          <w:insideH w:val="nil"/>
          <w:insideV w:val="single" w:sz="8" w:space="0" w:color="FFB5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B500" w:themeColor="accent2"/>
          <w:left w:val="single" w:sz="8" w:space="0" w:color="FFB500" w:themeColor="accent2"/>
          <w:bottom w:val="single" w:sz="8" w:space="0" w:color="FFB500" w:themeColor="accent2"/>
          <w:right w:val="single" w:sz="8" w:space="0" w:color="FFB500" w:themeColor="accent2"/>
        </w:tcBorders>
      </w:tcPr>
    </w:tblStylePr>
    <w:tblStylePr w:type="band1Vert">
      <w:tblPr/>
      <w:tcPr>
        <w:tcBorders>
          <w:top w:val="single" w:sz="8" w:space="0" w:color="FFB500" w:themeColor="accent2"/>
          <w:left w:val="single" w:sz="8" w:space="0" w:color="FFB500" w:themeColor="accent2"/>
          <w:bottom w:val="single" w:sz="8" w:space="0" w:color="FFB500" w:themeColor="accent2"/>
          <w:right w:val="single" w:sz="8" w:space="0" w:color="FFB500" w:themeColor="accent2"/>
        </w:tcBorders>
        <w:shd w:val="clear" w:color="auto" w:fill="FFECC0" w:themeFill="accent2" w:themeFillTint="3F"/>
      </w:tcPr>
    </w:tblStylePr>
    <w:tblStylePr w:type="band1Horz">
      <w:tblPr/>
      <w:tcPr>
        <w:tcBorders>
          <w:top w:val="single" w:sz="8" w:space="0" w:color="FFB500" w:themeColor="accent2"/>
          <w:left w:val="single" w:sz="8" w:space="0" w:color="FFB500" w:themeColor="accent2"/>
          <w:bottom w:val="single" w:sz="8" w:space="0" w:color="FFB500" w:themeColor="accent2"/>
          <w:right w:val="single" w:sz="8" w:space="0" w:color="FFB500" w:themeColor="accent2"/>
          <w:insideV w:val="single" w:sz="8" w:space="0" w:color="FFB500" w:themeColor="accent2"/>
        </w:tcBorders>
        <w:shd w:val="clear" w:color="auto" w:fill="FFECC0" w:themeFill="accent2" w:themeFillTint="3F"/>
      </w:tcPr>
    </w:tblStylePr>
    <w:tblStylePr w:type="band2Horz">
      <w:tblPr/>
      <w:tcPr>
        <w:tcBorders>
          <w:top w:val="single" w:sz="8" w:space="0" w:color="FFB500" w:themeColor="accent2"/>
          <w:left w:val="single" w:sz="8" w:space="0" w:color="FFB500" w:themeColor="accent2"/>
          <w:bottom w:val="single" w:sz="8" w:space="0" w:color="FFB500" w:themeColor="accent2"/>
          <w:right w:val="single" w:sz="8" w:space="0" w:color="FFB500" w:themeColor="accent2"/>
          <w:insideV w:val="single" w:sz="8" w:space="0" w:color="FFB500" w:themeColor="accent2"/>
        </w:tcBorders>
      </w:tcPr>
    </w:tblStylePr>
  </w:style>
  <w:style w:type="table" w:styleId="LightGrid-Accent3">
    <w:name w:val="Light Grid Accent 3"/>
    <w:basedOn w:val="TableNormal"/>
    <w:uiPriority w:val="98"/>
    <w:rsid w:val="00923EE1"/>
    <w:tblPr>
      <w:tblStyleRowBandSize w:val="1"/>
      <w:tblStyleColBandSize w:val="1"/>
      <w:tblBorders>
        <w:top w:val="single" w:sz="8" w:space="0" w:color="36573B" w:themeColor="accent3"/>
        <w:left w:val="single" w:sz="8" w:space="0" w:color="36573B" w:themeColor="accent3"/>
        <w:bottom w:val="single" w:sz="8" w:space="0" w:color="36573B" w:themeColor="accent3"/>
        <w:right w:val="single" w:sz="8" w:space="0" w:color="36573B" w:themeColor="accent3"/>
        <w:insideH w:val="single" w:sz="8" w:space="0" w:color="36573B" w:themeColor="accent3"/>
        <w:insideV w:val="single" w:sz="8" w:space="0" w:color="36573B" w:themeColor="accent3"/>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HAnsi"/>
        <w:b/>
        <w:bCs/>
      </w:rPr>
      <w:tblPr/>
      <w:tcPr>
        <w:tcBorders>
          <w:top w:val="single" w:sz="8" w:space="0" w:color="36573B" w:themeColor="accent3"/>
          <w:left w:val="single" w:sz="8" w:space="0" w:color="36573B" w:themeColor="accent3"/>
          <w:bottom w:val="single" w:sz="18" w:space="0" w:color="36573B" w:themeColor="accent3"/>
          <w:right w:val="single" w:sz="8" w:space="0" w:color="36573B" w:themeColor="accent3"/>
          <w:insideH w:val="nil"/>
          <w:insideV w:val="single" w:sz="8" w:space="0" w:color="36573B"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36573B" w:themeColor="accent3"/>
          <w:left w:val="single" w:sz="8" w:space="0" w:color="36573B" w:themeColor="accent3"/>
          <w:bottom w:val="single" w:sz="8" w:space="0" w:color="36573B" w:themeColor="accent3"/>
          <w:right w:val="single" w:sz="8" w:space="0" w:color="36573B" w:themeColor="accent3"/>
          <w:insideH w:val="nil"/>
          <w:insideV w:val="single" w:sz="8" w:space="0" w:color="36573B"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36573B" w:themeColor="accent3"/>
          <w:left w:val="single" w:sz="8" w:space="0" w:color="36573B" w:themeColor="accent3"/>
          <w:bottom w:val="single" w:sz="8" w:space="0" w:color="36573B" w:themeColor="accent3"/>
          <w:right w:val="single" w:sz="8" w:space="0" w:color="36573B" w:themeColor="accent3"/>
        </w:tcBorders>
      </w:tcPr>
    </w:tblStylePr>
    <w:tblStylePr w:type="band1Vert">
      <w:tblPr/>
      <w:tcPr>
        <w:tcBorders>
          <w:top w:val="single" w:sz="8" w:space="0" w:color="36573B" w:themeColor="accent3"/>
          <w:left w:val="single" w:sz="8" w:space="0" w:color="36573B" w:themeColor="accent3"/>
          <w:bottom w:val="single" w:sz="8" w:space="0" w:color="36573B" w:themeColor="accent3"/>
          <w:right w:val="single" w:sz="8" w:space="0" w:color="36573B" w:themeColor="accent3"/>
        </w:tcBorders>
        <w:shd w:val="clear" w:color="auto" w:fill="C6DCC9" w:themeFill="accent3" w:themeFillTint="3F"/>
      </w:tcPr>
    </w:tblStylePr>
    <w:tblStylePr w:type="band1Horz">
      <w:tblPr/>
      <w:tcPr>
        <w:tcBorders>
          <w:top w:val="single" w:sz="8" w:space="0" w:color="36573B" w:themeColor="accent3"/>
          <w:left w:val="single" w:sz="8" w:space="0" w:color="36573B" w:themeColor="accent3"/>
          <w:bottom w:val="single" w:sz="8" w:space="0" w:color="36573B" w:themeColor="accent3"/>
          <w:right w:val="single" w:sz="8" w:space="0" w:color="36573B" w:themeColor="accent3"/>
          <w:insideV w:val="single" w:sz="8" w:space="0" w:color="36573B" w:themeColor="accent3"/>
        </w:tcBorders>
        <w:shd w:val="clear" w:color="auto" w:fill="C6DCC9" w:themeFill="accent3" w:themeFillTint="3F"/>
      </w:tcPr>
    </w:tblStylePr>
    <w:tblStylePr w:type="band2Horz">
      <w:tblPr/>
      <w:tcPr>
        <w:tcBorders>
          <w:top w:val="single" w:sz="8" w:space="0" w:color="36573B" w:themeColor="accent3"/>
          <w:left w:val="single" w:sz="8" w:space="0" w:color="36573B" w:themeColor="accent3"/>
          <w:bottom w:val="single" w:sz="8" w:space="0" w:color="36573B" w:themeColor="accent3"/>
          <w:right w:val="single" w:sz="8" w:space="0" w:color="36573B" w:themeColor="accent3"/>
          <w:insideV w:val="single" w:sz="8" w:space="0" w:color="36573B" w:themeColor="accent3"/>
        </w:tcBorders>
      </w:tcPr>
    </w:tblStylePr>
  </w:style>
  <w:style w:type="table" w:styleId="LightGrid-Accent4">
    <w:name w:val="Light Grid Accent 4"/>
    <w:basedOn w:val="TableNormal"/>
    <w:uiPriority w:val="98"/>
    <w:rsid w:val="00923EE1"/>
    <w:tblPr>
      <w:tblStyleRowBandSize w:val="1"/>
      <w:tblStyleColBandSize w:val="1"/>
      <w:tblBorders>
        <w:top w:val="single" w:sz="8" w:space="0" w:color="DC673B" w:themeColor="accent4"/>
        <w:left w:val="single" w:sz="8" w:space="0" w:color="DC673B" w:themeColor="accent4"/>
        <w:bottom w:val="single" w:sz="8" w:space="0" w:color="DC673B" w:themeColor="accent4"/>
        <w:right w:val="single" w:sz="8" w:space="0" w:color="DC673B" w:themeColor="accent4"/>
        <w:insideH w:val="single" w:sz="8" w:space="0" w:color="DC673B" w:themeColor="accent4"/>
        <w:insideV w:val="single" w:sz="8" w:space="0" w:color="DC673B" w:themeColor="accent4"/>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HAnsi"/>
        <w:b/>
        <w:bCs/>
      </w:rPr>
      <w:tblPr/>
      <w:tcPr>
        <w:tcBorders>
          <w:top w:val="single" w:sz="8" w:space="0" w:color="DC673B" w:themeColor="accent4"/>
          <w:left w:val="single" w:sz="8" w:space="0" w:color="DC673B" w:themeColor="accent4"/>
          <w:bottom w:val="single" w:sz="18" w:space="0" w:color="DC673B" w:themeColor="accent4"/>
          <w:right w:val="single" w:sz="8" w:space="0" w:color="DC673B" w:themeColor="accent4"/>
          <w:insideH w:val="nil"/>
          <w:insideV w:val="single" w:sz="8" w:space="0" w:color="DC673B"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C673B" w:themeColor="accent4"/>
          <w:left w:val="single" w:sz="8" w:space="0" w:color="DC673B" w:themeColor="accent4"/>
          <w:bottom w:val="single" w:sz="8" w:space="0" w:color="DC673B" w:themeColor="accent4"/>
          <w:right w:val="single" w:sz="8" w:space="0" w:color="DC673B" w:themeColor="accent4"/>
          <w:insideH w:val="nil"/>
          <w:insideV w:val="single" w:sz="8" w:space="0" w:color="DC673B"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C673B" w:themeColor="accent4"/>
          <w:left w:val="single" w:sz="8" w:space="0" w:color="DC673B" w:themeColor="accent4"/>
          <w:bottom w:val="single" w:sz="8" w:space="0" w:color="DC673B" w:themeColor="accent4"/>
          <w:right w:val="single" w:sz="8" w:space="0" w:color="DC673B" w:themeColor="accent4"/>
        </w:tcBorders>
      </w:tcPr>
    </w:tblStylePr>
    <w:tblStylePr w:type="band1Vert">
      <w:tblPr/>
      <w:tcPr>
        <w:tcBorders>
          <w:top w:val="single" w:sz="8" w:space="0" w:color="DC673B" w:themeColor="accent4"/>
          <w:left w:val="single" w:sz="8" w:space="0" w:color="DC673B" w:themeColor="accent4"/>
          <w:bottom w:val="single" w:sz="8" w:space="0" w:color="DC673B" w:themeColor="accent4"/>
          <w:right w:val="single" w:sz="8" w:space="0" w:color="DC673B" w:themeColor="accent4"/>
        </w:tcBorders>
        <w:shd w:val="clear" w:color="auto" w:fill="F6D9CE" w:themeFill="accent4" w:themeFillTint="3F"/>
      </w:tcPr>
    </w:tblStylePr>
    <w:tblStylePr w:type="band1Horz">
      <w:tblPr/>
      <w:tcPr>
        <w:tcBorders>
          <w:top w:val="single" w:sz="8" w:space="0" w:color="DC673B" w:themeColor="accent4"/>
          <w:left w:val="single" w:sz="8" w:space="0" w:color="DC673B" w:themeColor="accent4"/>
          <w:bottom w:val="single" w:sz="8" w:space="0" w:color="DC673B" w:themeColor="accent4"/>
          <w:right w:val="single" w:sz="8" w:space="0" w:color="DC673B" w:themeColor="accent4"/>
          <w:insideV w:val="single" w:sz="8" w:space="0" w:color="DC673B" w:themeColor="accent4"/>
        </w:tcBorders>
        <w:shd w:val="clear" w:color="auto" w:fill="F6D9CE" w:themeFill="accent4" w:themeFillTint="3F"/>
      </w:tcPr>
    </w:tblStylePr>
    <w:tblStylePr w:type="band2Horz">
      <w:tblPr/>
      <w:tcPr>
        <w:tcBorders>
          <w:top w:val="single" w:sz="8" w:space="0" w:color="DC673B" w:themeColor="accent4"/>
          <w:left w:val="single" w:sz="8" w:space="0" w:color="DC673B" w:themeColor="accent4"/>
          <w:bottom w:val="single" w:sz="8" w:space="0" w:color="DC673B" w:themeColor="accent4"/>
          <w:right w:val="single" w:sz="8" w:space="0" w:color="DC673B" w:themeColor="accent4"/>
          <w:insideV w:val="single" w:sz="8" w:space="0" w:color="DC673B" w:themeColor="accent4"/>
        </w:tcBorders>
      </w:tcPr>
    </w:tblStylePr>
  </w:style>
  <w:style w:type="table" w:styleId="LightGrid-Accent5">
    <w:name w:val="Light Grid Accent 5"/>
    <w:basedOn w:val="TableNormal"/>
    <w:uiPriority w:val="98"/>
    <w:rsid w:val="00923EE1"/>
    <w:tblPr>
      <w:tblStyleRowBandSize w:val="1"/>
      <w:tblStyleColBandSize w:val="1"/>
      <w:tblBorders>
        <w:top w:val="single" w:sz="8" w:space="0" w:color="B33D26" w:themeColor="accent5"/>
        <w:left w:val="single" w:sz="8" w:space="0" w:color="B33D26" w:themeColor="accent5"/>
        <w:bottom w:val="single" w:sz="8" w:space="0" w:color="B33D26" w:themeColor="accent5"/>
        <w:right w:val="single" w:sz="8" w:space="0" w:color="B33D26" w:themeColor="accent5"/>
        <w:insideH w:val="single" w:sz="8" w:space="0" w:color="B33D26" w:themeColor="accent5"/>
        <w:insideV w:val="single" w:sz="8" w:space="0" w:color="B33D26" w:themeColor="accent5"/>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HAnsi"/>
        <w:b/>
        <w:bCs/>
      </w:rPr>
      <w:tblPr/>
      <w:tcPr>
        <w:tcBorders>
          <w:top w:val="single" w:sz="8" w:space="0" w:color="B33D26" w:themeColor="accent5"/>
          <w:left w:val="single" w:sz="8" w:space="0" w:color="B33D26" w:themeColor="accent5"/>
          <w:bottom w:val="single" w:sz="18" w:space="0" w:color="B33D26" w:themeColor="accent5"/>
          <w:right w:val="single" w:sz="8" w:space="0" w:color="B33D26" w:themeColor="accent5"/>
          <w:insideH w:val="nil"/>
          <w:insideV w:val="single" w:sz="8" w:space="0" w:color="B33D2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33D26" w:themeColor="accent5"/>
          <w:left w:val="single" w:sz="8" w:space="0" w:color="B33D26" w:themeColor="accent5"/>
          <w:bottom w:val="single" w:sz="8" w:space="0" w:color="B33D26" w:themeColor="accent5"/>
          <w:right w:val="single" w:sz="8" w:space="0" w:color="B33D26" w:themeColor="accent5"/>
          <w:insideH w:val="nil"/>
          <w:insideV w:val="single" w:sz="8" w:space="0" w:color="B33D2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33D26" w:themeColor="accent5"/>
          <w:left w:val="single" w:sz="8" w:space="0" w:color="B33D26" w:themeColor="accent5"/>
          <w:bottom w:val="single" w:sz="8" w:space="0" w:color="B33D26" w:themeColor="accent5"/>
          <w:right w:val="single" w:sz="8" w:space="0" w:color="B33D26" w:themeColor="accent5"/>
        </w:tcBorders>
      </w:tcPr>
    </w:tblStylePr>
    <w:tblStylePr w:type="band1Vert">
      <w:tblPr/>
      <w:tcPr>
        <w:tcBorders>
          <w:top w:val="single" w:sz="8" w:space="0" w:color="B33D26" w:themeColor="accent5"/>
          <w:left w:val="single" w:sz="8" w:space="0" w:color="B33D26" w:themeColor="accent5"/>
          <w:bottom w:val="single" w:sz="8" w:space="0" w:color="B33D26" w:themeColor="accent5"/>
          <w:right w:val="single" w:sz="8" w:space="0" w:color="B33D26" w:themeColor="accent5"/>
        </w:tcBorders>
        <w:shd w:val="clear" w:color="auto" w:fill="F2CAC3" w:themeFill="accent5" w:themeFillTint="3F"/>
      </w:tcPr>
    </w:tblStylePr>
    <w:tblStylePr w:type="band1Horz">
      <w:tblPr/>
      <w:tcPr>
        <w:tcBorders>
          <w:top w:val="single" w:sz="8" w:space="0" w:color="B33D26" w:themeColor="accent5"/>
          <w:left w:val="single" w:sz="8" w:space="0" w:color="B33D26" w:themeColor="accent5"/>
          <w:bottom w:val="single" w:sz="8" w:space="0" w:color="B33D26" w:themeColor="accent5"/>
          <w:right w:val="single" w:sz="8" w:space="0" w:color="B33D26" w:themeColor="accent5"/>
          <w:insideV w:val="single" w:sz="8" w:space="0" w:color="B33D26" w:themeColor="accent5"/>
        </w:tcBorders>
        <w:shd w:val="clear" w:color="auto" w:fill="F2CAC3" w:themeFill="accent5" w:themeFillTint="3F"/>
      </w:tcPr>
    </w:tblStylePr>
    <w:tblStylePr w:type="band2Horz">
      <w:tblPr/>
      <w:tcPr>
        <w:tcBorders>
          <w:top w:val="single" w:sz="8" w:space="0" w:color="B33D26" w:themeColor="accent5"/>
          <w:left w:val="single" w:sz="8" w:space="0" w:color="B33D26" w:themeColor="accent5"/>
          <w:bottom w:val="single" w:sz="8" w:space="0" w:color="B33D26" w:themeColor="accent5"/>
          <w:right w:val="single" w:sz="8" w:space="0" w:color="B33D26" w:themeColor="accent5"/>
          <w:insideV w:val="single" w:sz="8" w:space="0" w:color="B33D26" w:themeColor="accent5"/>
        </w:tcBorders>
      </w:tcPr>
    </w:tblStylePr>
  </w:style>
  <w:style w:type="table" w:styleId="LightGrid-Accent6">
    <w:name w:val="Light Grid Accent 6"/>
    <w:basedOn w:val="TableNormal"/>
    <w:uiPriority w:val="98"/>
    <w:rsid w:val="00923EE1"/>
    <w:tblPr>
      <w:tblStyleRowBandSize w:val="1"/>
      <w:tblStyleColBandSize w:val="1"/>
      <w:tblBorders>
        <w:top w:val="single" w:sz="8" w:space="0" w:color="9DB0AC" w:themeColor="accent6"/>
        <w:left w:val="single" w:sz="8" w:space="0" w:color="9DB0AC" w:themeColor="accent6"/>
        <w:bottom w:val="single" w:sz="8" w:space="0" w:color="9DB0AC" w:themeColor="accent6"/>
        <w:right w:val="single" w:sz="8" w:space="0" w:color="9DB0AC" w:themeColor="accent6"/>
        <w:insideH w:val="single" w:sz="8" w:space="0" w:color="9DB0AC" w:themeColor="accent6"/>
        <w:insideV w:val="single" w:sz="8" w:space="0" w:color="9DB0AC" w:themeColor="accent6"/>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HAnsi"/>
        <w:b/>
        <w:bCs/>
      </w:rPr>
      <w:tblPr/>
      <w:tcPr>
        <w:tcBorders>
          <w:top w:val="single" w:sz="8" w:space="0" w:color="9DB0AC" w:themeColor="accent6"/>
          <w:left w:val="single" w:sz="8" w:space="0" w:color="9DB0AC" w:themeColor="accent6"/>
          <w:bottom w:val="single" w:sz="18" w:space="0" w:color="9DB0AC" w:themeColor="accent6"/>
          <w:right w:val="single" w:sz="8" w:space="0" w:color="9DB0AC" w:themeColor="accent6"/>
          <w:insideH w:val="nil"/>
          <w:insideV w:val="single" w:sz="8" w:space="0" w:color="9DB0A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DB0AC" w:themeColor="accent6"/>
          <w:left w:val="single" w:sz="8" w:space="0" w:color="9DB0AC" w:themeColor="accent6"/>
          <w:bottom w:val="single" w:sz="8" w:space="0" w:color="9DB0AC" w:themeColor="accent6"/>
          <w:right w:val="single" w:sz="8" w:space="0" w:color="9DB0AC" w:themeColor="accent6"/>
          <w:insideH w:val="nil"/>
          <w:insideV w:val="single" w:sz="8" w:space="0" w:color="9DB0A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DB0AC" w:themeColor="accent6"/>
          <w:left w:val="single" w:sz="8" w:space="0" w:color="9DB0AC" w:themeColor="accent6"/>
          <w:bottom w:val="single" w:sz="8" w:space="0" w:color="9DB0AC" w:themeColor="accent6"/>
          <w:right w:val="single" w:sz="8" w:space="0" w:color="9DB0AC" w:themeColor="accent6"/>
        </w:tcBorders>
      </w:tcPr>
    </w:tblStylePr>
    <w:tblStylePr w:type="band1Vert">
      <w:tblPr/>
      <w:tcPr>
        <w:tcBorders>
          <w:top w:val="single" w:sz="8" w:space="0" w:color="9DB0AC" w:themeColor="accent6"/>
          <w:left w:val="single" w:sz="8" w:space="0" w:color="9DB0AC" w:themeColor="accent6"/>
          <w:bottom w:val="single" w:sz="8" w:space="0" w:color="9DB0AC" w:themeColor="accent6"/>
          <w:right w:val="single" w:sz="8" w:space="0" w:color="9DB0AC" w:themeColor="accent6"/>
        </w:tcBorders>
        <w:shd w:val="clear" w:color="auto" w:fill="E6EBEA" w:themeFill="accent6" w:themeFillTint="3F"/>
      </w:tcPr>
    </w:tblStylePr>
    <w:tblStylePr w:type="band1Horz">
      <w:tblPr/>
      <w:tcPr>
        <w:tcBorders>
          <w:top w:val="single" w:sz="8" w:space="0" w:color="9DB0AC" w:themeColor="accent6"/>
          <w:left w:val="single" w:sz="8" w:space="0" w:color="9DB0AC" w:themeColor="accent6"/>
          <w:bottom w:val="single" w:sz="8" w:space="0" w:color="9DB0AC" w:themeColor="accent6"/>
          <w:right w:val="single" w:sz="8" w:space="0" w:color="9DB0AC" w:themeColor="accent6"/>
          <w:insideV w:val="single" w:sz="8" w:space="0" w:color="9DB0AC" w:themeColor="accent6"/>
        </w:tcBorders>
        <w:shd w:val="clear" w:color="auto" w:fill="E6EBEA" w:themeFill="accent6" w:themeFillTint="3F"/>
      </w:tcPr>
    </w:tblStylePr>
    <w:tblStylePr w:type="band2Horz">
      <w:tblPr/>
      <w:tcPr>
        <w:tcBorders>
          <w:top w:val="single" w:sz="8" w:space="0" w:color="9DB0AC" w:themeColor="accent6"/>
          <w:left w:val="single" w:sz="8" w:space="0" w:color="9DB0AC" w:themeColor="accent6"/>
          <w:bottom w:val="single" w:sz="8" w:space="0" w:color="9DB0AC" w:themeColor="accent6"/>
          <w:right w:val="single" w:sz="8" w:space="0" w:color="9DB0AC" w:themeColor="accent6"/>
          <w:insideV w:val="single" w:sz="8" w:space="0" w:color="9DB0AC" w:themeColor="accent6"/>
        </w:tcBorders>
      </w:tcPr>
    </w:tblStylePr>
  </w:style>
  <w:style w:type="table" w:styleId="LightList">
    <w:name w:val="Light List"/>
    <w:basedOn w:val="TableNormal"/>
    <w:uiPriority w:val="98"/>
    <w:rsid w:val="00923EE1"/>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98"/>
    <w:rsid w:val="00923EE1"/>
    <w:tblPr>
      <w:tblStyleRowBandSize w:val="1"/>
      <w:tblStyleColBandSize w:val="1"/>
      <w:tblBorders>
        <w:top w:val="single" w:sz="8" w:space="0" w:color="004976" w:themeColor="accent1"/>
        <w:left w:val="single" w:sz="8" w:space="0" w:color="004976" w:themeColor="accent1"/>
        <w:bottom w:val="single" w:sz="8" w:space="0" w:color="004976" w:themeColor="accent1"/>
        <w:right w:val="single" w:sz="8" w:space="0" w:color="004976" w:themeColor="accent1"/>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shd w:val="clear" w:color="auto" w:fill="004976" w:themeFill="accent1"/>
      </w:tcPr>
    </w:tblStylePr>
    <w:tblStylePr w:type="lastRow">
      <w:pPr>
        <w:spacing w:before="0" w:after="0" w:line="240" w:lineRule="auto"/>
      </w:pPr>
      <w:rPr>
        <w:b/>
        <w:bCs/>
      </w:rPr>
      <w:tblPr/>
      <w:tcPr>
        <w:tcBorders>
          <w:top w:val="double" w:sz="6" w:space="0" w:color="004976" w:themeColor="accent1"/>
          <w:left w:val="single" w:sz="8" w:space="0" w:color="004976" w:themeColor="accent1"/>
          <w:bottom w:val="single" w:sz="8" w:space="0" w:color="004976" w:themeColor="accent1"/>
          <w:right w:val="single" w:sz="8" w:space="0" w:color="004976" w:themeColor="accent1"/>
        </w:tcBorders>
      </w:tcPr>
    </w:tblStylePr>
    <w:tblStylePr w:type="firstCol">
      <w:rPr>
        <w:b/>
        <w:bCs/>
      </w:rPr>
    </w:tblStylePr>
    <w:tblStylePr w:type="lastCol">
      <w:rPr>
        <w:b/>
        <w:bCs/>
      </w:rPr>
    </w:tblStylePr>
    <w:tblStylePr w:type="band1Vert">
      <w:tblPr/>
      <w:tcPr>
        <w:tcBorders>
          <w:top w:val="single" w:sz="8" w:space="0" w:color="004976" w:themeColor="accent1"/>
          <w:left w:val="single" w:sz="8" w:space="0" w:color="004976" w:themeColor="accent1"/>
          <w:bottom w:val="single" w:sz="8" w:space="0" w:color="004976" w:themeColor="accent1"/>
          <w:right w:val="single" w:sz="8" w:space="0" w:color="004976" w:themeColor="accent1"/>
        </w:tcBorders>
      </w:tcPr>
    </w:tblStylePr>
    <w:tblStylePr w:type="band1Horz">
      <w:tblPr/>
      <w:tcPr>
        <w:tcBorders>
          <w:top w:val="single" w:sz="8" w:space="0" w:color="004976" w:themeColor="accent1"/>
          <w:left w:val="single" w:sz="8" w:space="0" w:color="004976" w:themeColor="accent1"/>
          <w:bottom w:val="single" w:sz="8" w:space="0" w:color="004976" w:themeColor="accent1"/>
          <w:right w:val="single" w:sz="8" w:space="0" w:color="004976" w:themeColor="accent1"/>
        </w:tcBorders>
      </w:tcPr>
    </w:tblStylePr>
  </w:style>
  <w:style w:type="table" w:styleId="LightList-Accent2">
    <w:name w:val="Light List Accent 2"/>
    <w:basedOn w:val="TableNormal"/>
    <w:uiPriority w:val="98"/>
    <w:rsid w:val="00923EE1"/>
    <w:tblPr>
      <w:tblStyleRowBandSize w:val="1"/>
      <w:tblStyleColBandSize w:val="1"/>
      <w:tblBorders>
        <w:top w:val="single" w:sz="8" w:space="0" w:color="FFB500" w:themeColor="accent2"/>
        <w:left w:val="single" w:sz="8" w:space="0" w:color="FFB500" w:themeColor="accent2"/>
        <w:bottom w:val="single" w:sz="8" w:space="0" w:color="FFB500" w:themeColor="accent2"/>
        <w:right w:val="single" w:sz="8" w:space="0" w:color="FFB500" w:themeColor="accent2"/>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shd w:val="clear" w:color="auto" w:fill="FFB500" w:themeFill="accent2"/>
      </w:tcPr>
    </w:tblStylePr>
    <w:tblStylePr w:type="lastRow">
      <w:pPr>
        <w:spacing w:before="0" w:after="0" w:line="240" w:lineRule="auto"/>
      </w:pPr>
      <w:rPr>
        <w:b/>
        <w:bCs/>
      </w:rPr>
      <w:tblPr/>
      <w:tcPr>
        <w:tcBorders>
          <w:top w:val="double" w:sz="6" w:space="0" w:color="FFB500" w:themeColor="accent2"/>
          <w:left w:val="single" w:sz="8" w:space="0" w:color="FFB500" w:themeColor="accent2"/>
          <w:bottom w:val="single" w:sz="8" w:space="0" w:color="FFB500" w:themeColor="accent2"/>
          <w:right w:val="single" w:sz="8" w:space="0" w:color="FFB500" w:themeColor="accent2"/>
        </w:tcBorders>
      </w:tcPr>
    </w:tblStylePr>
    <w:tblStylePr w:type="firstCol">
      <w:rPr>
        <w:b/>
        <w:bCs/>
      </w:rPr>
    </w:tblStylePr>
    <w:tblStylePr w:type="lastCol">
      <w:rPr>
        <w:b/>
        <w:bCs/>
      </w:rPr>
    </w:tblStylePr>
    <w:tblStylePr w:type="band1Vert">
      <w:tblPr/>
      <w:tcPr>
        <w:tcBorders>
          <w:top w:val="single" w:sz="8" w:space="0" w:color="FFB500" w:themeColor="accent2"/>
          <w:left w:val="single" w:sz="8" w:space="0" w:color="FFB500" w:themeColor="accent2"/>
          <w:bottom w:val="single" w:sz="8" w:space="0" w:color="FFB500" w:themeColor="accent2"/>
          <w:right w:val="single" w:sz="8" w:space="0" w:color="FFB500" w:themeColor="accent2"/>
        </w:tcBorders>
      </w:tcPr>
    </w:tblStylePr>
    <w:tblStylePr w:type="band1Horz">
      <w:tblPr/>
      <w:tcPr>
        <w:tcBorders>
          <w:top w:val="single" w:sz="8" w:space="0" w:color="FFB500" w:themeColor="accent2"/>
          <w:left w:val="single" w:sz="8" w:space="0" w:color="FFB500" w:themeColor="accent2"/>
          <w:bottom w:val="single" w:sz="8" w:space="0" w:color="FFB500" w:themeColor="accent2"/>
          <w:right w:val="single" w:sz="8" w:space="0" w:color="FFB500" w:themeColor="accent2"/>
        </w:tcBorders>
      </w:tcPr>
    </w:tblStylePr>
  </w:style>
  <w:style w:type="table" w:styleId="LightList-Accent3">
    <w:name w:val="Light List Accent 3"/>
    <w:basedOn w:val="TableNormal"/>
    <w:uiPriority w:val="98"/>
    <w:rsid w:val="00923EE1"/>
    <w:tblPr>
      <w:tblStyleRowBandSize w:val="1"/>
      <w:tblStyleColBandSize w:val="1"/>
      <w:tblBorders>
        <w:top w:val="single" w:sz="8" w:space="0" w:color="36573B" w:themeColor="accent3"/>
        <w:left w:val="single" w:sz="8" w:space="0" w:color="36573B" w:themeColor="accent3"/>
        <w:bottom w:val="single" w:sz="8" w:space="0" w:color="36573B" w:themeColor="accent3"/>
        <w:right w:val="single" w:sz="8" w:space="0" w:color="36573B" w:themeColor="accent3"/>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shd w:val="clear" w:color="auto" w:fill="36573B" w:themeFill="accent3"/>
      </w:tcPr>
    </w:tblStylePr>
    <w:tblStylePr w:type="lastRow">
      <w:pPr>
        <w:spacing w:before="0" w:after="0" w:line="240" w:lineRule="auto"/>
      </w:pPr>
      <w:rPr>
        <w:b/>
        <w:bCs/>
      </w:rPr>
      <w:tblPr/>
      <w:tcPr>
        <w:tcBorders>
          <w:top w:val="double" w:sz="6" w:space="0" w:color="36573B" w:themeColor="accent3"/>
          <w:left w:val="single" w:sz="8" w:space="0" w:color="36573B" w:themeColor="accent3"/>
          <w:bottom w:val="single" w:sz="8" w:space="0" w:color="36573B" w:themeColor="accent3"/>
          <w:right w:val="single" w:sz="8" w:space="0" w:color="36573B" w:themeColor="accent3"/>
        </w:tcBorders>
      </w:tcPr>
    </w:tblStylePr>
    <w:tblStylePr w:type="firstCol">
      <w:rPr>
        <w:b/>
        <w:bCs/>
      </w:rPr>
    </w:tblStylePr>
    <w:tblStylePr w:type="lastCol">
      <w:rPr>
        <w:b/>
        <w:bCs/>
      </w:rPr>
    </w:tblStylePr>
    <w:tblStylePr w:type="band1Vert">
      <w:tblPr/>
      <w:tcPr>
        <w:tcBorders>
          <w:top w:val="single" w:sz="8" w:space="0" w:color="36573B" w:themeColor="accent3"/>
          <w:left w:val="single" w:sz="8" w:space="0" w:color="36573B" w:themeColor="accent3"/>
          <w:bottom w:val="single" w:sz="8" w:space="0" w:color="36573B" w:themeColor="accent3"/>
          <w:right w:val="single" w:sz="8" w:space="0" w:color="36573B" w:themeColor="accent3"/>
        </w:tcBorders>
      </w:tcPr>
    </w:tblStylePr>
    <w:tblStylePr w:type="band1Horz">
      <w:tblPr/>
      <w:tcPr>
        <w:tcBorders>
          <w:top w:val="single" w:sz="8" w:space="0" w:color="36573B" w:themeColor="accent3"/>
          <w:left w:val="single" w:sz="8" w:space="0" w:color="36573B" w:themeColor="accent3"/>
          <w:bottom w:val="single" w:sz="8" w:space="0" w:color="36573B" w:themeColor="accent3"/>
          <w:right w:val="single" w:sz="8" w:space="0" w:color="36573B" w:themeColor="accent3"/>
        </w:tcBorders>
      </w:tcPr>
    </w:tblStylePr>
  </w:style>
  <w:style w:type="table" w:styleId="LightList-Accent4">
    <w:name w:val="Light List Accent 4"/>
    <w:basedOn w:val="TableNormal"/>
    <w:uiPriority w:val="98"/>
    <w:rsid w:val="00923EE1"/>
    <w:tblPr>
      <w:tblStyleRowBandSize w:val="1"/>
      <w:tblStyleColBandSize w:val="1"/>
      <w:tblBorders>
        <w:top w:val="single" w:sz="8" w:space="0" w:color="DC673B" w:themeColor="accent4"/>
        <w:left w:val="single" w:sz="8" w:space="0" w:color="DC673B" w:themeColor="accent4"/>
        <w:bottom w:val="single" w:sz="8" w:space="0" w:color="DC673B" w:themeColor="accent4"/>
        <w:right w:val="single" w:sz="8" w:space="0" w:color="DC673B" w:themeColor="accent4"/>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shd w:val="clear" w:color="auto" w:fill="DC673B" w:themeFill="accent4"/>
      </w:tcPr>
    </w:tblStylePr>
    <w:tblStylePr w:type="lastRow">
      <w:pPr>
        <w:spacing w:before="0" w:after="0" w:line="240" w:lineRule="auto"/>
      </w:pPr>
      <w:rPr>
        <w:b/>
        <w:bCs/>
      </w:rPr>
      <w:tblPr/>
      <w:tcPr>
        <w:tcBorders>
          <w:top w:val="double" w:sz="6" w:space="0" w:color="DC673B" w:themeColor="accent4"/>
          <w:left w:val="single" w:sz="8" w:space="0" w:color="DC673B" w:themeColor="accent4"/>
          <w:bottom w:val="single" w:sz="8" w:space="0" w:color="DC673B" w:themeColor="accent4"/>
          <w:right w:val="single" w:sz="8" w:space="0" w:color="DC673B" w:themeColor="accent4"/>
        </w:tcBorders>
      </w:tcPr>
    </w:tblStylePr>
    <w:tblStylePr w:type="firstCol">
      <w:rPr>
        <w:b/>
        <w:bCs/>
      </w:rPr>
    </w:tblStylePr>
    <w:tblStylePr w:type="lastCol">
      <w:rPr>
        <w:b/>
        <w:bCs/>
      </w:rPr>
    </w:tblStylePr>
    <w:tblStylePr w:type="band1Vert">
      <w:tblPr/>
      <w:tcPr>
        <w:tcBorders>
          <w:top w:val="single" w:sz="8" w:space="0" w:color="DC673B" w:themeColor="accent4"/>
          <w:left w:val="single" w:sz="8" w:space="0" w:color="DC673B" w:themeColor="accent4"/>
          <w:bottom w:val="single" w:sz="8" w:space="0" w:color="DC673B" w:themeColor="accent4"/>
          <w:right w:val="single" w:sz="8" w:space="0" w:color="DC673B" w:themeColor="accent4"/>
        </w:tcBorders>
      </w:tcPr>
    </w:tblStylePr>
    <w:tblStylePr w:type="band1Horz">
      <w:tblPr/>
      <w:tcPr>
        <w:tcBorders>
          <w:top w:val="single" w:sz="8" w:space="0" w:color="DC673B" w:themeColor="accent4"/>
          <w:left w:val="single" w:sz="8" w:space="0" w:color="DC673B" w:themeColor="accent4"/>
          <w:bottom w:val="single" w:sz="8" w:space="0" w:color="DC673B" w:themeColor="accent4"/>
          <w:right w:val="single" w:sz="8" w:space="0" w:color="DC673B" w:themeColor="accent4"/>
        </w:tcBorders>
      </w:tcPr>
    </w:tblStylePr>
  </w:style>
  <w:style w:type="table" w:styleId="LightList-Accent5">
    <w:name w:val="Light List Accent 5"/>
    <w:basedOn w:val="TableNormal"/>
    <w:uiPriority w:val="98"/>
    <w:rsid w:val="00923EE1"/>
    <w:tblPr>
      <w:tblStyleRowBandSize w:val="1"/>
      <w:tblStyleColBandSize w:val="1"/>
      <w:tblBorders>
        <w:top w:val="single" w:sz="8" w:space="0" w:color="B33D26" w:themeColor="accent5"/>
        <w:left w:val="single" w:sz="8" w:space="0" w:color="B33D26" w:themeColor="accent5"/>
        <w:bottom w:val="single" w:sz="8" w:space="0" w:color="B33D26" w:themeColor="accent5"/>
        <w:right w:val="single" w:sz="8" w:space="0" w:color="B33D26" w:themeColor="accent5"/>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shd w:val="clear" w:color="auto" w:fill="B33D26" w:themeFill="accent5"/>
      </w:tcPr>
    </w:tblStylePr>
    <w:tblStylePr w:type="lastRow">
      <w:pPr>
        <w:spacing w:before="0" w:after="0" w:line="240" w:lineRule="auto"/>
      </w:pPr>
      <w:rPr>
        <w:b/>
        <w:bCs/>
      </w:rPr>
      <w:tblPr/>
      <w:tcPr>
        <w:tcBorders>
          <w:top w:val="double" w:sz="6" w:space="0" w:color="B33D26" w:themeColor="accent5"/>
          <w:left w:val="single" w:sz="8" w:space="0" w:color="B33D26" w:themeColor="accent5"/>
          <w:bottom w:val="single" w:sz="8" w:space="0" w:color="B33D26" w:themeColor="accent5"/>
          <w:right w:val="single" w:sz="8" w:space="0" w:color="B33D26" w:themeColor="accent5"/>
        </w:tcBorders>
      </w:tcPr>
    </w:tblStylePr>
    <w:tblStylePr w:type="firstCol">
      <w:rPr>
        <w:b/>
        <w:bCs/>
      </w:rPr>
    </w:tblStylePr>
    <w:tblStylePr w:type="lastCol">
      <w:rPr>
        <w:b/>
        <w:bCs/>
      </w:rPr>
    </w:tblStylePr>
    <w:tblStylePr w:type="band1Vert">
      <w:tblPr/>
      <w:tcPr>
        <w:tcBorders>
          <w:top w:val="single" w:sz="8" w:space="0" w:color="B33D26" w:themeColor="accent5"/>
          <w:left w:val="single" w:sz="8" w:space="0" w:color="B33D26" w:themeColor="accent5"/>
          <w:bottom w:val="single" w:sz="8" w:space="0" w:color="B33D26" w:themeColor="accent5"/>
          <w:right w:val="single" w:sz="8" w:space="0" w:color="B33D26" w:themeColor="accent5"/>
        </w:tcBorders>
      </w:tcPr>
    </w:tblStylePr>
    <w:tblStylePr w:type="band1Horz">
      <w:tblPr/>
      <w:tcPr>
        <w:tcBorders>
          <w:top w:val="single" w:sz="8" w:space="0" w:color="B33D26" w:themeColor="accent5"/>
          <w:left w:val="single" w:sz="8" w:space="0" w:color="B33D26" w:themeColor="accent5"/>
          <w:bottom w:val="single" w:sz="8" w:space="0" w:color="B33D26" w:themeColor="accent5"/>
          <w:right w:val="single" w:sz="8" w:space="0" w:color="B33D26" w:themeColor="accent5"/>
        </w:tcBorders>
      </w:tcPr>
    </w:tblStylePr>
  </w:style>
  <w:style w:type="table" w:styleId="LightList-Accent6">
    <w:name w:val="Light List Accent 6"/>
    <w:basedOn w:val="TableNormal"/>
    <w:uiPriority w:val="98"/>
    <w:rsid w:val="00923EE1"/>
    <w:tblPr>
      <w:tblStyleRowBandSize w:val="1"/>
      <w:tblStyleColBandSize w:val="1"/>
      <w:tblBorders>
        <w:top w:val="single" w:sz="8" w:space="0" w:color="9DB0AC" w:themeColor="accent6"/>
        <w:left w:val="single" w:sz="8" w:space="0" w:color="9DB0AC" w:themeColor="accent6"/>
        <w:bottom w:val="single" w:sz="8" w:space="0" w:color="9DB0AC" w:themeColor="accent6"/>
        <w:right w:val="single" w:sz="8" w:space="0" w:color="9DB0AC" w:themeColor="accent6"/>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shd w:val="clear" w:color="auto" w:fill="9DB0AC" w:themeFill="accent6"/>
      </w:tcPr>
    </w:tblStylePr>
    <w:tblStylePr w:type="lastRow">
      <w:pPr>
        <w:spacing w:before="0" w:after="0" w:line="240" w:lineRule="auto"/>
      </w:pPr>
      <w:rPr>
        <w:b/>
        <w:bCs/>
      </w:rPr>
      <w:tblPr/>
      <w:tcPr>
        <w:tcBorders>
          <w:top w:val="double" w:sz="6" w:space="0" w:color="9DB0AC" w:themeColor="accent6"/>
          <w:left w:val="single" w:sz="8" w:space="0" w:color="9DB0AC" w:themeColor="accent6"/>
          <w:bottom w:val="single" w:sz="8" w:space="0" w:color="9DB0AC" w:themeColor="accent6"/>
          <w:right w:val="single" w:sz="8" w:space="0" w:color="9DB0AC" w:themeColor="accent6"/>
        </w:tcBorders>
      </w:tcPr>
    </w:tblStylePr>
    <w:tblStylePr w:type="firstCol">
      <w:rPr>
        <w:b/>
        <w:bCs/>
      </w:rPr>
    </w:tblStylePr>
    <w:tblStylePr w:type="lastCol">
      <w:rPr>
        <w:b/>
        <w:bCs/>
      </w:rPr>
    </w:tblStylePr>
    <w:tblStylePr w:type="band1Vert">
      <w:tblPr/>
      <w:tcPr>
        <w:tcBorders>
          <w:top w:val="single" w:sz="8" w:space="0" w:color="9DB0AC" w:themeColor="accent6"/>
          <w:left w:val="single" w:sz="8" w:space="0" w:color="9DB0AC" w:themeColor="accent6"/>
          <w:bottom w:val="single" w:sz="8" w:space="0" w:color="9DB0AC" w:themeColor="accent6"/>
          <w:right w:val="single" w:sz="8" w:space="0" w:color="9DB0AC" w:themeColor="accent6"/>
        </w:tcBorders>
      </w:tcPr>
    </w:tblStylePr>
    <w:tblStylePr w:type="band1Horz">
      <w:tblPr/>
      <w:tcPr>
        <w:tcBorders>
          <w:top w:val="single" w:sz="8" w:space="0" w:color="9DB0AC" w:themeColor="accent6"/>
          <w:left w:val="single" w:sz="8" w:space="0" w:color="9DB0AC" w:themeColor="accent6"/>
          <w:bottom w:val="single" w:sz="8" w:space="0" w:color="9DB0AC" w:themeColor="accent6"/>
          <w:right w:val="single" w:sz="8" w:space="0" w:color="9DB0AC" w:themeColor="accent6"/>
        </w:tcBorders>
      </w:tcPr>
    </w:tblStylePr>
  </w:style>
  <w:style w:type="table" w:styleId="LightShading">
    <w:name w:val="Light Shading"/>
    <w:basedOn w:val="TableNormal"/>
    <w:uiPriority w:val="98"/>
    <w:rsid w:val="00923EE1"/>
    <w:rPr>
      <w:color w:val="000000" w:themeColor="text1" w:themeShade="BF"/>
    </w:rPr>
    <w:tblPr>
      <w:tblStyleRowBandSize w:val="1"/>
      <w:tblStyleColBandSize w:val="1"/>
      <w:tblBorders>
        <w:top w:val="single" w:sz="8" w:space="0" w:color="000000" w:themeColor="text1"/>
        <w:bottom w:val="single" w:sz="8" w:space="0" w:color="000000" w:themeColor="text1"/>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98"/>
    <w:rsid w:val="00923EE1"/>
    <w:rPr>
      <w:color w:val="003658" w:themeColor="accent1" w:themeShade="BF"/>
    </w:rPr>
    <w:tblPr>
      <w:tblStyleRowBandSize w:val="1"/>
      <w:tblStyleColBandSize w:val="1"/>
      <w:tblBorders>
        <w:top w:val="single" w:sz="8" w:space="0" w:color="004976" w:themeColor="accent1"/>
        <w:bottom w:val="single" w:sz="8" w:space="0" w:color="004976" w:themeColor="accent1"/>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rPr>
      <w:tblPr/>
      <w:tcPr>
        <w:tcBorders>
          <w:top w:val="single" w:sz="8" w:space="0" w:color="004976" w:themeColor="accent1"/>
          <w:left w:val="nil"/>
          <w:bottom w:val="single" w:sz="8" w:space="0" w:color="004976" w:themeColor="accent1"/>
          <w:right w:val="nil"/>
          <w:insideH w:val="nil"/>
          <w:insideV w:val="nil"/>
        </w:tcBorders>
      </w:tcPr>
    </w:tblStylePr>
    <w:tblStylePr w:type="lastRow">
      <w:pPr>
        <w:spacing w:before="0" w:after="0" w:line="240" w:lineRule="auto"/>
      </w:pPr>
      <w:rPr>
        <w:b/>
        <w:bCs/>
      </w:rPr>
      <w:tblPr/>
      <w:tcPr>
        <w:tcBorders>
          <w:top w:val="single" w:sz="8" w:space="0" w:color="004976" w:themeColor="accent1"/>
          <w:left w:val="nil"/>
          <w:bottom w:val="single" w:sz="8" w:space="0" w:color="004976"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ED9FF" w:themeFill="accent1" w:themeFillTint="3F"/>
      </w:tcPr>
    </w:tblStylePr>
    <w:tblStylePr w:type="band1Horz">
      <w:tblPr/>
      <w:tcPr>
        <w:tcBorders>
          <w:left w:val="nil"/>
          <w:right w:val="nil"/>
          <w:insideH w:val="nil"/>
          <w:insideV w:val="nil"/>
        </w:tcBorders>
        <w:shd w:val="clear" w:color="auto" w:fill="9ED9FF" w:themeFill="accent1" w:themeFillTint="3F"/>
      </w:tcPr>
    </w:tblStylePr>
  </w:style>
  <w:style w:type="table" w:styleId="LightShading-Accent2">
    <w:name w:val="Light Shading Accent 2"/>
    <w:basedOn w:val="TableNormal"/>
    <w:uiPriority w:val="98"/>
    <w:rsid w:val="00923EE1"/>
    <w:rPr>
      <w:color w:val="BF8700" w:themeColor="accent2" w:themeShade="BF"/>
    </w:rPr>
    <w:tblPr>
      <w:tblStyleRowBandSize w:val="1"/>
      <w:tblStyleColBandSize w:val="1"/>
      <w:tblBorders>
        <w:top w:val="single" w:sz="8" w:space="0" w:color="FFB500" w:themeColor="accent2"/>
        <w:bottom w:val="single" w:sz="8" w:space="0" w:color="FFB500" w:themeColor="accent2"/>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rPr>
      <w:tblPr/>
      <w:tcPr>
        <w:tcBorders>
          <w:top w:val="single" w:sz="8" w:space="0" w:color="FFB500" w:themeColor="accent2"/>
          <w:left w:val="nil"/>
          <w:bottom w:val="single" w:sz="8" w:space="0" w:color="FFB500" w:themeColor="accent2"/>
          <w:right w:val="nil"/>
          <w:insideH w:val="nil"/>
          <w:insideV w:val="nil"/>
        </w:tcBorders>
      </w:tcPr>
    </w:tblStylePr>
    <w:tblStylePr w:type="lastRow">
      <w:pPr>
        <w:spacing w:before="0" w:after="0" w:line="240" w:lineRule="auto"/>
      </w:pPr>
      <w:rPr>
        <w:b/>
        <w:bCs/>
      </w:rPr>
      <w:tblPr/>
      <w:tcPr>
        <w:tcBorders>
          <w:top w:val="single" w:sz="8" w:space="0" w:color="FFB500" w:themeColor="accent2"/>
          <w:left w:val="nil"/>
          <w:bottom w:val="single" w:sz="8" w:space="0" w:color="FFB500"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CC0" w:themeFill="accent2" w:themeFillTint="3F"/>
      </w:tcPr>
    </w:tblStylePr>
    <w:tblStylePr w:type="band1Horz">
      <w:tblPr/>
      <w:tcPr>
        <w:tcBorders>
          <w:left w:val="nil"/>
          <w:right w:val="nil"/>
          <w:insideH w:val="nil"/>
          <w:insideV w:val="nil"/>
        </w:tcBorders>
        <w:shd w:val="clear" w:color="auto" w:fill="FFECC0" w:themeFill="accent2" w:themeFillTint="3F"/>
      </w:tcPr>
    </w:tblStylePr>
  </w:style>
  <w:style w:type="table" w:styleId="LightShading-Accent3">
    <w:name w:val="Light Shading Accent 3"/>
    <w:basedOn w:val="TableNormal"/>
    <w:uiPriority w:val="98"/>
    <w:rsid w:val="00923EE1"/>
    <w:rPr>
      <w:color w:val="28402C" w:themeColor="accent3" w:themeShade="BF"/>
    </w:rPr>
    <w:tblPr>
      <w:tblStyleRowBandSize w:val="1"/>
      <w:tblStyleColBandSize w:val="1"/>
      <w:tblBorders>
        <w:top w:val="single" w:sz="8" w:space="0" w:color="36573B" w:themeColor="accent3"/>
        <w:bottom w:val="single" w:sz="8" w:space="0" w:color="36573B" w:themeColor="accent3"/>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rPr>
      <w:tblPr/>
      <w:tcPr>
        <w:tcBorders>
          <w:top w:val="single" w:sz="8" w:space="0" w:color="36573B" w:themeColor="accent3"/>
          <w:left w:val="nil"/>
          <w:bottom w:val="single" w:sz="8" w:space="0" w:color="36573B" w:themeColor="accent3"/>
          <w:right w:val="nil"/>
          <w:insideH w:val="nil"/>
          <w:insideV w:val="nil"/>
        </w:tcBorders>
      </w:tcPr>
    </w:tblStylePr>
    <w:tblStylePr w:type="lastRow">
      <w:pPr>
        <w:spacing w:before="0" w:after="0" w:line="240" w:lineRule="auto"/>
      </w:pPr>
      <w:rPr>
        <w:b/>
        <w:bCs/>
      </w:rPr>
      <w:tblPr/>
      <w:tcPr>
        <w:tcBorders>
          <w:top w:val="single" w:sz="8" w:space="0" w:color="36573B" w:themeColor="accent3"/>
          <w:left w:val="nil"/>
          <w:bottom w:val="single" w:sz="8" w:space="0" w:color="36573B"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6DCC9" w:themeFill="accent3" w:themeFillTint="3F"/>
      </w:tcPr>
    </w:tblStylePr>
    <w:tblStylePr w:type="band1Horz">
      <w:tblPr/>
      <w:tcPr>
        <w:tcBorders>
          <w:left w:val="nil"/>
          <w:right w:val="nil"/>
          <w:insideH w:val="nil"/>
          <w:insideV w:val="nil"/>
        </w:tcBorders>
        <w:shd w:val="clear" w:color="auto" w:fill="C6DCC9" w:themeFill="accent3" w:themeFillTint="3F"/>
      </w:tcPr>
    </w:tblStylePr>
  </w:style>
  <w:style w:type="table" w:styleId="LightShading-Accent4">
    <w:name w:val="Light Shading Accent 4"/>
    <w:basedOn w:val="TableNormal"/>
    <w:uiPriority w:val="98"/>
    <w:rsid w:val="00923EE1"/>
    <w:rPr>
      <w:color w:val="B1461F" w:themeColor="accent4" w:themeShade="BF"/>
    </w:rPr>
    <w:tblPr>
      <w:tblStyleRowBandSize w:val="1"/>
      <w:tblStyleColBandSize w:val="1"/>
      <w:tblBorders>
        <w:top w:val="single" w:sz="8" w:space="0" w:color="DC673B" w:themeColor="accent4"/>
        <w:bottom w:val="single" w:sz="8" w:space="0" w:color="DC673B" w:themeColor="accent4"/>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rPr>
      <w:tblPr/>
      <w:tcPr>
        <w:tcBorders>
          <w:top w:val="single" w:sz="8" w:space="0" w:color="DC673B" w:themeColor="accent4"/>
          <w:left w:val="nil"/>
          <w:bottom w:val="single" w:sz="8" w:space="0" w:color="DC673B" w:themeColor="accent4"/>
          <w:right w:val="nil"/>
          <w:insideH w:val="nil"/>
          <w:insideV w:val="nil"/>
        </w:tcBorders>
      </w:tcPr>
    </w:tblStylePr>
    <w:tblStylePr w:type="lastRow">
      <w:pPr>
        <w:spacing w:before="0" w:after="0" w:line="240" w:lineRule="auto"/>
      </w:pPr>
      <w:rPr>
        <w:b/>
        <w:bCs/>
      </w:rPr>
      <w:tblPr/>
      <w:tcPr>
        <w:tcBorders>
          <w:top w:val="single" w:sz="8" w:space="0" w:color="DC673B" w:themeColor="accent4"/>
          <w:left w:val="nil"/>
          <w:bottom w:val="single" w:sz="8" w:space="0" w:color="DC673B"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6D9CE" w:themeFill="accent4" w:themeFillTint="3F"/>
      </w:tcPr>
    </w:tblStylePr>
    <w:tblStylePr w:type="band1Horz">
      <w:tblPr/>
      <w:tcPr>
        <w:tcBorders>
          <w:left w:val="nil"/>
          <w:right w:val="nil"/>
          <w:insideH w:val="nil"/>
          <w:insideV w:val="nil"/>
        </w:tcBorders>
        <w:shd w:val="clear" w:color="auto" w:fill="F6D9CE" w:themeFill="accent4" w:themeFillTint="3F"/>
      </w:tcPr>
    </w:tblStylePr>
  </w:style>
  <w:style w:type="table" w:styleId="LightShading-Accent5">
    <w:name w:val="Light Shading Accent 5"/>
    <w:basedOn w:val="TableNormal"/>
    <w:uiPriority w:val="98"/>
    <w:rsid w:val="00923EE1"/>
    <w:rPr>
      <w:color w:val="852D1C" w:themeColor="accent5" w:themeShade="BF"/>
    </w:rPr>
    <w:tblPr>
      <w:tblStyleRowBandSize w:val="1"/>
      <w:tblStyleColBandSize w:val="1"/>
      <w:tblBorders>
        <w:top w:val="single" w:sz="8" w:space="0" w:color="B33D26" w:themeColor="accent5"/>
        <w:bottom w:val="single" w:sz="8" w:space="0" w:color="B33D26" w:themeColor="accent5"/>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rPr>
      <w:tblPr/>
      <w:tcPr>
        <w:tcBorders>
          <w:top w:val="single" w:sz="8" w:space="0" w:color="B33D26" w:themeColor="accent5"/>
          <w:left w:val="nil"/>
          <w:bottom w:val="single" w:sz="8" w:space="0" w:color="B33D26" w:themeColor="accent5"/>
          <w:right w:val="nil"/>
          <w:insideH w:val="nil"/>
          <w:insideV w:val="nil"/>
        </w:tcBorders>
      </w:tcPr>
    </w:tblStylePr>
    <w:tblStylePr w:type="lastRow">
      <w:pPr>
        <w:spacing w:before="0" w:after="0" w:line="240" w:lineRule="auto"/>
      </w:pPr>
      <w:rPr>
        <w:b/>
        <w:bCs/>
      </w:rPr>
      <w:tblPr/>
      <w:tcPr>
        <w:tcBorders>
          <w:top w:val="single" w:sz="8" w:space="0" w:color="B33D26" w:themeColor="accent5"/>
          <w:left w:val="nil"/>
          <w:bottom w:val="single" w:sz="8" w:space="0" w:color="B33D2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CAC3" w:themeFill="accent5" w:themeFillTint="3F"/>
      </w:tcPr>
    </w:tblStylePr>
    <w:tblStylePr w:type="band1Horz">
      <w:tblPr/>
      <w:tcPr>
        <w:tcBorders>
          <w:left w:val="nil"/>
          <w:right w:val="nil"/>
          <w:insideH w:val="nil"/>
          <w:insideV w:val="nil"/>
        </w:tcBorders>
        <w:shd w:val="clear" w:color="auto" w:fill="F2CAC3" w:themeFill="accent5" w:themeFillTint="3F"/>
      </w:tcPr>
    </w:tblStylePr>
  </w:style>
  <w:style w:type="table" w:styleId="LightShading-Accent6">
    <w:name w:val="Light Shading Accent 6"/>
    <w:basedOn w:val="TableNormal"/>
    <w:uiPriority w:val="98"/>
    <w:rsid w:val="00923EE1"/>
    <w:rPr>
      <w:color w:val="6F8A84" w:themeColor="accent6" w:themeShade="BF"/>
    </w:rPr>
    <w:tblPr>
      <w:tblStyleRowBandSize w:val="1"/>
      <w:tblStyleColBandSize w:val="1"/>
      <w:tblBorders>
        <w:top w:val="single" w:sz="8" w:space="0" w:color="9DB0AC" w:themeColor="accent6"/>
        <w:bottom w:val="single" w:sz="8" w:space="0" w:color="9DB0AC" w:themeColor="accent6"/>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rPr>
      <w:tblPr/>
      <w:tcPr>
        <w:tcBorders>
          <w:top w:val="single" w:sz="8" w:space="0" w:color="9DB0AC" w:themeColor="accent6"/>
          <w:left w:val="nil"/>
          <w:bottom w:val="single" w:sz="8" w:space="0" w:color="9DB0AC" w:themeColor="accent6"/>
          <w:right w:val="nil"/>
          <w:insideH w:val="nil"/>
          <w:insideV w:val="nil"/>
        </w:tcBorders>
      </w:tcPr>
    </w:tblStylePr>
    <w:tblStylePr w:type="lastRow">
      <w:pPr>
        <w:spacing w:before="0" w:after="0" w:line="240" w:lineRule="auto"/>
      </w:pPr>
      <w:rPr>
        <w:b/>
        <w:bCs/>
      </w:rPr>
      <w:tblPr/>
      <w:tcPr>
        <w:tcBorders>
          <w:top w:val="single" w:sz="8" w:space="0" w:color="9DB0AC" w:themeColor="accent6"/>
          <w:left w:val="nil"/>
          <w:bottom w:val="single" w:sz="8" w:space="0" w:color="9DB0A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BEA" w:themeFill="accent6" w:themeFillTint="3F"/>
      </w:tcPr>
    </w:tblStylePr>
    <w:tblStylePr w:type="band1Horz">
      <w:tblPr/>
      <w:tcPr>
        <w:tcBorders>
          <w:left w:val="nil"/>
          <w:right w:val="nil"/>
          <w:insideH w:val="nil"/>
          <w:insideV w:val="nil"/>
        </w:tcBorders>
        <w:shd w:val="clear" w:color="auto" w:fill="E6EBEA" w:themeFill="accent6" w:themeFillTint="3F"/>
      </w:tcPr>
    </w:tblStylePr>
  </w:style>
  <w:style w:type="character" w:styleId="LineNumber">
    <w:name w:val="line number"/>
    <w:basedOn w:val="DefaultParagraphFont"/>
    <w:uiPriority w:val="97"/>
    <w:semiHidden/>
    <w:rsid w:val="00923EE1"/>
    <w:rPr>
      <w:rFonts w:asciiTheme="minorHAnsi" w:hAnsiTheme="minorHAnsi" w:cstheme="minorHAnsi"/>
    </w:rPr>
  </w:style>
  <w:style w:type="paragraph" w:styleId="List">
    <w:name w:val="List"/>
    <w:basedOn w:val="Normal"/>
    <w:uiPriority w:val="4"/>
    <w:semiHidden/>
    <w:rsid w:val="00923EE1"/>
    <w:pPr>
      <w:ind w:left="283" w:hanging="283"/>
      <w:contextualSpacing/>
    </w:pPr>
  </w:style>
  <w:style w:type="paragraph" w:styleId="List2">
    <w:name w:val="List 2"/>
    <w:basedOn w:val="Normal"/>
    <w:uiPriority w:val="4"/>
    <w:semiHidden/>
    <w:rsid w:val="00923EE1"/>
    <w:pPr>
      <w:ind w:left="566" w:hanging="283"/>
      <w:contextualSpacing/>
    </w:pPr>
  </w:style>
  <w:style w:type="paragraph" w:styleId="List3">
    <w:name w:val="List 3"/>
    <w:basedOn w:val="Normal"/>
    <w:uiPriority w:val="4"/>
    <w:semiHidden/>
    <w:rsid w:val="00923EE1"/>
    <w:pPr>
      <w:ind w:left="849" w:hanging="283"/>
      <w:contextualSpacing/>
    </w:pPr>
  </w:style>
  <w:style w:type="paragraph" w:styleId="List4">
    <w:name w:val="List 4"/>
    <w:basedOn w:val="Normal"/>
    <w:uiPriority w:val="4"/>
    <w:semiHidden/>
    <w:rsid w:val="00923EE1"/>
    <w:pPr>
      <w:ind w:left="1132" w:hanging="283"/>
      <w:contextualSpacing/>
    </w:pPr>
  </w:style>
  <w:style w:type="numbering" w:customStyle="1" w:styleId="ListNumbers">
    <w:name w:val="ListNumbers"/>
    <w:uiPriority w:val="99"/>
    <w:rsid w:val="00923EE1"/>
    <w:pPr>
      <w:numPr>
        <w:numId w:val="4"/>
      </w:numPr>
    </w:pPr>
  </w:style>
  <w:style w:type="paragraph" w:styleId="ListBullet2">
    <w:name w:val="List Bullet 2"/>
    <w:basedOn w:val="Normal"/>
    <w:uiPriority w:val="2"/>
    <w:qFormat/>
    <w:rsid w:val="00923EE1"/>
    <w:pPr>
      <w:numPr>
        <w:ilvl w:val="1"/>
        <w:numId w:val="13"/>
      </w:numPr>
      <w:contextualSpacing/>
    </w:pPr>
  </w:style>
  <w:style w:type="paragraph" w:styleId="ListBullet3">
    <w:name w:val="List Bullet 3"/>
    <w:basedOn w:val="Normal"/>
    <w:uiPriority w:val="2"/>
    <w:rsid w:val="00923EE1"/>
    <w:pPr>
      <w:numPr>
        <w:ilvl w:val="2"/>
        <w:numId w:val="13"/>
      </w:numPr>
      <w:contextualSpacing/>
    </w:pPr>
  </w:style>
  <w:style w:type="paragraph" w:styleId="ListBullet4">
    <w:name w:val="List Bullet 4"/>
    <w:basedOn w:val="Normal"/>
    <w:uiPriority w:val="2"/>
    <w:semiHidden/>
    <w:rsid w:val="00923EE1"/>
    <w:pPr>
      <w:numPr>
        <w:numId w:val="7"/>
      </w:numPr>
      <w:contextualSpacing/>
    </w:pPr>
  </w:style>
  <w:style w:type="paragraph" w:styleId="ListBullet5">
    <w:name w:val="List Bullet 5"/>
    <w:basedOn w:val="Normal"/>
    <w:uiPriority w:val="2"/>
    <w:semiHidden/>
    <w:rsid w:val="00923EE1"/>
    <w:pPr>
      <w:numPr>
        <w:numId w:val="8"/>
      </w:numPr>
      <w:contextualSpacing/>
    </w:pPr>
  </w:style>
  <w:style w:type="paragraph" w:styleId="ListContinue">
    <w:name w:val="List Continue"/>
    <w:basedOn w:val="Normal"/>
    <w:uiPriority w:val="18"/>
    <w:semiHidden/>
    <w:rsid w:val="00923EE1"/>
    <w:pPr>
      <w:ind w:left="283"/>
      <w:contextualSpacing/>
    </w:pPr>
  </w:style>
  <w:style w:type="paragraph" w:styleId="ListContinue2">
    <w:name w:val="List Continue 2"/>
    <w:basedOn w:val="Normal"/>
    <w:uiPriority w:val="18"/>
    <w:semiHidden/>
    <w:rsid w:val="00923EE1"/>
    <w:pPr>
      <w:ind w:left="566"/>
      <w:contextualSpacing/>
    </w:pPr>
  </w:style>
  <w:style w:type="paragraph" w:styleId="ListContinue3">
    <w:name w:val="List Continue 3"/>
    <w:basedOn w:val="Normal"/>
    <w:uiPriority w:val="18"/>
    <w:semiHidden/>
    <w:rsid w:val="00923EE1"/>
    <w:pPr>
      <w:ind w:left="849"/>
      <w:contextualSpacing/>
    </w:pPr>
  </w:style>
  <w:style w:type="paragraph" w:styleId="ListContinue4">
    <w:name w:val="List Continue 4"/>
    <w:basedOn w:val="Normal"/>
    <w:uiPriority w:val="18"/>
    <w:semiHidden/>
    <w:rsid w:val="00923EE1"/>
    <w:pPr>
      <w:ind w:left="1132"/>
      <w:contextualSpacing/>
    </w:pPr>
  </w:style>
  <w:style w:type="paragraph" w:styleId="ListContinue5">
    <w:name w:val="List Continue 5"/>
    <w:basedOn w:val="Normal"/>
    <w:uiPriority w:val="18"/>
    <w:semiHidden/>
    <w:rsid w:val="00923EE1"/>
    <w:pPr>
      <w:ind w:left="1415"/>
      <w:contextualSpacing/>
    </w:pPr>
  </w:style>
  <w:style w:type="paragraph" w:styleId="ListNumber">
    <w:name w:val="List Number"/>
    <w:basedOn w:val="Normal"/>
    <w:uiPriority w:val="99"/>
    <w:qFormat/>
    <w:rsid w:val="00923EE1"/>
    <w:pPr>
      <w:numPr>
        <w:numId w:val="12"/>
      </w:numPr>
      <w:contextualSpacing/>
    </w:pPr>
  </w:style>
  <w:style w:type="paragraph" w:styleId="ListNumber2">
    <w:name w:val="List Number 2"/>
    <w:basedOn w:val="Normal"/>
    <w:uiPriority w:val="99"/>
    <w:qFormat/>
    <w:rsid w:val="00923EE1"/>
    <w:pPr>
      <w:numPr>
        <w:ilvl w:val="1"/>
        <w:numId w:val="12"/>
      </w:numPr>
      <w:contextualSpacing/>
    </w:pPr>
  </w:style>
  <w:style w:type="paragraph" w:styleId="ListNumber4">
    <w:name w:val="List Number 4"/>
    <w:basedOn w:val="Normal"/>
    <w:uiPriority w:val="99"/>
    <w:rsid w:val="00923EE1"/>
    <w:pPr>
      <w:numPr>
        <w:numId w:val="9"/>
      </w:numPr>
      <w:contextualSpacing/>
    </w:pPr>
  </w:style>
  <w:style w:type="paragraph" w:styleId="ListNumber5">
    <w:name w:val="List Number 5"/>
    <w:basedOn w:val="Normal"/>
    <w:uiPriority w:val="99"/>
    <w:rsid w:val="00923EE1"/>
    <w:pPr>
      <w:numPr>
        <w:numId w:val="10"/>
      </w:numPr>
      <w:contextualSpacing/>
    </w:pPr>
  </w:style>
  <w:style w:type="paragraph" w:styleId="ListParagraph">
    <w:name w:val="List Paragraph"/>
    <w:aliases w:val="List Paragraph1,Recommendation,1 heading,Bullet Point,Bullet point,Bullet points,Bulleted Para,Content descriptions,FooterText,L,List Paragraph11,NAST Quote,NFP GP Bulleted List,Paragraphe de liste1,bullet point list,numbered,列出段落,列出段落1,列"/>
    <w:basedOn w:val="Normal"/>
    <w:link w:val="ListParagraphChar"/>
    <w:uiPriority w:val="34"/>
    <w:qFormat/>
    <w:rsid w:val="00923EE1"/>
    <w:pPr>
      <w:ind w:left="720"/>
      <w:contextualSpacing/>
    </w:pPr>
  </w:style>
  <w:style w:type="paragraph" w:styleId="MacroText">
    <w:name w:val="macro"/>
    <w:link w:val="MacroTextChar"/>
    <w:uiPriority w:val="97"/>
    <w:semiHidden/>
    <w:rsid w:val="00923EE1"/>
    <w:pPr>
      <w:tabs>
        <w:tab w:val="left" w:pos="480"/>
        <w:tab w:val="left" w:pos="960"/>
        <w:tab w:val="left" w:pos="1440"/>
        <w:tab w:val="left" w:pos="1920"/>
        <w:tab w:val="left" w:pos="2400"/>
        <w:tab w:val="left" w:pos="2880"/>
        <w:tab w:val="left" w:pos="3360"/>
        <w:tab w:val="left" w:pos="3840"/>
        <w:tab w:val="left" w:pos="4320"/>
      </w:tabs>
      <w:adjustRightInd w:val="0"/>
      <w:snapToGrid w:val="0"/>
      <w:spacing w:line="240" w:lineRule="atLeast"/>
    </w:pPr>
    <w:rPr>
      <w:rFonts w:asciiTheme="minorHAnsi" w:hAnsiTheme="minorHAnsi" w:cstheme="minorHAnsi"/>
      <w:kern w:val="20"/>
      <w:lang w:val="en-AU" w:eastAsia="zh-CN"/>
    </w:rPr>
  </w:style>
  <w:style w:type="character" w:customStyle="1" w:styleId="MacroTextChar">
    <w:name w:val="Macro Text Char"/>
    <w:basedOn w:val="DefaultParagraphFont"/>
    <w:link w:val="MacroText"/>
    <w:uiPriority w:val="97"/>
    <w:semiHidden/>
    <w:rsid w:val="00923EE1"/>
    <w:rPr>
      <w:rFonts w:asciiTheme="minorHAnsi" w:hAnsiTheme="minorHAnsi" w:cstheme="minorHAnsi"/>
      <w:kern w:val="20"/>
      <w:lang w:val="en-AU" w:eastAsia="zh-CN"/>
    </w:rPr>
  </w:style>
  <w:style w:type="table" w:styleId="MediumGrid1">
    <w:name w:val="Medium Grid 1"/>
    <w:basedOn w:val="TableNormal"/>
    <w:uiPriority w:val="98"/>
    <w:rsid w:val="00923EE1"/>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Mar>
        <w:top w:w="57" w:type="dxa"/>
        <w:left w:w="57" w:type="dxa"/>
        <w:bottom w:w="57" w:type="dxa"/>
        <w:right w:w="57" w:type="dxa"/>
      </w:tcMar>
    </w:tcPr>
    <w:tblStylePr w:type="firstRow">
      <w:rPr>
        <w:rFonts w:asciiTheme="majorHAnsi" w:hAnsiTheme="majorHAnsi" w:cstheme="majorHAnsi"/>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98"/>
    <w:rsid w:val="00923EE1"/>
    <w:tblPr>
      <w:tblStyleRowBandSize w:val="1"/>
      <w:tblStyleColBandSize w:val="1"/>
      <w:tblBorders>
        <w:top w:val="single" w:sz="8" w:space="0" w:color="0085D8" w:themeColor="accent1" w:themeTint="BF"/>
        <w:left w:val="single" w:sz="8" w:space="0" w:color="0085D8" w:themeColor="accent1" w:themeTint="BF"/>
        <w:bottom w:val="single" w:sz="8" w:space="0" w:color="0085D8" w:themeColor="accent1" w:themeTint="BF"/>
        <w:right w:val="single" w:sz="8" w:space="0" w:color="0085D8" w:themeColor="accent1" w:themeTint="BF"/>
        <w:insideH w:val="single" w:sz="8" w:space="0" w:color="0085D8" w:themeColor="accent1" w:themeTint="BF"/>
        <w:insideV w:val="single" w:sz="8" w:space="0" w:color="0085D8" w:themeColor="accent1" w:themeTint="BF"/>
      </w:tblBorders>
    </w:tblPr>
    <w:tcPr>
      <w:shd w:val="clear" w:color="auto" w:fill="9ED9FF" w:themeFill="accent1" w:themeFillTint="3F"/>
      <w:tcMar>
        <w:top w:w="57" w:type="dxa"/>
        <w:left w:w="57" w:type="dxa"/>
        <w:bottom w:w="57" w:type="dxa"/>
        <w:right w:w="57" w:type="dxa"/>
      </w:tcMar>
    </w:tcPr>
    <w:tblStylePr w:type="firstRow">
      <w:rPr>
        <w:rFonts w:asciiTheme="majorHAnsi" w:hAnsiTheme="majorHAnsi" w:cstheme="majorHAnsi"/>
        <w:b/>
        <w:bCs/>
      </w:rPr>
    </w:tblStylePr>
    <w:tblStylePr w:type="lastRow">
      <w:rPr>
        <w:b/>
        <w:bCs/>
      </w:rPr>
      <w:tblPr/>
      <w:tcPr>
        <w:tcBorders>
          <w:top w:val="single" w:sz="18" w:space="0" w:color="0085D8" w:themeColor="accent1" w:themeTint="BF"/>
        </w:tcBorders>
      </w:tcPr>
    </w:tblStylePr>
    <w:tblStylePr w:type="firstCol">
      <w:rPr>
        <w:b/>
        <w:bCs/>
      </w:rPr>
    </w:tblStylePr>
    <w:tblStylePr w:type="lastCol">
      <w:rPr>
        <w:b/>
        <w:bCs/>
      </w:rPr>
    </w:tblStylePr>
    <w:tblStylePr w:type="band1Vert">
      <w:tblPr/>
      <w:tcPr>
        <w:shd w:val="clear" w:color="auto" w:fill="3BB3FF" w:themeFill="accent1" w:themeFillTint="7F"/>
      </w:tcPr>
    </w:tblStylePr>
    <w:tblStylePr w:type="band1Horz">
      <w:tblPr/>
      <w:tcPr>
        <w:shd w:val="clear" w:color="auto" w:fill="3BB3FF" w:themeFill="accent1" w:themeFillTint="7F"/>
      </w:tcPr>
    </w:tblStylePr>
  </w:style>
  <w:style w:type="table" w:styleId="MediumGrid1-Accent2">
    <w:name w:val="Medium Grid 1 Accent 2"/>
    <w:basedOn w:val="TableNormal"/>
    <w:uiPriority w:val="98"/>
    <w:rsid w:val="00923EE1"/>
    <w:tblPr>
      <w:tblStyleRowBandSize w:val="1"/>
      <w:tblStyleColBandSize w:val="1"/>
      <w:tblBorders>
        <w:top w:val="single" w:sz="8" w:space="0" w:color="FFC740" w:themeColor="accent2" w:themeTint="BF"/>
        <w:left w:val="single" w:sz="8" w:space="0" w:color="FFC740" w:themeColor="accent2" w:themeTint="BF"/>
        <w:bottom w:val="single" w:sz="8" w:space="0" w:color="FFC740" w:themeColor="accent2" w:themeTint="BF"/>
        <w:right w:val="single" w:sz="8" w:space="0" w:color="FFC740" w:themeColor="accent2" w:themeTint="BF"/>
        <w:insideH w:val="single" w:sz="8" w:space="0" w:color="FFC740" w:themeColor="accent2" w:themeTint="BF"/>
        <w:insideV w:val="single" w:sz="8" w:space="0" w:color="FFC740" w:themeColor="accent2" w:themeTint="BF"/>
      </w:tblBorders>
    </w:tblPr>
    <w:tcPr>
      <w:shd w:val="clear" w:color="auto" w:fill="FFECC0" w:themeFill="accent2" w:themeFillTint="3F"/>
      <w:tcMar>
        <w:top w:w="57" w:type="dxa"/>
        <w:left w:w="57" w:type="dxa"/>
        <w:bottom w:w="57" w:type="dxa"/>
        <w:right w:w="57" w:type="dxa"/>
      </w:tcMar>
    </w:tcPr>
    <w:tblStylePr w:type="firstRow">
      <w:rPr>
        <w:rFonts w:asciiTheme="majorHAnsi" w:hAnsiTheme="majorHAnsi" w:cstheme="majorHAnsi"/>
        <w:b/>
        <w:bCs/>
      </w:rPr>
    </w:tblStylePr>
    <w:tblStylePr w:type="lastRow">
      <w:rPr>
        <w:b/>
        <w:bCs/>
      </w:rPr>
      <w:tblPr/>
      <w:tcPr>
        <w:tcBorders>
          <w:top w:val="single" w:sz="18" w:space="0" w:color="FFC740" w:themeColor="accent2" w:themeTint="BF"/>
        </w:tcBorders>
      </w:tcPr>
    </w:tblStylePr>
    <w:tblStylePr w:type="firstCol">
      <w:rPr>
        <w:b/>
        <w:bCs/>
      </w:rPr>
    </w:tblStylePr>
    <w:tblStylePr w:type="lastCol">
      <w:rPr>
        <w:b/>
        <w:bCs/>
      </w:rPr>
    </w:tblStylePr>
    <w:tblStylePr w:type="band1Vert">
      <w:tblPr/>
      <w:tcPr>
        <w:shd w:val="clear" w:color="auto" w:fill="FFDA80" w:themeFill="accent2" w:themeFillTint="7F"/>
      </w:tcPr>
    </w:tblStylePr>
    <w:tblStylePr w:type="band1Horz">
      <w:tblPr/>
      <w:tcPr>
        <w:shd w:val="clear" w:color="auto" w:fill="FFDA80" w:themeFill="accent2" w:themeFillTint="7F"/>
      </w:tcPr>
    </w:tblStylePr>
  </w:style>
  <w:style w:type="table" w:styleId="MediumGrid1-Accent3">
    <w:name w:val="Medium Grid 1 Accent 3"/>
    <w:basedOn w:val="TableNormal"/>
    <w:uiPriority w:val="98"/>
    <w:rsid w:val="00923EE1"/>
    <w:tblPr>
      <w:tblStyleRowBandSize w:val="1"/>
      <w:tblStyleColBandSize w:val="1"/>
      <w:tblBorders>
        <w:top w:val="single" w:sz="8" w:space="0" w:color="598F61" w:themeColor="accent3" w:themeTint="BF"/>
        <w:left w:val="single" w:sz="8" w:space="0" w:color="598F61" w:themeColor="accent3" w:themeTint="BF"/>
        <w:bottom w:val="single" w:sz="8" w:space="0" w:color="598F61" w:themeColor="accent3" w:themeTint="BF"/>
        <w:right w:val="single" w:sz="8" w:space="0" w:color="598F61" w:themeColor="accent3" w:themeTint="BF"/>
        <w:insideH w:val="single" w:sz="8" w:space="0" w:color="598F61" w:themeColor="accent3" w:themeTint="BF"/>
        <w:insideV w:val="single" w:sz="8" w:space="0" w:color="598F61" w:themeColor="accent3" w:themeTint="BF"/>
      </w:tblBorders>
    </w:tblPr>
    <w:tcPr>
      <w:shd w:val="clear" w:color="auto" w:fill="C6DCC9" w:themeFill="accent3" w:themeFillTint="3F"/>
      <w:tcMar>
        <w:top w:w="57" w:type="dxa"/>
        <w:left w:w="57" w:type="dxa"/>
        <w:bottom w:w="57" w:type="dxa"/>
        <w:right w:w="57" w:type="dxa"/>
      </w:tcMar>
    </w:tcPr>
    <w:tblStylePr w:type="firstRow">
      <w:rPr>
        <w:rFonts w:asciiTheme="majorHAnsi" w:hAnsiTheme="majorHAnsi" w:cstheme="majorHAnsi"/>
        <w:b/>
        <w:bCs/>
      </w:rPr>
    </w:tblStylePr>
    <w:tblStylePr w:type="lastRow">
      <w:rPr>
        <w:b/>
        <w:bCs/>
      </w:rPr>
      <w:tblPr/>
      <w:tcPr>
        <w:tcBorders>
          <w:top w:val="single" w:sz="18" w:space="0" w:color="598F61" w:themeColor="accent3" w:themeTint="BF"/>
        </w:tcBorders>
      </w:tcPr>
    </w:tblStylePr>
    <w:tblStylePr w:type="firstCol">
      <w:rPr>
        <w:b/>
        <w:bCs/>
      </w:rPr>
    </w:tblStylePr>
    <w:tblStylePr w:type="lastCol">
      <w:rPr>
        <w:b/>
        <w:bCs/>
      </w:rPr>
    </w:tblStylePr>
    <w:tblStylePr w:type="band1Vert">
      <w:tblPr/>
      <w:tcPr>
        <w:shd w:val="clear" w:color="auto" w:fill="8DB893" w:themeFill="accent3" w:themeFillTint="7F"/>
      </w:tcPr>
    </w:tblStylePr>
    <w:tblStylePr w:type="band1Horz">
      <w:tblPr/>
      <w:tcPr>
        <w:shd w:val="clear" w:color="auto" w:fill="8DB893" w:themeFill="accent3" w:themeFillTint="7F"/>
      </w:tcPr>
    </w:tblStylePr>
  </w:style>
  <w:style w:type="table" w:styleId="MediumGrid1-Accent4">
    <w:name w:val="Medium Grid 1 Accent 4"/>
    <w:basedOn w:val="TableNormal"/>
    <w:uiPriority w:val="98"/>
    <w:rsid w:val="00923EE1"/>
    <w:tblPr>
      <w:tblStyleRowBandSize w:val="1"/>
      <w:tblStyleColBandSize w:val="1"/>
      <w:tblBorders>
        <w:top w:val="single" w:sz="8" w:space="0" w:color="E48C6B" w:themeColor="accent4" w:themeTint="BF"/>
        <w:left w:val="single" w:sz="8" w:space="0" w:color="E48C6B" w:themeColor="accent4" w:themeTint="BF"/>
        <w:bottom w:val="single" w:sz="8" w:space="0" w:color="E48C6B" w:themeColor="accent4" w:themeTint="BF"/>
        <w:right w:val="single" w:sz="8" w:space="0" w:color="E48C6B" w:themeColor="accent4" w:themeTint="BF"/>
        <w:insideH w:val="single" w:sz="8" w:space="0" w:color="E48C6B" w:themeColor="accent4" w:themeTint="BF"/>
        <w:insideV w:val="single" w:sz="8" w:space="0" w:color="E48C6B" w:themeColor="accent4" w:themeTint="BF"/>
      </w:tblBorders>
    </w:tblPr>
    <w:tcPr>
      <w:shd w:val="clear" w:color="auto" w:fill="F6D9CE" w:themeFill="accent4" w:themeFillTint="3F"/>
      <w:tcMar>
        <w:top w:w="57" w:type="dxa"/>
        <w:left w:w="57" w:type="dxa"/>
        <w:bottom w:w="57" w:type="dxa"/>
        <w:right w:w="57" w:type="dxa"/>
      </w:tcMar>
    </w:tcPr>
    <w:tblStylePr w:type="firstRow">
      <w:rPr>
        <w:rFonts w:asciiTheme="majorHAnsi" w:hAnsiTheme="majorHAnsi" w:cstheme="majorHAnsi"/>
        <w:b/>
        <w:bCs/>
      </w:rPr>
    </w:tblStylePr>
    <w:tblStylePr w:type="lastRow">
      <w:rPr>
        <w:b/>
        <w:bCs/>
      </w:rPr>
      <w:tblPr/>
      <w:tcPr>
        <w:tcBorders>
          <w:top w:val="single" w:sz="18" w:space="0" w:color="E48C6B" w:themeColor="accent4" w:themeTint="BF"/>
        </w:tcBorders>
      </w:tcPr>
    </w:tblStylePr>
    <w:tblStylePr w:type="firstCol">
      <w:rPr>
        <w:b/>
        <w:bCs/>
      </w:rPr>
    </w:tblStylePr>
    <w:tblStylePr w:type="lastCol">
      <w:rPr>
        <w:b/>
        <w:bCs/>
      </w:rPr>
    </w:tblStylePr>
    <w:tblStylePr w:type="band1Vert">
      <w:tblPr/>
      <w:tcPr>
        <w:shd w:val="clear" w:color="auto" w:fill="EDB29D" w:themeFill="accent4" w:themeFillTint="7F"/>
      </w:tcPr>
    </w:tblStylePr>
    <w:tblStylePr w:type="band1Horz">
      <w:tblPr/>
      <w:tcPr>
        <w:shd w:val="clear" w:color="auto" w:fill="EDB29D" w:themeFill="accent4" w:themeFillTint="7F"/>
      </w:tcPr>
    </w:tblStylePr>
  </w:style>
  <w:style w:type="table" w:styleId="MediumGrid1-Accent5">
    <w:name w:val="Medium Grid 1 Accent 5"/>
    <w:basedOn w:val="TableNormal"/>
    <w:uiPriority w:val="98"/>
    <w:rsid w:val="00923EE1"/>
    <w:tblPr>
      <w:tblStyleRowBandSize w:val="1"/>
      <w:tblStyleColBandSize w:val="1"/>
      <w:tblBorders>
        <w:top w:val="single" w:sz="8" w:space="0" w:color="D86049" w:themeColor="accent5" w:themeTint="BF"/>
        <w:left w:val="single" w:sz="8" w:space="0" w:color="D86049" w:themeColor="accent5" w:themeTint="BF"/>
        <w:bottom w:val="single" w:sz="8" w:space="0" w:color="D86049" w:themeColor="accent5" w:themeTint="BF"/>
        <w:right w:val="single" w:sz="8" w:space="0" w:color="D86049" w:themeColor="accent5" w:themeTint="BF"/>
        <w:insideH w:val="single" w:sz="8" w:space="0" w:color="D86049" w:themeColor="accent5" w:themeTint="BF"/>
        <w:insideV w:val="single" w:sz="8" w:space="0" w:color="D86049" w:themeColor="accent5" w:themeTint="BF"/>
      </w:tblBorders>
    </w:tblPr>
    <w:tcPr>
      <w:shd w:val="clear" w:color="auto" w:fill="F2CAC3" w:themeFill="accent5" w:themeFillTint="3F"/>
      <w:tcMar>
        <w:top w:w="57" w:type="dxa"/>
        <w:left w:w="57" w:type="dxa"/>
        <w:bottom w:w="57" w:type="dxa"/>
        <w:right w:w="57" w:type="dxa"/>
      </w:tcMar>
    </w:tcPr>
    <w:tblStylePr w:type="firstRow">
      <w:rPr>
        <w:rFonts w:asciiTheme="majorHAnsi" w:hAnsiTheme="majorHAnsi" w:cstheme="majorHAnsi"/>
        <w:b/>
        <w:bCs/>
      </w:rPr>
    </w:tblStylePr>
    <w:tblStylePr w:type="lastRow">
      <w:rPr>
        <w:b/>
        <w:bCs/>
      </w:rPr>
      <w:tblPr/>
      <w:tcPr>
        <w:tcBorders>
          <w:top w:val="single" w:sz="18" w:space="0" w:color="D86049" w:themeColor="accent5" w:themeTint="BF"/>
        </w:tcBorders>
      </w:tcPr>
    </w:tblStylePr>
    <w:tblStylePr w:type="firstCol">
      <w:rPr>
        <w:b/>
        <w:bCs/>
      </w:rPr>
    </w:tblStylePr>
    <w:tblStylePr w:type="lastCol">
      <w:rPr>
        <w:b/>
        <w:bCs/>
      </w:rPr>
    </w:tblStylePr>
    <w:tblStylePr w:type="band1Vert">
      <w:tblPr/>
      <w:tcPr>
        <w:shd w:val="clear" w:color="auto" w:fill="E59586" w:themeFill="accent5" w:themeFillTint="7F"/>
      </w:tcPr>
    </w:tblStylePr>
    <w:tblStylePr w:type="band1Horz">
      <w:tblPr/>
      <w:tcPr>
        <w:shd w:val="clear" w:color="auto" w:fill="E59586" w:themeFill="accent5" w:themeFillTint="7F"/>
      </w:tcPr>
    </w:tblStylePr>
  </w:style>
  <w:style w:type="table" w:styleId="MediumGrid1-Accent6">
    <w:name w:val="Medium Grid 1 Accent 6"/>
    <w:basedOn w:val="TableNormal"/>
    <w:uiPriority w:val="98"/>
    <w:rsid w:val="00923EE1"/>
    <w:tblPr>
      <w:tblStyleRowBandSize w:val="1"/>
      <w:tblStyleColBandSize w:val="1"/>
      <w:tblBorders>
        <w:top w:val="single" w:sz="8" w:space="0" w:color="B5C3C0" w:themeColor="accent6" w:themeTint="BF"/>
        <w:left w:val="single" w:sz="8" w:space="0" w:color="B5C3C0" w:themeColor="accent6" w:themeTint="BF"/>
        <w:bottom w:val="single" w:sz="8" w:space="0" w:color="B5C3C0" w:themeColor="accent6" w:themeTint="BF"/>
        <w:right w:val="single" w:sz="8" w:space="0" w:color="B5C3C0" w:themeColor="accent6" w:themeTint="BF"/>
        <w:insideH w:val="single" w:sz="8" w:space="0" w:color="B5C3C0" w:themeColor="accent6" w:themeTint="BF"/>
        <w:insideV w:val="single" w:sz="8" w:space="0" w:color="B5C3C0" w:themeColor="accent6" w:themeTint="BF"/>
      </w:tblBorders>
    </w:tblPr>
    <w:tcPr>
      <w:shd w:val="clear" w:color="auto" w:fill="E6EBEA" w:themeFill="accent6" w:themeFillTint="3F"/>
      <w:tcMar>
        <w:top w:w="57" w:type="dxa"/>
        <w:left w:w="57" w:type="dxa"/>
        <w:bottom w:w="57" w:type="dxa"/>
        <w:right w:w="57" w:type="dxa"/>
      </w:tcMar>
    </w:tcPr>
    <w:tblStylePr w:type="firstRow">
      <w:rPr>
        <w:rFonts w:asciiTheme="majorHAnsi" w:hAnsiTheme="majorHAnsi" w:cstheme="majorHAnsi"/>
        <w:b/>
        <w:bCs/>
      </w:rPr>
    </w:tblStylePr>
    <w:tblStylePr w:type="lastRow">
      <w:rPr>
        <w:b/>
        <w:bCs/>
      </w:rPr>
      <w:tblPr/>
      <w:tcPr>
        <w:tcBorders>
          <w:top w:val="single" w:sz="18" w:space="0" w:color="B5C3C0" w:themeColor="accent6" w:themeTint="BF"/>
        </w:tcBorders>
      </w:tcPr>
    </w:tblStylePr>
    <w:tblStylePr w:type="firstCol">
      <w:rPr>
        <w:b/>
        <w:bCs/>
      </w:rPr>
    </w:tblStylePr>
    <w:tblStylePr w:type="lastCol">
      <w:rPr>
        <w:b/>
        <w:bCs/>
      </w:rPr>
    </w:tblStylePr>
    <w:tblStylePr w:type="band1Vert">
      <w:tblPr/>
      <w:tcPr>
        <w:shd w:val="clear" w:color="auto" w:fill="CED7D5" w:themeFill="accent6" w:themeFillTint="7F"/>
      </w:tcPr>
    </w:tblStylePr>
    <w:tblStylePr w:type="band1Horz">
      <w:tblPr/>
      <w:tcPr>
        <w:shd w:val="clear" w:color="auto" w:fill="CED7D5" w:themeFill="accent6" w:themeFillTint="7F"/>
      </w:tcPr>
    </w:tblStylePr>
  </w:style>
  <w:style w:type="table" w:styleId="MediumGrid2">
    <w:name w:val="Medium Grid 2"/>
    <w:basedOn w:val="TableNormal"/>
    <w:uiPriority w:val="98"/>
    <w:rsid w:val="00923EE1"/>
    <w:rPr>
      <w:rFonts w:eastAsiaTheme="majorEastAsia"/>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Mar>
        <w:top w:w="57" w:type="dxa"/>
        <w:left w:w="57" w:type="dxa"/>
        <w:bottom w:w="57" w:type="dxa"/>
        <w:right w:w="57" w:type="dxa"/>
      </w:tcMar>
    </w:tcPr>
    <w:tblStylePr w:type="firstRow">
      <w:rPr>
        <w:rFonts w:asciiTheme="majorHAnsi" w:hAnsiTheme="majorHAnsi" w:cstheme="majorHAnsi"/>
        <w:b/>
        <w:bCs/>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98"/>
    <w:rsid w:val="00923EE1"/>
    <w:rPr>
      <w:rFonts w:eastAsiaTheme="majorEastAsia"/>
      <w:color w:val="000000" w:themeColor="text1"/>
    </w:rPr>
    <w:tblPr>
      <w:tblStyleRowBandSize w:val="1"/>
      <w:tblStyleColBandSize w:val="1"/>
      <w:tblBorders>
        <w:top w:val="single" w:sz="8" w:space="0" w:color="004976" w:themeColor="accent1"/>
        <w:left w:val="single" w:sz="8" w:space="0" w:color="004976" w:themeColor="accent1"/>
        <w:bottom w:val="single" w:sz="8" w:space="0" w:color="004976" w:themeColor="accent1"/>
        <w:right w:val="single" w:sz="8" w:space="0" w:color="004976" w:themeColor="accent1"/>
        <w:insideH w:val="single" w:sz="8" w:space="0" w:color="004976" w:themeColor="accent1"/>
        <w:insideV w:val="single" w:sz="8" w:space="0" w:color="004976" w:themeColor="accent1"/>
      </w:tblBorders>
    </w:tblPr>
    <w:tcPr>
      <w:shd w:val="clear" w:color="auto" w:fill="9ED9FF" w:themeFill="accent1" w:themeFillTint="3F"/>
      <w:tcMar>
        <w:top w:w="57" w:type="dxa"/>
        <w:left w:w="57" w:type="dxa"/>
        <w:bottom w:w="57" w:type="dxa"/>
        <w:right w:w="57" w:type="dxa"/>
      </w:tcMar>
    </w:tcPr>
    <w:tblStylePr w:type="firstRow">
      <w:rPr>
        <w:rFonts w:asciiTheme="majorHAnsi" w:hAnsiTheme="majorHAnsi" w:cstheme="majorHAnsi"/>
        <w:b/>
        <w:bCs/>
      </w:rPr>
      <w:tblPr/>
      <w:tcPr>
        <w:shd w:val="clear" w:color="auto" w:fill="D8F0FF"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0E0FF" w:themeFill="accent1" w:themeFillTint="33"/>
      </w:tcPr>
    </w:tblStylePr>
    <w:tblStylePr w:type="band1Vert">
      <w:tblPr/>
      <w:tcPr>
        <w:shd w:val="clear" w:color="auto" w:fill="3BB3FF" w:themeFill="accent1" w:themeFillTint="7F"/>
      </w:tcPr>
    </w:tblStylePr>
    <w:tblStylePr w:type="band1Horz">
      <w:tblPr/>
      <w:tcPr>
        <w:tcBorders>
          <w:insideH w:val="single" w:sz="6" w:space="0" w:color="004976" w:themeColor="accent1"/>
          <w:insideV w:val="single" w:sz="6" w:space="0" w:color="004976" w:themeColor="accent1"/>
        </w:tcBorders>
        <w:shd w:val="clear" w:color="auto" w:fill="3BB3FF"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98"/>
    <w:rsid w:val="00923EE1"/>
    <w:rPr>
      <w:rFonts w:eastAsiaTheme="majorEastAsia"/>
      <w:color w:val="000000" w:themeColor="text1"/>
    </w:rPr>
    <w:tblPr>
      <w:tblStyleRowBandSize w:val="1"/>
      <w:tblStyleColBandSize w:val="1"/>
      <w:tblBorders>
        <w:top w:val="single" w:sz="8" w:space="0" w:color="FFB500" w:themeColor="accent2"/>
        <w:left w:val="single" w:sz="8" w:space="0" w:color="FFB500" w:themeColor="accent2"/>
        <w:bottom w:val="single" w:sz="8" w:space="0" w:color="FFB500" w:themeColor="accent2"/>
        <w:right w:val="single" w:sz="8" w:space="0" w:color="FFB500" w:themeColor="accent2"/>
        <w:insideH w:val="single" w:sz="8" w:space="0" w:color="FFB500" w:themeColor="accent2"/>
        <w:insideV w:val="single" w:sz="8" w:space="0" w:color="FFB500" w:themeColor="accent2"/>
      </w:tblBorders>
    </w:tblPr>
    <w:tcPr>
      <w:shd w:val="clear" w:color="auto" w:fill="FFECC0" w:themeFill="accent2" w:themeFillTint="3F"/>
      <w:tcMar>
        <w:top w:w="57" w:type="dxa"/>
        <w:left w:w="57" w:type="dxa"/>
        <w:bottom w:w="57" w:type="dxa"/>
        <w:right w:w="57" w:type="dxa"/>
      </w:tcMar>
    </w:tcPr>
    <w:tblStylePr w:type="firstRow">
      <w:rPr>
        <w:rFonts w:asciiTheme="majorHAnsi" w:hAnsiTheme="majorHAnsi" w:cstheme="majorHAnsi"/>
        <w:b/>
        <w:bCs/>
      </w:rPr>
      <w:tblPr/>
      <w:tcPr>
        <w:shd w:val="clear" w:color="auto" w:fill="FFF7E6"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F0CC" w:themeFill="accent2" w:themeFillTint="33"/>
      </w:tcPr>
    </w:tblStylePr>
    <w:tblStylePr w:type="band1Vert">
      <w:tblPr/>
      <w:tcPr>
        <w:shd w:val="clear" w:color="auto" w:fill="FFDA80" w:themeFill="accent2" w:themeFillTint="7F"/>
      </w:tcPr>
    </w:tblStylePr>
    <w:tblStylePr w:type="band1Horz">
      <w:tblPr/>
      <w:tcPr>
        <w:tcBorders>
          <w:insideH w:val="single" w:sz="6" w:space="0" w:color="FFB500" w:themeColor="accent2"/>
          <w:insideV w:val="single" w:sz="6" w:space="0" w:color="FFB500" w:themeColor="accent2"/>
        </w:tcBorders>
        <w:shd w:val="clear" w:color="auto" w:fill="FFDA80"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98"/>
    <w:rsid w:val="00923EE1"/>
    <w:rPr>
      <w:rFonts w:eastAsiaTheme="majorEastAsia"/>
      <w:color w:val="000000" w:themeColor="text1"/>
    </w:rPr>
    <w:tblPr>
      <w:tblStyleRowBandSize w:val="1"/>
      <w:tblStyleColBandSize w:val="1"/>
      <w:tblBorders>
        <w:top w:val="single" w:sz="8" w:space="0" w:color="36573B" w:themeColor="accent3"/>
        <w:left w:val="single" w:sz="8" w:space="0" w:color="36573B" w:themeColor="accent3"/>
        <w:bottom w:val="single" w:sz="8" w:space="0" w:color="36573B" w:themeColor="accent3"/>
        <w:right w:val="single" w:sz="8" w:space="0" w:color="36573B" w:themeColor="accent3"/>
        <w:insideH w:val="single" w:sz="8" w:space="0" w:color="36573B" w:themeColor="accent3"/>
        <w:insideV w:val="single" w:sz="8" w:space="0" w:color="36573B" w:themeColor="accent3"/>
      </w:tblBorders>
    </w:tblPr>
    <w:tcPr>
      <w:shd w:val="clear" w:color="auto" w:fill="C6DCC9" w:themeFill="accent3" w:themeFillTint="3F"/>
      <w:tcMar>
        <w:top w:w="57" w:type="dxa"/>
        <w:left w:w="57" w:type="dxa"/>
        <w:bottom w:w="57" w:type="dxa"/>
        <w:right w:w="57" w:type="dxa"/>
      </w:tcMar>
    </w:tcPr>
    <w:tblStylePr w:type="firstRow">
      <w:rPr>
        <w:rFonts w:asciiTheme="majorHAnsi" w:hAnsiTheme="majorHAnsi" w:cstheme="majorHAnsi"/>
        <w:b/>
        <w:bCs/>
      </w:rPr>
      <w:tblPr/>
      <w:tcPr>
        <w:shd w:val="clear" w:color="auto" w:fill="E8F1E9"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1E2D3" w:themeFill="accent3" w:themeFillTint="33"/>
      </w:tcPr>
    </w:tblStylePr>
    <w:tblStylePr w:type="band1Vert">
      <w:tblPr/>
      <w:tcPr>
        <w:shd w:val="clear" w:color="auto" w:fill="8DB893" w:themeFill="accent3" w:themeFillTint="7F"/>
      </w:tcPr>
    </w:tblStylePr>
    <w:tblStylePr w:type="band1Horz">
      <w:tblPr/>
      <w:tcPr>
        <w:tcBorders>
          <w:insideH w:val="single" w:sz="6" w:space="0" w:color="36573B" w:themeColor="accent3"/>
          <w:insideV w:val="single" w:sz="6" w:space="0" w:color="36573B" w:themeColor="accent3"/>
        </w:tcBorders>
        <w:shd w:val="clear" w:color="auto" w:fill="8DB893"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98"/>
    <w:rsid w:val="00923EE1"/>
    <w:rPr>
      <w:rFonts w:eastAsiaTheme="majorEastAsia"/>
      <w:color w:val="000000" w:themeColor="text1"/>
    </w:rPr>
    <w:tblPr>
      <w:tblStyleRowBandSize w:val="1"/>
      <w:tblStyleColBandSize w:val="1"/>
      <w:tblBorders>
        <w:top w:val="single" w:sz="8" w:space="0" w:color="DC673B" w:themeColor="accent4"/>
        <w:left w:val="single" w:sz="8" w:space="0" w:color="DC673B" w:themeColor="accent4"/>
        <w:bottom w:val="single" w:sz="8" w:space="0" w:color="DC673B" w:themeColor="accent4"/>
        <w:right w:val="single" w:sz="8" w:space="0" w:color="DC673B" w:themeColor="accent4"/>
        <w:insideH w:val="single" w:sz="8" w:space="0" w:color="DC673B" w:themeColor="accent4"/>
        <w:insideV w:val="single" w:sz="8" w:space="0" w:color="DC673B" w:themeColor="accent4"/>
      </w:tblBorders>
    </w:tblPr>
    <w:tcPr>
      <w:shd w:val="clear" w:color="auto" w:fill="F6D9CE" w:themeFill="accent4" w:themeFillTint="3F"/>
      <w:tcMar>
        <w:top w:w="57" w:type="dxa"/>
        <w:left w:w="57" w:type="dxa"/>
        <w:bottom w:w="57" w:type="dxa"/>
        <w:right w:w="57" w:type="dxa"/>
      </w:tcMar>
    </w:tcPr>
    <w:tblStylePr w:type="firstRow">
      <w:rPr>
        <w:rFonts w:asciiTheme="majorHAnsi" w:hAnsiTheme="majorHAnsi" w:cstheme="majorHAnsi"/>
        <w:b/>
        <w:bCs/>
      </w:rPr>
      <w:tblPr/>
      <w:tcPr>
        <w:shd w:val="clear" w:color="auto" w:fill="FBEFEB"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8E0D7" w:themeFill="accent4" w:themeFillTint="33"/>
      </w:tcPr>
    </w:tblStylePr>
    <w:tblStylePr w:type="band1Vert">
      <w:tblPr/>
      <w:tcPr>
        <w:shd w:val="clear" w:color="auto" w:fill="EDB29D" w:themeFill="accent4" w:themeFillTint="7F"/>
      </w:tcPr>
    </w:tblStylePr>
    <w:tblStylePr w:type="band1Horz">
      <w:tblPr/>
      <w:tcPr>
        <w:tcBorders>
          <w:insideH w:val="single" w:sz="6" w:space="0" w:color="DC673B" w:themeColor="accent4"/>
          <w:insideV w:val="single" w:sz="6" w:space="0" w:color="DC673B" w:themeColor="accent4"/>
        </w:tcBorders>
        <w:shd w:val="clear" w:color="auto" w:fill="EDB29D"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98"/>
    <w:rsid w:val="00923EE1"/>
    <w:rPr>
      <w:rFonts w:eastAsiaTheme="majorEastAsia"/>
      <w:color w:val="000000" w:themeColor="text1"/>
    </w:rPr>
    <w:tblPr>
      <w:tblStyleRowBandSize w:val="1"/>
      <w:tblStyleColBandSize w:val="1"/>
      <w:tblBorders>
        <w:top w:val="single" w:sz="8" w:space="0" w:color="B33D26" w:themeColor="accent5"/>
        <w:left w:val="single" w:sz="8" w:space="0" w:color="B33D26" w:themeColor="accent5"/>
        <w:bottom w:val="single" w:sz="8" w:space="0" w:color="B33D26" w:themeColor="accent5"/>
        <w:right w:val="single" w:sz="8" w:space="0" w:color="B33D26" w:themeColor="accent5"/>
        <w:insideH w:val="single" w:sz="8" w:space="0" w:color="B33D26" w:themeColor="accent5"/>
        <w:insideV w:val="single" w:sz="8" w:space="0" w:color="B33D26" w:themeColor="accent5"/>
      </w:tblBorders>
    </w:tblPr>
    <w:tcPr>
      <w:shd w:val="clear" w:color="auto" w:fill="F2CAC3" w:themeFill="accent5" w:themeFillTint="3F"/>
      <w:tcMar>
        <w:top w:w="57" w:type="dxa"/>
        <w:left w:w="57" w:type="dxa"/>
        <w:bottom w:w="57" w:type="dxa"/>
        <w:right w:w="57" w:type="dxa"/>
      </w:tcMar>
    </w:tcPr>
    <w:tblStylePr w:type="firstRow">
      <w:rPr>
        <w:rFonts w:asciiTheme="majorHAnsi" w:hAnsiTheme="majorHAnsi" w:cstheme="majorHAnsi"/>
        <w:b/>
        <w:bCs/>
      </w:rPr>
      <w:tblPr/>
      <w:tcPr>
        <w:shd w:val="clear" w:color="auto" w:fill="FAEAE7"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4D4CE" w:themeFill="accent5" w:themeFillTint="33"/>
      </w:tcPr>
    </w:tblStylePr>
    <w:tblStylePr w:type="band1Vert">
      <w:tblPr/>
      <w:tcPr>
        <w:shd w:val="clear" w:color="auto" w:fill="E59586" w:themeFill="accent5" w:themeFillTint="7F"/>
      </w:tcPr>
    </w:tblStylePr>
    <w:tblStylePr w:type="band1Horz">
      <w:tblPr/>
      <w:tcPr>
        <w:tcBorders>
          <w:insideH w:val="single" w:sz="6" w:space="0" w:color="B33D26" w:themeColor="accent5"/>
          <w:insideV w:val="single" w:sz="6" w:space="0" w:color="B33D26" w:themeColor="accent5"/>
        </w:tcBorders>
        <w:shd w:val="clear" w:color="auto" w:fill="E59586"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98"/>
    <w:rsid w:val="00923EE1"/>
    <w:rPr>
      <w:rFonts w:eastAsiaTheme="majorEastAsia"/>
      <w:color w:val="000000" w:themeColor="text1"/>
    </w:rPr>
    <w:tblPr>
      <w:tblStyleRowBandSize w:val="1"/>
      <w:tblStyleColBandSize w:val="1"/>
      <w:tblBorders>
        <w:top w:val="single" w:sz="8" w:space="0" w:color="9DB0AC" w:themeColor="accent6"/>
        <w:left w:val="single" w:sz="8" w:space="0" w:color="9DB0AC" w:themeColor="accent6"/>
        <w:bottom w:val="single" w:sz="8" w:space="0" w:color="9DB0AC" w:themeColor="accent6"/>
        <w:right w:val="single" w:sz="8" w:space="0" w:color="9DB0AC" w:themeColor="accent6"/>
        <w:insideH w:val="single" w:sz="8" w:space="0" w:color="9DB0AC" w:themeColor="accent6"/>
        <w:insideV w:val="single" w:sz="8" w:space="0" w:color="9DB0AC" w:themeColor="accent6"/>
      </w:tblBorders>
    </w:tblPr>
    <w:tcPr>
      <w:shd w:val="clear" w:color="auto" w:fill="E6EBEA" w:themeFill="accent6" w:themeFillTint="3F"/>
      <w:tcMar>
        <w:top w:w="57" w:type="dxa"/>
        <w:left w:w="57" w:type="dxa"/>
        <w:bottom w:w="57" w:type="dxa"/>
        <w:right w:w="57" w:type="dxa"/>
      </w:tcMar>
    </w:tcPr>
    <w:tblStylePr w:type="firstRow">
      <w:rPr>
        <w:rFonts w:asciiTheme="majorHAnsi" w:hAnsiTheme="majorHAnsi" w:cstheme="majorHAnsi"/>
        <w:b/>
        <w:bCs/>
      </w:rPr>
      <w:tblPr/>
      <w:tcPr>
        <w:shd w:val="clear" w:color="auto" w:fill="F5F7F6"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BEFEE" w:themeFill="accent6" w:themeFillTint="33"/>
      </w:tcPr>
    </w:tblStylePr>
    <w:tblStylePr w:type="band1Vert">
      <w:tblPr/>
      <w:tcPr>
        <w:shd w:val="clear" w:color="auto" w:fill="CED7D5" w:themeFill="accent6" w:themeFillTint="7F"/>
      </w:tcPr>
    </w:tblStylePr>
    <w:tblStylePr w:type="band1Horz">
      <w:tblPr/>
      <w:tcPr>
        <w:tcBorders>
          <w:insideH w:val="single" w:sz="6" w:space="0" w:color="9DB0AC" w:themeColor="accent6"/>
          <w:insideV w:val="single" w:sz="6" w:space="0" w:color="9DB0AC" w:themeColor="accent6"/>
        </w:tcBorders>
        <w:shd w:val="clear" w:color="auto" w:fill="CED7D5" w:themeFill="accent6" w:themeFillTint="7F"/>
      </w:tcPr>
    </w:tblStylePr>
    <w:tblStylePr w:type="nwCell">
      <w:tblPr/>
      <w:tcPr>
        <w:shd w:val="clear" w:color="auto" w:fill="FFFFFF" w:themeFill="background1"/>
      </w:tcPr>
    </w:tblStylePr>
  </w:style>
  <w:style w:type="table" w:styleId="MediumGrid3">
    <w:name w:val="Medium Grid 3"/>
    <w:basedOn w:val="TableNormal"/>
    <w:uiPriority w:val="98"/>
    <w:rsid w:val="00923EE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98"/>
    <w:rsid w:val="00923EE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9ED9FF" w:themeFill="accent1" w:themeFillTint="3F"/>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4976"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4976"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4976"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4976"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3BB3FF"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3BB3FF" w:themeFill="accent1" w:themeFillTint="7F"/>
      </w:tcPr>
    </w:tblStylePr>
  </w:style>
  <w:style w:type="table" w:styleId="MediumGrid3-Accent2">
    <w:name w:val="Medium Grid 3 Accent 2"/>
    <w:basedOn w:val="TableNormal"/>
    <w:uiPriority w:val="98"/>
    <w:rsid w:val="00923EE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ECC0" w:themeFill="accent2" w:themeFillTint="3F"/>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B500"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B500"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B500"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B500"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DA80"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DA80" w:themeFill="accent2" w:themeFillTint="7F"/>
      </w:tcPr>
    </w:tblStylePr>
  </w:style>
  <w:style w:type="table" w:styleId="MediumGrid3-Accent3">
    <w:name w:val="Medium Grid 3 Accent 3"/>
    <w:basedOn w:val="TableNormal"/>
    <w:uiPriority w:val="98"/>
    <w:rsid w:val="00923EE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6DCC9" w:themeFill="accent3" w:themeFillTint="3F"/>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36573B"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36573B"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36573B"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36573B"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DB893"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DB893" w:themeFill="accent3" w:themeFillTint="7F"/>
      </w:tcPr>
    </w:tblStylePr>
  </w:style>
  <w:style w:type="table" w:styleId="MediumGrid3-Accent4">
    <w:name w:val="Medium Grid 3 Accent 4"/>
    <w:basedOn w:val="TableNormal"/>
    <w:uiPriority w:val="98"/>
    <w:rsid w:val="00923EE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6D9CE" w:themeFill="accent4" w:themeFillTint="3F"/>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DC673B"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DC673B"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DC673B"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DC673B"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DB29D"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DB29D" w:themeFill="accent4" w:themeFillTint="7F"/>
      </w:tcPr>
    </w:tblStylePr>
  </w:style>
  <w:style w:type="table" w:styleId="MediumGrid3-Accent5">
    <w:name w:val="Medium Grid 3 Accent 5"/>
    <w:basedOn w:val="TableNormal"/>
    <w:uiPriority w:val="98"/>
    <w:rsid w:val="00923EE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CAC3" w:themeFill="accent5" w:themeFillTint="3F"/>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33D2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33D2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33D2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33D2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9586"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9586" w:themeFill="accent5" w:themeFillTint="7F"/>
      </w:tcPr>
    </w:tblStylePr>
  </w:style>
  <w:style w:type="table" w:styleId="MediumGrid3-Accent6">
    <w:name w:val="Medium Grid 3 Accent 6"/>
    <w:basedOn w:val="TableNormal"/>
    <w:uiPriority w:val="98"/>
    <w:rsid w:val="00923EE1"/>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BEA" w:themeFill="accent6" w:themeFillTint="3F"/>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DB0AC"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DB0AC"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DB0AC"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DB0AC"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ED7D5"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ED7D5" w:themeFill="accent6" w:themeFillTint="7F"/>
      </w:tcPr>
    </w:tblStylePr>
  </w:style>
  <w:style w:type="table" w:styleId="MediumList1">
    <w:name w:val="Medium List 1"/>
    <w:basedOn w:val="TableNormal"/>
    <w:uiPriority w:val="98"/>
    <w:rsid w:val="00923EE1"/>
    <w:rPr>
      <w:color w:val="000000" w:themeColor="text1"/>
    </w:rPr>
    <w:tblPr>
      <w:tblStyleRowBandSize w:val="1"/>
      <w:tblStyleColBandSize w:val="1"/>
      <w:tblBorders>
        <w:top w:val="single" w:sz="8" w:space="0" w:color="000000" w:themeColor="text1"/>
        <w:bottom w:val="single" w:sz="8" w:space="0" w:color="000000" w:themeColor="text1"/>
      </w:tblBorders>
    </w:tblPr>
    <w:tcPr>
      <w:tcMar>
        <w:top w:w="57" w:type="dxa"/>
        <w:left w:w="57" w:type="dxa"/>
        <w:bottom w:w="57" w:type="dxa"/>
        <w:right w:w="57" w:type="dxa"/>
      </w:tcMar>
    </w:tcPr>
    <w:tblStylePr w:type="firstRow">
      <w:rPr>
        <w:rFonts w:asciiTheme="majorHAnsi" w:eastAsiaTheme="majorEastAsia" w:hAnsiTheme="majorHAnsi" w:cstheme="majorHAnsi"/>
      </w:rPr>
      <w:tblPr/>
      <w:tcPr>
        <w:tcBorders>
          <w:top w:val="nil"/>
          <w:bottom w:val="single" w:sz="8" w:space="0" w:color="000000" w:themeColor="text1"/>
        </w:tcBorders>
      </w:tcPr>
    </w:tblStylePr>
    <w:tblStylePr w:type="lastRow">
      <w:rPr>
        <w:b/>
        <w:bCs/>
        <w:color w:val="000000"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98"/>
    <w:rsid w:val="00923EE1"/>
    <w:rPr>
      <w:color w:val="000000" w:themeColor="text1"/>
    </w:rPr>
    <w:tblPr>
      <w:tblStyleRowBandSize w:val="1"/>
      <w:tblStyleColBandSize w:val="1"/>
      <w:tblBorders>
        <w:top w:val="single" w:sz="8" w:space="0" w:color="004976" w:themeColor="accent1"/>
        <w:bottom w:val="single" w:sz="8" w:space="0" w:color="004976" w:themeColor="accent1"/>
      </w:tblBorders>
    </w:tblPr>
    <w:tcPr>
      <w:tcMar>
        <w:top w:w="57" w:type="dxa"/>
        <w:left w:w="57" w:type="dxa"/>
        <w:bottom w:w="57" w:type="dxa"/>
        <w:right w:w="57" w:type="dxa"/>
      </w:tcMar>
    </w:tcPr>
    <w:tblStylePr w:type="firstRow">
      <w:rPr>
        <w:rFonts w:asciiTheme="majorHAnsi" w:eastAsiaTheme="majorEastAsia" w:hAnsiTheme="majorHAnsi" w:cstheme="majorHAnsi"/>
      </w:rPr>
      <w:tblPr/>
      <w:tcPr>
        <w:tcBorders>
          <w:top w:val="nil"/>
          <w:bottom w:val="single" w:sz="8" w:space="0" w:color="004976" w:themeColor="accent1"/>
        </w:tcBorders>
      </w:tcPr>
    </w:tblStylePr>
    <w:tblStylePr w:type="lastRow">
      <w:rPr>
        <w:b/>
        <w:bCs/>
        <w:color w:val="000000" w:themeColor="text2"/>
      </w:rPr>
      <w:tblPr/>
      <w:tcPr>
        <w:tcBorders>
          <w:top w:val="single" w:sz="8" w:space="0" w:color="004976" w:themeColor="accent1"/>
          <w:bottom w:val="single" w:sz="8" w:space="0" w:color="004976" w:themeColor="accent1"/>
        </w:tcBorders>
      </w:tcPr>
    </w:tblStylePr>
    <w:tblStylePr w:type="firstCol">
      <w:rPr>
        <w:b/>
        <w:bCs/>
      </w:rPr>
    </w:tblStylePr>
    <w:tblStylePr w:type="lastCol">
      <w:rPr>
        <w:b/>
        <w:bCs/>
      </w:rPr>
      <w:tblPr/>
      <w:tcPr>
        <w:tcBorders>
          <w:top w:val="single" w:sz="8" w:space="0" w:color="004976" w:themeColor="accent1"/>
          <w:bottom w:val="single" w:sz="8" w:space="0" w:color="004976" w:themeColor="accent1"/>
        </w:tcBorders>
      </w:tcPr>
    </w:tblStylePr>
    <w:tblStylePr w:type="band1Vert">
      <w:tblPr/>
      <w:tcPr>
        <w:shd w:val="clear" w:color="auto" w:fill="9ED9FF" w:themeFill="accent1" w:themeFillTint="3F"/>
      </w:tcPr>
    </w:tblStylePr>
    <w:tblStylePr w:type="band1Horz">
      <w:tblPr/>
      <w:tcPr>
        <w:shd w:val="clear" w:color="auto" w:fill="9ED9FF" w:themeFill="accent1" w:themeFillTint="3F"/>
      </w:tcPr>
    </w:tblStylePr>
  </w:style>
  <w:style w:type="table" w:styleId="MediumList1-Accent2">
    <w:name w:val="Medium List 1 Accent 2"/>
    <w:basedOn w:val="TableNormal"/>
    <w:uiPriority w:val="98"/>
    <w:rsid w:val="00923EE1"/>
    <w:rPr>
      <w:color w:val="000000" w:themeColor="text1"/>
    </w:rPr>
    <w:tblPr>
      <w:tblStyleRowBandSize w:val="1"/>
      <w:tblStyleColBandSize w:val="1"/>
      <w:tblBorders>
        <w:top w:val="single" w:sz="8" w:space="0" w:color="FFB500" w:themeColor="accent2"/>
        <w:bottom w:val="single" w:sz="8" w:space="0" w:color="FFB500" w:themeColor="accent2"/>
      </w:tblBorders>
    </w:tblPr>
    <w:tcPr>
      <w:tcMar>
        <w:top w:w="57" w:type="dxa"/>
        <w:left w:w="57" w:type="dxa"/>
        <w:bottom w:w="57" w:type="dxa"/>
        <w:right w:w="57" w:type="dxa"/>
      </w:tcMar>
    </w:tcPr>
    <w:tblStylePr w:type="firstRow">
      <w:rPr>
        <w:rFonts w:asciiTheme="majorHAnsi" w:eastAsiaTheme="majorEastAsia" w:hAnsiTheme="majorHAnsi" w:cstheme="majorHAnsi"/>
      </w:rPr>
      <w:tblPr/>
      <w:tcPr>
        <w:tcBorders>
          <w:top w:val="nil"/>
          <w:bottom w:val="single" w:sz="8" w:space="0" w:color="FFB500" w:themeColor="accent2"/>
        </w:tcBorders>
      </w:tcPr>
    </w:tblStylePr>
    <w:tblStylePr w:type="lastRow">
      <w:rPr>
        <w:b/>
        <w:bCs/>
        <w:color w:val="000000" w:themeColor="text2"/>
      </w:rPr>
      <w:tblPr/>
      <w:tcPr>
        <w:tcBorders>
          <w:top w:val="single" w:sz="8" w:space="0" w:color="FFB500" w:themeColor="accent2"/>
          <w:bottom w:val="single" w:sz="8" w:space="0" w:color="FFB500" w:themeColor="accent2"/>
        </w:tcBorders>
      </w:tcPr>
    </w:tblStylePr>
    <w:tblStylePr w:type="firstCol">
      <w:rPr>
        <w:b/>
        <w:bCs/>
      </w:rPr>
    </w:tblStylePr>
    <w:tblStylePr w:type="lastCol">
      <w:rPr>
        <w:b/>
        <w:bCs/>
      </w:rPr>
      <w:tblPr/>
      <w:tcPr>
        <w:tcBorders>
          <w:top w:val="single" w:sz="8" w:space="0" w:color="FFB500" w:themeColor="accent2"/>
          <w:bottom w:val="single" w:sz="8" w:space="0" w:color="FFB500" w:themeColor="accent2"/>
        </w:tcBorders>
      </w:tcPr>
    </w:tblStylePr>
    <w:tblStylePr w:type="band1Vert">
      <w:tblPr/>
      <w:tcPr>
        <w:shd w:val="clear" w:color="auto" w:fill="FFECC0" w:themeFill="accent2" w:themeFillTint="3F"/>
      </w:tcPr>
    </w:tblStylePr>
    <w:tblStylePr w:type="band1Horz">
      <w:tblPr/>
      <w:tcPr>
        <w:shd w:val="clear" w:color="auto" w:fill="FFECC0" w:themeFill="accent2" w:themeFillTint="3F"/>
      </w:tcPr>
    </w:tblStylePr>
  </w:style>
  <w:style w:type="table" w:styleId="MediumList1-Accent3">
    <w:name w:val="Medium List 1 Accent 3"/>
    <w:basedOn w:val="TableNormal"/>
    <w:uiPriority w:val="98"/>
    <w:rsid w:val="00923EE1"/>
    <w:rPr>
      <w:color w:val="000000" w:themeColor="text1"/>
    </w:rPr>
    <w:tblPr>
      <w:tblStyleRowBandSize w:val="1"/>
      <w:tblStyleColBandSize w:val="1"/>
      <w:tblBorders>
        <w:top w:val="single" w:sz="8" w:space="0" w:color="36573B" w:themeColor="accent3"/>
        <w:bottom w:val="single" w:sz="8" w:space="0" w:color="36573B" w:themeColor="accent3"/>
      </w:tblBorders>
    </w:tblPr>
    <w:tcPr>
      <w:tcMar>
        <w:top w:w="57" w:type="dxa"/>
        <w:left w:w="57" w:type="dxa"/>
        <w:bottom w:w="57" w:type="dxa"/>
        <w:right w:w="57" w:type="dxa"/>
      </w:tcMar>
    </w:tcPr>
    <w:tblStylePr w:type="firstRow">
      <w:rPr>
        <w:rFonts w:asciiTheme="majorHAnsi" w:eastAsiaTheme="majorEastAsia" w:hAnsiTheme="majorHAnsi" w:cstheme="majorHAnsi"/>
      </w:rPr>
      <w:tblPr/>
      <w:tcPr>
        <w:tcBorders>
          <w:top w:val="nil"/>
          <w:bottom w:val="single" w:sz="8" w:space="0" w:color="36573B" w:themeColor="accent3"/>
        </w:tcBorders>
      </w:tcPr>
    </w:tblStylePr>
    <w:tblStylePr w:type="lastRow">
      <w:rPr>
        <w:b/>
        <w:bCs/>
        <w:color w:val="000000" w:themeColor="text2"/>
      </w:rPr>
      <w:tblPr/>
      <w:tcPr>
        <w:tcBorders>
          <w:top w:val="single" w:sz="8" w:space="0" w:color="36573B" w:themeColor="accent3"/>
          <w:bottom w:val="single" w:sz="8" w:space="0" w:color="36573B" w:themeColor="accent3"/>
        </w:tcBorders>
      </w:tcPr>
    </w:tblStylePr>
    <w:tblStylePr w:type="firstCol">
      <w:rPr>
        <w:b/>
        <w:bCs/>
      </w:rPr>
    </w:tblStylePr>
    <w:tblStylePr w:type="lastCol">
      <w:rPr>
        <w:b/>
        <w:bCs/>
      </w:rPr>
      <w:tblPr/>
      <w:tcPr>
        <w:tcBorders>
          <w:top w:val="single" w:sz="8" w:space="0" w:color="36573B" w:themeColor="accent3"/>
          <w:bottom w:val="single" w:sz="8" w:space="0" w:color="36573B" w:themeColor="accent3"/>
        </w:tcBorders>
      </w:tcPr>
    </w:tblStylePr>
    <w:tblStylePr w:type="band1Vert">
      <w:tblPr/>
      <w:tcPr>
        <w:shd w:val="clear" w:color="auto" w:fill="C6DCC9" w:themeFill="accent3" w:themeFillTint="3F"/>
      </w:tcPr>
    </w:tblStylePr>
    <w:tblStylePr w:type="band1Horz">
      <w:tblPr/>
      <w:tcPr>
        <w:shd w:val="clear" w:color="auto" w:fill="C6DCC9" w:themeFill="accent3" w:themeFillTint="3F"/>
      </w:tcPr>
    </w:tblStylePr>
  </w:style>
  <w:style w:type="table" w:styleId="MediumList1-Accent4">
    <w:name w:val="Medium List 1 Accent 4"/>
    <w:basedOn w:val="TableNormal"/>
    <w:uiPriority w:val="98"/>
    <w:rsid w:val="00923EE1"/>
    <w:rPr>
      <w:color w:val="000000" w:themeColor="text1"/>
    </w:rPr>
    <w:tblPr>
      <w:tblStyleRowBandSize w:val="1"/>
      <w:tblStyleColBandSize w:val="1"/>
      <w:tblBorders>
        <w:top w:val="single" w:sz="8" w:space="0" w:color="DC673B" w:themeColor="accent4"/>
        <w:bottom w:val="single" w:sz="8" w:space="0" w:color="DC673B" w:themeColor="accent4"/>
      </w:tblBorders>
    </w:tblPr>
    <w:tcPr>
      <w:tcMar>
        <w:top w:w="57" w:type="dxa"/>
        <w:left w:w="57" w:type="dxa"/>
        <w:bottom w:w="57" w:type="dxa"/>
        <w:right w:w="57" w:type="dxa"/>
      </w:tcMar>
    </w:tcPr>
    <w:tblStylePr w:type="firstRow">
      <w:rPr>
        <w:rFonts w:asciiTheme="majorHAnsi" w:eastAsiaTheme="majorEastAsia" w:hAnsiTheme="majorHAnsi" w:cstheme="majorHAnsi"/>
      </w:rPr>
      <w:tblPr/>
      <w:tcPr>
        <w:tcBorders>
          <w:top w:val="nil"/>
          <w:bottom w:val="single" w:sz="8" w:space="0" w:color="DC673B" w:themeColor="accent4"/>
        </w:tcBorders>
      </w:tcPr>
    </w:tblStylePr>
    <w:tblStylePr w:type="lastRow">
      <w:rPr>
        <w:b/>
        <w:bCs/>
        <w:color w:val="000000" w:themeColor="text2"/>
      </w:rPr>
      <w:tblPr/>
      <w:tcPr>
        <w:tcBorders>
          <w:top w:val="single" w:sz="8" w:space="0" w:color="DC673B" w:themeColor="accent4"/>
          <w:bottom w:val="single" w:sz="8" w:space="0" w:color="DC673B" w:themeColor="accent4"/>
        </w:tcBorders>
      </w:tcPr>
    </w:tblStylePr>
    <w:tblStylePr w:type="firstCol">
      <w:rPr>
        <w:b/>
        <w:bCs/>
      </w:rPr>
    </w:tblStylePr>
    <w:tblStylePr w:type="lastCol">
      <w:rPr>
        <w:b/>
        <w:bCs/>
      </w:rPr>
      <w:tblPr/>
      <w:tcPr>
        <w:tcBorders>
          <w:top w:val="single" w:sz="8" w:space="0" w:color="DC673B" w:themeColor="accent4"/>
          <w:bottom w:val="single" w:sz="8" w:space="0" w:color="DC673B" w:themeColor="accent4"/>
        </w:tcBorders>
      </w:tcPr>
    </w:tblStylePr>
    <w:tblStylePr w:type="band1Vert">
      <w:tblPr/>
      <w:tcPr>
        <w:shd w:val="clear" w:color="auto" w:fill="F6D9CE" w:themeFill="accent4" w:themeFillTint="3F"/>
      </w:tcPr>
    </w:tblStylePr>
    <w:tblStylePr w:type="band1Horz">
      <w:tblPr/>
      <w:tcPr>
        <w:shd w:val="clear" w:color="auto" w:fill="F6D9CE" w:themeFill="accent4" w:themeFillTint="3F"/>
      </w:tcPr>
    </w:tblStylePr>
  </w:style>
  <w:style w:type="table" w:styleId="MediumList1-Accent5">
    <w:name w:val="Medium List 1 Accent 5"/>
    <w:basedOn w:val="TableNormal"/>
    <w:uiPriority w:val="98"/>
    <w:rsid w:val="00923EE1"/>
    <w:rPr>
      <w:color w:val="000000" w:themeColor="text1"/>
    </w:rPr>
    <w:tblPr>
      <w:tblStyleRowBandSize w:val="1"/>
      <w:tblStyleColBandSize w:val="1"/>
      <w:tblBorders>
        <w:top w:val="single" w:sz="8" w:space="0" w:color="B33D26" w:themeColor="accent5"/>
        <w:bottom w:val="single" w:sz="8" w:space="0" w:color="B33D26" w:themeColor="accent5"/>
      </w:tblBorders>
    </w:tblPr>
    <w:tcPr>
      <w:tcMar>
        <w:top w:w="57" w:type="dxa"/>
        <w:left w:w="57" w:type="dxa"/>
        <w:bottom w:w="57" w:type="dxa"/>
        <w:right w:w="57" w:type="dxa"/>
      </w:tcMar>
    </w:tcPr>
    <w:tblStylePr w:type="firstRow">
      <w:rPr>
        <w:rFonts w:asciiTheme="majorHAnsi" w:eastAsiaTheme="majorEastAsia" w:hAnsiTheme="majorHAnsi" w:cstheme="majorHAnsi"/>
      </w:rPr>
      <w:tblPr/>
      <w:tcPr>
        <w:tcBorders>
          <w:top w:val="nil"/>
          <w:bottom w:val="single" w:sz="8" w:space="0" w:color="B33D26" w:themeColor="accent5"/>
        </w:tcBorders>
      </w:tcPr>
    </w:tblStylePr>
    <w:tblStylePr w:type="lastRow">
      <w:rPr>
        <w:b/>
        <w:bCs/>
        <w:color w:val="000000" w:themeColor="text2"/>
      </w:rPr>
      <w:tblPr/>
      <w:tcPr>
        <w:tcBorders>
          <w:top w:val="single" w:sz="8" w:space="0" w:color="B33D26" w:themeColor="accent5"/>
          <w:bottom w:val="single" w:sz="8" w:space="0" w:color="B33D26" w:themeColor="accent5"/>
        </w:tcBorders>
      </w:tcPr>
    </w:tblStylePr>
    <w:tblStylePr w:type="firstCol">
      <w:rPr>
        <w:b/>
        <w:bCs/>
      </w:rPr>
    </w:tblStylePr>
    <w:tblStylePr w:type="lastCol">
      <w:rPr>
        <w:b/>
        <w:bCs/>
      </w:rPr>
      <w:tblPr/>
      <w:tcPr>
        <w:tcBorders>
          <w:top w:val="single" w:sz="8" w:space="0" w:color="B33D26" w:themeColor="accent5"/>
          <w:bottom w:val="single" w:sz="8" w:space="0" w:color="B33D26" w:themeColor="accent5"/>
        </w:tcBorders>
      </w:tcPr>
    </w:tblStylePr>
    <w:tblStylePr w:type="band1Vert">
      <w:tblPr/>
      <w:tcPr>
        <w:shd w:val="clear" w:color="auto" w:fill="F2CAC3" w:themeFill="accent5" w:themeFillTint="3F"/>
      </w:tcPr>
    </w:tblStylePr>
    <w:tblStylePr w:type="band1Horz">
      <w:tblPr/>
      <w:tcPr>
        <w:shd w:val="clear" w:color="auto" w:fill="F2CAC3" w:themeFill="accent5" w:themeFillTint="3F"/>
      </w:tcPr>
    </w:tblStylePr>
  </w:style>
  <w:style w:type="table" w:styleId="MediumList1-Accent6">
    <w:name w:val="Medium List 1 Accent 6"/>
    <w:basedOn w:val="TableNormal"/>
    <w:uiPriority w:val="98"/>
    <w:rsid w:val="00923EE1"/>
    <w:rPr>
      <w:color w:val="000000" w:themeColor="text1"/>
    </w:rPr>
    <w:tblPr>
      <w:tblStyleRowBandSize w:val="1"/>
      <w:tblStyleColBandSize w:val="1"/>
      <w:tblBorders>
        <w:top w:val="single" w:sz="8" w:space="0" w:color="9DB0AC" w:themeColor="accent6"/>
        <w:bottom w:val="single" w:sz="8" w:space="0" w:color="9DB0AC" w:themeColor="accent6"/>
      </w:tblBorders>
    </w:tblPr>
    <w:tcPr>
      <w:tcMar>
        <w:top w:w="57" w:type="dxa"/>
        <w:left w:w="57" w:type="dxa"/>
        <w:bottom w:w="57" w:type="dxa"/>
        <w:right w:w="57" w:type="dxa"/>
      </w:tcMar>
    </w:tcPr>
    <w:tblStylePr w:type="firstRow">
      <w:rPr>
        <w:rFonts w:asciiTheme="majorHAnsi" w:eastAsiaTheme="majorEastAsia" w:hAnsiTheme="majorHAnsi" w:cstheme="majorHAnsi"/>
      </w:rPr>
      <w:tblPr/>
      <w:tcPr>
        <w:tcBorders>
          <w:top w:val="nil"/>
          <w:bottom w:val="single" w:sz="8" w:space="0" w:color="9DB0AC" w:themeColor="accent6"/>
        </w:tcBorders>
      </w:tcPr>
    </w:tblStylePr>
    <w:tblStylePr w:type="lastRow">
      <w:rPr>
        <w:b/>
        <w:bCs/>
        <w:color w:val="000000" w:themeColor="text2"/>
      </w:rPr>
      <w:tblPr/>
      <w:tcPr>
        <w:tcBorders>
          <w:top w:val="single" w:sz="8" w:space="0" w:color="9DB0AC" w:themeColor="accent6"/>
          <w:bottom w:val="single" w:sz="8" w:space="0" w:color="9DB0AC" w:themeColor="accent6"/>
        </w:tcBorders>
      </w:tcPr>
    </w:tblStylePr>
    <w:tblStylePr w:type="firstCol">
      <w:rPr>
        <w:b/>
        <w:bCs/>
      </w:rPr>
    </w:tblStylePr>
    <w:tblStylePr w:type="lastCol">
      <w:rPr>
        <w:b/>
        <w:bCs/>
      </w:rPr>
      <w:tblPr/>
      <w:tcPr>
        <w:tcBorders>
          <w:top w:val="single" w:sz="8" w:space="0" w:color="9DB0AC" w:themeColor="accent6"/>
          <w:bottom w:val="single" w:sz="8" w:space="0" w:color="9DB0AC" w:themeColor="accent6"/>
        </w:tcBorders>
      </w:tcPr>
    </w:tblStylePr>
    <w:tblStylePr w:type="band1Vert">
      <w:tblPr/>
      <w:tcPr>
        <w:shd w:val="clear" w:color="auto" w:fill="E6EBEA" w:themeFill="accent6" w:themeFillTint="3F"/>
      </w:tcPr>
    </w:tblStylePr>
    <w:tblStylePr w:type="band1Horz">
      <w:tblPr/>
      <w:tcPr>
        <w:shd w:val="clear" w:color="auto" w:fill="E6EBEA" w:themeFill="accent6" w:themeFillTint="3F"/>
      </w:tcPr>
    </w:tblStylePr>
  </w:style>
  <w:style w:type="table" w:styleId="MediumList2">
    <w:name w:val="Medium List 2"/>
    <w:basedOn w:val="TableNormal"/>
    <w:uiPriority w:val="98"/>
    <w:rsid w:val="00923EE1"/>
    <w:rPr>
      <w:rFonts w:eastAsiaTheme="majorEastAsia"/>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cPr>
      <w:tcMar>
        <w:top w:w="57" w:type="dxa"/>
        <w:left w:w="57" w:type="dxa"/>
        <w:bottom w:w="57" w:type="dxa"/>
        <w:right w:w="57" w:type="dxa"/>
      </w:tcMar>
    </w:tcPr>
    <w:tblStylePr w:type="firstRow">
      <w:rPr>
        <w:rFonts w:asciiTheme="majorHAnsi" w:hAnsiTheme="majorHAnsi" w:cstheme="majorHAnsi"/>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98"/>
    <w:rsid w:val="00923EE1"/>
    <w:rPr>
      <w:rFonts w:eastAsiaTheme="majorEastAsia"/>
      <w:color w:val="000000" w:themeColor="text1"/>
    </w:rPr>
    <w:tblPr>
      <w:tblStyleRowBandSize w:val="1"/>
      <w:tblStyleColBandSize w:val="1"/>
      <w:tblBorders>
        <w:top w:val="single" w:sz="8" w:space="0" w:color="004976" w:themeColor="accent1"/>
        <w:left w:val="single" w:sz="8" w:space="0" w:color="004976" w:themeColor="accent1"/>
        <w:bottom w:val="single" w:sz="8" w:space="0" w:color="004976" w:themeColor="accent1"/>
        <w:right w:val="single" w:sz="8" w:space="0" w:color="004976" w:themeColor="accent1"/>
      </w:tblBorders>
    </w:tblPr>
    <w:tcPr>
      <w:tcMar>
        <w:top w:w="57" w:type="dxa"/>
        <w:left w:w="57" w:type="dxa"/>
        <w:bottom w:w="57" w:type="dxa"/>
        <w:right w:w="57" w:type="dxa"/>
      </w:tcMar>
    </w:tcPr>
    <w:tblStylePr w:type="firstRow">
      <w:rPr>
        <w:rFonts w:asciiTheme="majorHAnsi" w:hAnsiTheme="majorHAnsi" w:cstheme="majorHAnsi"/>
        <w:sz w:val="24"/>
        <w:szCs w:val="24"/>
      </w:rPr>
      <w:tblPr/>
      <w:tcPr>
        <w:tcBorders>
          <w:top w:val="nil"/>
          <w:left w:val="nil"/>
          <w:bottom w:val="single" w:sz="24" w:space="0" w:color="004976" w:themeColor="accent1"/>
          <w:right w:val="nil"/>
          <w:insideH w:val="nil"/>
          <w:insideV w:val="nil"/>
        </w:tcBorders>
        <w:shd w:val="clear" w:color="auto" w:fill="FFFFFF" w:themeFill="background1"/>
      </w:tcPr>
    </w:tblStylePr>
    <w:tblStylePr w:type="lastRow">
      <w:tblPr/>
      <w:tcPr>
        <w:tcBorders>
          <w:top w:val="single" w:sz="8" w:space="0" w:color="004976"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4976" w:themeColor="accent1"/>
          <w:insideH w:val="nil"/>
          <w:insideV w:val="nil"/>
        </w:tcBorders>
        <w:shd w:val="clear" w:color="auto" w:fill="FFFFFF" w:themeFill="background1"/>
      </w:tcPr>
    </w:tblStylePr>
    <w:tblStylePr w:type="lastCol">
      <w:tblPr/>
      <w:tcPr>
        <w:tcBorders>
          <w:top w:val="nil"/>
          <w:left w:val="single" w:sz="8" w:space="0" w:color="004976"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9ED9FF" w:themeFill="accent1" w:themeFillTint="3F"/>
      </w:tcPr>
    </w:tblStylePr>
    <w:tblStylePr w:type="band1Horz">
      <w:tblPr/>
      <w:tcPr>
        <w:tcBorders>
          <w:top w:val="nil"/>
          <w:bottom w:val="nil"/>
          <w:insideH w:val="nil"/>
          <w:insideV w:val="nil"/>
        </w:tcBorders>
        <w:shd w:val="clear" w:color="auto" w:fill="9ED9FF"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98"/>
    <w:rsid w:val="00923EE1"/>
    <w:rPr>
      <w:rFonts w:eastAsiaTheme="majorEastAsia"/>
      <w:color w:val="000000" w:themeColor="text1"/>
    </w:rPr>
    <w:tblPr>
      <w:tblStyleRowBandSize w:val="1"/>
      <w:tblStyleColBandSize w:val="1"/>
      <w:tblBorders>
        <w:top w:val="single" w:sz="8" w:space="0" w:color="FFB500" w:themeColor="accent2"/>
        <w:left w:val="single" w:sz="8" w:space="0" w:color="FFB500" w:themeColor="accent2"/>
        <w:bottom w:val="single" w:sz="8" w:space="0" w:color="FFB500" w:themeColor="accent2"/>
        <w:right w:val="single" w:sz="8" w:space="0" w:color="FFB500" w:themeColor="accent2"/>
      </w:tblBorders>
    </w:tblPr>
    <w:tcPr>
      <w:tcMar>
        <w:top w:w="57" w:type="dxa"/>
        <w:left w:w="57" w:type="dxa"/>
        <w:bottom w:w="57" w:type="dxa"/>
        <w:right w:w="57" w:type="dxa"/>
      </w:tcMar>
    </w:tcPr>
    <w:tblStylePr w:type="firstRow">
      <w:rPr>
        <w:rFonts w:asciiTheme="majorHAnsi" w:hAnsiTheme="majorHAnsi" w:cstheme="majorHAnsi"/>
        <w:sz w:val="24"/>
        <w:szCs w:val="24"/>
      </w:rPr>
      <w:tblPr/>
      <w:tcPr>
        <w:tcBorders>
          <w:top w:val="nil"/>
          <w:left w:val="nil"/>
          <w:bottom w:val="single" w:sz="24" w:space="0" w:color="FFB500" w:themeColor="accent2"/>
          <w:right w:val="nil"/>
          <w:insideH w:val="nil"/>
          <w:insideV w:val="nil"/>
        </w:tcBorders>
        <w:shd w:val="clear" w:color="auto" w:fill="FFFFFF" w:themeFill="background1"/>
      </w:tcPr>
    </w:tblStylePr>
    <w:tblStylePr w:type="lastRow">
      <w:tblPr/>
      <w:tcPr>
        <w:tcBorders>
          <w:top w:val="single" w:sz="8" w:space="0" w:color="FFB500"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B500" w:themeColor="accent2"/>
          <w:insideH w:val="nil"/>
          <w:insideV w:val="nil"/>
        </w:tcBorders>
        <w:shd w:val="clear" w:color="auto" w:fill="FFFFFF" w:themeFill="background1"/>
      </w:tcPr>
    </w:tblStylePr>
    <w:tblStylePr w:type="lastCol">
      <w:tblPr/>
      <w:tcPr>
        <w:tcBorders>
          <w:top w:val="nil"/>
          <w:left w:val="single" w:sz="8" w:space="0" w:color="FFB500"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ECC0" w:themeFill="accent2" w:themeFillTint="3F"/>
      </w:tcPr>
    </w:tblStylePr>
    <w:tblStylePr w:type="band1Horz">
      <w:tblPr/>
      <w:tcPr>
        <w:tcBorders>
          <w:top w:val="nil"/>
          <w:bottom w:val="nil"/>
          <w:insideH w:val="nil"/>
          <w:insideV w:val="nil"/>
        </w:tcBorders>
        <w:shd w:val="clear" w:color="auto" w:fill="FFECC0"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98"/>
    <w:rsid w:val="00923EE1"/>
    <w:rPr>
      <w:rFonts w:eastAsiaTheme="majorEastAsia"/>
      <w:color w:val="000000" w:themeColor="text1"/>
    </w:rPr>
    <w:tblPr>
      <w:tblStyleRowBandSize w:val="1"/>
      <w:tblStyleColBandSize w:val="1"/>
      <w:tblBorders>
        <w:top w:val="single" w:sz="8" w:space="0" w:color="36573B" w:themeColor="accent3"/>
        <w:left w:val="single" w:sz="8" w:space="0" w:color="36573B" w:themeColor="accent3"/>
        <w:bottom w:val="single" w:sz="8" w:space="0" w:color="36573B" w:themeColor="accent3"/>
        <w:right w:val="single" w:sz="8" w:space="0" w:color="36573B" w:themeColor="accent3"/>
      </w:tblBorders>
    </w:tblPr>
    <w:tcPr>
      <w:tcMar>
        <w:top w:w="57" w:type="dxa"/>
        <w:left w:w="57" w:type="dxa"/>
        <w:bottom w:w="57" w:type="dxa"/>
        <w:right w:w="57" w:type="dxa"/>
      </w:tcMar>
    </w:tcPr>
    <w:tblStylePr w:type="firstRow">
      <w:rPr>
        <w:rFonts w:asciiTheme="majorHAnsi" w:hAnsiTheme="majorHAnsi" w:cstheme="majorHAnsi"/>
        <w:sz w:val="24"/>
        <w:szCs w:val="24"/>
      </w:rPr>
      <w:tblPr/>
      <w:tcPr>
        <w:tcBorders>
          <w:top w:val="nil"/>
          <w:left w:val="nil"/>
          <w:bottom w:val="single" w:sz="24" w:space="0" w:color="36573B" w:themeColor="accent3"/>
          <w:right w:val="nil"/>
          <w:insideH w:val="nil"/>
          <w:insideV w:val="nil"/>
        </w:tcBorders>
        <w:shd w:val="clear" w:color="auto" w:fill="FFFFFF" w:themeFill="background1"/>
      </w:tcPr>
    </w:tblStylePr>
    <w:tblStylePr w:type="lastRow">
      <w:tblPr/>
      <w:tcPr>
        <w:tcBorders>
          <w:top w:val="single" w:sz="8" w:space="0" w:color="36573B"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36573B" w:themeColor="accent3"/>
          <w:insideH w:val="nil"/>
          <w:insideV w:val="nil"/>
        </w:tcBorders>
        <w:shd w:val="clear" w:color="auto" w:fill="FFFFFF" w:themeFill="background1"/>
      </w:tcPr>
    </w:tblStylePr>
    <w:tblStylePr w:type="lastCol">
      <w:tblPr/>
      <w:tcPr>
        <w:tcBorders>
          <w:top w:val="nil"/>
          <w:left w:val="single" w:sz="8" w:space="0" w:color="36573B"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6DCC9" w:themeFill="accent3" w:themeFillTint="3F"/>
      </w:tcPr>
    </w:tblStylePr>
    <w:tblStylePr w:type="band1Horz">
      <w:tblPr/>
      <w:tcPr>
        <w:tcBorders>
          <w:top w:val="nil"/>
          <w:bottom w:val="nil"/>
          <w:insideH w:val="nil"/>
          <w:insideV w:val="nil"/>
        </w:tcBorders>
        <w:shd w:val="clear" w:color="auto" w:fill="C6DCC9"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98"/>
    <w:rsid w:val="00923EE1"/>
    <w:rPr>
      <w:rFonts w:eastAsiaTheme="majorEastAsia"/>
      <w:color w:val="000000" w:themeColor="text1"/>
    </w:rPr>
    <w:tblPr>
      <w:tblStyleRowBandSize w:val="1"/>
      <w:tblStyleColBandSize w:val="1"/>
      <w:tblBorders>
        <w:top w:val="single" w:sz="8" w:space="0" w:color="DC673B" w:themeColor="accent4"/>
        <w:left w:val="single" w:sz="8" w:space="0" w:color="DC673B" w:themeColor="accent4"/>
        <w:bottom w:val="single" w:sz="8" w:space="0" w:color="DC673B" w:themeColor="accent4"/>
        <w:right w:val="single" w:sz="8" w:space="0" w:color="DC673B" w:themeColor="accent4"/>
      </w:tblBorders>
    </w:tblPr>
    <w:tcPr>
      <w:tcMar>
        <w:top w:w="57" w:type="dxa"/>
        <w:left w:w="57" w:type="dxa"/>
        <w:bottom w:w="57" w:type="dxa"/>
        <w:right w:w="57" w:type="dxa"/>
      </w:tcMar>
    </w:tcPr>
    <w:tblStylePr w:type="firstRow">
      <w:rPr>
        <w:rFonts w:asciiTheme="majorHAnsi" w:hAnsiTheme="majorHAnsi" w:cstheme="majorHAnsi"/>
        <w:sz w:val="24"/>
        <w:szCs w:val="24"/>
      </w:rPr>
      <w:tblPr/>
      <w:tcPr>
        <w:tcBorders>
          <w:top w:val="nil"/>
          <w:left w:val="nil"/>
          <w:bottom w:val="single" w:sz="24" w:space="0" w:color="DC673B" w:themeColor="accent4"/>
          <w:right w:val="nil"/>
          <w:insideH w:val="nil"/>
          <w:insideV w:val="nil"/>
        </w:tcBorders>
        <w:shd w:val="clear" w:color="auto" w:fill="FFFFFF" w:themeFill="background1"/>
      </w:tcPr>
    </w:tblStylePr>
    <w:tblStylePr w:type="lastRow">
      <w:tblPr/>
      <w:tcPr>
        <w:tcBorders>
          <w:top w:val="single" w:sz="8" w:space="0" w:color="DC673B"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DC673B" w:themeColor="accent4"/>
          <w:insideH w:val="nil"/>
          <w:insideV w:val="nil"/>
        </w:tcBorders>
        <w:shd w:val="clear" w:color="auto" w:fill="FFFFFF" w:themeFill="background1"/>
      </w:tcPr>
    </w:tblStylePr>
    <w:tblStylePr w:type="lastCol">
      <w:tblPr/>
      <w:tcPr>
        <w:tcBorders>
          <w:top w:val="nil"/>
          <w:left w:val="single" w:sz="8" w:space="0" w:color="DC673B"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6D9CE" w:themeFill="accent4" w:themeFillTint="3F"/>
      </w:tcPr>
    </w:tblStylePr>
    <w:tblStylePr w:type="band1Horz">
      <w:tblPr/>
      <w:tcPr>
        <w:tcBorders>
          <w:top w:val="nil"/>
          <w:bottom w:val="nil"/>
          <w:insideH w:val="nil"/>
          <w:insideV w:val="nil"/>
        </w:tcBorders>
        <w:shd w:val="clear" w:color="auto" w:fill="F6D9CE"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98"/>
    <w:rsid w:val="00923EE1"/>
    <w:rPr>
      <w:rFonts w:eastAsiaTheme="majorEastAsia"/>
      <w:color w:val="000000" w:themeColor="text1"/>
    </w:rPr>
    <w:tblPr>
      <w:tblStyleRowBandSize w:val="1"/>
      <w:tblStyleColBandSize w:val="1"/>
      <w:tblBorders>
        <w:top w:val="single" w:sz="8" w:space="0" w:color="B33D26" w:themeColor="accent5"/>
        <w:left w:val="single" w:sz="8" w:space="0" w:color="B33D26" w:themeColor="accent5"/>
        <w:bottom w:val="single" w:sz="8" w:space="0" w:color="B33D26" w:themeColor="accent5"/>
        <w:right w:val="single" w:sz="8" w:space="0" w:color="B33D26" w:themeColor="accent5"/>
      </w:tblBorders>
    </w:tblPr>
    <w:tcPr>
      <w:tcMar>
        <w:top w:w="57" w:type="dxa"/>
        <w:left w:w="57" w:type="dxa"/>
        <w:bottom w:w="57" w:type="dxa"/>
        <w:right w:w="57" w:type="dxa"/>
      </w:tcMar>
    </w:tcPr>
    <w:tblStylePr w:type="firstRow">
      <w:rPr>
        <w:rFonts w:asciiTheme="majorHAnsi" w:hAnsiTheme="majorHAnsi" w:cstheme="majorHAnsi"/>
        <w:sz w:val="24"/>
        <w:szCs w:val="24"/>
      </w:rPr>
      <w:tblPr/>
      <w:tcPr>
        <w:tcBorders>
          <w:top w:val="nil"/>
          <w:left w:val="nil"/>
          <w:bottom w:val="single" w:sz="24" w:space="0" w:color="B33D26" w:themeColor="accent5"/>
          <w:right w:val="nil"/>
          <w:insideH w:val="nil"/>
          <w:insideV w:val="nil"/>
        </w:tcBorders>
        <w:shd w:val="clear" w:color="auto" w:fill="FFFFFF" w:themeFill="background1"/>
      </w:tcPr>
    </w:tblStylePr>
    <w:tblStylePr w:type="lastRow">
      <w:tblPr/>
      <w:tcPr>
        <w:tcBorders>
          <w:top w:val="single" w:sz="8" w:space="0" w:color="B33D2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33D26" w:themeColor="accent5"/>
          <w:insideH w:val="nil"/>
          <w:insideV w:val="nil"/>
        </w:tcBorders>
        <w:shd w:val="clear" w:color="auto" w:fill="FFFFFF" w:themeFill="background1"/>
      </w:tcPr>
    </w:tblStylePr>
    <w:tblStylePr w:type="lastCol">
      <w:tblPr/>
      <w:tcPr>
        <w:tcBorders>
          <w:top w:val="nil"/>
          <w:left w:val="single" w:sz="8" w:space="0" w:color="B33D2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CAC3" w:themeFill="accent5" w:themeFillTint="3F"/>
      </w:tcPr>
    </w:tblStylePr>
    <w:tblStylePr w:type="band1Horz">
      <w:tblPr/>
      <w:tcPr>
        <w:tcBorders>
          <w:top w:val="nil"/>
          <w:bottom w:val="nil"/>
          <w:insideH w:val="nil"/>
          <w:insideV w:val="nil"/>
        </w:tcBorders>
        <w:shd w:val="clear" w:color="auto" w:fill="F2CAC3"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98"/>
    <w:rsid w:val="00923EE1"/>
    <w:rPr>
      <w:rFonts w:eastAsiaTheme="majorEastAsia"/>
      <w:color w:val="000000" w:themeColor="text1"/>
    </w:rPr>
    <w:tblPr>
      <w:tblStyleRowBandSize w:val="1"/>
      <w:tblStyleColBandSize w:val="1"/>
      <w:tblBorders>
        <w:top w:val="single" w:sz="8" w:space="0" w:color="9DB0AC" w:themeColor="accent6"/>
        <w:left w:val="single" w:sz="8" w:space="0" w:color="9DB0AC" w:themeColor="accent6"/>
        <w:bottom w:val="single" w:sz="8" w:space="0" w:color="9DB0AC" w:themeColor="accent6"/>
        <w:right w:val="single" w:sz="8" w:space="0" w:color="9DB0AC" w:themeColor="accent6"/>
      </w:tblBorders>
    </w:tblPr>
    <w:tcPr>
      <w:tcMar>
        <w:top w:w="57" w:type="dxa"/>
        <w:left w:w="57" w:type="dxa"/>
        <w:bottom w:w="57" w:type="dxa"/>
        <w:right w:w="57" w:type="dxa"/>
      </w:tcMar>
    </w:tcPr>
    <w:tblStylePr w:type="firstRow">
      <w:rPr>
        <w:rFonts w:asciiTheme="majorHAnsi" w:hAnsiTheme="majorHAnsi" w:cstheme="majorHAnsi"/>
        <w:sz w:val="24"/>
        <w:szCs w:val="24"/>
      </w:rPr>
      <w:tblPr/>
      <w:tcPr>
        <w:tcBorders>
          <w:top w:val="nil"/>
          <w:left w:val="nil"/>
          <w:bottom w:val="single" w:sz="24" w:space="0" w:color="9DB0AC" w:themeColor="accent6"/>
          <w:right w:val="nil"/>
          <w:insideH w:val="nil"/>
          <w:insideV w:val="nil"/>
        </w:tcBorders>
        <w:shd w:val="clear" w:color="auto" w:fill="FFFFFF" w:themeFill="background1"/>
      </w:tcPr>
    </w:tblStylePr>
    <w:tblStylePr w:type="lastRow">
      <w:tblPr/>
      <w:tcPr>
        <w:tcBorders>
          <w:top w:val="single" w:sz="8" w:space="0" w:color="9DB0AC"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DB0AC" w:themeColor="accent6"/>
          <w:insideH w:val="nil"/>
          <w:insideV w:val="nil"/>
        </w:tcBorders>
        <w:shd w:val="clear" w:color="auto" w:fill="FFFFFF" w:themeFill="background1"/>
      </w:tcPr>
    </w:tblStylePr>
    <w:tblStylePr w:type="lastCol">
      <w:tblPr/>
      <w:tcPr>
        <w:tcBorders>
          <w:top w:val="nil"/>
          <w:left w:val="single" w:sz="8" w:space="0" w:color="9DB0AC"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BEA" w:themeFill="accent6" w:themeFillTint="3F"/>
      </w:tcPr>
    </w:tblStylePr>
    <w:tblStylePr w:type="band1Horz">
      <w:tblPr/>
      <w:tcPr>
        <w:tcBorders>
          <w:top w:val="nil"/>
          <w:bottom w:val="nil"/>
          <w:insideH w:val="nil"/>
          <w:insideV w:val="nil"/>
        </w:tcBorders>
        <w:shd w:val="clear" w:color="auto" w:fill="E6EBEA"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98"/>
    <w:rsid w:val="00923EE1"/>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98"/>
    <w:rsid w:val="00923EE1"/>
    <w:tblPr>
      <w:tblStyleRowBandSize w:val="1"/>
      <w:tblStyleColBandSize w:val="1"/>
      <w:tblBorders>
        <w:top w:val="single" w:sz="8" w:space="0" w:color="0085D8" w:themeColor="accent1" w:themeTint="BF"/>
        <w:left w:val="single" w:sz="8" w:space="0" w:color="0085D8" w:themeColor="accent1" w:themeTint="BF"/>
        <w:bottom w:val="single" w:sz="8" w:space="0" w:color="0085D8" w:themeColor="accent1" w:themeTint="BF"/>
        <w:right w:val="single" w:sz="8" w:space="0" w:color="0085D8" w:themeColor="accent1" w:themeTint="BF"/>
        <w:insideH w:val="single" w:sz="8" w:space="0" w:color="0085D8" w:themeColor="accent1"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8" w:space="0" w:color="0085D8" w:themeColor="accent1" w:themeTint="BF"/>
          <w:left w:val="single" w:sz="8" w:space="0" w:color="0085D8" w:themeColor="accent1" w:themeTint="BF"/>
          <w:bottom w:val="single" w:sz="8" w:space="0" w:color="0085D8" w:themeColor="accent1" w:themeTint="BF"/>
          <w:right w:val="single" w:sz="8" w:space="0" w:color="0085D8" w:themeColor="accent1" w:themeTint="BF"/>
          <w:insideH w:val="nil"/>
          <w:insideV w:val="nil"/>
        </w:tcBorders>
        <w:shd w:val="clear" w:color="auto" w:fill="004976" w:themeFill="accent1"/>
      </w:tcPr>
    </w:tblStylePr>
    <w:tblStylePr w:type="lastRow">
      <w:pPr>
        <w:spacing w:before="0" w:after="0" w:line="240" w:lineRule="auto"/>
      </w:pPr>
      <w:rPr>
        <w:b/>
        <w:bCs/>
      </w:rPr>
      <w:tblPr/>
      <w:tcPr>
        <w:tcBorders>
          <w:top w:val="double" w:sz="6" w:space="0" w:color="0085D8" w:themeColor="accent1" w:themeTint="BF"/>
          <w:left w:val="single" w:sz="8" w:space="0" w:color="0085D8" w:themeColor="accent1" w:themeTint="BF"/>
          <w:bottom w:val="single" w:sz="8" w:space="0" w:color="0085D8" w:themeColor="accent1" w:themeTint="BF"/>
          <w:right w:val="single" w:sz="8" w:space="0" w:color="0085D8" w:themeColor="accent1" w:themeTint="BF"/>
          <w:insideH w:val="nil"/>
          <w:insideV w:val="nil"/>
        </w:tcBorders>
      </w:tcPr>
    </w:tblStylePr>
    <w:tblStylePr w:type="firstCol">
      <w:rPr>
        <w:b/>
        <w:bCs/>
      </w:rPr>
    </w:tblStylePr>
    <w:tblStylePr w:type="lastCol">
      <w:rPr>
        <w:b/>
        <w:bCs/>
      </w:rPr>
    </w:tblStylePr>
    <w:tblStylePr w:type="band1Vert">
      <w:tblPr/>
      <w:tcPr>
        <w:shd w:val="clear" w:color="auto" w:fill="9ED9FF" w:themeFill="accent1" w:themeFillTint="3F"/>
      </w:tcPr>
    </w:tblStylePr>
    <w:tblStylePr w:type="band1Horz">
      <w:tblPr/>
      <w:tcPr>
        <w:tcBorders>
          <w:insideH w:val="nil"/>
          <w:insideV w:val="nil"/>
        </w:tcBorders>
        <w:shd w:val="clear" w:color="auto" w:fill="9ED9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98"/>
    <w:rsid w:val="00923EE1"/>
    <w:tblPr>
      <w:tblStyleRowBandSize w:val="1"/>
      <w:tblStyleColBandSize w:val="1"/>
      <w:tblBorders>
        <w:top w:val="single" w:sz="8" w:space="0" w:color="FFC740" w:themeColor="accent2" w:themeTint="BF"/>
        <w:left w:val="single" w:sz="8" w:space="0" w:color="FFC740" w:themeColor="accent2" w:themeTint="BF"/>
        <w:bottom w:val="single" w:sz="8" w:space="0" w:color="FFC740" w:themeColor="accent2" w:themeTint="BF"/>
        <w:right w:val="single" w:sz="8" w:space="0" w:color="FFC740" w:themeColor="accent2" w:themeTint="BF"/>
        <w:insideH w:val="single" w:sz="8" w:space="0" w:color="FFC740" w:themeColor="accent2"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8" w:space="0" w:color="FFC740" w:themeColor="accent2" w:themeTint="BF"/>
          <w:left w:val="single" w:sz="8" w:space="0" w:color="FFC740" w:themeColor="accent2" w:themeTint="BF"/>
          <w:bottom w:val="single" w:sz="8" w:space="0" w:color="FFC740" w:themeColor="accent2" w:themeTint="BF"/>
          <w:right w:val="single" w:sz="8" w:space="0" w:color="FFC740" w:themeColor="accent2" w:themeTint="BF"/>
          <w:insideH w:val="nil"/>
          <w:insideV w:val="nil"/>
        </w:tcBorders>
        <w:shd w:val="clear" w:color="auto" w:fill="FFB500" w:themeFill="accent2"/>
      </w:tcPr>
    </w:tblStylePr>
    <w:tblStylePr w:type="lastRow">
      <w:pPr>
        <w:spacing w:before="0" w:after="0" w:line="240" w:lineRule="auto"/>
      </w:pPr>
      <w:rPr>
        <w:b/>
        <w:bCs/>
      </w:rPr>
      <w:tblPr/>
      <w:tcPr>
        <w:tcBorders>
          <w:top w:val="double" w:sz="6" w:space="0" w:color="FFC740" w:themeColor="accent2" w:themeTint="BF"/>
          <w:left w:val="single" w:sz="8" w:space="0" w:color="FFC740" w:themeColor="accent2" w:themeTint="BF"/>
          <w:bottom w:val="single" w:sz="8" w:space="0" w:color="FFC740" w:themeColor="accent2" w:themeTint="BF"/>
          <w:right w:val="single" w:sz="8" w:space="0" w:color="FFC740"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ECC0" w:themeFill="accent2" w:themeFillTint="3F"/>
      </w:tcPr>
    </w:tblStylePr>
    <w:tblStylePr w:type="band1Horz">
      <w:tblPr/>
      <w:tcPr>
        <w:tcBorders>
          <w:insideH w:val="nil"/>
          <w:insideV w:val="nil"/>
        </w:tcBorders>
        <w:shd w:val="clear" w:color="auto" w:fill="FFECC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98"/>
    <w:rsid w:val="00923EE1"/>
    <w:tblPr>
      <w:tblStyleRowBandSize w:val="1"/>
      <w:tblStyleColBandSize w:val="1"/>
      <w:tblBorders>
        <w:top w:val="single" w:sz="8" w:space="0" w:color="598F61" w:themeColor="accent3" w:themeTint="BF"/>
        <w:left w:val="single" w:sz="8" w:space="0" w:color="598F61" w:themeColor="accent3" w:themeTint="BF"/>
        <w:bottom w:val="single" w:sz="8" w:space="0" w:color="598F61" w:themeColor="accent3" w:themeTint="BF"/>
        <w:right w:val="single" w:sz="8" w:space="0" w:color="598F61" w:themeColor="accent3" w:themeTint="BF"/>
        <w:insideH w:val="single" w:sz="8" w:space="0" w:color="598F61" w:themeColor="accent3"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8" w:space="0" w:color="598F61" w:themeColor="accent3" w:themeTint="BF"/>
          <w:left w:val="single" w:sz="8" w:space="0" w:color="598F61" w:themeColor="accent3" w:themeTint="BF"/>
          <w:bottom w:val="single" w:sz="8" w:space="0" w:color="598F61" w:themeColor="accent3" w:themeTint="BF"/>
          <w:right w:val="single" w:sz="8" w:space="0" w:color="598F61" w:themeColor="accent3" w:themeTint="BF"/>
          <w:insideH w:val="nil"/>
          <w:insideV w:val="nil"/>
        </w:tcBorders>
        <w:shd w:val="clear" w:color="auto" w:fill="36573B" w:themeFill="accent3"/>
      </w:tcPr>
    </w:tblStylePr>
    <w:tblStylePr w:type="lastRow">
      <w:pPr>
        <w:spacing w:before="0" w:after="0" w:line="240" w:lineRule="auto"/>
      </w:pPr>
      <w:rPr>
        <w:b/>
        <w:bCs/>
      </w:rPr>
      <w:tblPr/>
      <w:tcPr>
        <w:tcBorders>
          <w:top w:val="double" w:sz="6" w:space="0" w:color="598F61" w:themeColor="accent3" w:themeTint="BF"/>
          <w:left w:val="single" w:sz="8" w:space="0" w:color="598F61" w:themeColor="accent3" w:themeTint="BF"/>
          <w:bottom w:val="single" w:sz="8" w:space="0" w:color="598F61" w:themeColor="accent3" w:themeTint="BF"/>
          <w:right w:val="single" w:sz="8" w:space="0" w:color="598F61" w:themeColor="accent3" w:themeTint="BF"/>
          <w:insideH w:val="nil"/>
          <w:insideV w:val="nil"/>
        </w:tcBorders>
      </w:tcPr>
    </w:tblStylePr>
    <w:tblStylePr w:type="firstCol">
      <w:rPr>
        <w:b/>
        <w:bCs/>
      </w:rPr>
    </w:tblStylePr>
    <w:tblStylePr w:type="lastCol">
      <w:rPr>
        <w:b/>
        <w:bCs/>
      </w:rPr>
    </w:tblStylePr>
    <w:tblStylePr w:type="band1Vert">
      <w:tblPr/>
      <w:tcPr>
        <w:shd w:val="clear" w:color="auto" w:fill="C6DCC9" w:themeFill="accent3" w:themeFillTint="3F"/>
      </w:tcPr>
    </w:tblStylePr>
    <w:tblStylePr w:type="band1Horz">
      <w:tblPr/>
      <w:tcPr>
        <w:tcBorders>
          <w:insideH w:val="nil"/>
          <w:insideV w:val="nil"/>
        </w:tcBorders>
        <w:shd w:val="clear" w:color="auto" w:fill="C6DCC9"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98"/>
    <w:rsid w:val="00923EE1"/>
    <w:tblPr>
      <w:tblStyleRowBandSize w:val="1"/>
      <w:tblStyleColBandSize w:val="1"/>
      <w:tblBorders>
        <w:top w:val="single" w:sz="8" w:space="0" w:color="E48C6B" w:themeColor="accent4" w:themeTint="BF"/>
        <w:left w:val="single" w:sz="8" w:space="0" w:color="E48C6B" w:themeColor="accent4" w:themeTint="BF"/>
        <w:bottom w:val="single" w:sz="8" w:space="0" w:color="E48C6B" w:themeColor="accent4" w:themeTint="BF"/>
        <w:right w:val="single" w:sz="8" w:space="0" w:color="E48C6B" w:themeColor="accent4" w:themeTint="BF"/>
        <w:insideH w:val="single" w:sz="8" w:space="0" w:color="E48C6B" w:themeColor="accent4"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8" w:space="0" w:color="E48C6B" w:themeColor="accent4" w:themeTint="BF"/>
          <w:left w:val="single" w:sz="8" w:space="0" w:color="E48C6B" w:themeColor="accent4" w:themeTint="BF"/>
          <w:bottom w:val="single" w:sz="8" w:space="0" w:color="E48C6B" w:themeColor="accent4" w:themeTint="BF"/>
          <w:right w:val="single" w:sz="8" w:space="0" w:color="E48C6B" w:themeColor="accent4" w:themeTint="BF"/>
          <w:insideH w:val="nil"/>
          <w:insideV w:val="nil"/>
        </w:tcBorders>
        <w:shd w:val="clear" w:color="auto" w:fill="DC673B" w:themeFill="accent4"/>
      </w:tcPr>
    </w:tblStylePr>
    <w:tblStylePr w:type="lastRow">
      <w:pPr>
        <w:spacing w:before="0" w:after="0" w:line="240" w:lineRule="auto"/>
      </w:pPr>
      <w:rPr>
        <w:b/>
        <w:bCs/>
      </w:rPr>
      <w:tblPr/>
      <w:tcPr>
        <w:tcBorders>
          <w:top w:val="double" w:sz="6" w:space="0" w:color="E48C6B" w:themeColor="accent4" w:themeTint="BF"/>
          <w:left w:val="single" w:sz="8" w:space="0" w:color="E48C6B" w:themeColor="accent4" w:themeTint="BF"/>
          <w:bottom w:val="single" w:sz="8" w:space="0" w:color="E48C6B" w:themeColor="accent4" w:themeTint="BF"/>
          <w:right w:val="single" w:sz="8" w:space="0" w:color="E48C6B" w:themeColor="accent4" w:themeTint="BF"/>
          <w:insideH w:val="nil"/>
          <w:insideV w:val="nil"/>
        </w:tcBorders>
      </w:tcPr>
    </w:tblStylePr>
    <w:tblStylePr w:type="firstCol">
      <w:rPr>
        <w:b/>
        <w:bCs/>
      </w:rPr>
    </w:tblStylePr>
    <w:tblStylePr w:type="lastCol">
      <w:rPr>
        <w:b/>
        <w:bCs/>
      </w:rPr>
    </w:tblStylePr>
    <w:tblStylePr w:type="band1Vert">
      <w:tblPr/>
      <w:tcPr>
        <w:shd w:val="clear" w:color="auto" w:fill="F6D9CE" w:themeFill="accent4" w:themeFillTint="3F"/>
      </w:tcPr>
    </w:tblStylePr>
    <w:tblStylePr w:type="band1Horz">
      <w:tblPr/>
      <w:tcPr>
        <w:tcBorders>
          <w:insideH w:val="nil"/>
          <w:insideV w:val="nil"/>
        </w:tcBorders>
        <w:shd w:val="clear" w:color="auto" w:fill="F6D9CE"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98"/>
    <w:rsid w:val="00923EE1"/>
    <w:tblPr>
      <w:tblStyleRowBandSize w:val="1"/>
      <w:tblStyleColBandSize w:val="1"/>
      <w:tblBorders>
        <w:top w:val="single" w:sz="8" w:space="0" w:color="D86049" w:themeColor="accent5" w:themeTint="BF"/>
        <w:left w:val="single" w:sz="8" w:space="0" w:color="D86049" w:themeColor="accent5" w:themeTint="BF"/>
        <w:bottom w:val="single" w:sz="8" w:space="0" w:color="D86049" w:themeColor="accent5" w:themeTint="BF"/>
        <w:right w:val="single" w:sz="8" w:space="0" w:color="D86049" w:themeColor="accent5" w:themeTint="BF"/>
        <w:insideH w:val="single" w:sz="8" w:space="0" w:color="D86049" w:themeColor="accent5"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8" w:space="0" w:color="D86049" w:themeColor="accent5" w:themeTint="BF"/>
          <w:left w:val="single" w:sz="8" w:space="0" w:color="D86049" w:themeColor="accent5" w:themeTint="BF"/>
          <w:bottom w:val="single" w:sz="8" w:space="0" w:color="D86049" w:themeColor="accent5" w:themeTint="BF"/>
          <w:right w:val="single" w:sz="8" w:space="0" w:color="D86049" w:themeColor="accent5" w:themeTint="BF"/>
          <w:insideH w:val="nil"/>
          <w:insideV w:val="nil"/>
        </w:tcBorders>
        <w:shd w:val="clear" w:color="auto" w:fill="B33D26" w:themeFill="accent5"/>
      </w:tcPr>
    </w:tblStylePr>
    <w:tblStylePr w:type="lastRow">
      <w:pPr>
        <w:spacing w:before="0" w:after="0" w:line="240" w:lineRule="auto"/>
      </w:pPr>
      <w:rPr>
        <w:b/>
        <w:bCs/>
      </w:rPr>
      <w:tblPr/>
      <w:tcPr>
        <w:tcBorders>
          <w:top w:val="double" w:sz="6" w:space="0" w:color="D86049" w:themeColor="accent5" w:themeTint="BF"/>
          <w:left w:val="single" w:sz="8" w:space="0" w:color="D86049" w:themeColor="accent5" w:themeTint="BF"/>
          <w:bottom w:val="single" w:sz="8" w:space="0" w:color="D86049" w:themeColor="accent5" w:themeTint="BF"/>
          <w:right w:val="single" w:sz="8" w:space="0" w:color="D86049" w:themeColor="accent5" w:themeTint="BF"/>
          <w:insideH w:val="nil"/>
          <w:insideV w:val="nil"/>
        </w:tcBorders>
      </w:tcPr>
    </w:tblStylePr>
    <w:tblStylePr w:type="firstCol">
      <w:rPr>
        <w:b/>
        <w:bCs/>
      </w:rPr>
    </w:tblStylePr>
    <w:tblStylePr w:type="lastCol">
      <w:rPr>
        <w:b/>
        <w:bCs/>
      </w:rPr>
    </w:tblStylePr>
    <w:tblStylePr w:type="band1Vert">
      <w:tblPr/>
      <w:tcPr>
        <w:shd w:val="clear" w:color="auto" w:fill="F2CAC3" w:themeFill="accent5" w:themeFillTint="3F"/>
      </w:tcPr>
    </w:tblStylePr>
    <w:tblStylePr w:type="band1Horz">
      <w:tblPr/>
      <w:tcPr>
        <w:tcBorders>
          <w:insideH w:val="nil"/>
          <w:insideV w:val="nil"/>
        </w:tcBorders>
        <w:shd w:val="clear" w:color="auto" w:fill="F2CAC3"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98"/>
    <w:rsid w:val="00923EE1"/>
    <w:tblPr>
      <w:tblStyleRowBandSize w:val="1"/>
      <w:tblStyleColBandSize w:val="1"/>
      <w:tblBorders>
        <w:top w:val="single" w:sz="8" w:space="0" w:color="B5C3C0" w:themeColor="accent6" w:themeTint="BF"/>
        <w:left w:val="single" w:sz="8" w:space="0" w:color="B5C3C0" w:themeColor="accent6" w:themeTint="BF"/>
        <w:bottom w:val="single" w:sz="8" w:space="0" w:color="B5C3C0" w:themeColor="accent6" w:themeTint="BF"/>
        <w:right w:val="single" w:sz="8" w:space="0" w:color="B5C3C0" w:themeColor="accent6" w:themeTint="BF"/>
        <w:insideH w:val="single" w:sz="8" w:space="0" w:color="B5C3C0" w:themeColor="accent6"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8" w:space="0" w:color="B5C3C0" w:themeColor="accent6" w:themeTint="BF"/>
          <w:left w:val="single" w:sz="8" w:space="0" w:color="B5C3C0" w:themeColor="accent6" w:themeTint="BF"/>
          <w:bottom w:val="single" w:sz="8" w:space="0" w:color="B5C3C0" w:themeColor="accent6" w:themeTint="BF"/>
          <w:right w:val="single" w:sz="8" w:space="0" w:color="B5C3C0" w:themeColor="accent6" w:themeTint="BF"/>
          <w:insideH w:val="nil"/>
          <w:insideV w:val="nil"/>
        </w:tcBorders>
        <w:shd w:val="clear" w:color="auto" w:fill="9DB0AC" w:themeFill="accent6"/>
      </w:tcPr>
    </w:tblStylePr>
    <w:tblStylePr w:type="lastRow">
      <w:pPr>
        <w:spacing w:before="0" w:after="0" w:line="240" w:lineRule="auto"/>
      </w:pPr>
      <w:rPr>
        <w:b/>
        <w:bCs/>
      </w:rPr>
      <w:tblPr/>
      <w:tcPr>
        <w:tcBorders>
          <w:top w:val="double" w:sz="6" w:space="0" w:color="B5C3C0" w:themeColor="accent6" w:themeTint="BF"/>
          <w:left w:val="single" w:sz="8" w:space="0" w:color="B5C3C0" w:themeColor="accent6" w:themeTint="BF"/>
          <w:bottom w:val="single" w:sz="8" w:space="0" w:color="B5C3C0" w:themeColor="accent6" w:themeTint="BF"/>
          <w:right w:val="single" w:sz="8" w:space="0" w:color="B5C3C0" w:themeColor="accent6" w:themeTint="BF"/>
          <w:insideH w:val="nil"/>
          <w:insideV w:val="nil"/>
        </w:tcBorders>
      </w:tcPr>
    </w:tblStylePr>
    <w:tblStylePr w:type="firstCol">
      <w:rPr>
        <w:b/>
        <w:bCs/>
      </w:rPr>
    </w:tblStylePr>
    <w:tblStylePr w:type="lastCol">
      <w:rPr>
        <w:b/>
        <w:bCs/>
      </w:rPr>
    </w:tblStylePr>
    <w:tblStylePr w:type="band1Vert">
      <w:tblPr/>
      <w:tcPr>
        <w:shd w:val="clear" w:color="auto" w:fill="E6EBEA" w:themeFill="accent6" w:themeFillTint="3F"/>
      </w:tcPr>
    </w:tblStylePr>
    <w:tblStylePr w:type="band1Horz">
      <w:tblPr/>
      <w:tcPr>
        <w:tcBorders>
          <w:insideH w:val="nil"/>
          <w:insideV w:val="nil"/>
        </w:tcBorders>
        <w:shd w:val="clear" w:color="auto" w:fill="E6EBEA"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98"/>
    <w:rsid w:val="00923EE1"/>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98"/>
    <w:rsid w:val="00923EE1"/>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004976"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4976" w:themeFill="accent1"/>
      </w:tcPr>
    </w:tblStylePr>
    <w:tblStylePr w:type="lastCol">
      <w:rPr>
        <w:b/>
        <w:bCs/>
        <w:color w:val="FFFFFF" w:themeColor="background1"/>
      </w:rPr>
      <w:tblPr/>
      <w:tcPr>
        <w:tcBorders>
          <w:left w:val="nil"/>
          <w:right w:val="nil"/>
          <w:insideH w:val="nil"/>
          <w:insideV w:val="nil"/>
        </w:tcBorders>
        <w:shd w:val="clear" w:color="auto" w:fill="004976"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98"/>
    <w:rsid w:val="00923EE1"/>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FFB500"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FB500" w:themeFill="accent2"/>
      </w:tcPr>
    </w:tblStylePr>
    <w:tblStylePr w:type="lastCol">
      <w:rPr>
        <w:b/>
        <w:bCs/>
        <w:color w:val="FFFFFF" w:themeColor="background1"/>
      </w:rPr>
      <w:tblPr/>
      <w:tcPr>
        <w:tcBorders>
          <w:left w:val="nil"/>
          <w:right w:val="nil"/>
          <w:insideH w:val="nil"/>
          <w:insideV w:val="nil"/>
        </w:tcBorders>
        <w:shd w:val="clear" w:color="auto" w:fill="FFB500"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98"/>
    <w:rsid w:val="00923EE1"/>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36573B"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36573B" w:themeFill="accent3"/>
      </w:tcPr>
    </w:tblStylePr>
    <w:tblStylePr w:type="lastCol">
      <w:rPr>
        <w:b/>
        <w:bCs/>
        <w:color w:val="FFFFFF" w:themeColor="background1"/>
      </w:rPr>
      <w:tblPr/>
      <w:tcPr>
        <w:tcBorders>
          <w:left w:val="nil"/>
          <w:right w:val="nil"/>
          <w:insideH w:val="nil"/>
          <w:insideV w:val="nil"/>
        </w:tcBorders>
        <w:shd w:val="clear" w:color="auto" w:fill="36573B"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98"/>
    <w:rsid w:val="00923EE1"/>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DC673B"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DC673B" w:themeFill="accent4"/>
      </w:tcPr>
    </w:tblStylePr>
    <w:tblStylePr w:type="lastCol">
      <w:rPr>
        <w:b/>
        <w:bCs/>
        <w:color w:val="FFFFFF" w:themeColor="background1"/>
      </w:rPr>
      <w:tblPr/>
      <w:tcPr>
        <w:tcBorders>
          <w:left w:val="nil"/>
          <w:right w:val="nil"/>
          <w:insideH w:val="nil"/>
          <w:insideV w:val="nil"/>
        </w:tcBorders>
        <w:shd w:val="clear" w:color="auto" w:fill="DC673B"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98"/>
    <w:rsid w:val="00923EE1"/>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B33D2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33D26" w:themeFill="accent5"/>
      </w:tcPr>
    </w:tblStylePr>
    <w:tblStylePr w:type="lastCol">
      <w:rPr>
        <w:b/>
        <w:bCs/>
        <w:color w:val="FFFFFF" w:themeColor="background1"/>
      </w:rPr>
      <w:tblPr/>
      <w:tcPr>
        <w:tcBorders>
          <w:left w:val="nil"/>
          <w:right w:val="nil"/>
          <w:insideH w:val="nil"/>
          <w:insideV w:val="nil"/>
        </w:tcBorders>
        <w:shd w:val="clear" w:color="auto" w:fill="B33D2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98"/>
    <w:rsid w:val="00923EE1"/>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9DB0AC"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DB0AC" w:themeFill="accent6"/>
      </w:tcPr>
    </w:tblStylePr>
    <w:tblStylePr w:type="lastCol">
      <w:rPr>
        <w:b/>
        <w:bCs/>
        <w:color w:val="FFFFFF" w:themeColor="background1"/>
      </w:rPr>
      <w:tblPr/>
      <w:tcPr>
        <w:tcBorders>
          <w:left w:val="nil"/>
          <w:right w:val="nil"/>
          <w:insideH w:val="nil"/>
          <w:insideV w:val="nil"/>
        </w:tcBorders>
        <w:shd w:val="clear" w:color="auto" w:fill="9DB0AC"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97"/>
    <w:semiHidden/>
    <w:rsid w:val="00923EE1"/>
    <w:pPr>
      <w:pBdr>
        <w:top w:val="single" w:sz="6" w:space="1" w:color="auto"/>
        <w:left w:val="single" w:sz="6" w:space="1" w:color="auto"/>
        <w:bottom w:val="single" w:sz="6" w:space="1" w:color="auto"/>
        <w:right w:val="single" w:sz="6" w:space="1" w:color="auto"/>
      </w:pBdr>
      <w:shd w:val="pct20" w:color="auto" w:fill="auto"/>
      <w:ind w:left="1134" w:hanging="1134"/>
    </w:pPr>
    <w:rPr>
      <w:rFonts w:eastAsiaTheme="majorEastAsia"/>
      <w:sz w:val="24"/>
    </w:rPr>
  </w:style>
  <w:style w:type="character" w:customStyle="1" w:styleId="MessageHeaderChar">
    <w:name w:val="Message Header Char"/>
    <w:basedOn w:val="DefaultParagraphFont"/>
    <w:link w:val="MessageHeader"/>
    <w:uiPriority w:val="97"/>
    <w:semiHidden/>
    <w:rsid w:val="00923EE1"/>
    <w:rPr>
      <w:rFonts w:asciiTheme="minorHAnsi" w:eastAsiaTheme="majorEastAsia" w:hAnsiTheme="minorHAnsi"/>
      <w:color w:val="000000" w:themeColor="text2"/>
      <w:sz w:val="24"/>
      <w:shd w:val="pct20" w:color="auto" w:fill="auto"/>
      <w:lang w:val="en-AU" w:eastAsia="ja-JP"/>
    </w:rPr>
  </w:style>
  <w:style w:type="paragraph" w:styleId="NoSpacing">
    <w:name w:val="No Spacing"/>
    <w:uiPriority w:val="1"/>
    <w:qFormat/>
    <w:rsid w:val="00923EE1"/>
    <w:pPr>
      <w:adjustRightInd w:val="0"/>
      <w:snapToGrid w:val="0"/>
    </w:pPr>
    <w:rPr>
      <w:rFonts w:asciiTheme="minorHAnsi" w:hAnsiTheme="minorHAnsi" w:cstheme="minorHAnsi"/>
      <w:kern w:val="20"/>
      <w:szCs w:val="24"/>
      <w:lang w:val="en-AU" w:eastAsia="zh-CN"/>
    </w:rPr>
  </w:style>
  <w:style w:type="paragraph" w:styleId="NormalWeb">
    <w:name w:val="Normal (Web)"/>
    <w:basedOn w:val="Normal"/>
    <w:uiPriority w:val="99"/>
    <w:rsid w:val="00923EE1"/>
    <w:rPr>
      <w:sz w:val="24"/>
    </w:rPr>
  </w:style>
  <w:style w:type="paragraph" w:styleId="NormalIndent">
    <w:name w:val="Normal Indent"/>
    <w:basedOn w:val="Normal"/>
    <w:uiPriority w:val="97"/>
    <w:semiHidden/>
    <w:rsid w:val="00923EE1"/>
    <w:pPr>
      <w:ind w:left="720"/>
    </w:pPr>
  </w:style>
  <w:style w:type="paragraph" w:styleId="NoteHeading">
    <w:name w:val="Note Heading"/>
    <w:basedOn w:val="Normal"/>
    <w:next w:val="Normal"/>
    <w:link w:val="NoteHeadingChar"/>
    <w:uiPriority w:val="97"/>
    <w:semiHidden/>
    <w:rsid w:val="00923EE1"/>
    <w:rPr>
      <w:rFonts w:asciiTheme="majorHAnsi" w:hAnsiTheme="majorHAnsi" w:cstheme="majorHAnsi"/>
    </w:rPr>
  </w:style>
  <w:style w:type="character" w:customStyle="1" w:styleId="NoteHeadingChar">
    <w:name w:val="Note Heading Char"/>
    <w:basedOn w:val="DefaultParagraphFont"/>
    <w:link w:val="NoteHeading"/>
    <w:uiPriority w:val="97"/>
    <w:semiHidden/>
    <w:rsid w:val="00923EE1"/>
    <w:rPr>
      <w:rFonts w:asciiTheme="majorHAnsi" w:eastAsia="MS Mincho" w:hAnsiTheme="majorHAnsi" w:cstheme="majorHAnsi"/>
      <w:color w:val="000000" w:themeColor="text2"/>
      <w:lang w:val="en-AU" w:eastAsia="ja-JP"/>
    </w:rPr>
  </w:style>
  <w:style w:type="character" w:styleId="PlaceholderText">
    <w:name w:val="Placeholder Text"/>
    <w:basedOn w:val="DefaultParagraphFont"/>
    <w:uiPriority w:val="11"/>
    <w:semiHidden/>
    <w:rsid w:val="00923EE1"/>
    <w:rPr>
      <w:rFonts w:asciiTheme="minorHAnsi" w:hAnsiTheme="minorHAnsi" w:cstheme="minorHAnsi"/>
      <w:color w:val="808080"/>
    </w:rPr>
  </w:style>
  <w:style w:type="paragraph" w:styleId="PlainText">
    <w:name w:val="Plain Text"/>
    <w:basedOn w:val="Normal"/>
    <w:link w:val="PlainTextChar"/>
    <w:uiPriority w:val="97"/>
    <w:semiHidden/>
    <w:rsid w:val="00923EE1"/>
    <w:rPr>
      <w:sz w:val="21"/>
      <w:szCs w:val="21"/>
    </w:rPr>
  </w:style>
  <w:style w:type="character" w:customStyle="1" w:styleId="PlainTextChar">
    <w:name w:val="Plain Text Char"/>
    <w:basedOn w:val="DefaultParagraphFont"/>
    <w:link w:val="PlainText"/>
    <w:uiPriority w:val="97"/>
    <w:semiHidden/>
    <w:rsid w:val="00923EE1"/>
    <w:rPr>
      <w:rFonts w:asciiTheme="minorHAnsi" w:eastAsia="MS Mincho" w:hAnsiTheme="minorHAnsi"/>
      <w:color w:val="000000" w:themeColor="text2"/>
      <w:sz w:val="21"/>
      <w:szCs w:val="21"/>
      <w:lang w:val="en-AU" w:eastAsia="ja-JP"/>
    </w:rPr>
  </w:style>
  <w:style w:type="paragraph" w:styleId="Salutation">
    <w:name w:val="Salutation"/>
    <w:basedOn w:val="Normal"/>
    <w:next w:val="Normal"/>
    <w:link w:val="SalutationChar"/>
    <w:uiPriority w:val="97"/>
    <w:semiHidden/>
    <w:rsid w:val="00923EE1"/>
  </w:style>
  <w:style w:type="character" w:customStyle="1" w:styleId="SalutationChar">
    <w:name w:val="Salutation Char"/>
    <w:basedOn w:val="DefaultParagraphFont"/>
    <w:link w:val="Salutation"/>
    <w:uiPriority w:val="97"/>
    <w:semiHidden/>
    <w:rsid w:val="00923EE1"/>
    <w:rPr>
      <w:rFonts w:asciiTheme="minorHAnsi" w:eastAsia="MS Mincho" w:hAnsiTheme="minorHAnsi"/>
      <w:color w:val="000000" w:themeColor="text2"/>
      <w:lang w:val="en-AU" w:eastAsia="ja-JP"/>
    </w:rPr>
  </w:style>
  <w:style w:type="paragraph" w:styleId="Signature">
    <w:name w:val="Signature"/>
    <w:basedOn w:val="Normal"/>
    <w:link w:val="SignatureChar"/>
    <w:uiPriority w:val="97"/>
    <w:semiHidden/>
    <w:rsid w:val="00923EE1"/>
    <w:pPr>
      <w:ind w:left="4252"/>
    </w:pPr>
  </w:style>
  <w:style w:type="character" w:customStyle="1" w:styleId="SignatureChar">
    <w:name w:val="Signature Char"/>
    <w:basedOn w:val="DefaultParagraphFont"/>
    <w:link w:val="Signature"/>
    <w:uiPriority w:val="97"/>
    <w:semiHidden/>
    <w:rsid w:val="00923EE1"/>
    <w:rPr>
      <w:rFonts w:asciiTheme="minorHAnsi" w:eastAsia="MS Mincho" w:hAnsiTheme="minorHAnsi"/>
      <w:color w:val="000000" w:themeColor="text2"/>
      <w:lang w:val="en-AU" w:eastAsia="ja-JP"/>
    </w:rPr>
  </w:style>
  <w:style w:type="character" w:styleId="Strong">
    <w:name w:val="Strong"/>
    <w:basedOn w:val="DefaultParagraphFont"/>
    <w:uiPriority w:val="22"/>
    <w:qFormat/>
    <w:rsid w:val="00923EE1"/>
    <w:rPr>
      <w:rFonts w:asciiTheme="minorHAnsi" w:hAnsiTheme="minorHAnsi" w:cstheme="minorHAnsi"/>
      <w:b/>
      <w:bCs/>
    </w:rPr>
  </w:style>
  <w:style w:type="paragraph" w:styleId="Subtitle">
    <w:name w:val="Subtitle"/>
    <w:basedOn w:val="Normal"/>
    <w:next w:val="Normal"/>
    <w:link w:val="SubtitleChar"/>
    <w:uiPriority w:val="97"/>
    <w:semiHidden/>
    <w:rsid w:val="00923EE1"/>
    <w:pPr>
      <w:numPr>
        <w:ilvl w:val="1"/>
      </w:numPr>
    </w:pPr>
    <w:rPr>
      <w:rFonts w:eastAsiaTheme="majorEastAsia"/>
      <w:i/>
      <w:iCs/>
      <w:color w:val="004976" w:themeColor="accent1"/>
      <w:spacing w:val="15"/>
      <w:sz w:val="24"/>
    </w:rPr>
  </w:style>
  <w:style w:type="character" w:customStyle="1" w:styleId="SubtitleChar">
    <w:name w:val="Subtitle Char"/>
    <w:basedOn w:val="DefaultParagraphFont"/>
    <w:link w:val="Subtitle"/>
    <w:uiPriority w:val="97"/>
    <w:semiHidden/>
    <w:rsid w:val="00923EE1"/>
    <w:rPr>
      <w:rFonts w:asciiTheme="minorHAnsi" w:eastAsiaTheme="majorEastAsia" w:hAnsiTheme="minorHAnsi"/>
      <w:i/>
      <w:iCs/>
      <w:color w:val="004976" w:themeColor="accent1"/>
      <w:spacing w:val="15"/>
      <w:sz w:val="24"/>
      <w:lang w:val="en-AU" w:eastAsia="ja-JP"/>
    </w:rPr>
  </w:style>
  <w:style w:type="character" w:styleId="SubtleEmphasis">
    <w:name w:val="Subtle Emphasis"/>
    <w:basedOn w:val="DefaultParagraphFont"/>
    <w:uiPriority w:val="97"/>
    <w:semiHidden/>
    <w:rsid w:val="00923EE1"/>
    <w:rPr>
      <w:rFonts w:asciiTheme="minorHAnsi" w:hAnsiTheme="minorHAnsi" w:cstheme="minorHAnsi"/>
      <w:i/>
      <w:iCs/>
      <w:color w:val="808080" w:themeColor="text1" w:themeTint="7F"/>
    </w:rPr>
  </w:style>
  <w:style w:type="character" w:styleId="SubtleReference">
    <w:name w:val="Subtle Reference"/>
    <w:basedOn w:val="DefaultParagraphFont"/>
    <w:uiPriority w:val="97"/>
    <w:semiHidden/>
    <w:rsid w:val="00923EE1"/>
    <w:rPr>
      <w:rFonts w:asciiTheme="minorHAnsi" w:hAnsiTheme="minorHAnsi" w:cstheme="minorHAnsi"/>
      <w:smallCaps/>
      <w:color w:val="FFB500" w:themeColor="accent2"/>
      <w:u w:val="single"/>
    </w:rPr>
  </w:style>
  <w:style w:type="table" w:styleId="Table3Deffects1">
    <w:name w:val="Table 3D effects 1"/>
    <w:basedOn w:val="TableNormal"/>
    <w:uiPriority w:val="98"/>
    <w:rsid w:val="00923EE1"/>
    <w:pPr>
      <w:adjustRightInd w:val="0"/>
      <w:snapToGrid w:val="0"/>
      <w:spacing w:after="80" w:line="240" w:lineRule="atLeast"/>
    </w:pPr>
    <w:tblPr/>
    <w:tcPr>
      <w:shd w:val="solid" w:color="C0C0C0" w:fill="FFFFFF"/>
      <w:tcMar>
        <w:top w:w="57" w:type="dxa"/>
        <w:left w:w="57" w:type="dxa"/>
        <w:bottom w:w="57" w:type="dxa"/>
        <w:right w:w="57" w:type="dxa"/>
      </w:tcMar>
    </w:tcPr>
    <w:tblStylePr w:type="firstRow">
      <w:rPr>
        <w:rFonts w:asciiTheme="majorHAnsi" w:hAnsiTheme="majorHAnsi" w:cstheme="majorHAnsi"/>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8"/>
    <w:rsid w:val="00923EE1"/>
    <w:pPr>
      <w:adjustRightInd w:val="0"/>
      <w:snapToGrid w:val="0"/>
      <w:spacing w:after="80" w:line="240" w:lineRule="atLeast"/>
    </w:pPr>
    <w:tblPr>
      <w:tblStyleRowBandSize w:val="1"/>
    </w:tblPr>
    <w:tcPr>
      <w:shd w:val="solid" w:color="C0C0C0" w:fill="FFFFFF"/>
      <w:tcMar>
        <w:top w:w="57" w:type="dxa"/>
        <w:left w:w="57" w:type="dxa"/>
        <w:bottom w:w="57" w:type="dxa"/>
        <w:right w:w="57" w:type="dxa"/>
      </w:tcMar>
    </w:tcPr>
    <w:tblStylePr w:type="firstRow">
      <w:rPr>
        <w:rFonts w:asciiTheme="majorHAnsi" w:hAnsiTheme="majorHAnsi" w:cstheme="majorHAnsi"/>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8"/>
    <w:rsid w:val="00923EE1"/>
    <w:pPr>
      <w:adjustRightInd w:val="0"/>
      <w:snapToGrid w:val="0"/>
      <w:spacing w:after="80" w:line="240" w:lineRule="atLeast"/>
    </w:pPr>
    <w:tblPr>
      <w:tblStyleRowBandSize w:val="1"/>
      <w:tblStyleColBandSize w:val="1"/>
    </w:tblPr>
    <w:tcPr>
      <w:tcMar>
        <w:top w:w="57" w:type="dxa"/>
        <w:left w:w="57" w:type="dxa"/>
        <w:bottom w:w="57" w:type="dxa"/>
        <w:right w:w="57" w:type="dxa"/>
      </w:tcMar>
    </w:tcPr>
    <w:tblStylePr w:type="firstRow">
      <w:rPr>
        <w:rFonts w:asciiTheme="majorHAnsi" w:hAnsiTheme="majorHAnsi" w:cstheme="majorHAnsi"/>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8"/>
    <w:rsid w:val="00923EE1"/>
    <w:pPr>
      <w:adjustRightInd w:val="0"/>
      <w:snapToGrid w:val="0"/>
      <w:spacing w:after="80" w:line="240" w:lineRule="atLeast"/>
    </w:pPr>
    <w:tblPr>
      <w:tblBorders>
        <w:top w:val="single" w:sz="12" w:space="0" w:color="000000"/>
        <w:bottom w:val="single" w:sz="12"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8"/>
    <w:rsid w:val="00923EE1"/>
    <w:pPr>
      <w:adjustRightInd w:val="0"/>
      <w:snapToGrid w:val="0"/>
      <w:spacing w:after="80" w:line="240" w:lineRule="atLeast"/>
    </w:pPr>
    <w:tblPr>
      <w:tblBorders>
        <w:top w:val="single" w:sz="12" w:space="0" w:color="000000"/>
        <w:bottom w:val="single" w:sz="12"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8"/>
    <w:rsid w:val="00923EE1"/>
    <w:pPr>
      <w:adjustRightInd w:val="0"/>
      <w:snapToGrid w:val="0"/>
      <w:spacing w:after="80" w:line="240" w:lineRule="atLeast"/>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Mar>
        <w:top w:w="57" w:type="dxa"/>
        <w:left w:w="57" w:type="dxa"/>
        <w:bottom w:w="57" w:type="dxa"/>
        <w:right w:w="57" w:type="dxa"/>
      </w:tcMar>
    </w:tcPr>
    <w:tblStylePr w:type="firstRow">
      <w:rPr>
        <w:rFonts w:asciiTheme="majorHAnsi" w:hAnsiTheme="majorHAnsi" w:cstheme="majorHAnsi"/>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8"/>
    <w:rsid w:val="00923EE1"/>
    <w:pPr>
      <w:adjustRightInd w:val="0"/>
      <w:snapToGrid w:val="0"/>
      <w:spacing w:after="80" w:line="240" w:lineRule="atLeast"/>
    </w:pPr>
    <w:tblPr>
      <w:tblBorders>
        <w:top w:val="single" w:sz="12" w:space="0" w:color="000000"/>
        <w:left w:val="single" w:sz="6" w:space="0" w:color="000000"/>
        <w:bottom w:val="single" w:sz="12" w:space="0" w:color="000000"/>
        <w:right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8"/>
    <w:rsid w:val="00923EE1"/>
    <w:pPr>
      <w:adjustRightInd w:val="0"/>
      <w:snapToGrid w:val="0"/>
      <w:spacing w:after="80" w:line="240" w:lineRule="atLeast"/>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Mar>
        <w:top w:w="57" w:type="dxa"/>
        <w:left w:w="57" w:type="dxa"/>
        <w:bottom w:w="57" w:type="dxa"/>
        <w:right w:w="57" w:type="dxa"/>
      </w:tcMar>
    </w:tcPr>
    <w:tblStylePr w:type="firstRow">
      <w:rPr>
        <w:rFonts w:asciiTheme="majorHAnsi" w:hAnsiTheme="majorHAnsi" w:cstheme="majorHAnsi"/>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8"/>
    <w:rsid w:val="00923EE1"/>
    <w:pPr>
      <w:adjustRightInd w:val="0"/>
      <w:snapToGrid w:val="0"/>
      <w:spacing w:after="80" w:line="240" w:lineRule="atLeast"/>
    </w:pPr>
    <w:tblPr>
      <w:tblBorders>
        <w:bottom w:val="single" w:sz="12" w:space="0" w:color="000000"/>
      </w:tblBorders>
    </w:tblPr>
    <w:tcPr>
      <w:shd w:val="pct20" w:color="FFFF00" w:fill="FFFFFF"/>
      <w:tcMar>
        <w:top w:w="57" w:type="dxa"/>
        <w:left w:w="57" w:type="dxa"/>
        <w:bottom w:w="57" w:type="dxa"/>
        <w:right w:w="57" w:type="dxa"/>
      </w:tcMar>
    </w:tcPr>
    <w:tblStylePr w:type="firstRow">
      <w:rPr>
        <w:rFonts w:asciiTheme="majorHAnsi" w:hAnsiTheme="majorHAnsi" w:cstheme="majorHAnsi"/>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8"/>
    <w:rsid w:val="00923EE1"/>
    <w:pPr>
      <w:adjustRightInd w:val="0"/>
      <w:snapToGrid w:val="0"/>
      <w:spacing w:after="80" w:line="240" w:lineRule="atLeast"/>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Mar>
        <w:top w:w="57" w:type="dxa"/>
        <w:left w:w="57" w:type="dxa"/>
        <w:bottom w:w="57" w:type="dxa"/>
        <w:right w:w="57" w:type="dxa"/>
      </w:tcMar>
    </w:tcPr>
    <w:tblStylePr w:type="firstRow">
      <w:rPr>
        <w:rFonts w:asciiTheme="majorHAnsi" w:hAnsiTheme="majorHAnsi" w:cstheme="majorHAnsi"/>
      </w:rPr>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8"/>
    <w:rsid w:val="00923EE1"/>
    <w:pPr>
      <w:adjustRightInd w:val="0"/>
      <w:snapToGrid w:val="0"/>
      <w:spacing w:after="80" w:line="240" w:lineRule="atLeast"/>
    </w:pPr>
    <w:rPr>
      <w:b/>
      <w:bCs/>
    </w:rPr>
    <w:tblPr>
      <w:tblStyleColBandSize w:val="1"/>
      <w:tblBorders>
        <w:top w:val="single" w:sz="12" w:space="0" w:color="000000"/>
        <w:left w:val="single" w:sz="12" w:space="0" w:color="000000"/>
        <w:bottom w:val="single" w:sz="12" w:space="0" w:color="000000"/>
        <w:right w:val="single" w:sz="12" w:space="0" w:color="000000"/>
      </w:tblBorders>
    </w:tblPr>
    <w:tcPr>
      <w:tcMar>
        <w:top w:w="57" w:type="dxa"/>
        <w:left w:w="57" w:type="dxa"/>
        <w:bottom w:w="57" w:type="dxa"/>
        <w:right w:w="57" w:type="dxa"/>
      </w:tcMar>
    </w:tcPr>
    <w:tblStylePr w:type="firstRow">
      <w:rPr>
        <w:rFonts w:asciiTheme="majorHAnsi" w:hAnsiTheme="majorHAnsi" w:cstheme="majorHAnsi"/>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8"/>
    <w:rsid w:val="00923EE1"/>
    <w:pPr>
      <w:adjustRightInd w:val="0"/>
      <w:snapToGrid w:val="0"/>
      <w:spacing w:after="80" w:line="240" w:lineRule="atLeast"/>
    </w:pPr>
    <w:rPr>
      <w:b/>
      <w:bCs/>
    </w:rPr>
    <w:tblPr>
      <w:tblStyleColBandSize w:val="1"/>
    </w:tblPr>
    <w:tcPr>
      <w:tcMar>
        <w:top w:w="57" w:type="dxa"/>
        <w:left w:w="57" w:type="dxa"/>
        <w:bottom w:w="57" w:type="dxa"/>
        <w:right w:w="57" w:type="dxa"/>
      </w:tcMar>
    </w:tcPr>
    <w:tblStylePr w:type="firstRow">
      <w:rPr>
        <w:rFonts w:asciiTheme="majorHAnsi" w:hAnsiTheme="majorHAnsi" w:cstheme="majorHAnsi"/>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8"/>
    <w:rsid w:val="00923EE1"/>
    <w:pPr>
      <w:adjustRightInd w:val="0"/>
      <w:snapToGrid w:val="0"/>
      <w:spacing w:after="80" w:line="240" w:lineRule="atLeast"/>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cPr>
      <w:tcMar>
        <w:top w:w="57" w:type="dxa"/>
        <w:left w:w="57" w:type="dxa"/>
        <w:bottom w:w="57" w:type="dxa"/>
        <w:right w:w="57" w:type="dxa"/>
      </w:tcMar>
    </w:tcPr>
    <w:tblStylePr w:type="firstRow">
      <w:rPr>
        <w:rFonts w:asciiTheme="majorHAnsi" w:hAnsiTheme="majorHAnsi" w:cstheme="majorHAnsi"/>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8"/>
    <w:rsid w:val="00923EE1"/>
    <w:pPr>
      <w:adjustRightInd w:val="0"/>
      <w:snapToGrid w:val="0"/>
      <w:spacing w:after="80" w:line="240" w:lineRule="atLeast"/>
    </w:pPr>
    <w:tblPr>
      <w:tblStyleColBandSize w:val="1"/>
    </w:tblPr>
    <w:tcPr>
      <w:tcMar>
        <w:top w:w="57" w:type="dxa"/>
        <w:left w:w="57" w:type="dxa"/>
        <w:bottom w:w="57" w:type="dxa"/>
        <w:right w:w="57" w:type="dxa"/>
      </w:tcMar>
    </w:tcPr>
    <w:tblStylePr w:type="firstRow">
      <w:rPr>
        <w:rFonts w:asciiTheme="majorHAnsi" w:hAnsiTheme="majorHAnsi" w:cstheme="majorHAnsi"/>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8"/>
    <w:rsid w:val="00923EE1"/>
    <w:pPr>
      <w:adjustRightInd w:val="0"/>
      <w:snapToGrid w:val="0"/>
      <w:spacing w:after="80" w:line="240" w:lineRule="atLeast"/>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cPr>
      <w:tcMar>
        <w:top w:w="57" w:type="dxa"/>
        <w:left w:w="57" w:type="dxa"/>
        <w:bottom w:w="57" w:type="dxa"/>
        <w:right w:w="57" w:type="dxa"/>
      </w:tcMar>
    </w:tcPr>
    <w:tblStylePr w:type="firstRow">
      <w:rPr>
        <w:rFonts w:asciiTheme="majorHAnsi" w:hAnsiTheme="majorHAnsi" w:cstheme="majorHAnsi"/>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8"/>
    <w:rsid w:val="00923EE1"/>
    <w:pPr>
      <w:adjustRightInd w:val="0"/>
      <w:snapToGrid w:val="0"/>
      <w:spacing w:after="80" w:line="240" w:lineRule="atLeast"/>
    </w:pPr>
    <w:tblPr>
      <w:tblStyleRowBandSize w:val="1"/>
      <w:tblBorders>
        <w:insideH w:val="single" w:sz="18" w:space="0" w:color="FFFFFF"/>
        <w:insideV w:val="single" w:sz="18" w:space="0" w:color="FFFFFF"/>
      </w:tblBorders>
    </w:tblPr>
    <w:tcPr>
      <w:tcMar>
        <w:top w:w="57" w:type="dxa"/>
        <w:left w:w="57" w:type="dxa"/>
        <w:bottom w:w="57" w:type="dxa"/>
        <w:right w:w="57" w:type="dxa"/>
      </w:tcMar>
    </w:tcPr>
    <w:tblStylePr w:type="firstRow">
      <w:rPr>
        <w:rFonts w:asciiTheme="majorHAnsi" w:hAnsiTheme="majorHAnsi" w:cstheme="majorHAnsi"/>
        <w:b/>
        <w:bCs/>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8"/>
    <w:rsid w:val="00923EE1"/>
    <w:pPr>
      <w:adjustRightInd w:val="0"/>
      <w:snapToGrid w:val="0"/>
      <w:spacing w:after="80" w:line="240" w:lineRule="atLeast"/>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caps/>
      </w:rPr>
      <w:tblPr/>
      <w:tcPr>
        <w:tcBorders>
          <w:tl2br w:val="none" w:sz="0" w:space="0" w:color="auto"/>
          <w:tr2bl w:val="none" w:sz="0" w:space="0" w:color="auto"/>
        </w:tcBorders>
      </w:tcPr>
    </w:tblStylePr>
  </w:style>
  <w:style w:type="table" w:styleId="TableGrid1">
    <w:name w:val="Table Grid 1"/>
    <w:basedOn w:val="TableNormal"/>
    <w:uiPriority w:val="98"/>
    <w:rsid w:val="00923EE1"/>
    <w:pPr>
      <w:adjustRightInd w:val="0"/>
      <w:snapToGrid w:val="0"/>
      <w:spacing w:after="80" w:line="24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r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8"/>
    <w:rsid w:val="00923EE1"/>
    <w:pPr>
      <w:adjustRightInd w:val="0"/>
      <w:snapToGrid w:val="0"/>
      <w:spacing w:after="80" w:line="240" w:lineRule="atLeast"/>
    </w:pPr>
    <w:tblPr>
      <w:tblBorders>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8"/>
    <w:rsid w:val="00923EE1"/>
    <w:pPr>
      <w:adjustRightInd w:val="0"/>
      <w:snapToGrid w:val="0"/>
      <w:spacing w:after="80" w:line="240" w:lineRule="atLeast"/>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rPr>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8"/>
    <w:rsid w:val="00923EE1"/>
    <w:pPr>
      <w:adjustRightInd w:val="0"/>
      <w:snapToGrid w:val="0"/>
      <w:spacing w:after="80" w:line="240" w:lineRule="atLeast"/>
    </w:pPr>
    <w:tblPr>
      <w:tblBorders>
        <w:left w:val="single" w:sz="12" w:space="0" w:color="000000"/>
        <w:right w:val="single" w:sz="12"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8"/>
    <w:rsid w:val="00923EE1"/>
    <w:pPr>
      <w:adjustRightInd w:val="0"/>
      <w:snapToGrid w:val="0"/>
      <w:spacing w:after="80" w:line="240" w:lineRule="atLeast"/>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rPr>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8"/>
    <w:rsid w:val="00923EE1"/>
    <w:pPr>
      <w:adjustRightInd w:val="0"/>
      <w:snapToGrid w:val="0"/>
      <w:spacing w:after="80" w:line="240" w:lineRule="atLeast"/>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8"/>
    <w:rsid w:val="00923EE1"/>
    <w:pPr>
      <w:adjustRightInd w:val="0"/>
      <w:snapToGrid w:val="0"/>
      <w:spacing w:after="80" w:line="240" w:lineRule="atLeast"/>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8"/>
    <w:rsid w:val="00923EE1"/>
    <w:pPr>
      <w:adjustRightInd w:val="0"/>
      <w:snapToGrid w:val="0"/>
      <w:spacing w:after="80" w:line="240" w:lineRule="atLeast"/>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Mar>
        <w:top w:w="57" w:type="dxa"/>
        <w:left w:w="57" w:type="dxa"/>
        <w:bottom w:w="57" w:type="dxa"/>
        <w:right w:w="57" w:type="dxa"/>
      </w:tcMar>
    </w:tcPr>
    <w:tblStylePr w:type="firstRow">
      <w:rPr>
        <w:rFonts w:asciiTheme="majorHAnsi" w:hAnsiTheme="majorHAnsi" w:cstheme="majorHAnsi"/>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8"/>
    <w:rsid w:val="00923EE1"/>
    <w:pPr>
      <w:adjustRightInd w:val="0"/>
      <w:snapToGrid w:val="0"/>
      <w:spacing w:after="80" w:line="240" w:lineRule="atLeast"/>
    </w:pPr>
    <w:tblPr>
      <w:tblStyleRowBandSize w:val="1"/>
      <w:tblBorders>
        <w:top w:val="single" w:sz="12" w:space="0" w:color="008080"/>
        <w:left w:val="single" w:sz="6" w:space="0" w:color="008080"/>
        <w:bottom w:val="single" w:sz="12" w:space="0" w:color="008080"/>
        <w:right w:val="single" w:sz="6" w:space="0" w:color="008080"/>
      </w:tblBorders>
    </w:tblPr>
    <w:tcPr>
      <w:tcMar>
        <w:top w:w="57" w:type="dxa"/>
        <w:left w:w="57" w:type="dxa"/>
        <w:bottom w:w="57" w:type="dxa"/>
        <w:right w:w="57" w:type="dxa"/>
      </w:tcMar>
    </w:tcPr>
    <w:tblStylePr w:type="firstRow">
      <w:rPr>
        <w:rFonts w:asciiTheme="majorHAnsi" w:hAnsiTheme="majorHAnsi" w:cstheme="majorHAnsi"/>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8"/>
    <w:rsid w:val="00923EE1"/>
    <w:pPr>
      <w:adjustRightInd w:val="0"/>
      <w:snapToGrid w:val="0"/>
      <w:spacing w:after="80" w:line="240" w:lineRule="atLeast"/>
    </w:pPr>
    <w:tblPr>
      <w:tblStyleRowBandSize w:val="2"/>
      <w:tblBorders>
        <w:bottom w:val="single" w:sz="12" w:space="0" w:color="808080"/>
      </w:tblBorders>
    </w:tblPr>
    <w:tcPr>
      <w:tcMar>
        <w:top w:w="57" w:type="dxa"/>
        <w:left w:w="57" w:type="dxa"/>
        <w:bottom w:w="57" w:type="dxa"/>
        <w:right w:w="57" w:type="dxa"/>
      </w:tcMar>
    </w:tcPr>
    <w:tblStylePr w:type="firstRow">
      <w:rPr>
        <w:rFonts w:asciiTheme="majorHAnsi" w:hAnsiTheme="majorHAnsi" w:cstheme="majorHAnsi"/>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8"/>
    <w:rsid w:val="00923EE1"/>
    <w:pPr>
      <w:adjustRightInd w:val="0"/>
      <w:snapToGrid w:val="0"/>
      <w:spacing w:after="80" w:line="240" w:lineRule="atLeast"/>
    </w:pPr>
    <w:tblPr>
      <w:tblBorders>
        <w:top w:val="single" w:sz="12" w:space="0" w:color="000000"/>
        <w:bottom w:val="single" w:sz="12" w:space="0" w:color="000000"/>
        <w:insideH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8"/>
    <w:rsid w:val="00923EE1"/>
    <w:pPr>
      <w:adjustRightInd w:val="0"/>
      <w:snapToGrid w:val="0"/>
      <w:spacing w:after="80" w:line="240" w:lineRule="atLeast"/>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8"/>
    <w:rsid w:val="00923EE1"/>
    <w:pPr>
      <w:adjustRightInd w:val="0"/>
      <w:snapToGrid w:val="0"/>
      <w:spacing w:after="80" w:line="240" w:lineRule="atLeast"/>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8"/>
    <w:rsid w:val="00923EE1"/>
    <w:pPr>
      <w:adjustRightInd w:val="0"/>
      <w:snapToGrid w:val="0"/>
      <w:spacing w:after="80" w:line="240" w:lineRule="atLeast"/>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Mar>
        <w:top w:w="57" w:type="dxa"/>
        <w:left w:w="57" w:type="dxa"/>
        <w:bottom w:w="57" w:type="dxa"/>
        <w:right w:w="57" w:type="dxa"/>
      </w:tcMar>
    </w:tcPr>
    <w:tblStylePr w:type="firstRow">
      <w:rPr>
        <w:rFonts w:asciiTheme="majorHAnsi" w:hAnsiTheme="majorHAnsi" w:cstheme="majorHAnsi"/>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8"/>
    <w:rsid w:val="00923EE1"/>
    <w:pPr>
      <w:adjustRightInd w:val="0"/>
      <w:snapToGrid w:val="0"/>
      <w:spacing w:after="80" w:line="240" w:lineRule="atLeast"/>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cPr>
      <w:tcMar>
        <w:top w:w="57" w:type="dxa"/>
        <w:left w:w="57" w:type="dxa"/>
        <w:bottom w:w="57" w:type="dxa"/>
        <w:right w:w="57" w:type="dxa"/>
      </w:tcMar>
    </w:tcPr>
    <w:tblStylePr w:type="firstRow">
      <w:rPr>
        <w:rFonts w:asciiTheme="majorHAnsi" w:hAnsiTheme="majorHAnsi" w:cstheme="majorHAnsi"/>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8"/>
    <w:rsid w:val="00923EE1"/>
    <w:pPr>
      <w:adjustRightInd w:val="0"/>
      <w:snapToGrid w:val="0"/>
      <w:spacing w:after="80" w:line="240" w:lineRule="atLeast"/>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cPr>
      <w:tcMar>
        <w:top w:w="57" w:type="dxa"/>
        <w:left w:w="57" w:type="dxa"/>
        <w:bottom w:w="57" w:type="dxa"/>
        <w:right w:w="57" w:type="dxa"/>
      </w:tcMar>
    </w:tcPr>
    <w:tblStylePr w:type="firstRow">
      <w:rPr>
        <w:rFonts w:asciiTheme="majorHAnsi" w:hAnsiTheme="majorHAnsi" w:cstheme="majorHAnsi"/>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7"/>
    <w:semiHidden/>
    <w:rsid w:val="00923EE1"/>
    <w:pPr>
      <w:ind w:left="200" w:hanging="200"/>
    </w:pPr>
  </w:style>
  <w:style w:type="paragraph" w:styleId="TableofFigures">
    <w:name w:val="table of figures"/>
    <w:basedOn w:val="Normal"/>
    <w:next w:val="Normal"/>
    <w:uiPriority w:val="99"/>
    <w:rsid w:val="00923EE1"/>
    <w:rPr>
      <w:rFonts w:cstheme="minorHAnsi"/>
      <w:i/>
      <w:iCs/>
      <w:sz w:val="20"/>
    </w:rPr>
  </w:style>
  <w:style w:type="table" w:styleId="TableProfessional">
    <w:name w:val="Table Professional"/>
    <w:basedOn w:val="TableNormal"/>
    <w:uiPriority w:val="98"/>
    <w:rsid w:val="00923EE1"/>
    <w:pPr>
      <w:adjustRightInd w:val="0"/>
      <w:snapToGrid w:val="0"/>
      <w:spacing w:after="80" w:line="24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8"/>
    <w:rsid w:val="00923EE1"/>
    <w:pPr>
      <w:adjustRightInd w:val="0"/>
      <w:snapToGrid w:val="0"/>
      <w:spacing w:after="80" w:line="240" w:lineRule="atLeast"/>
    </w:pPr>
    <w:tblPr>
      <w:tblBorders>
        <w:top w:val="single" w:sz="12" w:space="0" w:color="008000"/>
        <w:bottom w:val="single" w:sz="12" w:space="0" w:color="008000"/>
      </w:tblBorders>
    </w:tblPr>
    <w:tcPr>
      <w:shd w:val="clear" w:color="auto" w:fill="auto"/>
      <w:tcMar>
        <w:top w:w="57" w:type="dxa"/>
        <w:left w:w="57" w:type="dxa"/>
        <w:bottom w:w="57" w:type="dxa"/>
        <w:right w:w="57" w:type="dxa"/>
      </w:tcMar>
    </w:tcPr>
    <w:tblStylePr w:type="firstRow">
      <w:rPr>
        <w:rFonts w:asciiTheme="majorHAnsi" w:hAnsiTheme="majorHAnsi" w:cstheme="majorHAnsi"/>
      </w:rPr>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8"/>
    <w:rsid w:val="00923EE1"/>
    <w:pPr>
      <w:adjustRightInd w:val="0"/>
      <w:snapToGrid w:val="0"/>
      <w:spacing w:after="80" w:line="240" w:lineRule="atLeast"/>
    </w:pPr>
    <w:tblPr/>
    <w:tcPr>
      <w:tcMar>
        <w:top w:w="57" w:type="dxa"/>
        <w:left w:w="57" w:type="dxa"/>
        <w:bottom w:w="57" w:type="dxa"/>
        <w:right w:w="57" w:type="dxa"/>
      </w:tcMar>
    </w:tcPr>
    <w:tblStylePr w:type="firstRow">
      <w:rPr>
        <w:rFonts w:asciiTheme="majorHAnsi" w:hAnsiTheme="majorHAnsi" w:cstheme="majorHAnsi"/>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8"/>
    <w:rsid w:val="00923EE1"/>
    <w:pPr>
      <w:adjustRightInd w:val="0"/>
      <w:snapToGrid w:val="0"/>
      <w:spacing w:after="80" w:line="240" w:lineRule="atLeast"/>
    </w:pPr>
    <w:tblPr>
      <w:tblBorders>
        <w:top w:val="single" w:sz="12" w:space="0" w:color="000000"/>
        <w:left w:val="single" w:sz="12" w:space="0" w:color="000000"/>
        <w:bottom w:val="single" w:sz="12" w:space="0" w:color="000000"/>
        <w:right w:val="single" w:sz="12"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8"/>
    <w:rsid w:val="00923EE1"/>
    <w:pPr>
      <w:adjustRightInd w:val="0"/>
      <w:snapToGrid w:val="0"/>
      <w:spacing w:after="80" w:line="240" w:lineRule="atLeast"/>
    </w:pPr>
    <w:tblPr>
      <w:tblStyleRowBandSize w:val="1"/>
    </w:tblPr>
    <w:tcPr>
      <w:tcMar>
        <w:top w:w="57" w:type="dxa"/>
        <w:left w:w="57" w:type="dxa"/>
        <w:bottom w:w="57" w:type="dxa"/>
        <w:right w:w="57" w:type="dxa"/>
      </w:tcMar>
    </w:tcPr>
    <w:tblStylePr w:type="firstRow">
      <w:rPr>
        <w:rFonts w:asciiTheme="majorHAnsi" w:hAnsiTheme="majorHAnsi" w:cstheme="majorHAnsi"/>
      </w:rPr>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8"/>
    <w:rsid w:val="00923EE1"/>
    <w:pPr>
      <w:adjustRightInd w:val="0"/>
      <w:snapToGrid w:val="0"/>
      <w:spacing w:after="80" w:line="240" w:lineRule="atLeast"/>
    </w:pPr>
    <w:tblPr>
      <w:tblBorders>
        <w:left w:val="single" w:sz="6" w:space="0" w:color="000000"/>
        <w:right w:val="single" w:sz="6" w:space="0" w:color="000000"/>
      </w:tblBorders>
    </w:tblPr>
    <w:tcPr>
      <w:tcMar>
        <w:top w:w="57" w:type="dxa"/>
        <w:left w:w="57" w:type="dxa"/>
        <w:bottom w:w="57" w:type="dxa"/>
        <w:right w:w="57" w:type="dxa"/>
      </w:tcMar>
    </w:tcPr>
    <w:tblStylePr w:type="firstRow">
      <w:rPr>
        <w:rFonts w:asciiTheme="majorHAnsi" w:hAnsiTheme="majorHAnsi" w:cstheme="majorHAnsi"/>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8"/>
    <w:rsid w:val="00923EE1"/>
    <w:pPr>
      <w:adjustRightInd w:val="0"/>
      <w:snapToGrid w:val="0"/>
      <w:spacing w:after="80"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tcMar>
        <w:top w:w="57" w:type="dxa"/>
        <w:left w:w="57" w:type="dxa"/>
        <w:bottom w:w="57" w:type="dxa"/>
        <w:right w:w="57" w:type="dxa"/>
      </w:tcMar>
    </w:tcPr>
    <w:tblStylePr w:type="firstRow">
      <w:rPr>
        <w:rFonts w:asciiTheme="majorHAnsi" w:hAnsiTheme="majorHAnsi" w:cstheme="majorHAnsi"/>
      </w:rPr>
    </w:tblStylePr>
  </w:style>
  <w:style w:type="table" w:styleId="TableWeb1">
    <w:name w:val="Table Web 1"/>
    <w:basedOn w:val="TableNormal"/>
    <w:uiPriority w:val="98"/>
    <w:rsid w:val="00923EE1"/>
    <w:pPr>
      <w:adjustRightInd w:val="0"/>
      <w:snapToGrid w:val="0"/>
      <w:spacing w:after="80" w:line="240" w:lineRule="atLeast"/>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Mar>
        <w:top w:w="57" w:type="dxa"/>
        <w:left w:w="57" w:type="dxa"/>
        <w:bottom w:w="57" w:type="dxa"/>
        <w:right w:w="57" w:type="dxa"/>
      </w:tcMar>
    </w:tcPr>
    <w:tblStylePr w:type="firstRow">
      <w:rPr>
        <w:rFonts w:asciiTheme="majorHAnsi" w:hAnsiTheme="majorHAnsi" w:cstheme="majorHAnsi"/>
      </w:rPr>
      <w:tblPr/>
      <w:tcPr>
        <w:tcBorders>
          <w:tl2br w:val="none" w:sz="0" w:space="0" w:color="auto"/>
          <w:tr2bl w:val="none" w:sz="0" w:space="0" w:color="auto"/>
        </w:tcBorders>
      </w:tcPr>
    </w:tblStylePr>
  </w:style>
  <w:style w:type="table" w:styleId="TableWeb2">
    <w:name w:val="Table Web 2"/>
    <w:basedOn w:val="TableNormal"/>
    <w:uiPriority w:val="98"/>
    <w:rsid w:val="00923EE1"/>
    <w:pPr>
      <w:adjustRightInd w:val="0"/>
      <w:snapToGrid w:val="0"/>
      <w:spacing w:after="80" w:line="240" w:lineRule="atLeast"/>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Mar>
        <w:top w:w="57" w:type="dxa"/>
        <w:left w:w="57" w:type="dxa"/>
        <w:bottom w:w="57" w:type="dxa"/>
        <w:right w:w="57" w:type="dxa"/>
      </w:tcMar>
    </w:tcPr>
    <w:tblStylePr w:type="firstRow">
      <w:rPr>
        <w:rFonts w:asciiTheme="majorHAnsi" w:hAnsiTheme="majorHAnsi" w:cstheme="majorHAnsi"/>
      </w:rPr>
      <w:tblPr/>
      <w:tcPr>
        <w:tcBorders>
          <w:tl2br w:val="none" w:sz="0" w:space="0" w:color="auto"/>
          <w:tr2bl w:val="none" w:sz="0" w:space="0" w:color="auto"/>
        </w:tcBorders>
      </w:tcPr>
    </w:tblStylePr>
  </w:style>
  <w:style w:type="table" w:styleId="TableWeb3">
    <w:name w:val="Table Web 3"/>
    <w:basedOn w:val="TableNormal"/>
    <w:uiPriority w:val="98"/>
    <w:rsid w:val="00923EE1"/>
    <w:pPr>
      <w:adjustRightInd w:val="0"/>
      <w:snapToGrid w:val="0"/>
      <w:spacing w:after="80" w:line="240" w:lineRule="atLeast"/>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Mar>
        <w:top w:w="57" w:type="dxa"/>
        <w:left w:w="57" w:type="dxa"/>
        <w:bottom w:w="57" w:type="dxa"/>
        <w:right w:w="57" w:type="dxa"/>
      </w:tcMar>
    </w:tcPr>
    <w:tblStylePr w:type="firstRow">
      <w:rPr>
        <w:rFonts w:asciiTheme="majorHAnsi" w:hAnsiTheme="majorHAnsi" w:cstheme="majorHAnsi"/>
      </w:rPr>
      <w:tblPr/>
      <w:tcPr>
        <w:tcBorders>
          <w:tl2br w:val="none" w:sz="0" w:space="0" w:color="auto"/>
          <w:tr2bl w:val="none" w:sz="0" w:space="0" w:color="auto"/>
        </w:tcBorders>
      </w:tcPr>
    </w:tblStylePr>
  </w:style>
  <w:style w:type="paragraph" w:styleId="Title">
    <w:name w:val="Title"/>
    <w:basedOn w:val="Normal"/>
    <w:next w:val="Normal"/>
    <w:link w:val="TitleChar"/>
    <w:uiPriority w:val="97"/>
    <w:semiHidden/>
    <w:rsid w:val="00923EE1"/>
    <w:pPr>
      <w:pBdr>
        <w:bottom w:val="single" w:sz="8" w:space="4" w:color="004976" w:themeColor="accent1"/>
      </w:pBdr>
      <w:spacing w:after="300"/>
      <w:contextualSpacing/>
    </w:pPr>
    <w:rPr>
      <w:rFonts w:eastAsiaTheme="majorEastAsia"/>
      <w:color w:val="000000" w:themeColor="text2" w:themeShade="BF"/>
      <w:spacing w:val="5"/>
      <w:kern w:val="28"/>
      <w:sz w:val="52"/>
      <w:szCs w:val="52"/>
    </w:rPr>
  </w:style>
  <w:style w:type="character" w:customStyle="1" w:styleId="TitleChar">
    <w:name w:val="Title Char"/>
    <w:basedOn w:val="DefaultParagraphFont"/>
    <w:link w:val="Title"/>
    <w:uiPriority w:val="97"/>
    <w:semiHidden/>
    <w:rsid w:val="00923EE1"/>
    <w:rPr>
      <w:rFonts w:asciiTheme="minorHAnsi" w:eastAsiaTheme="majorEastAsia" w:hAnsiTheme="minorHAnsi"/>
      <w:color w:val="000000" w:themeColor="text2" w:themeShade="BF"/>
      <w:spacing w:val="5"/>
      <w:kern w:val="28"/>
      <w:sz w:val="52"/>
      <w:szCs w:val="52"/>
      <w:lang w:val="en-AU" w:eastAsia="ja-JP"/>
    </w:rPr>
  </w:style>
  <w:style w:type="paragraph" w:styleId="TOAHeading">
    <w:name w:val="toa heading"/>
    <w:basedOn w:val="Normal"/>
    <w:next w:val="Normal"/>
    <w:uiPriority w:val="97"/>
    <w:semiHidden/>
    <w:rsid w:val="00923EE1"/>
    <w:pPr>
      <w:spacing w:before="120"/>
    </w:pPr>
    <w:rPr>
      <w:rFonts w:asciiTheme="majorHAnsi" w:eastAsiaTheme="majorEastAsia" w:hAnsiTheme="majorHAnsi" w:cstheme="majorHAnsi"/>
      <w:b/>
      <w:bCs/>
      <w:sz w:val="24"/>
    </w:rPr>
  </w:style>
  <w:style w:type="paragraph" w:styleId="TOC5">
    <w:name w:val="toc 5"/>
    <w:basedOn w:val="Normal"/>
    <w:next w:val="Normal"/>
    <w:autoRedefine/>
    <w:uiPriority w:val="97"/>
    <w:semiHidden/>
    <w:rsid w:val="00923EE1"/>
    <w:pPr>
      <w:spacing w:after="100"/>
      <w:ind w:left="800"/>
    </w:pPr>
  </w:style>
  <w:style w:type="paragraph" w:styleId="TOC6">
    <w:name w:val="toc 6"/>
    <w:basedOn w:val="Normal"/>
    <w:next w:val="Normal"/>
    <w:autoRedefine/>
    <w:uiPriority w:val="97"/>
    <w:semiHidden/>
    <w:rsid w:val="00923EE1"/>
    <w:pPr>
      <w:spacing w:after="100"/>
      <w:ind w:left="1000"/>
    </w:pPr>
  </w:style>
  <w:style w:type="paragraph" w:styleId="TOC7">
    <w:name w:val="toc 7"/>
    <w:basedOn w:val="Normal"/>
    <w:next w:val="Normal"/>
    <w:autoRedefine/>
    <w:uiPriority w:val="97"/>
    <w:semiHidden/>
    <w:rsid w:val="00923EE1"/>
    <w:pPr>
      <w:spacing w:after="100"/>
      <w:ind w:left="1200"/>
    </w:pPr>
  </w:style>
  <w:style w:type="paragraph" w:styleId="TOC8">
    <w:name w:val="toc 8"/>
    <w:basedOn w:val="Normal"/>
    <w:next w:val="Normal"/>
    <w:autoRedefine/>
    <w:uiPriority w:val="97"/>
    <w:semiHidden/>
    <w:rsid w:val="00923EE1"/>
    <w:pPr>
      <w:spacing w:after="100"/>
      <w:ind w:left="1400"/>
    </w:pPr>
  </w:style>
  <w:style w:type="paragraph" w:styleId="TOC9">
    <w:name w:val="toc 9"/>
    <w:basedOn w:val="Normal"/>
    <w:next w:val="Normal"/>
    <w:autoRedefine/>
    <w:uiPriority w:val="97"/>
    <w:semiHidden/>
    <w:rsid w:val="00923EE1"/>
    <w:pPr>
      <w:spacing w:after="100"/>
      <w:ind w:left="1600"/>
    </w:pPr>
  </w:style>
  <w:style w:type="paragraph" w:styleId="TOCHeading">
    <w:name w:val="TOC Heading"/>
    <w:basedOn w:val="Normal"/>
    <w:next w:val="Normal"/>
    <w:uiPriority w:val="97"/>
    <w:qFormat/>
    <w:rsid w:val="00923EE1"/>
    <w:pPr>
      <w:spacing w:before="320" w:after="1100" w:line="192" w:lineRule="auto"/>
    </w:pPr>
    <w:rPr>
      <w:rFonts w:asciiTheme="majorHAnsi" w:hAnsiTheme="majorHAnsi"/>
      <w:b/>
      <w:color w:val="004976" w:themeColor="accent1"/>
      <w:sz w:val="56"/>
    </w:rPr>
  </w:style>
  <w:style w:type="table" w:customStyle="1" w:styleId="LayoutGrid">
    <w:name w:val="Layout Grid"/>
    <w:basedOn w:val="TableNormal"/>
    <w:uiPriority w:val="99"/>
    <w:rsid w:val="00923EE1"/>
    <w:rPr>
      <w:rFonts w:asciiTheme="minorHAnsi" w:hAnsiTheme="minorHAnsi"/>
    </w:rPr>
    <w:tblPr>
      <w:tblCellMar>
        <w:left w:w="0" w:type="dxa"/>
        <w:right w:w="0" w:type="dxa"/>
      </w:tblCellMar>
    </w:tblPr>
  </w:style>
  <w:style w:type="character" w:customStyle="1" w:styleId="HeaderChar">
    <w:name w:val="Header Char"/>
    <w:basedOn w:val="DefaultParagraphFont"/>
    <w:link w:val="Header"/>
    <w:uiPriority w:val="99"/>
    <w:rsid w:val="00923EE1"/>
    <w:rPr>
      <w:rFonts w:asciiTheme="minorHAnsi" w:eastAsia="MS Mincho" w:hAnsiTheme="minorHAnsi"/>
      <w:caps/>
      <w:color w:val="000000" w:themeColor="text2"/>
      <w:kern w:val="60"/>
      <w:sz w:val="13"/>
      <w:lang w:val="en-AU" w:eastAsia="ja-JP"/>
    </w:rPr>
  </w:style>
  <w:style w:type="paragraph" w:customStyle="1" w:styleId="DividerTitle">
    <w:name w:val="Divider Title"/>
    <w:basedOn w:val="Normal"/>
    <w:next w:val="Normal"/>
    <w:qFormat/>
    <w:rsid w:val="004600E9"/>
    <w:pPr>
      <w:spacing w:before="960" w:after="240" w:line="192" w:lineRule="auto"/>
      <w:contextualSpacing/>
    </w:pPr>
    <w:rPr>
      <w:rFonts w:asciiTheme="majorHAnsi" w:hAnsiTheme="majorHAnsi"/>
      <w:b/>
      <w:color w:val="FFFFFF"/>
      <w:sz w:val="64"/>
    </w:rPr>
  </w:style>
  <w:style w:type="paragraph" w:styleId="TOC2">
    <w:name w:val="toc 2"/>
    <w:basedOn w:val="Normal"/>
    <w:next w:val="Normal"/>
    <w:uiPriority w:val="39"/>
    <w:unhideWhenUsed/>
    <w:rsid w:val="003E36FE"/>
    <w:pPr>
      <w:tabs>
        <w:tab w:val="right" w:pos="7019"/>
      </w:tabs>
      <w:spacing w:after="60"/>
      <w:ind w:left="227"/>
    </w:pPr>
    <w:rPr>
      <w:rFonts w:asciiTheme="majorHAnsi" w:hAnsiTheme="majorHAnsi"/>
      <w:color w:val="004976" w:themeColor="accent1"/>
      <w:sz w:val="24"/>
    </w:rPr>
  </w:style>
  <w:style w:type="paragraph" w:customStyle="1" w:styleId="HeaderTitle">
    <w:name w:val="Header Title"/>
    <w:basedOn w:val="Header"/>
    <w:qFormat/>
    <w:rsid w:val="00923EE1"/>
    <w:rPr>
      <w:b/>
      <w:caps w:val="0"/>
      <w:sz w:val="17"/>
    </w:rPr>
  </w:style>
  <w:style w:type="numbering" w:customStyle="1" w:styleId="ListBullets">
    <w:name w:val="ListBullets"/>
    <w:uiPriority w:val="99"/>
    <w:rsid w:val="00923EE1"/>
    <w:pPr>
      <w:numPr>
        <w:numId w:val="5"/>
      </w:numPr>
    </w:pPr>
  </w:style>
  <w:style w:type="character" w:customStyle="1" w:styleId="FooterInfoBold">
    <w:name w:val="Footer Info Bold"/>
    <w:basedOn w:val="DefaultParagraphFont"/>
    <w:uiPriority w:val="1"/>
    <w:qFormat/>
    <w:rsid w:val="00923EE1"/>
    <w:rPr>
      <w:b/>
    </w:rPr>
  </w:style>
  <w:style w:type="paragraph" w:styleId="TOC3">
    <w:name w:val="toc 3"/>
    <w:basedOn w:val="Normal"/>
    <w:next w:val="Normal"/>
    <w:autoRedefine/>
    <w:uiPriority w:val="39"/>
    <w:unhideWhenUsed/>
    <w:rsid w:val="00923EE1"/>
    <w:pPr>
      <w:spacing w:after="100"/>
      <w:ind w:left="400"/>
    </w:pPr>
  </w:style>
  <w:style w:type="character" w:customStyle="1" w:styleId="Heading4Char">
    <w:name w:val="Heading 4 Char"/>
    <w:basedOn w:val="DefaultParagraphFont"/>
    <w:link w:val="Heading4"/>
    <w:uiPriority w:val="1"/>
    <w:semiHidden/>
    <w:rsid w:val="00923EE1"/>
    <w:rPr>
      <w:rFonts w:asciiTheme="majorHAnsi" w:eastAsia="MS Mincho" w:hAnsiTheme="majorHAnsi" w:cstheme="majorHAnsi"/>
      <w:bCs/>
      <w:color w:val="004976" w:themeColor="background2"/>
      <w:sz w:val="22"/>
      <w:szCs w:val="28"/>
      <w:lang w:val="en-AU" w:eastAsia="ja-JP"/>
    </w:rPr>
  </w:style>
  <w:style w:type="table" w:customStyle="1" w:styleId="ASATable">
    <w:name w:val="ASA Table"/>
    <w:basedOn w:val="TableNormal"/>
    <w:uiPriority w:val="99"/>
    <w:rsid w:val="009256B6"/>
    <w:pPr>
      <w:jc w:val="center"/>
    </w:pPr>
    <w:rPr>
      <w:rFonts w:asciiTheme="minorHAnsi" w:hAnsiTheme="minorHAnsi"/>
    </w:rPr>
    <w:tblPr>
      <w:tblStyleRowBandSize w:val="1"/>
      <w:tblBorders>
        <w:top w:val="single" w:sz="4" w:space="0" w:color="004976" w:themeColor="background2"/>
        <w:left w:val="single" w:sz="4" w:space="0" w:color="004976" w:themeColor="background2"/>
        <w:bottom w:val="single" w:sz="4" w:space="0" w:color="004976" w:themeColor="background2"/>
        <w:right w:val="single" w:sz="4" w:space="0" w:color="004976" w:themeColor="background2"/>
        <w:insideH w:val="single" w:sz="4" w:space="0" w:color="004976" w:themeColor="background2"/>
        <w:insideV w:val="single" w:sz="4" w:space="0" w:color="004976" w:themeColor="background2"/>
      </w:tblBorders>
    </w:tblPr>
    <w:tblStylePr w:type="firstRow">
      <w:rPr>
        <w:caps w:val="0"/>
        <w:smallCaps w:val="0"/>
        <w:color w:val="36573B" w:themeColor="accent3"/>
      </w:rPr>
      <w:tblPr/>
      <w:trPr>
        <w:tblHeader/>
      </w:trPr>
      <w:tcPr>
        <w:tcBorders>
          <w:top w:val="single" w:sz="2" w:space="0" w:color="004976" w:themeColor="background2"/>
          <w:left w:val="single" w:sz="2" w:space="0" w:color="004976" w:themeColor="background2"/>
          <w:bottom w:val="single" w:sz="2" w:space="0" w:color="004976" w:themeColor="background2"/>
          <w:right w:val="single" w:sz="2" w:space="0" w:color="004976" w:themeColor="background2"/>
          <w:insideH w:val="single" w:sz="2" w:space="0" w:color="004976" w:themeColor="background2"/>
          <w:insideV w:val="single" w:sz="2" w:space="0" w:color="004976" w:themeColor="background2"/>
          <w:tl2br w:val="nil"/>
          <w:tr2bl w:val="nil"/>
        </w:tcBorders>
        <w:shd w:val="clear" w:color="auto" w:fill="CFD7D5"/>
      </w:tcPr>
    </w:tblStylePr>
    <w:tblStylePr w:type="firstCol">
      <w:pPr>
        <w:jc w:val="left"/>
      </w:pPr>
      <w:rPr>
        <w:b/>
        <w:color w:val="FFFFFF"/>
      </w:rPr>
      <w:tblPr/>
      <w:tcPr>
        <w:shd w:val="clear" w:color="auto" w:fill="537B96"/>
      </w:tcPr>
    </w:tblStylePr>
    <w:tblStylePr w:type="band2Horz">
      <w:tblPr/>
      <w:tcPr>
        <w:shd w:val="clear" w:color="auto" w:fill="E7EBEA"/>
      </w:tcPr>
    </w:tblStylePr>
    <w:tblStylePr w:type="nwCell">
      <w:rPr>
        <w:color w:val="FFFFFF" w:themeColor="background1"/>
      </w:rPr>
      <w:tblPr/>
      <w:tcPr>
        <w:shd w:val="clear" w:color="auto" w:fill="004976" w:themeFill="background2"/>
      </w:tcPr>
    </w:tblStylePr>
  </w:style>
  <w:style w:type="paragraph" w:customStyle="1" w:styleId="DividerSubtitle">
    <w:name w:val="Divider Subtitle"/>
    <w:basedOn w:val="Normal"/>
    <w:qFormat/>
    <w:rsid w:val="00923EE1"/>
    <w:pPr>
      <w:spacing w:after="160"/>
    </w:pPr>
    <w:rPr>
      <w:b/>
      <w:color w:val="FFFFFF"/>
      <w:sz w:val="43"/>
      <w:lang w:eastAsia="en-US"/>
    </w:rPr>
  </w:style>
  <w:style w:type="paragraph" w:customStyle="1" w:styleId="FooterInfo">
    <w:name w:val="Footer Info"/>
    <w:basedOn w:val="Footer"/>
    <w:qFormat/>
    <w:rsid w:val="00923EE1"/>
    <w:rPr>
      <w:sz w:val="18"/>
    </w:rPr>
  </w:style>
  <w:style w:type="paragraph" w:customStyle="1" w:styleId="FooterInfoDividerPage">
    <w:name w:val="Footer Info DividerPage"/>
    <w:basedOn w:val="FooterInfo"/>
    <w:qFormat/>
    <w:rsid w:val="00923EE1"/>
    <w:rPr>
      <w:color w:val="FFFFFF"/>
    </w:rPr>
  </w:style>
  <w:style w:type="paragraph" w:customStyle="1" w:styleId="CoverURL">
    <w:name w:val="Cover URL"/>
    <w:basedOn w:val="Footer"/>
    <w:qFormat/>
    <w:rsid w:val="00CD6498"/>
    <w:pPr>
      <w:spacing w:before="440"/>
    </w:pPr>
    <w:rPr>
      <w:b/>
      <w:color w:val="FFFFFF"/>
      <w:sz w:val="29"/>
    </w:rPr>
  </w:style>
  <w:style w:type="paragraph" w:styleId="ListNumber3">
    <w:name w:val="List Number 3"/>
    <w:basedOn w:val="Normal"/>
    <w:uiPriority w:val="99"/>
    <w:qFormat/>
    <w:rsid w:val="00923EE1"/>
    <w:pPr>
      <w:numPr>
        <w:ilvl w:val="2"/>
        <w:numId w:val="12"/>
      </w:numPr>
      <w:contextualSpacing/>
    </w:pPr>
  </w:style>
  <w:style w:type="table" w:customStyle="1" w:styleId="ASAPullOutBox">
    <w:name w:val="ASA PullOut Box"/>
    <w:basedOn w:val="TableNormal"/>
    <w:uiPriority w:val="99"/>
    <w:rsid w:val="00923EE1"/>
    <w:rPr>
      <w:rFonts w:asciiTheme="minorHAnsi" w:hAnsiTheme="minorHAnsi"/>
    </w:rPr>
    <w:tblPr>
      <w:tblBorders>
        <w:top w:val="single" w:sz="4" w:space="0" w:color="004976" w:themeColor="background2"/>
        <w:left w:val="single" w:sz="4" w:space="0" w:color="004976" w:themeColor="background2"/>
        <w:bottom w:val="single" w:sz="4" w:space="0" w:color="004976" w:themeColor="background2"/>
        <w:right w:val="single" w:sz="4" w:space="0" w:color="004976" w:themeColor="background2"/>
      </w:tblBorders>
      <w:tblCellMar>
        <w:top w:w="284" w:type="dxa"/>
        <w:left w:w="567" w:type="dxa"/>
        <w:bottom w:w="85" w:type="dxa"/>
        <w:right w:w="567" w:type="dxa"/>
      </w:tblCellMar>
    </w:tblPr>
  </w:style>
  <w:style w:type="paragraph" w:customStyle="1" w:styleId="IntroCopy2">
    <w:name w:val="Intro Copy 2"/>
    <w:basedOn w:val="Normal"/>
    <w:next w:val="Normal"/>
    <w:qFormat/>
    <w:rsid w:val="00923EE1"/>
    <w:rPr>
      <w:b/>
    </w:rPr>
  </w:style>
  <w:style w:type="paragraph" w:customStyle="1" w:styleId="CoverDate">
    <w:name w:val="Cover Date"/>
    <w:basedOn w:val="CoverSubtitle"/>
    <w:qFormat/>
    <w:rsid w:val="00923EE1"/>
  </w:style>
  <w:style w:type="numbering" w:customStyle="1" w:styleId="DividerNo">
    <w:name w:val="DividerNo"/>
    <w:uiPriority w:val="99"/>
    <w:rsid w:val="00A9412A"/>
    <w:pPr>
      <w:numPr>
        <w:numId w:val="6"/>
      </w:numPr>
    </w:pPr>
  </w:style>
  <w:style w:type="paragraph" w:customStyle="1" w:styleId="DividerNumber">
    <w:name w:val="Divider Number"/>
    <w:basedOn w:val="Normal"/>
    <w:qFormat/>
    <w:rsid w:val="00923EE1"/>
    <w:pPr>
      <w:numPr>
        <w:numId w:val="15"/>
      </w:numPr>
      <w:spacing w:before="680" w:line="216" w:lineRule="auto"/>
      <w:contextualSpacing/>
    </w:pPr>
    <w:rPr>
      <w:b/>
      <w:color w:val="FFFFFF"/>
      <w:sz w:val="112"/>
    </w:rPr>
  </w:style>
  <w:style w:type="paragraph" w:customStyle="1" w:styleId="TableText-Diagram">
    <w:name w:val="Table Text - Diagram"/>
    <w:basedOn w:val="TableText"/>
    <w:qFormat/>
    <w:rsid w:val="00923EE1"/>
    <w:rPr>
      <w:lang w:val="es-ES"/>
    </w:rPr>
  </w:style>
  <w:style w:type="paragraph" w:customStyle="1" w:styleId="TableText-DiagramFirstColumn">
    <w:name w:val="Table Text - Diagram FirstColumn"/>
    <w:basedOn w:val="TableText-Diagram"/>
    <w:qFormat/>
    <w:rsid w:val="00923EE1"/>
    <w:rPr>
      <w:b/>
      <w:color w:val="FFFFFF"/>
    </w:rPr>
  </w:style>
  <w:style w:type="character" w:customStyle="1" w:styleId="Heading1Char">
    <w:name w:val="Heading 1 Char"/>
    <w:basedOn w:val="DefaultParagraphFont"/>
    <w:link w:val="Heading1"/>
    <w:uiPriority w:val="1"/>
    <w:rsid w:val="00923EE1"/>
    <w:rPr>
      <w:rFonts w:asciiTheme="majorHAnsi" w:eastAsia="MS Mincho" w:hAnsiTheme="majorHAnsi" w:cstheme="majorHAnsi"/>
      <w:b/>
      <w:bCs/>
      <w:color w:val="004976" w:themeColor="background2"/>
      <w:kern w:val="32"/>
      <w:sz w:val="56"/>
      <w:szCs w:val="32"/>
      <w:lang w:val="en-AU" w:eastAsia="ja-JP"/>
    </w:rPr>
  </w:style>
  <w:style w:type="paragraph" w:customStyle="1" w:styleId="Notes">
    <w:name w:val="Notes"/>
    <w:basedOn w:val="Normal"/>
    <w:next w:val="Normal"/>
    <w:qFormat/>
    <w:rsid w:val="00C26F26"/>
    <w:pPr>
      <w:spacing w:before="160" w:line="180" w:lineRule="atLeast"/>
    </w:pPr>
    <w:rPr>
      <w:sz w:val="20"/>
      <w:lang w:val="es-ES"/>
    </w:rPr>
  </w:style>
  <w:style w:type="paragraph" w:customStyle="1" w:styleId="ChartSubhead">
    <w:name w:val="Chart Subhead"/>
    <w:basedOn w:val="Normal"/>
    <w:qFormat/>
    <w:rsid w:val="00923EE1"/>
    <w:pPr>
      <w:spacing w:before="500" w:after="160"/>
    </w:pPr>
    <w:rPr>
      <w:rFonts w:ascii="Calibri" w:hAnsi="Calibri"/>
      <w:b/>
      <w:color w:val="004976"/>
      <w:sz w:val="32"/>
    </w:rPr>
  </w:style>
  <w:style w:type="paragraph" w:customStyle="1" w:styleId="ChartIntroCopy">
    <w:name w:val="Chart IntroCopy"/>
    <w:basedOn w:val="Normal"/>
    <w:qFormat/>
    <w:rsid w:val="00923EE1"/>
    <w:pPr>
      <w:contextualSpacing/>
    </w:pPr>
    <w:rPr>
      <w:b/>
      <w:color w:val="004976" w:themeColor="accent1"/>
    </w:rPr>
  </w:style>
  <w:style w:type="character" w:customStyle="1" w:styleId="Heading2Char">
    <w:name w:val="Heading 2 Char"/>
    <w:basedOn w:val="DefaultParagraphFont"/>
    <w:link w:val="Heading2"/>
    <w:uiPriority w:val="1"/>
    <w:rsid w:val="00923EE1"/>
    <w:rPr>
      <w:rFonts w:asciiTheme="majorHAnsi" w:eastAsia="MS Mincho" w:hAnsiTheme="majorHAnsi" w:cstheme="majorHAnsi"/>
      <w:b/>
      <w:bCs/>
      <w:iCs/>
      <w:color w:val="004976" w:themeColor="background2"/>
      <w:sz w:val="44"/>
      <w:szCs w:val="28"/>
      <w:lang w:val="en-AU" w:eastAsia="ja-JP"/>
    </w:rPr>
  </w:style>
  <w:style w:type="table" w:customStyle="1" w:styleId="ASAChartBox">
    <w:name w:val="ASA ChartBox"/>
    <w:basedOn w:val="TableNormal"/>
    <w:uiPriority w:val="99"/>
    <w:rsid w:val="00923EE1"/>
    <w:rPr>
      <w:rFonts w:ascii="Calibri" w:hAnsi="Calibri"/>
    </w:rPr>
    <w:tblPr>
      <w:tblBorders>
        <w:top w:val="single" w:sz="4" w:space="0" w:color="004976"/>
        <w:left w:val="single" w:sz="4" w:space="0" w:color="004976"/>
        <w:bottom w:val="single" w:sz="4" w:space="0" w:color="004976"/>
        <w:right w:val="single" w:sz="4" w:space="0" w:color="004976"/>
      </w:tblBorders>
      <w:tblCellMar>
        <w:top w:w="284" w:type="dxa"/>
        <w:left w:w="567" w:type="dxa"/>
        <w:bottom w:w="85" w:type="dxa"/>
        <w:right w:w="567" w:type="dxa"/>
      </w:tblCellMar>
    </w:tblPr>
  </w:style>
  <w:style w:type="paragraph" w:customStyle="1" w:styleId="BackPageURL">
    <w:name w:val="BackPage URL"/>
    <w:basedOn w:val="Normal"/>
    <w:qFormat/>
    <w:rsid w:val="00C75B48"/>
    <w:pPr>
      <w:spacing w:after="60"/>
      <w:jc w:val="right"/>
    </w:pPr>
    <w:rPr>
      <w:b/>
      <w:color w:val="004976" w:themeColor="background2"/>
      <w:sz w:val="24"/>
      <w:lang w:val="es-ES"/>
      <w14:textFill>
        <w14:solidFill>
          <w14:schemeClr w14:val="bg2">
            <w14:alpha w14:val="30000"/>
          </w14:schemeClr>
        </w14:solidFill>
      </w14:textFill>
    </w:rPr>
  </w:style>
  <w:style w:type="paragraph" w:customStyle="1" w:styleId="BackPageDetails">
    <w:name w:val="BackPage Details"/>
    <w:basedOn w:val="Normal"/>
    <w:qFormat/>
    <w:rsid w:val="00923EE1"/>
    <w:pPr>
      <w:spacing w:line="228" w:lineRule="auto"/>
      <w:contextualSpacing/>
    </w:pPr>
    <w:rPr>
      <w:color w:val="004976" w:themeColor="background2"/>
      <w:sz w:val="24"/>
    </w:rPr>
  </w:style>
  <w:style w:type="table" w:customStyle="1" w:styleId="CECouncil">
    <w:name w:val="CE Council"/>
    <w:basedOn w:val="TableNormal"/>
    <w:uiPriority w:val="99"/>
    <w:rsid w:val="00923EE1"/>
    <w:rPr>
      <w:rFonts w:asciiTheme="minorHAnsi" w:eastAsiaTheme="minorHAnsi" w:hAnsiTheme="minorHAnsi"/>
      <w:lang w:val="en-AU" w:eastAsia="en-US"/>
    </w:rPr>
    <w:tblPr>
      <w:tblStyleRowBandSize w:val="1"/>
      <w:tblStyleColBandSize w:val="1"/>
    </w:tblPr>
    <w:tblStylePr w:type="firstRow">
      <w:tblPr/>
      <w:tcPr>
        <w:tcBorders>
          <w:top w:val="nil"/>
          <w:left w:val="nil"/>
          <w:bottom w:val="nil"/>
          <w:right w:val="nil"/>
          <w:insideH w:val="nil"/>
          <w:insideV w:val="nil"/>
          <w:tl2br w:val="nil"/>
          <w:tr2bl w:val="nil"/>
        </w:tcBorders>
      </w:tcPr>
    </w:tblStylePr>
    <w:tblStylePr w:type="firstCol">
      <w:rPr>
        <w:b w:val="0"/>
      </w:rPr>
    </w:tblStylePr>
    <w:tblStylePr w:type="band1Horz">
      <w:tblPr/>
      <w:tcPr>
        <w:shd w:val="clear" w:color="auto" w:fill="E0E1E3"/>
      </w:tcPr>
    </w:tblStylePr>
  </w:style>
  <w:style w:type="table" w:customStyle="1" w:styleId="TableGridLight1">
    <w:name w:val="Table Grid Light1"/>
    <w:basedOn w:val="TableNormal"/>
    <w:uiPriority w:val="40"/>
    <w:rsid w:val="00923EE1"/>
    <w:rPr>
      <w:rFonts w:eastAsiaTheme="minorHAnsi"/>
      <w:lang w:val="en-AU"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ImageCaptionWhite">
    <w:name w:val="Image Caption White"/>
    <w:basedOn w:val="Normal"/>
    <w:qFormat/>
    <w:rsid w:val="00923EE1"/>
    <w:pPr>
      <w:spacing w:before="240" w:after="240"/>
      <w:ind w:left="340" w:right="340"/>
    </w:pPr>
    <w:rPr>
      <w:rFonts w:eastAsiaTheme="minorHAnsi"/>
      <w:b/>
      <w:color w:val="FFFFFF"/>
      <w:lang w:eastAsia="en-US"/>
    </w:rPr>
  </w:style>
  <w:style w:type="character" w:customStyle="1" w:styleId="FooterChar">
    <w:name w:val="Footer Char"/>
    <w:basedOn w:val="DefaultParagraphFont"/>
    <w:link w:val="Footer"/>
    <w:uiPriority w:val="9"/>
    <w:rsid w:val="00923EE1"/>
    <w:rPr>
      <w:rFonts w:asciiTheme="minorHAnsi" w:eastAsia="MS Mincho" w:hAnsiTheme="minorHAnsi"/>
      <w:color w:val="004976" w:themeColor="accent1"/>
      <w:sz w:val="12"/>
      <w:lang w:val="en-AU" w:eastAsia="ja-JP"/>
    </w:rPr>
  </w:style>
  <w:style w:type="paragraph" w:styleId="Quote">
    <w:name w:val="Quote"/>
    <w:basedOn w:val="Normal"/>
    <w:next w:val="AuthorName"/>
    <w:link w:val="QuoteChar"/>
    <w:uiPriority w:val="29"/>
    <w:rsid w:val="00B5518B"/>
    <w:pPr>
      <w:spacing w:line="364" w:lineRule="atLeast"/>
    </w:pPr>
    <w:rPr>
      <w:rFonts w:eastAsiaTheme="minorHAnsi"/>
      <w:iCs/>
      <w:color w:val="004976" w:themeColor="background2"/>
      <w:sz w:val="34"/>
      <w:lang w:eastAsia="en-US"/>
    </w:rPr>
  </w:style>
  <w:style w:type="character" w:customStyle="1" w:styleId="QuoteChar">
    <w:name w:val="Quote Char"/>
    <w:basedOn w:val="DefaultParagraphFont"/>
    <w:link w:val="Quote"/>
    <w:uiPriority w:val="29"/>
    <w:rsid w:val="00B5518B"/>
    <w:rPr>
      <w:rFonts w:asciiTheme="minorHAnsi" w:eastAsiaTheme="minorHAnsi" w:hAnsiTheme="minorHAnsi"/>
      <w:iCs/>
      <w:color w:val="004976" w:themeColor="background2"/>
      <w:sz w:val="34"/>
      <w:lang w:val="en-AU" w:eastAsia="en-US"/>
    </w:rPr>
  </w:style>
  <w:style w:type="paragraph" w:customStyle="1" w:styleId="Citation">
    <w:name w:val="Citation"/>
    <w:basedOn w:val="Normal"/>
    <w:qFormat/>
    <w:rsid w:val="00C26F26"/>
    <w:pPr>
      <w:spacing w:line="180" w:lineRule="atLeast"/>
    </w:pPr>
    <w:rPr>
      <w:rFonts w:eastAsiaTheme="minorHAnsi"/>
      <w:sz w:val="20"/>
      <w:lang w:eastAsia="en-US"/>
    </w:rPr>
  </w:style>
  <w:style w:type="paragraph" w:customStyle="1" w:styleId="AuthorName">
    <w:name w:val="Author Name"/>
    <w:basedOn w:val="Normal"/>
    <w:next w:val="Normal"/>
    <w:qFormat/>
    <w:rsid w:val="00B5518B"/>
    <w:pPr>
      <w:jc w:val="right"/>
    </w:pPr>
    <w:rPr>
      <w:b/>
      <w:noProof/>
      <w:color w:val="004976" w:themeColor="accent1"/>
      <w:sz w:val="24"/>
    </w:rPr>
  </w:style>
  <w:style w:type="character" w:customStyle="1" w:styleId="Heading3Char">
    <w:name w:val="Heading 3 Char"/>
    <w:basedOn w:val="DefaultParagraphFont"/>
    <w:link w:val="Heading3"/>
    <w:uiPriority w:val="1"/>
    <w:rsid w:val="00573501"/>
    <w:rPr>
      <w:rFonts w:asciiTheme="majorHAnsi" w:eastAsia="MS Mincho" w:hAnsiTheme="majorHAnsi" w:cstheme="majorHAnsi"/>
      <w:b/>
      <w:bCs/>
      <w:color w:val="004976" w:themeColor="background2"/>
      <w:sz w:val="32"/>
      <w:szCs w:val="26"/>
      <w:lang w:val="en-AU" w:eastAsia="ja-JP"/>
    </w:rPr>
  </w:style>
  <w:style w:type="paragraph" w:customStyle="1" w:styleId="NormalBold">
    <w:name w:val="Normal Bold"/>
    <w:basedOn w:val="Normal"/>
    <w:qFormat/>
    <w:rsid w:val="00325D60"/>
    <w:rPr>
      <w:b/>
    </w:rPr>
  </w:style>
  <w:style w:type="paragraph" w:customStyle="1" w:styleId="TableHeading-Diagram">
    <w:name w:val="Table Heading - Diagram"/>
    <w:basedOn w:val="TableHeading"/>
    <w:qFormat/>
    <w:rsid w:val="00C74770"/>
    <w:rPr>
      <w:color w:val="FFFFFF"/>
    </w:rPr>
  </w:style>
  <w:style w:type="character" w:customStyle="1" w:styleId="ListParagraphChar">
    <w:name w:val="List Paragraph Char"/>
    <w:aliases w:val="List Paragraph1 Char,Recommendation Char,1 heading Char,Bullet Point Char,Bullet point Char,Bullet points Char,Bulleted Para Char,Content descriptions Char,FooterText Char,L Char,List Paragraph11 Char,NAST Quote Char,numbered Char"/>
    <w:basedOn w:val="DefaultParagraphFont"/>
    <w:link w:val="ListParagraph"/>
    <w:uiPriority w:val="34"/>
    <w:qFormat/>
    <w:locked/>
    <w:rsid w:val="008579D4"/>
    <w:rPr>
      <w:rFonts w:asciiTheme="minorHAnsi" w:eastAsia="MS Mincho" w:hAnsiTheme="minorHAnsi"/>
      <w:color w:val="000000" w:themeColor="text2"/>
      <w:sz w:val="22"/>
      <w:lang w:val="en-AU" w:eastAsia="ja-JP"/>
    </w:rPr>
  </w:style>
  <w:style w:type="paragraph" w:styleId="Revision">
    <w:name w:val="Revision"/>
    <w:hidden/>
    <w:uiPriority w:val="99"/>
    <w:semiHidden/>
    <w:rsid w:val="00482AFE"/>
    <w:rPr>
      <w:rFonts w:asciiTheme="minorHAnsi" w:eastAsia="MS Mincho" w:hAnsiTheme="minorHAnsi"/>
      <w:color w:val="000000" w:themeColor="text2"/>
      <w:sz w:val="22"/>
      <w:lang w:val="en-AU" w:eastAsia="ja-JP"/>
    </w:rPr>
  </w:style>
  <w:style w:type="paragraph" w:customStyle="1" w:styleId="Informalheading">
    <w:name w:val="Informal heading"/>
    <w:basedOn w:val="Normal"/>
    <w:link w:val="InformalheadingChar"/>
    <w:autoRedefine/>
    <w:qFormat/>
    <w:rsid w:val="00D25BC5"/>
    <w:pPr>
      <w:keepNext/>
    </w:pPr>
    <w:rPr>
      <w:rFonts w:eastAsia="Calibri" w:cstheme="minorHAnsi"/>
      <w:i/>
      <w:color w:val="auto"/>
      <w:szCs w:val="22"/>
      <w:lang w:eastAsia="en-US"/>
    </w:rPr>
  </w:style>
  <w:style w:type="character" w:customStyle="1" w:styleId="InformalheadingChar">
    <w:name w:val="Informal heading Char"/>
    <w:basedOn w:val="DefaultParagraphFont"/>
    <w:link w:val="Informalheading"/>
    <w:rsid w:val="00D25BC5"/>
    <w:rPr>
      <w:rFonts w:asciiTheme="minorHAnsi" w:eastAsia="Calibri" w:hAnsiTheme="minorHAnsi" w:cstheme="minorHAnsi"/>
      <w:i/>
      <w:sz w:val="22"/>
      <w:szCs w:val="22"/>
      <w:lang w:val="en-AU" w:eastAsia="en-US"/>
    </w:rPr>
  </w:style>
  <w:style w:type="character" w:customStyle="1" w:styleId="CommentReference1">
    <w:name w:val="Comment Reference1"/>
    <w:basedOn w:val="DefaultParagraphFont"/>
    <w:uiPriority w:val="97"/>
    <w:semiHidden/>
    <w:rsid w:val="00F41987"/>
    <w:rPr>
      <w:rFonts w:ascii="Calibri" w:hAnsi="Calibri" w:cs="Calibri"/>
      <w:sz w:val="16"/>
      <w:szCs w:val="16"/>
    </w:rPr>
  </w:style>
  <w:style w:type="character" w:customStyle="1" w:styleId="st1">
    <w:name w:val="st1"/>
    <w:basedOn w:val="DefaultParagraphFont"/>
    <w:rsid w:val="007877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361376">
      <w:bodyDiv w:val="1"/>
      <w:marLeft w:val="0"/>
      <w:marRight w:val="0"/>
      <w:marTop w:val="0"/>
      <w:marBottom w:val="0"/>
      <w:divBdr>
        <w:top w:val="none" w:sz="0" w:space="0" w:color="auto"/>
        <w:left w:val="none" w:sz="0" w:space="0" w:color="auto"/>
        <w:bottom w:val="none" w:sz="0" w:space="0" w:color="auto"/>
        <w:right w:val="none" w:sz="0" w:space="0" w:color="auto"/>
      </w:divBdr>
    </w:div>
    <w:div w:id="169294365">
      <w:bodyDiv w:val="1"/>
      <w:marLeft w:val="0"/>
      <w:marRight w:val="0"/>
      <w:marTop w:val="0"/>
      <w:marBottom w:val="0"/>
      <w:divBdr>
        <w:top w:val="none" w:sz="0" w:space="0" w:color="auto"/>
        <w:left w:val="none" w:sz="0" w:space="0" w:color="auto"/>
        <w:bottom w:val="none" w:sz="0" w:space="0" w:color="auto"/>
        <w:right w:val="none" w:sz="0" w:space="0" w:color="auto"/>
      </w:divBdr>
    </w:div>
    <w:div w:id="244193862">
      <w:bodyDiv w:val="1"/>
      <w:marLeft w:val="0"/>
      <w:marRight w:val="0"/>
      <w:marTop w:val="0"/>
      <w:marBottom w:val="0"/>
      <w:divBdr>
        <w:top w:val="none" w:sz="0" w:space="0" w:color="auto"/>
        <w:left w:val="none" w:sz="0" w:space="0" w:color="auto"/>
        <w:bottom w:val="none" w:sz="0" w:space="0" w:color="auto"/>
        <w:right w:val="none" w:sz="0" w:space="0" w:color="auto"/>
      </w:divBdr>
    </w:div>
    <w:div w:id="322052665">
      <w:bodyDiv w:val="1"/>
      <w:marLeft w:val="0"/>
      <w:marRight w:val="0"/>
      <w:marTop w:val="0"/>
      <w:marBottom w:val="0"/>
      <w:divBdr>
        <w:top w:val="none" w:sz="0" w:space="0" w:color="auto"/>
        <w:left w:val="none" w:sz="0" w:space="0" w:color="auto"/>
        <w:bottom w:val="none" w:sz="0" w:space="0" w:color="auto"/>
        <w:right w:val="none" w:sz="0" w:space="0" w:color="auto"/>
      </w:divBdr>
    </w:div>
    <w:div w:id="410352407">
      <w:bodyDiv w:val="1"/>
      <w:marLeft w:val="0"/>
      <w:marRight w:val="0"/>
      <w:marTop w:val="0"/>
      <w:marBottom w:val="0"/>
      <w:divBdr>
        <w:top w:val="none" w:sz="0" w:space="0" w:color="auto"/>
        <w:left w:val="none" w:sz="0" w:space="0" w:color="auto"/>
        <w:bottom w:val="none" w:sz="0" w:space="0" w:color="auto"/>
        <w:right w:val="none" w:sz="0" w:space="0" w:color="auto"/>
      </w:divBdr>
    </w:div>
    <w:div w:id="428962500">
      <w:bodyDiv w:val="1"/>
      <w:marLeft w:val="0"/>
      <w:marRight w:val="0"/>
      <w:marTop w:val="0"/>
      <w:marBottom w:val="0"/>
      <w:divBdr>
        <w:top w:val="none" w:sz="0" w:space="0" w:color="auto"/>
        <w:left w:val="none" w:sz="0" w:space="0" w:color="auto"/>
        <w:bottom w:val="none" w:sz="0" w:space="0" w:color="auto"/>
        <w:right w:val="none" w:sz="0" w:space="0" w:color="auto"/>
      </w:divBdr>
    </w:div>
    <w:div w:id="525677875">
      <w:bodyDiv w:val="1"/>
      <w:marLeft w:val="0"/>
      <w:marRight w:val="0"/>
      <w:marTop w:val="0"/>
      <w:marBottom w:val="0"/>
      <w:divBdr>
        <w:top w:val="none" w:sz="0" w:space="0" w:color="auto"/>
        <w:left w:val="none" w:sz="0" w:space="0" w:color="auto"/>
        <w:bottom w:val="none" w:sz="0" w:space="0" w:color="auto"/>
        <w:right w:val="none" w:sz="0" w:space="0" w:color="auto"/>
      </w:divBdr>
    </w:div>
    <w:div w:id="558248705">
      <w:bodyDiv w:val="1"/>
      <w:marLeft w:val="0"/>
      <w:marRight w:val="0"/>
      <w:marTop w:val="0"/>
      <w:marBottom w:val="0"/>
      <w:divBdr>
        <w:top w:val="none" w:sz="0" w:space="0" w:color="auto"/>
        <w:left w:val="none" w:sz="0" w:space="0" w:color="auto"/>
        <w:bottom w:val="none" w:sz="0" w:space="0" w:color="auto"/>
        <w:right w:val="none" w:sz="0" w:space="0" w:color="auto"/>
      </w:divBdr>
    </w:div>
    <w:div w:id="598634835">
      <w:bodyDiv w:val="1"/>
      <w:marLeft w:val="0"/>
      <w:marRight w:val="0"/>
      <w:marTop w:val="0"/>
      <w:marBottom w:val="0"/>
      <w:divBdr>
        <w:top w:val="none" w:sz="0" w:space="0" w:color="auto"/>
        <w:left w:val="none" w:sz="0" w:space="0" w:color="auto"/>
        <w:bottom w:val="none" w:sz="0" w:space="0" w:color="auto"/>
        <w:right w:val="none" w:sz="0" w:space="0" w:color="auto"/>
      </w:divBdr>
    </w:div>
    <w:div w:id="757598272">
      <w:bodyDiv w:val="1"/>
      <w:marLeft w:val="0"/>
      <w:marRight w:val="0"/>
      <w:marTop w:val="0"/>
      <w:marBottom w:val="0"/>
      <w:divBdr>
        <w:top w:val="none" w:sz="0" w:space="0" w:color="auto"/>
        <w:left w:val="none" w:sz="0" w:space="0" w:color="auto"/>
        <w:bottom w:val="none" w:sz="0" w:space="0" w:color="auto"/>
        <w:right w:val="none" w:sz="0" w:space="0" w:color="auto"/>
      </w:divBdr>
    </w:div>
    <w:div w:id="798763530">
      <w:bodyDiv w:val="1"/>
      <w:marLeft w:val="0"/>
      <w:marRight w:val="0"/>
      <w:marTop w:val="0"/>
      <w:marBottom w:val="0"/>
      <w:divBdr>
        <w:top w:val="none" w:sz="0" w:space="0" w:color="auto"/>
        <w:left w:val="none" w:sz="0" w:space="0" w:color="auto"/>
        <w:bottom w:val="none" w:sz="0" w:space="0" w:color="auto"/>
        <w:right w:val="none" w:sz="0" w:space="0" w:color="auto"/>
      </w:divBdr>
    </w:div>
    <w:div w:id="900864561">
      <w:bodyDiv w:val="1"/>
      <w:marLeft w:val="0"/>
      <w:marRight w:val="0"/>
      <w:marTop w:val="0"/>
      <w:marBottom w:val="0"/>
      <w:divBdr>
        <w:top w:val="none" w:sz="0" w:space="0" w:color="auto"/>
        <w:left w:val="none" w:sz="0" w:space="0" w:color="auto"/>
        <w:bottom w:val="none" w:sz="0" w:space="0" w:color="auto"/>
        <w:right w:val="none" w:sz="0" w:space="0" w:color="auto"/>
      </w:divBdr>
    </w:div>
    <w:div w:id="977416979">
      <w:bodyDiv w:val="1"/>
      <w:marLeft w:val="0"/>
      <w:marRight w:val="0"/>
      <w:marTop w:val="0"/>
      <w:marBottom w:val="0"/>
      <w:divBdr>
        <w:top w:val="none" w:sz="0" w:space="0" w:color="auto"/>
        <w:left w:val="none" w:sz="0" w:space="0" w:color="auto"/>
        <w:bottom w:val="none" w:sz="0" w:space="0" w:color="auto"/>
        <w:right w:val="none" w:sz="0" w:space="0" w:color="auto"/>
      </w:divBdr>
    </w:div>
    <w:div w:id="1044328062">
      <w:bodyDiv w:val="1"/>
      <w:marLeft w:val="0"/>
      <w:marRight w:val="0"/>
      <w:marTop w:val="0"/>
      <w:marBottom w:val="0"/>
      <w:divBdr>
        <w:top w:val="none" w:sz="0" w:space="0" w:color="auto"/>
        <w:left w:val="none" w:sz="0" w:space="0" w:color="auto"/>
        <w:bottom w:val="none" w:sz="0" w:space="0" w:color="auto"/>
        <w:right w:val="none" w:sz="0" w:space="0" w:color="auto"/>
      </w:divBdr>
    </w:div>
    <w:div w:id="1071121286">
      <w:bodyDiv w:val="1"/>
      <w:marLeft w:val="0"/>
      <w:marRight w:val="0"/>
      <w:marTop w:val="0"/>
      <w:marBottom w:val="0"/>
      <w:divBdr>
        <w:top w:val="none" w:sz="0" w:space="0" w:color="auto"/>
        <w:left w:val="none" w:sz="0" w:space="0" w:color="auto"/>
        <w:bottom w:val="none" w:sz="0" w:space="0" w:color="auto"/>
        <w:right w:val="none" w:sz="0" w:space="0" w:color="auto"/>
      </w:divBdr>
    </w:div>
    <w:div w:id="1248616875">
      <w:bodyDiv w:val="1"/>
      <w:marLeft w:val="0"/>
      <w:marRight w:val="0"/>
      <w:marTop w:val="0"/>
      <w:marBottom w:val="0"/>
      <w:divBdr>
        <w:top w:val="none" w:sz="0" w:space="0" w:color="auto"/>
        <w:left w:val="none" w:sz="0" w:space="0" w:color="auto"/>
        <w:bottom w:val="none" w:sz="0" w:space="0" w:color="auto"/>
        <w:right w:val="none" w:sz="0" w:space="0" w:color="auto"/>
      </w:divBdr>
    </w:div>
    <w:div w:id="1339431590">
      <w:bodyDiv w:val="1"/>
      <w:marLeft w:val="0"/>
      <w:marRight w:val="0"/>
      <w:marTop w:val="0"/>
      <w:marBottom w:val="0"/>
      <w:divBdr>
        <w:top w:val="none" w:sz="0" w:space="0" w:color="auto"/>
        <w:left w:val="none" w:sz="0" w:space="0" w:color="auto"/>
        <w:bottom w:val="none" w:sz="0" w:space="0" w:color="auto"/>
        <w:right w:val="none" w:sz="0" w:space="0" w:color="auto"/>
      </w:divBdr>
    </w:div>
    <w:div w:id="1362197053">
      <w:bodyDiv w:val="1"/>
      <w:marLeft w:val="0"/>
      <w:marRight w:val="0"/>
      <w:marTop w:val="0"/>
      <w:marBottom w:val="0"/>
      <w:divBdr>
        <w:top w:val="none" w:sz="0" w:space="0" w:color="auto"/>
        <w:left w:val="none" w:sz="0" w:space="0" w:color="auto"/>
        <w:bottom w:val="none" w:sz="0" w:space="0" w:color="auto"/>
        <w:right w:val="none" w:sz="0" w:space="0" w:color="auto"/>
      </w:divBdr>
    </w:div>
    <w:div w:id="1384256918">
      <w:bodyDiv w:val="1"/>
      <w:marLeft w:val="0"/>
      <w:marRight w:val="0"/>
      <w:marTop w:val="0"/>
      <w:marBottom w:val="0"/>
      <w:divBdr>
        <w:top w:val="none" w:sz="0" w:space="0" w:color="auto"/>
        <w:left w:val="none" w:sz="0" w:space="0" w:color="auto"/>
        <w:bottom w:val="none" w:sz="0" w:space="0" w:color="auto"/>
        <w:right w:val="none" w:sz="0" w:space="0" w:color="auto"/>
      </w:divBdr>
      <w:divsChild>
        <w:div w:id="516773002">
          <w:marLeft w:val="0"/>
          <w:marRight w:val="0"/>
          <w:marTop w:val="0"/>
          <w:marBottom w:val="0"/>
          <w:divBdr>
            <w:top w:val="none" w:sz="0" w:space="0" w:color="auto"/>
            <w:left w:val="none" w:sz="0" w:space="0" w:color="auto"/>
            <w:bottom w:val="none" w:sz="0" w:space="0" w:color="auto"/>
            <w:right w:val="none" w:sz="0" w:space="0" w:color="auto"/>
          </w:divBdr>
          <w:divsChild>
            <w:div w:id="37972773">
              <w:marLeft w:val="0"/>
              <w:marRight w:val="0"/>
              <w:marTop w:val="0"/>
              <w:marBottom w:val="0"/>
              <w:divBdr>
                <w:top w:val="none" w:sz="0" w:space="0" w:color="auto"/>
                <w:left w:val="none" w:sz="0" w:space="0" w:color="auto"/>
                <w:bottom w:val="none" w:sz="0" w:space="0" w:color="auto"/>
                <w:right w:val="none" w:sz="0" w:space="0" w:color="auto"/>
              </w:divBdr>
              <w:divsChild>
                <w:div w:id="991637444">
                  <w:marLeft w:val="0"/>
                  <w:marRight w:val="0"/>
                  <w:marTop w:val="0"/>
                  <w:marBottom w:val="0"/>
                  <w:divBdr>
                    <w:top w:val="none" w:sz="0" w:space="0" w:color="auto"/>
                    <w:left w:val="none" w:sz="0" w:space="0" w:color="auto"/>
                    <w:bottom w:val="none" w:sz="0" w:space="0" w:color="auto"/>
                    <w:right w:val="none" w:sz="0" w:space="0" w:color="auto"/>
                  </w:divBdr>
                  <w:divsChild>
                    <w:div w:id="946231033">
                      <w:marLeft w:val="0"/>
                      <w:marRight w:val="0"/>
                      <w:marTop w:val="0"/>
                      <w:marBottom w:val="0"/>
                      <w:divBdr>
                        <w:top w:val="none" w:sz="0" w:space="0" w:color="auto"/>
                        <w:left w:val="none" w:sz="0" w:space="0" w:color="auto"/>
                        <w:bottom w:val="none" w:sz="0" w:space="0" w:color="auto"/>
                        <w:right w:val="none" w:sz="0" w:space="0" w:color="auto"/>
                      </w:divBdr>
                      <w:divsChild>
                        <w:div w:id="1074857102">
                          <w:marLeft w:val="-225"/>
                          <w:marRight w:val="-225"/>
                          <w:marTop w:val="0"/>
                          <w:marBottom w:val="0"/>
                          <w:divBdr>
                            <w:top w:val="none" w:sz="0" w:space="0" w:color="auto"/>
                            <w:left w:val="none" w:sz="0" w:space="0" w:color="auto"/>
                            <w:bottom w:val="none" w:sz="0" w:space="0" w:color="auto"/>
                            <w:right w:val="none" w:sz="0" w:space="0" w:color="auto"/>
                          </w:divBdr>
                          <w:divsChild>
                            <w:div w:id="1296839955">
                              <w:marLeft w:val="0"/>
                              <w:marRight w:val="0"/>
                              <w:marTop w:val="0"/>
                              <w:marBottom w:val="0"/>
                              <w:divBdr>
                                <w:top w:val="none" w:sz="0" w:space="0" w:color="auto"/>
                                <w:left w:val="none" w:sz="0" w:space="0" w:color="auto"/>
                                <w:bottom w:val="none" w:sz="0" w:space="0" w:color="auto"/>
                                <w:right w:val="none" w:sz="0" w:space="0" w:color="auto"/>
                              </w:divBdr>
                              <w:divsChild>
                                <w:div w:id="890776000">
                                  <w:marLeft w:val="0"/>
                                  <w:marRight w:val="0"/>
                                  <w:marTop w:val="0"/>
                                  <w:marBottom w:val="0"/>
                                  <w:divBdr>
                                    <w:top w:val="none" w:sz="0" w:space="0" w:color="auto"/>
                                    <w:left w:val="none" w:sz="0" w:space="0" w:color="auto"/>
                                    <w:bottom w:val="none" w:sz="0" w:space="0" w:color="auto"/>
                                    <w:right w:val="none" w:sz="0" w:space="0" w:color="auto"/>
                                  </w:divBdr>
                                  <w:divsChild>
                                    <w:div w:id="894698461">
                                      <w:marLeft w:val="0"/>
                                      <w:marRight w:val="0"/>
                                      <w:marTop w:val="0"/>
                                      <w:marBottom w:val="0"/>
                                      <w:divBdr>
                                        <w:top w:val="none" w:sz="0" w:space="0" w:color="auto"/>
                                        <w:left w:val="none" w:sz="0" w:space="0" w:color="auto"/>
                                        <w:bottom w:val="none" w:sz="0" w:space="0" w:color="auto"/>
                                        <w:right w:val="none" w:sz="0" w:space="0" w:color="auto"/>
                                      </w:divBdr>
                                      <w:divsChild>
                                        <w:div w:id="1743873873">
                                          <w:marLeft w:val="-225"/>
                                          <w:marRight w:val="-225"/>
                                          <w:marTop w:val="0"/>
                                          <w:marBottom w:val="0"/>
                                          <w:divBdr>
                                            <w:top w:val="none" w:sz="0" w:space="0" w:color="auto"/>
                                            <w:left w:val="none" w:sz="0" w:space="0" w:color="auto"/>
                                            <w:bottom w:val="none" w:sz="0" w:space="0" w:color="auto"/>
                                            <w:right w:val="none" w:sz="0" w:space="0" w:color="auto"/>
                                          </w:divBdr>
                                          <w:divsChild>
                                            <w:div w:id="673532165">
                                              <w:marLeft w:val="0"/>
                                              <w:marRight w:val="0"/>
                                              <w:marTop w:val="0"/>
                                              <w:marBottom w:val="0"/>
                                              <w:divBdr>
                                                <w:top w:val="none" w:sz="0" w:space="0" w:color="auto"/>
                                                <w:left w:val="none" w:sz="0" w:space="0" w:color="auto"/>
                                                <w:bottom w:val="none" w:sz="0" w:space="0" w:color="auto"/>
                                                <w:right w:val="none" w:sz="0" w:space="0" w:color="auto"/>
                                              </w:divBdr>
                                              <w:divsChild>
                                                <w:div w:id="874729512">
                                                  <w:marLeft w:val="0"/>
                                                  <w:marRight w:val="0"/>
                                                  <w:marTop w:val="0"/>
                                                  <w:marBottom w:val="0"/>
                                                  <w:divBdr>
                                                    <w:top w:val="none" w:sz="0" w:space="0" w:color="auto"/>
                                                    <w:left w:val="none" w:sz="0" w:space="0" w:color="auto"/>
                                                    <w:bottom w:val="none" w:sz="0" w:space="0" w:color="auto"/>
                                                    <w:right w:val="none" w:sz="0" w:space="0" w:color="auto"/>
                                                  </w:divBdr>
                                                  <w:divsChild>
                                                    <w:div w:id="203099915">
                                                      <w:marLeft w:val="0"/>
                                                      <w:marRight w:val="0"/>
                                                      <w:marTop w:val="0"/>
                                                      <w:marBottom w:val="0"/>
                                                      <w:divBdr>
                                                        <w:top w:val="none" w:sz="0" w:space="0" w:color="auto"/>
                                                        <w:left w:val="none" w:sz="0" w:space="0" w:color="auto"/>
                                                        <w:bottom w:val="none" w:sz="0" w:space="0" w:color="auto"/>
                                                        <w:right w:val="none" w:sz="0" w:space="0" w:color="auto"/>
                                                      </w:divBdr>
                                                      <w:divsChild>
                                                        <w:div w:id="519703570">
                                                          <w:marLeft w:val="0"/>
                                                          <w:marRight w:val="0"/>
                                                          <w:marTop w:val="0"/>
                                                          <w:marBottom w:val="0"/>
                                                          <w:divBdr>
                                                            <w:top w:val="none" w:sz="0" w:space="0" w:color="auto"/>
                                                            <w:left w:val="none" w:sz="0" w:space="0" w:color="auto"/>
                                                            <w:bottom w:val="none" w:sz="0" w:space="0" w:color="auto"/>
                                                            <w:right w:val="none" w:sz="0" w:space="0" w:color="auto"/>
                                                          </w:divBdr>
                                                          <w:divsChild>
                                                            <w:div w:id="198713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34934925">
      <w:bodyDiv w:val="1"/>
      <w:marLeft w:val="0"/>
      <w:marRight w:val="0"/>
      <w:marTop w:val="0"/>
      <w:marBottom w:val="0"/>
      <w:divBdr>
        <w:top w:val="none" w:sz="0" w:space="0" w:color="auto"/>
        <w:left w:val="none" w:sz="0" w:space="0" w:color="auto"/>
        <w:bottom w:val="none" w:sz="0" w:space="0" w:color="auto"/>
        <w:right w:val="none" w:sz="0" w:space="0" w:color="auto"/>
      </w:divBdr>
    </w:div>
    <w:div w:id="1440292137">
      <w:bodyDiv w:val="1"/>
      <w:marLeft w:val="0"/>
      <w:marRight w:val="0"/>
      <w:marTop w:val="0"/>
      <w:marBottom w:val="0"/>
      <w:divBdr>
        <w:top w:val="none" w:sz="0" w:space="0" w:color="auto"/>
        <w:left w:val="none" w:sz="0" w:space="0" w:color="auto"/>
        <w:bottom w:val="none" w:sz="0" w:space="0" w:color="auto"/>
        <w:right w:val="none" w:sz="0" w:space="0" w:color="auto"/>
      </w:divBdr>
    </w:div>
    <w:div w:id="1464928819">
      <w:bodyDiv w:val="1"/>
      <w:marLeft w:val="0"/>
      <w:marRight w:val="0"/>
      <w:marTop w:val="0"/>
      <w:marBottom w:val="0"/>
      <w:divBdr>
        <w:top w:val="none" w:sz="0" w:space="0" w:color="auto"/>
        <w:left w:val="none" w:sz="0" w:space="0" w:color="auto"/>
        <w:bottom w:val="none" w:sz="0" w:space="0" w:color="auto"/>
        <w:right w:val="none" w:sz="0" w:space="0" w:color="auto"/>
      </w:divBdr>
    </w:div>
    <w:div w:id="1524897539">
      <w:bodyDiv w:val="1"/>
      <w:marLeft w:val="0"/>
      <w:marRight w:val="0"/>
      <w:marTop w:val="0"/>
      <w:marBottom w:val="0"/>
      <w:divBdr>
        <w:top w:val="none" w:sz="0" w:space="0" w:color="auto"/>
        <w:left w:val="none" w:sz="0" w:space="0" w:color="auto"/>
        <w:bottom w:val="none" w:sz="0" w:space="0" w:color="auto"/>
        <w:right w:val="none" w:sz="0" w:space="0" w:color="auto"/>
      </w:divBdr>
      <w:divsChild>
        <w:div w:id="1418867211">
          <w:marLeft w:val="0"/>
          <w:marRight w:val="0"/>
          <w:marTop w:val="0"/>
          <w:marBottom w:val="0"/>
          <w:divBdr>
            <w:top w:val="none" w:sz="0" w:space="0" w:color="auto"/>
            <w:left w:val="none" w:sz="0" w:space="0" w:color="auto"/>
            <w:bottom w:val="none" w:sz="0" w:space="0" w:color="auto"/>
            <w:right w:val="none" w:sz="0" w:space="0" w:color="auto"/>
          </w:divBdr>
          <w:divsChild>
            <w:div w:id="1007825358">
              <w:marLeft w:val="0"/>
              <w:marRight w:val="0"/>
              <w:marTop w:val="0"/>
              <w:marBottom w:val="0"/>
              <w:divBdr>
                <w:top w:val="none" w:sz="0" w:space="0" w:color="auto"/>
                <w:left w:val="none" w:sz="0" w:space="0" w:color="auto"/>
                <w:bottom w:val="none" w:sz="0" w:space="0" w:color="auto"/>
                <w:right w:val="none" w:sz="0" w:space="0" w:color="auto"/>
              </w:divBdr>
              <w:divsChild>
                <w:div w:id="1669402747">
                  <w:marLeft w:val="0"/>
                  <w:marRight w:val="0"/>
                  <w:marTop w:val="0"/>
                  <w:marBottom w:val="0"/>
                  <w:divBdr>
                    <w:top w:val="none" w:sz="0" w:space="0" w:color="auto"/>
                    <w:left w:val="none" w:sz="0" w:space="0" w:color="auto"/>
                    <w:bottom w:val="none" w:sz="0" w:space="0" w:color="auto"/>
                    <w:right w:val="none" w:sz="0" w:space="0" w:color="auto"/>
                  </w:divBdr>
                  <w:divsChild>
                    <w:div w:id="1342930872">
                      <w:marLeft w:val="0"/>
                      <w:marRight w:val="0"/>
                      <w:marTop w:val="0"/>
                      <w:marBottom w:val="0"/>
                      <w:divBdr>
                        <w:top w:val="none" w:sz="0" w:space="0" w:color="auto"/>
                        <w:left w:val="none" w:sz="0" w:space="0" w:color="auto"/>
                        <w:bottom w:val="none" w:sz="0" w:space="0" w:color="auto"/>
                        <w:right w:val="none" w:sz="0" w:space="0" w:color="auto"/>
                      </w:divBdr>
                      <w:divsChild>
                        <w:div w:id="258635803">
                          <w:marLeft w:val="-225"/>
                          <w:marRight w:val="-225"/>
                          <w:marTop w:val="0"/>
                          <w:marBottom w:val="0"/>
                          <w:divBdr>
                            <w:top w:val="none" w:sz="0" w:space="0" w:color="auto"/>
                            <w:left w:val="none" w:sz="0" w:space="0" w:color="auto"/>
                            <w:bottom w:val="none" w:sz="0" w:space="0" w:color="auto"/>
                            <w:right w:val="none" w:sz="0" w:space="0" w:color="auto"/>
                          </w:divBdr>
                          <w:divsChild>
                            <w:div w:id="1701281301">
                              <w:marLeft w:val="0"/>
                              <w:marRight w:val="0"/>
                              <w:marTop w:val="0"/>
                              <w:marBottom w:val="0"/>
                              <w:divBdr>
                                <w:top w:val="none" w:sz="0" w:space="0" w:color="auto"/>
                                <w:left w:val="none" w:sz="0" w:space="0" w:color="auto"/>
                                <w:bottom w:val="none" w:sz="0" w:space="0" w:color="auto"/>
                                <w:right w:val="none" w:sz="0" w:space="0" w:color="auto"/>
                              </w:divBdr>
                              <w:divsChild>
                                <w:div w:id="1424884942">
                                  <w:marLeft w:val="0"/>
                                  <w:marRight w:val="0"/>
                                  <w:marTop w:val="0"/>
                                  <w:marBottom w:val="0"/>
                                  <w:divBdr>
                                    <w:top w:val="none" w:sz="0" w:space="0" w:color="auto"/>
                                    <w:left w:val="none" w:sz="0" w:space="0" w:color="auto"/>
                                    <w:bottom w:val="none" w:sz="0" w:space="0" w:color="auto"/>
                                    <w:right w:val="none" w:sz="0" w:space="0" w:color="auto"/>
                                  </w:divBdr>
                                  <w:divsChild>
                                    <w:div w:id="1870483037">
                                      <w:marLeft w:val="0"/>
                                      <w:marRight w:val="0"/>
                                      <w:marTop w:val="0"/>
                                      <w:marBottom w:val="0"/>
                                      <w:divBdr>
                                        <w:top w:val="none" w:sz="0" w:space="0" w:color="auto"/>
                                        <w:left w:val="none" w:sz="0" w:space="0" w:color="auto"/>
                                        <w:bottom w:val="none" w:sz="0" w:space="0" w:color="auto"/>
                                        <w:right w:val="none" w:sz="0" w:space="0" w:color="auto"/>
                                      </w:divBdr>
                                      <w:divsChild>
                                        <w:div w:id="536283710">
                                          <w:marLeft w:val="0"/>
                                          <w:marRight w:val="0"/>
                                          <w:marTop w:val="0"/>
                                          <w:marBottom w:val="0"/>
                                          <w:divBdr>
                                            <w:top w:val="none" w:sz="0" w:space="0" w:color="auto"/>
                                            <w:left w:val="none" w:sz="0" w:space="0" w:color="auto"/>
                                            <w:bottom w:val="none" w:sz="0" w:space="0" w:color="auto"/>
                                            <w:right w:val="none" w:sz="0" w:space="0" w:color="auto"/>
                                          </w:divBdr>
                                          <w:divsChild>
                                            <w:div w:id="2061395452">
                                              <w:marLeft w:val="0"/>
                                              <w:marRight w:val="0"/>
                                              <w:marTop w:val="0"/>
                                              <w:marBottom w:val="0"/>
                                              <w:divBdr>
                                                <w:top w:val="none" w:sz="0" w:space="0" w:color="auto"/>
                                                <w:left w:val="none" w:sz="0" w:space="0" w:color="auto"/>
                                                <w:bottom w:val="none" w:sz="0" w:space="0" w:color="auto"/>
                                                <w:right w:val="none" w:sz="0" w:space="0" w:color="auto"/>
                                              </w:divBdr>
                                              <w:divsChild>
                                                <w:div w:id="561403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48563673">
      <w:bodyDiv w:val="1"/>
      <w:marLeft w:val="0"/>
      <w:marRight w:val="0"/>
      <w:marTop w:val="0"/>
      <w:marBottom w:val="0"/>
      <w:divBdr>
        <w:top w:val="none" w:sz="0" w:space="0" w:color="auto"/>
        <w:left w:val="none" w:sz="0" w:space="0" w:color="auto"/>
        <w:bottom w:val="none" w:sz="0" w:space="0" w:color="auto"/>
        <w:right w:val="none" w:sz="0" w:space="0" w:color="auto"/>
      </w:divBdr>
      <w:divsChild>
        <w:div w:id="1793160489">
          <w:marLeft w:val="0"/>
          <w:marRight w:val="0"/>
          <w:marTop w:val="0"/>
          <w:marBottom w:val="0"/>
          <w:divBdr>
            <w:top w:val="none" w:sz="0" w:space="0" w:color="auto"/>
            <w:left w:val="none" w:sz="0" w:space="0" w:color="auto"/>
            <w:bottom w:val="none" w:sz="0" w:space="0" w:color="auto"/>
            <w:right w:val="none" w:sz="0" w:space="0" w:color="auto"/>
          </w:divBdr>
          <w:divsChild>
            <w:div w:id="226648871">
              <w:marLeft w:val="0"/>
              <w:marRight w:val="0"/>
              <w:marTop w:val="0"/>
              <w:marBottom w:val="0"/>
              <w:divBdr>
                <w:top w:val="none" w:sz="0" w:space="0" w:color="auto"/>
                <w:left w:val="none" w:sz="0" w:space="0" w:color="auto"/>
                <w:bottom w:val="none" w:sz="0" w:space="0" w:color="auto"/>
                <w:right w:val="none" w:sz="0" w:space="0" w:color="auto"/>
              </w:divBdr>
              <w:divsChild>
                <w:div w:id="1094203079">
                  <w:marLeft w:val="0"/>
                  <w:marRight w:val="0"/>
                  <w:marTop w:val="0"/>
                  <w:marBottom w:val="0"/>
                  <w:divBdr>
                    <w:top w:val="none" w:sz="0" w:space="0" w:color="auto"/>
                    <w:left w:val="none" w:sz="0" w:space="0" w:color="auto"/>
                    <w:bottom w:val="none" w:sz="0" w:space="0" w:color="auto"/>
                    <w:right w:val="none" w:sz="0" w:space="0" w:color="auto"/>
                  </w:divBdr>
                  <w:divsChild>
                    <w:div w:id="94716484">
                      <w:marLeft w:val="0"/>
                      <w:marRight w:val="0"/>
                      <w:marTop w:val="0"/>
                      <w:marBottom w:val="0"/>
                      <w:divBdr>
                        <w:top w:val="none" w:sz="0" w:space="0" w:color="auto"/>
                        <w:left w:val="none" w:sz="0" w:space="0" w:color="auto"/>
                        <w:bottom w:val="none" w:sz="0" w:space="0" w:color="auto"/>
                        <w:right w:val="none" w:sz="0" w:space="0" w:color="auto"/>
                      </w:divBdr>
                      <w:divsChild>
                        <w:div w:id="907544346">
                          <w:marLeft w:val="-225"/>
                          <w:marRight w:val="-225"/>
                          <w:marTop w:val="0"/>
                          <w:marBottom w:val="0"/>
                          <w:divBdr>
                            <w:top w:val="none" w:sz="0" w:space="0" w:color="auto"/>
                            <w:left w:val="none" w:sz="0" w:space="0" w:color="auto"/>
                            <w:bottom w:val="none" w:sz="0" w:space="0" w:color="auto"/>
                            <w:right w:val="none" w:sz="0" w:space="0" w:color="auto"/>
                          </w:divBdr>
                          <w:divsChild>
                            <w:div w:id="1849172635">
                              <w:marLeft w:val="0"/>
                              <w:marRight w:val="0"/>
                              <w:marTop w:val="0"/>
                              <w:marBottom w:val="0"/>
                              <w:divBdr>
                                <w:top w:val="none" w:sz="0" w:space="0" w:color="auto"/>
                                <w:left w:val="none" w:sz="0" w:space="0" w:color="auto"/>
                                <w:bottom w:val="none" w:sz="0" w:space="0" w:color="auto"/>
                                <w:right w:val="none" w:sz="0" w:space="0" w:color="auto"/>
                              </w:divBdr>
                              <w:divsChild>
                                <w:div w:id="220295012">
                                  <w:marLeft w:val="0"/>
                                  <w:marRight w:val="0"/>
                                  <w:marTop w:val="0"/>
                                  <w:marBottom w:val="0"/>
                                  <w:divBdr>
                                    <w:top w:val="none" w:sz="0" w:space="0" w:color="auto"/>
                                    <w:left w:val="none" w:sz="0" w:space="0" w:color="auto"/>
                                    <w:bottom w:val="none" w:sz="0" w:space="0" w:color="auto"/>
                                    <w:right w:val="none" w:sz="0" w:space="0" w:color="auto"/>
                                  </w:divBdr>
                                  <w:divsChild>
                                    <w:div w:id="717365190">
                                      <w:marLeft w:val="0"/>
                                      <w:marRight w:val="0"/>
                                      <w:marTop w:val="0"/>
                                      <w:marBottom w:val="0"/>
                                      <w:divBdr>
                                        <w:top w:val="none" w:sz="0" w:space="0" w:color="auto"/>
                                        <w:left w:val="none" w:sz="0" w:space="0" w:color="auto"/>
                                        <w:bottom w:val="none" w:sz="0" w:space="0" w:color="auto"/>
                                        <w:right w:val="none" w:sz="0" w:space="0" w:color="auto"/>
                                      </w:divBdr>
                                      <w:divsChild>
                                        <w:div w:id="645087091">
                                          <w:marLeft w:val="-225"/>
                                          <w:marRight w:val="-225"/>
                                          <w:marTop w:val="0"/>
                                          <w:marBottom w:val="0"/>
                                          <w:divBdr>
                                            <w:top w:val="none" w:sz="0" w:space="0" w:color="auto"/>
                                            <w:left w:val="none" w:sz="0" w:space="0" w:color="auto"/>
                                            <w:bottom w:val="none" w:sz="0" w:space="0" w:color="auto"/>
                                            <w:right w:val="none" w:sz="0" w:space="0" w:color="auto"/>
                                          </w:divBdr>
                                          <w:divsChild>
                                            <w:div w:id="1420759576">
                                              <w:marLeft w:val="0"/>
                                              <w:marRight w:val="0"/>
                                              <w:marTop w:val="0"/>
                                              <w:marBottom w:val="0"/>
                                              <w:divBdr>
                                                <w:top w:val="none" w:sz="0" w:space="0" w:color="auto"/>
                                                <w:left w:val="none" w:sz="0" w:space="0" w:color="auto"/>
                                                <w:bottom w:val="none" w:sz="0" w:space="0" w:color="auto"/>
                                                <w:right w:val="none" w:sz="0" w:space="0" w:color="auto"/>
                                              </w:divBdr>
                                              <w:divsChild>
                                                <w:div w:id="1854151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96286107">
      <w:bodyDiv w:val="1"/>
      <w:marLeft w:val="0"/>
      <w:marRight w:val="0"/>
      <w:marTop w:val="0"/>
      <w:marBottom w:val="0"/>
      <w:divBdr>
        <w:top w:val="none" w:sz="0" w:space="0" w:color="auto"/>
        <w:left w:val="none" w:sz="0" w:space="0" w:color="auto"/>
        <w:bottom w:val="none" w:sz="0" w:space="0" w:color="auto"/>
        <w:right w:val="none" w:sz="0" w:space="0" w:color="auto"/>
      </w:divBdr>
    </w:div>
    <w:div w:id="1741560683">
      <w:bodyDiv w:val="1"/>
      <w:marLeft w:val="0"/>
      <w:marRight w:val="0"/>
      <w:marTop w:val="0"/>
      <w:marBottom w:val="0"/>
      <w:divBdr>
        <w:top w:val="none" w:sz="0" w:space="0" w:color="auto"/>
        <w:left w:val="none" w:sz="0" w:space="0" w:color="auto"/>
        <w:bottom w:val="none" w:sz="0" w:space="0" w:color="auto"/>
        <w:right w:val="none" w:sz="0" w:space="0" w:color="auto"/>
      </w:divBdr>
    </w:div>
    <w:div w:id="1742632599">
      <w:bodyDiv w:val="1"/>
      <w:marLeft w:val="0"/>
      <w:marRight w:val="0"/>
      <w:marTop w:val="0"/>
      <w:marBottom w:val="0"/>
      <w:divBdr>
        <w:top w:val="none" w:sz="0" w:space="0" w:color="auto"/>
        <w:left w:val="none" w:sz="0" w:space="0" w:color="auto"/>
        <w:bottom w:val="none" w:sz="0" w:space="0" w:color="auto"/>
        <w:right w:val="none" w:sz="0" w:space="0" w:color="auto"/>
      </w:divBdr>
    </w:div>
    <w:div w:id="1820490306">
      <w:bodyDiv w:val="1"/>
      <w:marLeft w:val="0"/>
      <w:marRight w:val="0"/>
      <w:marTop w:val="0"/>
      <w:marBottom w:val="0"/>
      <w:divBdr>
        <w:top w:val="none" w:sz="0" w:space="0" w:color="auto"/>
        <w:left w:val="none" w:sz="0" w:space="0" w:color="auto"/>
        <w:bottom w:val="none" w:sz="0" w:space="0" w:color="auto"/>
        <w:right w:val="none" w:sz="0" w:space="0" w:color="auto"/>
      </w:divBdr>
    </w:div>
    <w:div w:id="1860848409">
      <w:bodyDiv w:val="1"/>
      <w:marLeft w:val="0"/>
      <w:marRight w:val="0"/>
      <w:marTop w:val="0"/>
      <w:marBottom w:val="0"/>
      <w:divBdr>
        <w:top w:val="none" w:sz="0" w:space="0" w:color="auto"/>
        <w:left w:val="none" w:sz="0" w:space="0" w:color="auto"/>
        <w:bottom w:val="none" w:sz="0" w:space="0" w:color="auto"/>
        <w:right w:val="none" w:sz="0" w:space="0" w:color="auto"/>
      </w:divBdr>
    </w:div>
    <w:div w:id="1983342676">
      <w:bodyDiv w:val="1"/>
      <w:marLeft w:val="0"/>
      <w:marRight w:val="0"/>
      <w:marTop w:val="0"/>
      <w:marBottom w:val="0"/>
      <w:divBdr>
        <w:top w:val="none" w:sz="0" w:space="0" w:color="auto"/>
        <w:left w:val="none" w:sz="0" w:space="0" w:color="auto"/>
        <w:bottom w:val="none" w:sz="0" w:space="0" w:color="auto"/>
        <w:right w:val="none" w:sz="0" w:space="0" w:color="auto"/>
      </w:divBdr>
    </w:div>
    <w:div w:id="2003242622">
      <w:bodyDiv w:val="1"/>
      <w:marLeft w:val="0"/>
      <w:marRight w:val="0"/>
      <w:marTop w:val="0"/>
      <w:marBottom w:val="0"/>
      <w:divBdr>
        <w:top w:val="none" w:sz="0" w:space="0" w:color="auto"/>
        <w:left w:val="none" w:sz="0" w:space="0" w:color="auto"/>
        <w:bottom w:val="none" w:sz="0" w:space="0" w:color="auto"/>
        <w:right w:val="none" w:sz="0" w:space="0" w:color="auto"/>
      </w:divBdr>
      <w:divsChild>
        <w:div w:id="220213625">
          <w:marLeft w:val="2376"/>
          <w:marRight w:val="0"/>
          <w:marTop w:val="0"/>
          <w:marBottom w:val="0"/>
          <w:divBdr>
            <w:top w:val="none" w:sz="0" w:space="0" w:color="auto"/>
            <w:left w:val="none" w:sz="0" w:space="0" w:color="auto"/>
            <w:bottom w:val="none" w:sz="0" w:space="0" w:color="auto"/>
            <w:right w:val="none" w:sz="0" w:space="0" w:color="auto"/>
          </w:divBdr>
        </w:div>
        <w:div w:id="191116353">
          <w:marLeft w:val="2376"/>
          <w:marRight w:val="0"/>
          <w:marTop w:val="0"/>
          <w:marBottom w:val="0"/>
          <w:divBdr>
            <w:top w:val="none" w:sz="0" w:space="0" w:color="auto"/>
            <w:left w:val="none" w:sz="0" w:space="0" w:color="auto"/>
            <w:bottom w:val="none" w:sz="0" w:space="0" w:color="auto"/>
            <w:right w:val="none" w:sz="0" w:space="0" w:color="auto"/>
          </w:divBdr>
        </w:div>
        <w:div w:id="1911962678">
          <w:marLeft w:val="2376"/>
          <w:marRight w:val="0"/>
          <w:marTop w:val="0"/>
          <w:marBottom w:val="0"/>
          <w:divBdr>
            <w:top w:val="none" w:sz="0" w:space="0" w:color="auto"/>
            <w:left w:val="none" w:sz="0" w:space="0" w:color="auto"/>
            <w:bottom w:val="none" w:sz="0" w:space="0" w:color="auto"/>
            <w:right w:val="none" w:sz="0" w:space="0" w:color="auto"/>
          </w:divBdr>
        </w:div>
      </w:divsChild>
    </w:div>
    <w:div w:id="2021468889">
      <w:bodyDiv w:val="1"/>
      <w:marLeft w:val="0"/>
      <w:marRight w:val="0"/>
      <w:marTop w:val="0"/>
      <w:marBottom w:val="0"/>
      <w:divBdr>
        <w:top w:val="none" w:sz="0" w:space="0" w:color="auto"/>
        <w:left w:val="none" w:sz="0" w:space="0" w:color="auto"/>
        <w:bottom w:val="none" w:sz="0" w:space="0" w:color="auto"/>
        <w:right w:val="none" w:sz="0" w:space="0" w:color="auto"/>
      </w:divBdr>
    </w:div>
    <w:div w:id="2097700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header" Target="header3.xml"/><Relationship Id="rId26" Type="http://schemas.openxmlformats.org/officeDocument/2006/relationships/hyperlink" Target="https://frontiersi.com.au/project/satellite-based-augmentation-system-test-bed/" TargetMode="External"/><Relationship Id="rId39" Type="http://schemas.openxmlformats.org/officeDocument/2006/relationships/hyperlink" Target="http://www.communications.gov.au/" TargetMode="External"/><Relationship Id="rId21" Type="http://schemas.openxmlformats.org/officeDocument/2006/relationships/footer" Target="footer3.xml"/><Relationship Id="rId34" Type="http://schemas.openxmlformats.org/officeDocument/2006/relationships/hyperlink" Target="http://www.space.gov.au/" TargetMode="External"/><Relationship Id="rId42" Type="http://schemas.openxmlformats.org/officeDocument/2006/relationships/hyperlink" Target="http://www.dfat.gov.au/" TargetMode="External"/><Relationship Id="rId47" Type="http://schemas.openxmlformats.org/officeDocument/2006/relationships/hyperlink" Target="http://www.infrastructure.gov.au/" TargetMode="External"/><Relationship Id="rId50" Type="http://schemas.openxmlformats.org/officeDocument/2006/relationships/hyperlink" Target="http://www.airservicesaustralia.com/" TargetMode="External"/><Relationship Id="rId55"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emf"/><Relationship Id="rId17" Type="http://schemas.openxmlformats.org/officeDocument/2006/relationships/image" Target="media/image6.png"/><Relationship Id="rId25" Type="http://schemas.openxmlformats.org/officeDocument/2006/relationships/image" Target="media/image10.png"/><Relationship Id="rId33" Type="http://schemas.openxmlformats.org/officeDocument/2006/relationships/hyperlink" Target="http://www.ag.gov.au/" TargetMode="External"/><Relationship Id="rId38" Type="http://schemas.openxmlformats.org/officeDocument/2006/relationships/hyperlink" Target="http://www.csiro.au/" TargetMode="External"/><Relationship Id="rId46" Type="http://schemas.openxmlformats.org/officeDocument/2006/relationships/hyperlink" Target="http://www.industry.gov.au/" TargetMode="Externa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header" Target="header4.xml"/><Relationship Id="rId29" Type="http://schemas.openxmlformats.org/officeDocument/2006/relationships/image" Target="media/image11.png"/><Relationship Id="rId41" Type="http://schemas.openxmlformats.org/officeDocument/2006/relationships/hyperlink" Target="http://www.finance.gov.au/"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9.jpg"/><Relationship Id="rId32" Type="http://schemas.openxmlformats.org/officeDocument/2006/relationships/hyperlink" Target="http://www.csiro.au/apollo11" TargetMode="External"/><Relationship Id="rId37" Type="http://schemas.openxmlformats.org/officeDocument/2006/relationships/hyperlink" Target="http://www.bom.gov.au/" TargetMode="External"/><Relationship Id="rId40" Type="http://schemas.openxmlformats.org/officeDocument/2006/relationships/hyperlink" Target="http://www.defence.gov.au/" TargetMode="External"/><Relationship Id="rId45" Type="http://schemas.openxmlformats.org/officeDocument/2006/relationships/hyperlink" Target="http://www.tisn.gov.au/" TargetMode="External"/><Relationship Id="rId53" Type="http://schemas.openxmlformats.org/officeDocument/2006/relationships/hyperlink" Target="http://www.treasury.gov.au/" TargetMode="Externa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image" Target="media/image8.jpg"/><Relationship Id="rId28" Type="http://schemas.openxmlformats.org/officeDocument/2006/relationships/hyperlink" Target="https://www.dst.defence.gov.au/NextGenTechFund/emerging-disruptive-technology-assessment-symposium-edtas" TargetMode="External"/><Relationship Id="rId36" Type="http://schemas.openxmlformats.org/officeDocument/2006/relationships/hyperlink" Target="http://www.austrade.gov.au/" TargetMode="External"/><Relationship Id="rId49" Type="http://schemas.openxmlformats.org/officeDocument/2006/relationships/hyperlink" Target="http://www.casa.gov.au/" TargetMode="External"/><Relationship Id="rId10" Type="http://schemas.openxmlformats.org/officeDocument/2006/relationships/footnotes" Target="footnotes.xml"/><Relationship Id="rId19" Type="http://schemas.openxmlformats.org/officeDocument/2006/relationships/footer" Target="footer2.xml"/><Relationship Id="rId31" Type="http://schemas.openxmlformats.org/officeDocument/2006/relationships/image" Target="media/image13.png"/><Relationship Id="rId44" Type="http://schemas.openxmlformats.org/officeDocument/2006/relationships/hyperlink" Target="http://www.cicentre.gov.au/" TargetMode="External"/><Relationship Id="rId52" Type="http://schemas.openxmlformats.org/officeDocument/2006/relationships/hyperlink" Target="http://www.ga.gov.au/"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image" Target="media/image7.jpg"/><Relationship Id="rId27" Type="http://schemas.openxmlformats.org/officeDocument/2006/relationships/hyperlink" Target="https://www.csiro.au/en/Do-business/Futures/Reports/Space-Roadmap" TargetMode="External"/><Relationship Id="rId30" Type="http://schemas.openxmlformats.org/officeDocument/2006/relationships/image" Target="media/image12.png"/><Relationship Id="rId35" Type="http://schemas.openxmlformats.org/officeDocument/2006/relationships/hyperlink" Target="http://www.acma.gov.au/" TargetMode="External"/><Relationship Id="rId43" Type="http://schemas.openxmlformats.org/officeDocument/2006/relationships/hyperlink" Target="http://www.homeaffairs.gov.au/" TargetMode="External"/><Relationship Id="rId48" Type="http://schemas.openxmlformats.org/officeDocument/2006/relationships/hyperlink" Target="http://www.amsa.gov.au/" TargetMode="External"/><Relationship Id="rId8" Type="http://schemas.openxmlformats.org/officeDocument/2006/relationships/settings" Target="settings.xml"/><Relationship Id="rId51" Type="http://schemas.openxmlformats.org/officeDocument/2006/relationships/hyperlink" Target="http://www.pmc.gov.au/" TargetMode="External"/><Relationship Id="rId3"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1" Type="http://schemas.openxmlformats.org/officeDocument/2006/relationships/hyperlink" Target="http://www.cospas-sarsat.in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ASA">
      <a:dk1>
        <a:sysClr val="windowText" lastClr="000000"/>
      </a:dk1>
      <a:lt1>
        <a:sysClr val="window" lastClr="FFFFFF"/>
      </a:lt1>
      <a:dk2>
        <a:srgbClr val="000000"/>
      </a:dk2>
      <a:lt2>
        <a:srgbClr val="004976"/>
      </a:lt2>
      <a:accent1>
        <a:srgbClr val="004976"/>
      </a:accent1>
      <a:accent2>
        <a:srgbClr val="FFB500"/>
      </a:accent2>
      <a:accent3>
        <a:srgbClr val="36573B"/>
      </a:accent3>
      <a:accent4>
        <a:srgbClr val="DC673B"/>
      </a:accent4>
      <a:accent5>
        <a:srgbClr val="B33D26"/>
      </a:accent5>
      <a:accent6>
        <a:srgbClr val="9DB0AC"/>
      </a:accent6>
      <a:hlink>
        <a:srgbClr val="004976"/>
      </a:hlink>
      <a:folHlink>
        <a:srgbClr val="8C857B"/>
      </a:folHlink>
    </a:clrScheme>
    <a:fontScheme name="AS Private Wealth">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Comments xmlns="http://schemas.microsoft.com/sharepoint/v3" xsi:nil="true"/>
    <aa25a1a23adf4c92a153145de6afe324 xmlns="f7542fce-ffe0-493b-b9b7-89db4158a116">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6106d03b-a1a0-4e30-9d91-d5e9fb4314f9</TermId>
        </TermInfo>
      </Terms>
    </aa25a1a23adf4c92a153145de6afe324>
    <n99e4c9942c6404eb103464a00e6097b xmlns="f7542fce-ffe0-493b-b9b7-89db4158a116">
      <Terms xmlns="http://schemas.microsoft.com/office/infopath/2007/PartnerControls">
        <TermInfo xmlns="http://schemas.microsoft.com/office/infopath/2007/PartnerControls">
          <TermName xmlns="http://schemas.microsoft.com/office/infopath/2007/PartnerControls">2019</TermName>
          <TermId xmlns="http://schemas.microsoft.com/office/infopath/2007/PartnerControls">7e451fe0-4dc6-437a-a849-bab7965a9aee</TermId>
        </TermInfo>
      </Terms>
    </n99e4c9942c6404eb103464a00e6097b>
    <adb9bed2e36e4a93af574aeb444da63e xmlns="f7542fce-ffe0-493b-b9b7-89db4158a116">
      <Terms xmlns="http://schemas.microsoft.com/office/infopath/2007/PartnerControls">
        <TermInfo xmlns="http://schemas.microsoft.com/office/infopath/2007/PartnerControls">
          <TermName xmlns="http://schemas.microsoft.com/office/infopath/2007/PartnerControls">State of Space</TermName>
          <TermId xmlns="http://schemas.microsoft.com/office/infopath/2007/PartnerControls">a759ecfd-f164-4630-9430-17bac5f177a6</TermId>
        </TermInfo>
      </Terms>
    </adb9bed2e36e4a93af574aeb444da63e>
    <TaxCatchAll xmlns="f7542fce-ffe0-493b-b9b7-89db4158a116">
      <Value>50</Value>
      <Value>691</Value>
      <Value>361</Value>
      <Value>36</Value>
      <Value>7</Value>
    </TaxCatchAll>
    <pe2555c81638466f9eb614edb9ecde52 xmlns="f7542fce-ffe0-493b-b9b7-89db4158a116">
      <Terms xmlns="http://schemas.microsoft.com/office/infopath/2007/PartnerControls">
        <TermInfo xmlns="http://schemas.microsoft.com/office/infopath/2007/PartnerControls">
          <TermName xmlns="http://schemas.microsoft.com/office/infopath/2007/PartnerControls">Report</TermName>
          <TermId xmlns="http://schemas.microsoft.com/office/infopath/2007/PartnerControls">116a9244-cef6-47ce-a9a5-088c9cf21292</TermId>
        </TermInfo>
      </Terms>
    </pe2555c81638466f9eb614edb9ecde52>
    <g7bcb40ba23249a78edca7d43a67c1c9 xmlns="f7542fce-ffe0-493b-b9b7-89db4158a116">
      <Terms xmlns="http://schemas.microsoft.com/office/infopath/2007/PartnerControls">
        <TermInfo xmlns="http://schemas.microsoft.com/office/infopath/2007/PartnerControls">
          <TermName xmlns="http://schemas.microsoft.com/office/infopath/2007/PartnerControls">Reporting</TermName>
          <TermId xmlns="http://schemas.microsoft.com/office/infopath/2007/PartnerControls">12af97d0-e555-43d0-b3d2-0f0b8e33cc04</TermId>
        </TermInfo>
      </Terms>
    </g7bcb40ba23249a78edca7d43a67c1c9>
    <_dlc_DocId xmlns="f7542fce-ffe0-493b-b9b7-89db4158a116">UJVTQAQNCCMD-825271553-27</_dlc_DocId>
    <_dlc_DocIdUrl xmlns="f7542fce-ffe0-493b-b9b7-89db4158a116">
      <Url>https://dochub/div/australianspaceagency/_layouts/15/DocIdRedir.aspx?ID=UJVTQAQNCCMD-825271553-27</Url>
      <Description>UJVTQAQNCCMD-825271553-27</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40F68D7ACA63B4BB66C74AD8BD1F30E" ma:contentTypeVersion="13" ma:contentTypeDescription="Create a new document." ma:contentTypeScope="" ma:versionID="9caa873f91d61f220f406d231c150ebb">
  <xsd:schema xmlns:xsd="http://www.w3.org/2001/XMLSchema" xmlns:xs="http://www.w3.org/2001/XMLSchema" xmlns:p="http://schemas.microsoft.com/office/2006/metadata/properties" xmlns:ns1="http://schemas.microsoft.com/sharepoint/v3" xmlns:ns2="f7542fce-ffe0-493b-b9b7-89db4158a116" xmlns:ns3="ac34f7bf-66cf-47fb-b466-1c3368e01067" targetNamespace="http://schemas.microsoft.com/office/2006/metadata/properties" ma:root="true" ma:fieldsID="bfc9a5faa2987c7a02d3269f3e8c43ef" ns1:_="" ns2:_="" ns3:_="">
    <xsd:import namespace="http://schemas.microsoft.com/sharepoint/v3"/>
    <xsd:import namespace="f7542fce-ffe0-493b-b9b7-89db4158a116"/>
    <xsd:import namespace="ac34f7bf-66cf-47fb-b466-1c3368e01067"/>
    <xsd:element name="properties">
      <xsd:complexType>
        <xsd:sequence>
          <xsd:element name="documentManagement">
            <xsd:complexType>
              <xsd:all>
                <xsd:element ref="ns2:_dlc_DocId" minOccurs="0"/>
                <xsd:element ref="ns2:_dlc_DocIdUrl" minOccurs="0"/>
                <xsd:element ref="ns2:_dlc_DocIdPersistId" minOccurs="0"/>
                <xsd:element ref="ns2:aa25a1a23adf4c92a153145de6afe324" minOccurs="0"/>
                <xsd:element ref="ns2:TaxCatchAll" minOccurs="0"/>
                <xsd:element ref="ns2:pe2555c81638466f9eb614edb9ecde52" minOccurs="0"/>
                <xsd:element ref="ns2:g7bcb40ba23249a78edca7d43a67c1c9" minOccurs="0"/>
                <xsd:element ref="ns2:adb9bed2e36e4a93af574aeb444da63e" minOccurs="0"/>
                <xsd:element ref="ns2:n99e4c9942c6404eb103464a00e6097b" minOccurs="0"/>
                <xsd:element ref="ns1:Comments"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2"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7542fce-ffe0-493b-b9b7-89db4158a116"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aa25a1a23adf4c92a153145de6afe324" ma:index="12" ma:taxonomy="true" ma:internalName="aa25a1a23adf4c92a153145de6afe324" ma:taxonomyFieldName="DocHub_SecurityClassification" ma:displayName="Security Classification" ma:fieldId="{aa25a1a2-3adf-4c92-a153-145de6afe324}" ma:sspId="fb0313f7-9433-48c0-866e-9e0bbee59a50" ma:termSetId="f68a6a0b-bd85-4d9d-9c73-c45af096016b" ma:anchorId="00000000-0000-0000-0000-000000000000" ma:open="false" ma:isKeyword="false">
      <xsd:complexType>
        <xsd:sequence>
          <xsd:element ref="pc:Terms" minOccurs="0" maxOccurs="1"/>
        </xsd:sequence>
      </xsd:complexType>
    </xsd:element>
    <xsd:element name="TaxCatchAll" ma:index="13" nillable="true" ma:displayName="Taxonomy Catch All Column" ma:description="" ma:hidden="true" ma:list="{64521992-eb13-4855-b094-1cadbc35145f}" ma:internalName="TaxCatchAll" ma:showField="CatchAllData" ma:web="ac34f7bf-66cf-47fb-b466-1c3368e01067">
      <xsd:complexType>
        <xsd:complexContent>
          <xsd:extension base="dms:MultiChoiceLookup">
            <xsd:sequence>
              <xsd:element name="Value" type="dms:Lookup" maxOccurs="unbounded" minOccurs="0" nillable="true"/>
            </xsd:sequence>
          </xsd:extension>
        </xsd:complexContent>
      </xsd:complexType>
    </xsd:element>
    <xsd:element name="pe2555c81638466f9eb614edb9ecde52" ma:index="15" ma:taxonomy="true" ma:internalName="pe2555c81638466f9eb614edb9ecde52" ma:taxonomyFieldName="DocHub_DocumentType" ma:displayName="Document Type" ma:indexed="true" ma:fieldId="{9e2555c8-1638-466f-9eb6-14edb9ecde52}" ma:sspId="fb0313f7-9433-48c0-866e-9e0bbee59a50" ma:termSetId="0e4c18c5-28eb-4f9e-8056-b3cddd4b5d9b" ma:anchorId="00000000-0000-0000-0000-000000000000" ma:open="false" ma:isKeyword="false">
      <xsd:complexType>
        <xsd:sequence>
          <xsd:element ref="pc:Terms" minOccurs="0" maxOccurs="1"/>
        </xsd:sequence>
      </xsd:complexType>
    </xsd:element>
    <xsd:element name="g7bcb40ba23249a78edca7d43a67c1c9" ma:index="17" nillable="true" ma:taxonomy="true" ma:internalName="g7bcb40ba23249a78edca7d43a67c1c9" ma:taxonomyFieldName="DocHub_WorkActivity" ma:displayName="Work Activity" ma:indexed="true" ma:fieldId="{07bcb40b-a232-49a7-8edc-a7d43a67c1c9}" ma:sspId="fb0313f7-9433-48c0-866e-9e0bbee59a50" ma:termSetId="6713ebbd-194a-499f-ab84-a4d70e145fb7" ma:anchorId="00000000-0000-0000-0000-000000000000" ma:open="false" ma:isKeyword="false">
      <xsd:complexType>
        <xsd:sequence>
          <xsd:element ref="pc:Terms" minOccurs="0" maxOccurs="1"/>
        </xsd:sequence>
      </xsd:complexType>
    </xsd:element>
    <xsd:element name="adb9bed2e36e4a93af574aeb444da63e" ma:index="19" nillable="true" ma:taxonomy="true" ma:internalName="adb9bed2e36e4a93af574aeb444da63e" ma:taxonomyFieldName="DocHub_Keywords" ma:displayName="Division Keywords" ma:fieldId="{adb9bed2-e36e-4a93-af57-4aeb444da63e}" ma:taxonomyMulti="true" ma:sspId="fb0313f7-9433-48c0-866e-9e0bbee59a50" ma:termSetId="ad1ef555-4d35-4e3e-804e-f6d44d5c563b" ma:anchorId="00000000-0000-0000-0000-000000000000" ma:open="true" ma:isKeyword="false">
      <xsd:complexType>
        <xsd:sequence>
          <xsd:element ref="pc:Terms" minOccurs="0" maxOccurs="1"/>
        </xsd:sequence>
      </xsd:complexType>
    </xsd:element>
    <xsd:element name="n99e4c9942c6404eb103464a00e6097b" ma:index="21" nillable="true" ma:taxonomy="true" ma:internalName="n99e4c9942c6404eb103464a00e6097b" ma:taxonomyFieldName="DocHub_Year" ma:displayName="Year" ma:indexed="true" ma:fieldId="{799e4c99-42c6-404e-b103-464a00e6097b}" ma:sspId="fb0313f7-9433-48c0-866e-9e0bbee59a50" ma:termSetId="07e1743d-d980-4fe7-a67d-b87ecf7f18f6"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c34f7bf-66cf-47fb-b466-1c3368e01067" elementFormDefault="qualified">
    <xsd:import namespace="http://schemas.microsoft.com/office/2006/documentManagement/types"/>
    <xsd:import namespace="http://schemas.microsoft.com/office/infopath/2007/PartnerControls"/>
    <xsd:element name="SharedWithUsers" ma:index="23"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b:Source>
    <b:Tag>Nam</b:Tag>
    <b:SourceType>Book</b:SourceType>
    <b:Guid>{1554B47B-0C6B-47C0-8D97-50F94C9E462A}</b:Guid>
    <b:Author>
      <b:Author>
        <b:NameList>
          <b:Person>
            <b:Last>Surname</b:Last>
            <b:First>Name</b:First>
          </b:Person>
        </b:NameList>
      </b:Author>
    </b:Author>
    <b:RefOrder>1</b:RefOrder>
  </b:Source>
</b:Sources>
</file>

<file path=customXml/itemProps1.xml><?xml version="1.0" encoding="utf-8"?>
<ds:datastoreItem xmlns:ds="http://schemas.openxmlformats.org/officeDocument/2006/customXml" ds:itemID="{1C2D4ED0-3F1C-4EC5-A125-5D3D2FEF4C19}">
  <ds:schemaRefs>
    <ds:schemaRef ds:uri="http://schemas.microsoft.com/sharepoint/v3/contenttype/forms"/>
  </ds:schemaRefs>
</ds:datastoreItem>
</file>

<file path=customXml/itemProps2.xml><?xml version="1.0" encoding="utf-8"?>
<ds:datastoreItem xmlns:ds="http://schemas.openxmlformats.org/officeDocument/2006/customXml" ds:itemID="{800B40E1-14C5-4439-9203-7214E04C3CA7}">
  <ds:schemaRefs>
    <ds:schemaRef ds:uri="http://schemas.microsoft.com/office/2006/metadata/properties"/>
    <ds:schemaRef ds:uri="ac34f7bf-66cf-47fb-b466-1c3368e01067"/>
    <ds:schemaRef ds:uri="http://schemas.microsoft.com/sharepoint/v3"/>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f7542fce-ffe0-493b-b9b7-89db4158a116"/>
    <ds:schemaRef ds:uri="http://www.w3.org/XML/1998/namespace"/>
    <ds:schemaRef ds:uri="http://purl.org/dc/dcmitype/"/>
  </ds:schemaRefs>
</ds:datastoreItem>
</file>

<file path=customXml/itemProps3.xml><?xml version="1.0" encoding="utf-8"?>
<ds:datastoreItem xmlns:ds="http://schemas.openxmlformats.org/officeDocument/2006/customXml" ds:itemID="{02E7DE88-CDA4-4157-96A2-BA7D629257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7542fce-ffe0-493b-b9b7-89db4158a116"/>
    <ds:schemaRef ds:uri="ac34f7bf-66cf-47fb-b466-1c3368e010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D86E479-2DEF-4FD9-BD67-D7ECAD529248}">
  <ds:schemaRefs>
    <ds:schemaRef ds:uri="http://schemas.microsoft.com/sharepoint/events"/>
  </ds:schemaRefs>
</ds:datastoreItem>
</file>

<file path=customXml/itemProps5.xml><?xml version="1.0" encoding="utf-8"?>
<ds:datastoreItem xmlns:ds="http://schemas.openxmlformats.org/officeDocument/2006/customXml" ds:itemID="{094F30B3-E5DA-460D-B22F-CF55527820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6658</TotalTime>
  <Pages>67</Pages>
  <Words>25478</Words>
  <Characters>159046</Characters>
  <Application>Microsoft Office Word</Application>
  <DocSecurity>0</DocSecurity>
  <Lines>1325</Lines>
  <Paragraphs>368</Paragraphs>
  <ScaleCrop>false</ScaleCrop>
  <HeadingPairs>
    <vt:vector size="2" baseType="variant">
      <vt:variant>
        <vt:lpstr>Title</vt:lpstr>
      </vt:variant>
      <vt:variant>
        <vt:i4>1</vt:i4>
      </vt:variant>
    </vt:vector>
  </HeadingPairs>
  <TitlesOfParts>
    <vt:vector size="1" baseType="lpstr">
      <vt:lpstr>Report re State of Space</vt:lpstr>
    </vt:vector>
  </TitlesOfParts>
  <Company>ASA</Company>
  <LinksUpToDate>false</LinksUpToDate>
  <CharactersWithSpaces>184156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re State of Space</dc:title>
  <dc:creator>Tyack, Jacqui</dc:creator>
  <cp:lastModifiedBy>Francis, Sophie</cp:lastModifiedBy>
  <cp:revision>529</cp:revision>
  <cp:lastPrinted>2020-05-26T23:28:00Z</cp:lastPrinted>
  <dcterms:created xsi:type="dcterms:W3CDTF">2020-03-11T22:24:00Z</dcterms:created>
  <dcterms:modified xsi:type="dcterms:W3CDTF">2020-05-26T23:29:00Z</dcterms:modified>
  <cp:category>Report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verHeading">
    <vt:lpwstr>State of Space</vt:lpwstr>
  </property>
  <property fmtid="{D5CDD505-2E9C-101B-9397-08002B2CF9AE}" pid="3" name="CoverSubheading">
    <vt:lpwstr>Sub-title here</vt:lpwstr>
  </property>
  <property fmtid="{D5CDD505-2E9C-101B-9397-08002B2CF9AE}" pid="4" name="CoverDate">
    <vt:lpwstr>30 September 2019</vt:lpwstr>
  </property>
  <property fmtid="{D5CDD505-2E9C-101B-9397-08002B2CF9AE}" pid="5" name="Division">
    <vt:lpwstr>Division</vt:lpwstr>
  </property>
  <property fmtid="{D5CDD505-2E9C-101B-9397-08002B2CF9AE}" pid="6" name="VersionControl">
    <vt:lpwstr>xxx</vt:lpwstr>
  </property>
  <property fmtid="{D5CDD505-2E9C-101B-9397-08002B2CF9AE}" pid="7" name="ContentTypeId">
    <vt:lpwstr>0x010100340F68D7ACA63B4BB66C74AD8BD1F30E</vt:lpwstr>
  </property>
  <property fmtid="{D5CDD505-2E9C-101B-9397-08002B2CF9AE}" pid="8" name="_CopySource">
    <vt:lpwstr/>
  </property>
  <property fmtid="{D5CDD505-2E9C-101B-9397-08002B2CF9AE}" pid="9" name="DocHub_Year">
    <vt:lpwstr>361;#2019|7e451fe0-4dc6-437a-a849-bab7965a9aee</vt:lpwstr>
  </property>
  <property fmtid="{D5CDD505-2E9C-101B-9397-08002B2CF9AE}" pid="10" name="DocHub_DocumentType">
    <vt:lpwstr>36;#Report|116a9244-cef6-47ce-a9a5-088c9cf21292</vt:lpwstr>
  </property>
  <property fmtid="{D5CDD505-2E9C-101B-9397-08002B2CF9AE}" pid="11" name="DocHub_SecurityClassification">
    <vt:lpwstr>7;#UNCLASSIFIED|6106d03b-a1a0-4e30-9d91-d5e9fb4314f9</vt:lpwstr>
  </property>
  <property fmtid="{D5CDD505-2E9C-101B-9397-08002B2CF9AE}" pid="12" name="DocHub_Keywords">
    <vt:lpwstr>691;#State of Space|a759ecfd-f164-4630-9430-17bac5f177a6</vt:lpwstr>
  </property>
  <property fmtid="{D5CDD505-2E9C-101B-9397-08002B2CF9AE}" pid="13" name="DocHub_WorkActivity">
    <vt:lpwstr>50;#Reporting|12af97d0-e555-43d0-b3d2-0f0b8e33cc04</vt:lpwstr>
  </property>
  <property fmtid="{D5CDD505-2E9C-101B-9397-08002B2CF9AE}" pid="14" name="_dlc_DocIdItemGuid">
    <vt:lpwstr>e10385ac-2598-4f17-b6d1-aa6edf819ff9</vt:lpwstr>
  </property>
</Properties>
</file>