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A2" w:rsidRDefault="0051363B" w:rsidP="00EC00A2">
      <w:pPr>
        <w:pStyle w:val="Title"/>
      </w:pPr>
      <w:bookmarkStart w:id="0" w:name="_Toc19023741"/>
      <w:bookmarkStart w:id="1" w:name="_Toc19107846"/>
      <w:r>
        <w:t xml:space="preserve">2020 Review of </w:t>
      </w:r>
      <w:r w:rsidR="001A5F16">
        <w:t>Activities</w:t>
      </w:r>
      <w:r>
        <w:t xml:space="preserve"> of </w:t>
      </w:r>
      <w:r w:rsidR="001A5F16">
        <w:t xml:space="preserve">the </w:t>
      </w:r>
      <w:r w:rsidR="001A5F16" w:rsidRPr="001A5F16">
        <w:t>National Offshore Petroleum Titles Administrator</w:t>
      </w:r>
    </w:p>
    <w:p w:rsidR="00EC00A2" w:rsidRDefault="0051363B" w:rsidP="00EC00A2">
      <w:pPr>
        <w:pStyle w:val="Subtitle"/>
      </w:pPr>
      <w:r>
        <w:t>Terms of Reference</w:t>
      </w:r>
    </w:p>
    <w:p w:rsidR="0051363B" w:rsidRPr="00737144" w:rsidRDefault="001A5F16" w:rsidP="0051363B">
      <w:pPr>
        <w:pStyle w:val="Heading2"/>
      </w:pPr>
      <w:r>
        <w:t>NOPTA</w:t>
      </w:r>
    </w:p>
    <w:p w:rsidR="001A5F16" w:rsidRPr="001A5F16" w:rsidRDefault="001A5F16" w:rsidP="001A5F16">
      <w:pPr>
        <w:spacing w:after="120"/>
        <w:rPr>
          <w:rFonts w:asciiTheme="majorHAnsi" w:hAnsiTheme="majorHAnsi" w:cstheme="majorHAnsi"/>
        </w:rPr>
      </w:pPr>
      <w:r w:rsidRPr="001A5F16">
        <w:rPr>
          <w:rFonts w:asciiTheme="majorHAnsi" w:hAnsiTheme="majorHAnsi" w:cstheme="majorHAnsi"/>
        </w:rPr>
        <w:t>The National Offshore Petroleum Titles Administrator (NOPTA) was established as a branch of the Resources Division, of the now Department of Industry, Science, Energy and Resources on 1 January 2012 and is responsible for the day-to-day administration of offshore petroleum and greenhouse gas titles in Commonwealth waters. Prior to 2012, each state and Northern Territory undertook this administrative function on behalf of the Commonwealth, resulting in multiple and often inconsistent approaches to titles administration.</w:t>
      </w:r>
    </w:p>
    <w:p w:rsidR="0051363B" w:rsidRPr="00677789" w:rsidRDefault="001A5F16" w:rsidP="00677789">
      <w:pPr>
        <w:spacing w:after="120"/>
        <w:rPr>
          <w:rFonts w:asciiTheme="majorHAnsi" w:hAnsiTheme="majorHAnsi" w:cstheme="majorHAnsi"/>
        </w:rPr>
      </w:pPr>
      <w:r w:rsidRPr="001A5F16">
        <w:rPr>
          <w:rFonts w:asciiTheme="majorHAnsi" w:hAnsiTheme="majorHAnsi" w:cstheme="majorHAnsi"/>
        </w:rPr>
        <w:t>This was one driver for the Productivity Commission’s Review of Regulatory Burden on the Upstream Petroleum (Oil and Gas) Sector, which made a number of recommendations to improve the regulation of Australia’s offshore petroleum sector. Among the recommendations, the establishment of a ‘single national offshore’ body featured. The Australian Government accepted many of these recommendations in full or in part resulting in the establishment of NOPTA.</w:t>
      </w:r>
    </w:p>
    <w:p w:rsidR="0051363B" w:rsidRPr="00737144" w:rsidRDefault="0051363B" w:rsidP="0051363B">
      <w:pPr>
        <w:pStyle w:val="Heading2"/>
      </w:pPr>
      <w:r w:rsidRPr="00737144">
        <w:t>Outcomes</w:t>
      </w:r>
    </w:p>
    <w:p w:rsidR="00677789" w:rsidRPr="00B05909" w:rsidRDefault="00677789" w:rsidP="00677789">
      <w:r w:rsidRPr="00B05909">
        <w:t>The review is being undertaken eight years on from the establishment of NOPTA and five years on from the last review. This review is considered to be important because it comes at a time of considerable change in Australia’s oil and gas industry and is an opportunity to consider whether key institutions in the regulation and oversight of Australia’s offshore oil and gas industry are operating effectively and are equipped to deal with future challenges.</w:t>
      </w:r>
    </w:p>
    <w:p w:rsidR="0051363B" w:rsidRPr="00737144" w:rsidRDefault="0051363B" w:rsidP="0051363B">
      <w:pPr>
        <w:pStyle w:val="Heading2"/>
      </w:pPr>
      <w:r w:rsidRPr="00737144">
        <w:t>Terms of Reference</w:t>
      </w:r>
    </w:p>
    <w:p w:rsidR="00677789" w:rsidRPr="00677789" w:rsidRDefault="00677789" w:rsidP="00677789">
      <w:pPr>
        <w:spacing w:after="120"/>
        <w:rPr>
          <w:rFonts w:asciiTheme="majorHAnsi" w:hAnsiTheme="majorHAnsi" w:cstheme="majorHAnsi"/>
        </w:rPr>
      </w:pPr>
      <w:r w:rsidRPr="00677789">
        <w:rPr>
          <w:rFonts w:asciiTheme="majorHAnsi" w:hAnsiTheme="majorHAnsi" w:cstheme="majorHAnsi"/>
        </w:rPr>
        <w:t xml:space="preserve">In accordance with section </w:t>
      </w:r>
      <w:proofErr w:type="gramStart"/>
      <w:r w:rsidRPr="00677789">
        <w:rPr>
          <w:rFonts w:asciiTheme="majorHAnsi" w:hAnsiTheme="majorHAnsi" w:cstheme="majorHAnsi"/>
        </w:rPr>
        <w:t>695P(</w:t>
      </w:r>
      <w:proofErr w:type="gramEnd"/>
      <w:r w:rsidRPr="00677789">
        <w:rPr>
          <w:rFonts w:asciiTheme="majorHAnsi" w:hAnsiTheme="majorHAnsi" w:cstheme="majorHAnsi"/>
        </w:rPr>
        <w:t xml:space="preserve">1) of the </w:t>
      </w:r>
      <w:r w:rsidRPr="00677789">
        <w:rPr>
          <w:rFonts w:asciiTheme="majorHAnsi" w:hAnsiTheme="majorHAnsi" w:cstheme="majorHAnsi"/>
          <w:i/>
        </w:rPr>
        <w:t>Offshore Petroleum and Greenhouse Gas Storage Act 2006</w:t>
      </w:r>
      <w:r w:rsidRPr="00677789">
        <w:rPr>
          <w:rFonts w:asciiTheme="majorHAnsi" w:hAnsiTheme="majorHAnsi" w:cstheme="majorHAnsi"/>
        </w:rPr>
        <w:t xml:space="preserve"> (the Act), the 2020 review of activities of the National Offshore Petroleum Titles Administrator (NOPTA) will:</w:t>
      </w:r>
    </w:p>
    <w:p w:rsidR="00677789" w:rsidRPr="00677789" w:rsidRDefault="00677789" w:rsidP="00677789">
      <w:pPr>
        <w:pStyle w:val="ListParagraph"/>
        <w:numPr>
          <w:ilvl w:val="0"/>
          <w:numId w:val="22"/>
        </w:numPr>
        <w:spacing w:after="120" w:line="300" w:lineRule="exact"/>
        <w:ind w:left="714" w:hanging="357"/>
        <w:contextualSpacing w:val="0"/>
        <w:rPr>
          <w:rFonts w:asciiTheme="majorHAnsi" w:hAnsiTheme="majorHAnsi" w:cstheme="majorHAnsi"/>
          <w:lang w:val="en-US"/>
        </w:rPr>
      </w:pPr>
      <w:r w:rsidRPr="00677789">
        <w:rPr>
          <w:rFonts w:asciiTheme="majorHAnsi" w:hAnsiTheme="majorHAnsi" w:cstheme="majorHAnsi"/>
          <w:lang w:val="en-US"/>
        </w:rPr>
        <w:t>Make an assessment of the effectiveness of the Titles Administrator in contributing to the efficiency of decision-making by a Joint Authority for a state or the Northern Territory.</w:t>
      </w:r>
    </w:p>
    <w:p w:rsidR="00677789" w:rsidRPr="00677789" w:rsidRDefault="00677789" w:rsidP="00677789">
      <w:pPr>
        <w:spacing w:after="120"/>
        <w:rPr>
          <w:rFonts w:asciiTheme="majorHAnsi" w:hAnsiTheme="majorHAnsi" w:cstheme="majorHAnsi"/>
        </w:rPr>
      </w:pPr>
      <w:r w:rsidRPr="00677789">
        <w:rPr>
          <w:rFonts w:asciiTheme="majorHAnsi" w:hAnsiTheme="majorHAnsi" w:cstheme="majorHAnsi"/>
        </w:rPr>
        <w:t>In the context of the Act and regulations, including the legislated functions of the Titles Administrator, this review will consider, assess and provide recommendations in relation to:</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arrangements for data and information management, including the National Offshore Petroleum Data and Core Repository (NOPDCR).</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lastRenderedPageBreak/>
        <w:t>The provision of information, assessments, analysis, reports, advice and recommendations to Joint Authorities and the Responsible Commonwealth Minister on titles, compliance and other related matters.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NOPTA’s level of engagement with risk and the appropriateness of current risk mitigation strategies.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effectiveness of the compliance, monitoring and enforcement activities of the Titles Administrator.</w:t>
      </w:r>
    </w:p>
    <w:p w:rsidR="00677789" w:rsidRPr="00677789" w:rsidRDefault="00677789" w:rsidP="00677789">
      <w:pPr>
        <w:pStyle w:val="ListParagraph"/>
        <w:numPr>
          <w:ilvl w:val="1"/>
          <w:numId w:val="24"/>
        </w:numPr>
        <w:spacing w:after="0" w:line="300" w:lineRule="exact"/>
        <w:rPr>
          <w:rFonts w:asciiTheme="majorHAnsi" w:hAnsiTheme="majorHAnsi" w:cstheme="majorHAnsi"/>
          <w:lang w:val="en-US"/>
        </w:rPr>
      </w:pPr>
      <w:r w:rsidRPr="00677789">
        <w:rPr>
          <w:rFonts w:asciiTheme="majorHAnsi" w:hAnsiTheme="majorHAnsi" w:cstheme="majorHAnsi"/>
          <w:lang w:val="en-US"/>
        </w:rPr>
        <w:t>This should consider the process for reporting of related matters to the Responsible Commonwealth Minister (where relevant) and the Joint Authorities (where relevant).</w:t>
      </w:r>
    </w:p>
    <w:p w:rsidR="00677789" w:rsidRPr="00677789" w:rsidRDefault="00677789" w:rsidP="00677789">
      <w:pPr>
        <w:pStyle w:val="ListParagraph"/>
        <w:numPr>
          <w:ilvl w:val="1"/>
          <w:numId w:val="24"/>
        </w:numPr>
        <w:spacing w:after="0" w:line="300" w:lineRule="exact"/>
        <w:rPr>
          <w:rFonts w:asciiTheme="majorHAnsi" w:hAnsiTheme="majorHAnsi" w:cstheme="majorHAnsi"/>
          <w:lang w:val="en-US"/>
        </w:rPr>
      </w:pPr>
      <w:r w:rsidRPr="00677789">
        <w:rPr>
          <w:rFonts w:asciiTheme="majorHAnsi" w:hAnsiTheme="majorHAnsi" w:cstheme="majorHAnsi"/>
          <w:lang w:val="en-US"/>
        </w:rPr>
        <w:t>The appropriateness and effectiveness of NOPTA’s internal arrangements concerning compliance.</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effectiveness of NOPTA in co-operating with NOPSEMA in matters relating to the administration and enforcement of the Act and its associated regulations.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effectiveness of the Australian Government’s accepted and implemented recommendations from the 2015 review of NOPTA’s activities.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effectiveness, management and performance of NOPTA in:</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making information publicly available on the register of petroleum and greenhouse gas titles to meet community expectations and the ease of use and access to the information</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meeting its obligations under section 469 of the Act to keep a register for each offshore area</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r w:rsidRPr="00677789">
        <w:rPr>
          <w:rFonts w:asciiTheme="majorHAnsi" w:hAnsiTheme="majorHAnsi" w:cstheme="majorHAnsi"/>
        </w:rPr>
        <w:t>contributing to and maintaining community confidence that appropriate administrative oversight is in place through transparent assessment and compliance activities</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proofErr w:type="gramStart"/>
      <w:r w:rsidRPr="00677789">
        <w:rPr>
          <w:rFonts w:asciiTheme="majorHAnsi" w:hAnsiTheme="majorHAnsi" w:cstheme="majorHAnsi"/>
          <w:lang w:val="en-US"/>
        </w:rPr>
        <w:t>providing</w:t>
      </w:r>
      <w:proofErr w:type="gramEnd"/>
      <w:r w:rsidRPr="00677789">
        <w:rPr>
          <w:rFonts w:asciiTheme="majorHAnsi" w:hAnsiTheme="majorHAnsi" w:cstheme="majorHAnsi"/>
          <w:lang w:val="en-US"/>
        </w:rPr>
        <w:t xml:space="preserve"> timely information and advice to the Minister in responding to community concerns and other matters as they arise.</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NOPTA’s engagement and relationships with external parties, including federal, state and territory governments, industry, Geoscience Australia and other stakeholders in contributing to the efficiency of the Titles Administrator in performing its functions.</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This should also consider the level of international engagement by NOPTA, including the appropriateness and its effectiveness.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The current cost recovery arrangements, commensurate with the functions of NOPTA and the size of industry.</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An assessment of the capacity and capability of NOPTA, including current staffing arrangements and its structure, commensurate with its functions, to respond to varying levels of industry activity and to new technologies and other emerging issues.</w:t>
      </w:r>
    </w:p>
    <w:p w:rsidR="00677789" w:rsidRPr="00677789" w:rsidRDefault="00677789" w:rsidP="00677789">
      <w:pPr>
        <w:pStyle w:val="ListParagraph"/>
        <w:numPr>
          <w:ilvl w:val="0"/>
          <w:numId w:val="22"/>
        </w:numPr>
        <w:spacing w:after="0" w:line="300" w:lineRule="exact"/>
        <w:rPr>
          <w:rFonts w:asciiTheme="majorHAnsi" w:hAnsiTheme="majorHAnsi" w:cstheme="majorHAnsi"/>
          <w:lang w:val="en-US"/>
        </w:rPr>
      </w:pPr>
      <w:bookmarkStart w:id="2" w:name="_Hlk18323455"/>
      <w:r w:rsidRPr="00677789">
        <w:rPr>
          <w:rFonts w:asciiTheme="majorHAnsi" w:hAnsiTheme="majorHAnsi" w:cstheme="majorHAnsi"/>
          <w:lang w:val="en-US"/>
        </w:rPr>
        <w:t>Identify potential opportunities where NOPTA can reduce operating costs and streamline corporate functions, to reduce the financial and regulatory burden on industry.</w:t>
      </w:r>
    </w:p>
    <w:p w:rsidR="00677789" w:rsidRPr="00677789" w:rsidRDefault="00677789" w:rsidP="00677789">
      <w:pPr>
        <w:pStyle w:val="ListParagraph"/>
        <w:numPr>
          <w:ilvl w:val="1"/>
          <w:numId w:val="22"/>
        </w:numPr>
        <w:spacing w:after="0" w:line="300" w:lineRule="exact"/>
        <w:rPr>
          <w:rFonts w:asciiTheme="majorHAnsi" w:hAnsiTheme="majorHAnsi" w:cstheme="majorHAnsi"/>
          <w:lang w:val="en-US"/>
        </w:rPr>
      </w:pPr>
      <w:r w:rsidRPr="00677789">
        <w:rPr>
          <w:rFonts w:asciiTheme="majorHAnsi" w:hAnsiTheme="majorHAnsi" w:cstheme="majorHAnsi"/>
          <w:lang w:val="en-US"/>
        </w:rPr>
        <w:t>This should consider a greater alignment with the Department of Industry, Science, Energy and Resources corporate functions.</w:t>
      </w:r>
    </w:p>
    <w:p w:rsidR="00677789" w:rsidRPr="00B05909" w:rsidRDefault="00677789" w:rsidP="00677789">
      <w:pPr>
        <w:pStyle w:val="Heading3"/>
        <w:rPr>
          <w:b/>
          <w:lang w:val="en-US"/>
        </w:rPr>
      </w:pPr>
      <w:bookmarkStart w:id="3" w:name="_Hlk18323650"/>
      <w:bookmarkEnd w:id="2"/>
      <w:r w:rsidRPr="00B05909">
        <w:rPr>
          <w:lang w:val="en-US"/>
        </w:rPr>
        <w:t>Out of scope</w:t>
      </w:r>
    </w:p>
    <w:p w:rsidR="00677789" w:rsidRPr="00677789" w:rsidRDefault="00677789" w:rsidP="00677789">
      <w:pPr>
        <w:pStyle w:val="ListParagraph"/>
        <w:numPr>
          <w:ilvl w:val="0"/>
          <w:numId w:val="23"/>
        </w:numPr>
        <w:spacing w:after="0" w:line="300" w:lineRule="exact"/>
        <w:rPr>
          <w:rFonts w:asciiTheme="majorHAnsi" w:hAnsiTheme="majorHAnsi" w:cstheme="majorHAnsi"/>
          <w:lang w:val="en-US"/>
        </w:rPr>
      </w:pPr>
      <w:r w:rsidRPr="00677789">
        <w:rPr>
          <w:rFonts w:asciiTheme="majorHAnsi" w:hAnsiTheme="majorHAnsi" w:cstheme="majorHAnsi"/>
          <w:lang w:val="en-US"/>
        </w:rPr>
        <w:t>Any responsibilities of the Joint Authorities, including their effectiveness and procedures.</w:t>
      </w:r>
    </w:p>
    <w:p w:rsidR="00677789" w:rsidRDefault="00677789">
      <w:pPr>
        <w:rPr>
          <w:rFonts w:asciiTheme="majorHAnsi" w:eastAsiaTheme="majorEastAsia" w:hAnsiTheme="majorHAnsi" w:cstheme="majorBidi"/>
          <w:color w:val="005677" w:themeColor="text2"/>
          <w:sz w:val="32"/>
          <w:szCs w:val="40"/>
          <w:lang w:val="en-US"/>
        </w:rPr>
      </w:pPr>
      <w:r>
        <w:rPr>
          <w:lang w:val="en-US"/>
        </w:rPr>
        <w:br w:type="page"/>
      </w:r>
    </w:p>
    <w:p w:rsidR="00677789" w:rsidRPr="00B05909" w:rsidRDefault="00677789" w:rsidP="00677789">
      <w:pPr>
        <w:pStyle w:val="Heading3"/>
        <w:rPr>
          <w:b/>
          <w:lang w:val="en-US"/>
        </w:rPr>
      </w:pPr>
      <w:bookmarkStart w:id="4" w:name="_GoBack"/>
      <w:bookmarkEnd w:id="4"/>
      <w:r w:rsidRPr="00B05909">
        <w:rPr>
          <w:lang w:val="en-US"/>
        </w:rPr>
        <w:lastRenderedPageBreak/>
        <w:t>Related reviews</w:t>
      </w:r>
    </w:p>
    <w:p w:rsidR="00677789" w:rsidRPr="00677789" w:rsidRDefault="00677789" w:rsidP="00677789">
      <w:pPr>
        <w:rPr>
          <w:rFonts w:asciiTheme="majorHAnsi" w:hAnsiTheme="majorHAnsi" w:cstheme="majorHAnsi"/>
          <w:lang w:val="en-US"/>
        </w:rPr>
      </w:pPr>
      <w:r w:rsidRPr="00677789">
        <w:rPr>
          <w:rFonts w:asciiTheme="majorHAnsi" w:hAnsiTheme="majorHAnsi" w:cstheme="majorHAnsi"/>
          <w:lang w:val="en-US"/>
        </w:rPr>
        <w:t>This review should have regard to the findings of related reviews including the:</w:t>
      </w:r>
    </w:p>
    <w:p w:rsidR="00677789" w:rsidRPr="00677789" w:rsidRDefault="00677789" w:rsidP="00677789">
      <w:pPr>
        <w:pStyle w:val="ListParagraph"/>
        <w:numPr>
          <w:ilvl w:val="0"/>
          <w:numId w:val="23"/>
        </w:numPr>
        <w:spacing w:after="0" w:line="300" w:lineRule="exact"/>
        <w:rPr>
          <w:rFonts w:asciiTheme="majorHAnsi" w:hAnsiTheme="majorHAnsi" w:cstheme="majorHAnsi"/>
          <w:lang w:val="en-US"/>
        </w:rPr>
      </w:pPr>
      <w:r w:rsidRPr="00677789">
        <w:rPr>
          <w:rFonts w:asciiTheme="majorHAnsi" w:hAnsiTheme="majorHAnsi" w:cstheme="majorHAnsi"/>
          <w:lang w:val="en-US"/>
        </w:rPr>
        <w:t>Annual NOPTA stakeholder surveys.</w:t>
      </w:r>
    </w:p>
    <w:p w:rsidR="00677789" w:rsidRPr="00677789" w:rsidRDefault="00677789" w:rsidP="00677789">
      <w:pPr>
        <w:pStyle w:val="ListParagraph"/>
        <w:numPr>
          <w:ilvl w:val="0"/>
          <w:numId w:val="23"/>
        </w:numPr>
        <w:spacing w:after="0" w:line="300" w:lineRule="exact"/>
        <w:rPr>
          <w:rFonts w:asciiTheme="majorHAnsi" w:hAnsiTheme="majorHAnsi" w:cstheme="majorHAnsi"/>
          <w:lang w:val="en-US"/>
        </w:rPr>
      </w:pPr>
      <w:r w:rsidRPr="00677789">
        <w:rPr>
          <w:rFonts w:asciiTheme="majorHAnsi" w:hAnsiTheme="majorHAnsi" w:cstheme="majorHAnsi"/>
          <w:lang w:val="en-US"/>
        </w:rPr>
        <w:t>Annual NOPTA report of activities.</w:t>
      </w:r>
    </w:p>
    <w:p w:rsidR="00677789" w:rsidRPr="00677789" w:rsidRDefault="00677789" w:rsidP="00677789">
      <w:pPr>
        <w:pStyle w:val="ListParagraph"/>
        <w:numPr>
          <w:ilvl w:val="0"/>
          <w:numId w:val="23"/>
        </w:numPr>
        <w:spacing w:after="0" w:line="300" w:lineRule="exact"/>
        <w:rPr>
          <w:rFonts w:asciiTheme="majorHAnsi" w:hAnsiTheme="majorHAnsi" w:cstheme="majorHAnsi"/>
          <w:lang w:val="en-US"/>
        </w:rPr>
      </w:pPr>
      <w:r w:rsidRPr="00677789">
        <w:rPr>
          <w:rFonts w:asciiTheme="majorHAnsi" w:hAnsiTheme="majorHAnsi" w:cstheme="majorHAnsi"/>
          <w:lang w:val="en-US"/>
        </w:rPr>
        <w:t>Regulators Performance Framework Annual Report</w:t>
      </w:r>
    </w:p>
    <w:p w:rsidR="00677789" w:rsidRPr="00677789" w:rsidRDefault="00677789" w:rsidP="00677789">
      <w:pPr>
        <w:pStyle w:val="ListParagraph"/>
        <w:numPr>
          <w:ilvl w:val="0"/>
          <w:numId w:val="23"/>
        </w:numPr>
        <w:spacing w:after="0" w:line="300" w:lineRule="exact"/>
        <w:rPr>
          <w:rFonts w:asciiTheme="majorHAnsi" w:hAnsiTheme="majorHAnsi" w:cstheme="majorHAnsi"/>
          <w:lang w:val="en-US"/>
        </w:rPr>
      </w:pPr>
      <w:r w:rsidRPr="00677789">
        <w:rPr>
          <w:rFonts w:asciiTheme="majorHAnsi" w:hAnsiTheme="majorHAnsi" w:cstheme="majorHAnsi"/>
          <w:lang w:val="en-US"/>
        </w:rPr>
        <w:t>Joint Authority Operating Protocol.</w:t>
      </w:r>
    </w:p>
    <w:p w:rsidR="00677789" w:rsidRPr="00677789" w:rsidRDefault="00677789" w:rsidP="00677789">
      <w:pPr>
        <w:pStyle w:val="ListParagraph"/>
        <w:numPr>
          <w:ilvl w:val="0"/>
          <w:numId w:val="23"/>
        </w:numPr>
        <w:spacing w:after="0" w:line="300" w:lineRule="exact"/>
        <w:rPr>
          <w:rFonts w:asciiTheme="majorHAnsi" w:hAnsiTheme="majorHAnsi" w:cstheme="majorHAnsi"/>
        </w:rPr>
      </w:pPr>
      <w:r w:rsidRPr="00677789">
        <w:rPr>
          <w:rFonts w:asciiTheme="majorHAnsi" w:hAnsiTheme="majorHAnsi" w:cstheme="majorHAnsi"/>
          <w:lang w:val="en-US"/>
        </w:rPr>
        <w:t>The 2015 NOPTA review and government response.</w:t>
      </w:r>
      <w:bookmarkEnd w:id="3"/>
    </w:p>
    <w:p w:rsidR="00677789" w:rsidRPr="00677789" w:rsidRDefault="00677789" w:rsidP="00677789">
      <w:pPr>
        <w:pStyle w:val="ListParagraph"/>
        <w:numPr>
          <w:ilvl w:val="0"/>
          <w:numId w:val="23"/>
        </w:numPr>
        <w:spacing w:after="0" w:line="300" w:lineRule="exact"/>
        <w:rPr>
          <w:rFonts w:asciiTheme="majorHAnsi" w:hAnsiTheme="majorHAnsi" w:cstheme="majorHAnsi"/>
        </w:rPr>
      </w:pPr>
      <w:r w:rsidRPr="00677789">
        <w:rPr>
          <w:rFonts w:asciiTheme="majorHAnsi" w:hAnsiTheme="majorHAnsi" w:cstheme="majorHAnsi"/>
          <w:lang w:val="en-US"/>
        </w:rPr>
        <w:t>Other relevant reviews, including reviews currently underway but not complete.</w:t>
      </w:r>
    </w:p>
    <w:p w:rsidR="0051363B" w:rsidRPr="0051363B" w:rsidRDefault="0051363B" w:rsidP="00677789">
      <w:pPr>
        <w:rPr>
          <w:rFonts w:asciiTheme="majorHAnsi" w:hAnsiTheme="majorHAnsi" w:cstheme="majorHAnsi"/>
        </w:rPr>
      </w:pPr>
    </w:p>
    <w:bookmarkEnd w:id="0"/>
    <w:bookmarkEnd w:id="1"/>
    <w:sectPr w:rsidR="0051363B" w:rsidRPr="0051363B" w:rsidSect="00EC00A2">
      <w:headerReference w:type="default" r:id="rId8"/>
      <w:footerReference w:type="default" r:id="rId9"/>
      <w:headerReference w:type="first" r:id="rId10"/>
      <w:footerReference w:type="first" r:id="rId11"/>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22" w:rsidRDefault="002D3822" w:rsidP="00B251DB">
      <w:pPr>
        <w:spacing w:after="0" w:line="240" w:lineRule="auto"/>
      </w:pPr>
      <w:r>
        <w:separator/>
      </w:r>
    </w:p>
  </w:endnote>
  <w:endnote w:type="continuationSeparator" w:id="0">
    <w:p w:rsidR="002D3822" w:rsidRDefault="002D3822"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8A" w:rsidRDefault="003213D9" w:rsidP="00BD0F8A">
    <w:pPr>
      <w:pStyle w:val="Footer"/>
      <w:jc w:val="right"/>
      <w:rPr>
        <w:noProof/>
      </w:rPr>
    </w:pPr>
    <w:r>
      <w:t>2020 N</w:t>
    </w:r>
    <w:r w:rsidR="001A5F16">
      <w:t>OPTA</w:t>
    </w:r>
    <w:r>
      <w:t xml:space="preserve"> Review</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9C39DB">
          <w:rPr>
            <w:noProof/>
          </w:rPr>
          <w:t>2</w:t>
        </w:r>
        <w:r w:rsidR="00BD0F8A">
          <w:rPr>
            <w:noProof/>
          </w:rPr>
          <w:fldChar w:fldCharType="end"/>
        </w:r>
      </w:sdtContent>
    </w:sdt>
  </w:p>
  <w:p w:rsidR="00EA7496" w:rsidRPr="00EA7496" w:rsidRDefault="003213D9" w:rsidP="003213D9">
    <w:pPr>
      <w:pStyle w:val="Header"/>
      <w:jc w:val="center"/>
      <w:rPr>
        <w:b/>
        <w:color w:val="FF0000"/>
        <w:sz w:val="28"/>
        <w:szCs w:val="28"/>
      </w:rPr>
    </w:pPr>
    <w:r>
      <w:rPr>
        <w:b/>
        <w:color w:val="FF0000"/>
        <w:sz w:val="28"/>
        <w:szCs w:val="28"/>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88" w:rsidRDefault="003213D9" w:rsidP="00EC00A2">
    <w:pPr>
      <w:pStyle w:val="Footer"/>
      <w:jc w:val="right"/>
      <w:rPr>
        <w:noProof/>
      </w:rPr>
    </w:pPr>
    <w:r>
      <w:t xml:space="preserve">2020 </w:t>
    </w:r>
    <w:r w:rsidR="001A5F16">
      <w:t>NOPTA</w:t>
    </w:r>
    <w:r>
      <w:t xml:space="preserve"> Review</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9C39DB">
          <w:rPr>
            <w:noProof/>
          </w:rPr>
          <w:t>1</w:t>
        </w:r>
        <w:r w:rsidR="00EC00A2">
          <w:rPr>
            <w:noProof/>
          </w:rPr>
          <w:fldChar w:fldCharType="end"/>
        </w:r>
      </w:sdtContent>
    </w:sdt>
  </w:p>
  <w:p w:rsidR="00EA7496" w:rsidRPr="00EA7496" w:rsidRDefault="003213D9" w:rsidP="003213D9">
    <w:pPr>
      <w:pStyle w:val="Header"/>
      <w:jc w:val="center"/>
      <w:rPr>
        <w:b/>
        <w:color w:val="FF0000"/>
        <w:sz w:val="28"/>
        <w:szCs w:val="28"/>
      </w:rPr>
    </w:pPr>
    <w:r>
      <w:rPr>
        <w:b/>
        <w:color w:val="FF0000"/>
        <w:sz w:val="28"/>
        <w:szCs w:val="28"/>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22" w:rsidRDefault="002D3822" w:rsidP="00B251DB">
      <w:pPr>
        <w:spacing w:after="0" w:line="240" w:lineRule="auto"/>
      </w:pPr>
      <w:r>
        <w:separator/>
      </w:r>
    </w:p>
  </w:footnote>
  <w:footnote w:type="continuationSeparator" w:id="0">
    <w:p w:rsidR="002D3822" w:rsidRDefault="002D3822"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96" w:rsidRPr="003213D9" w:rsidRDefault="003213D9" w:rsidP="003213D9">
    <w:pPr>
      <w:pStyle w:val="Header"/>
      <w:jc w:val="center"/>
      <w:rPr>
        <w:b/>
        <w:color w:val="FF0000"/>
        <w:sz w:val="28"/>
        <w:szCs w:val="28"/>
      </w:rPr>
    </w:pPr>
    <w:r>
      <w:rPr>
        <w:b/>
        <w:color w:val="FF0000"/>
        <w:sz w:val="28"/>
        <w:szCs w:val="28"/>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96" w:rsidRDefault="003213D9" w:rsidP="00EA7496">
    <w:pPr>
      <w:pStyle w:val="Header"/>
      <w:jc w:val="center"/>
      <w:rPr>
        <w:b/>
        <w:color w:val="FF0000"/>
        <w:sz w:val="28"/>
        <w:szCs w:val="28"/>
      </w:rPr>
    </w:pPr>
    <w:r>
      <w:rPr>
        <w:b/>
        <w:color w:val="FF0000"/>
        <w:sz w:val="28"/>
        <w:szCs w:val="28"/>
      </w:rPr>
      <w:t>UNCLASSIFIED</w:t>
    </w:r>
  </w:p>
  <w:p w:rsidR="00806473" w:rsidRDefault="00EA7496">
    <w:pPr>
      <w:pStyle w:val="Header"/>
    </w:pPr>
    <w:r>
      <w:rPr>
        <w:noProof/>
        <w:lang w:eastAsia="en-AU"/>
      </w:rPr>
      <w:drawing>
        <wp:inline distT="0" distB="0" distL="0" distR="0">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CB9"/>
    <w:multiLevelType w:val="hybridMultilevel"/>
    <w:tmpl w:val="3684ED7E"/>
    <w:lvl w:ilvl="0" w:tplc="04AEDC60">
      <w:start w:val="1"/>
      <w:numFmt w:val="lowerLetter"/>
      <w:lvlText w:val="%1."/>
      <w:lvlJc w:val="left"/>
      <w:pPr>
        <w:ind w:left="1440" w:hanging="360"/>
      </w:pPr>
      <w:rPr>
        <w:sz w:val="24"/>
        <w:szCs w:val="24"/>
      </w:rPr>
    </w:lvl>
    <w:lvl w:ilvl="1" w:tplc="E192451A" w:tentative="1">
      <w:start w:val="1"/>
      <w:numFmt w:val="lowerLetter"/>
      <w:lvlText w:val="%2."/>
      <w:lvlJc w:val="left"/>
      <w:pPr>
        <w:ind w:left="1440" w:hanging="360"/>
      </w:pPr>
    </w:lvl>
    <w:lvl w:ilvl="2" w:tplc="692E7FB4" w:tentative="1">
      <w:start w:val="1"/>
      <w:numFmt w:val="lowerRoman"/>
      <w:lvlText w:val="%3."/>
      <w:lvlJc w:val="right"/>
      <w:pPr>
        <w:ind w:left="2160" w:hanging="180"/>
      </w:pPr>
    </w:lvl>
    <w:lvl w:ilvl="3" w:tplc="9D5A37A0" w:tentative="1">
      <w:start w:val="1"/>
      <w:numFmt w:val="decimal"/>
      <w:lvlText w:val="%4."/>
      <w:lvlJc w:val="left"/>
      <w:pPr>
        <w:ind w:left="2880" w:hanging="360"/>
      </w:pPr>
    </w:lvl>
    <w:lvl w:ilvl="4" w:tplc="4552C0D6" w:tentative="1">
      <w:start w:val="1"/>
      <w:numFmt w:val="lowerLetter"/>
      <w:lvlText w:val="%5."/>
      <w:lvlJc w:val="left"/>
      <w:pPr>
        <w:ind w:left="3600" w:hanging="360"/>
      </w:pPr>
    </w:lvl>
    <w:lvl w:ilvl="5" w:tplc="77D6D242" w:tentative="1">
      <w:start w:val="1"/>
      <w:numFmt w:val="lowerRoman"/>
      <w:lvlText w:val="%6."/>
      <w:lvlJc w:val="right"/>
      <w:pPr>
        <w:ind w:left="4320" w:hanging="180"/>
      </w:pPr>
    </w:lvl>
    <w:lvl w:ilvl="6" w:tplc="BEDEC9DC" w:tentative="1">
      <w:start w:val="1"/>
      <w:numFmt w:val="decimal"/>
      <w:lvlText w:val="%7."/>
      <w:lvlJc w:val="left"/>
      <w:pPr>
        <w:ind w:left="5040" w:hanging="360"/>
      </w:pPr>
    </w:lvl>
    <w:lvl w:ilvl="7" w:tplc="A0765E18" w:tentative="1">
      <w:start w:val="1"/>
      <w:numFmt w:val="lowerLetter"/>
      <w:lvlText w:val="%8."/>
      <w:lvlJc w:val="left"/>
      <w:pPr>
        <w:ind w:left="5760" w:hanging="360"/>
      </w:pPr>
    </w:lvl>
    <w:lvl w:ilvl="8" w:tplc="3738C2AC" w:tentative="1">
      <w:start w:val="1"/>
      <w:numFmt w:val="lowerRoman"/>
      <w:lvlText w:val="%9."/>
      <w:lvlJc w:val="right"/>
      <w:pPr>
        <w:ind w:left="6480" w:hanging="180"/>
      </w:p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23C31"/>
    <w:multiLevelType w:val="hybridMultilevel"/>
    <w:tmpl w:val="AAEC9276"/>
    <w:lvl w:ilvl="0" w:tplc="638AF94A">
      <w:start w:val="1"/>
      <w:numFmt w:val="decimal"/>
      <w:lvlText w:val="%1."/>
      <w:lvlJc w:val="left"/>
      <w:pPr>
        <w:ind w:left="720" w:hanging="360"/>
      </w:pPr>
      <w:rPr>
        <w:rFonts w:ascii="Arial" w:hAnsi="Arial" w:cs="Arial" w:hint="default"/>
        <w:color w:val="auto"/>
        <w:sz w:val="22"/>
        <w:szCs w:val="22"/>
      </w:rPr>
    </w:lvl>
    <w:lvl w:ilvl="1" w:tplc="FF4CCC3A">
      <w:start w:val="1"/>
      <w:numFmt w:val="lowerLetter"/>
      <w:lvlText w:val="%2."/>
      <w:lvlJc w:val="left"/>
      <w:pPr>
        <w:ind w:left="1440" w:hanging="360"/>
      </w:pPr>
      <w:rPr>
        <w:sz w:val="24"/>
        <w:szCs w:val="24"/>
      </w:rPr>
    </w:lvl>
    <w:lvl w:ilvl="2" w:tplc="73587474" w:tentative="1">
      <w:start w:val="1"/>
      <w:numFmt w:val="lowerRoman"/>
      <w:lvlText w:val="%3."/>
      <w:lvlJc w:val="right"/>
      <w:pPr>
        <w:ind w:left="2160" w:hanging="180"/>
      </w:pPr>
    </w:lvl>
    <w:lvl w:ilvl="3" w:tplc="EF5ADF76" w:tentative="1">
      <w:start w:val="1"/>
      <w:numFmt w:val="decimal"/>
      <w:lvlText w:val="%4."/>
      <w:lvlJc w:val="left"/>
      <w:pPr>
        <w:ind w:left="2880" w:hanging="360"/>
      </w:pPr>
    </w:lvl>
    <w:lvl w:ilvl="4" w:tplc="522CD954" w:tentative="1">
      <w:start w:val="1"/>
      <w:numFmt w:val="lowerLetter"/>
      <w:lvlText w:val="%5."/>
      <w:lvlJc w:val="left"/>
      <w:pPr>
        <w:ind w:left="3600" w:hanging="360"/>
      </w:pPr>
    </w:lvl>
    <w:lvl w:ilvl="5" w:tplc="EBA6F4CA" w:tentative="1">
      <w:start w:val="1"/>
      <w:numFmt w:val="lowerRoman"/>
      <w:lvlText w:val="%6."/>
      <w:lvlJc w:val="right"/>
      <w:pPr>
        <w:ind w:left="4320" w:hanging="180"/>
      </w:pPr>
    </w:lvl>
    <w:lvl w:ilvl="6" w:tplc="86608F76" w:tentative="1">
      <w:start w:val="1"/>
      <w:numFmt w:val="decimal"/>
      <w:lvlText w:val="%7."/>
      <w:lvlJc w:val="left"/>
      <w:pPr>
        <w:ind w:left="5040" w:hanging="360"/>
      </w:pPr>
    </w:lvl>
    <w:lvl w:ilvl="7" w:tplc="2E3647DC" w:tentative="1">
      <w:start w:val="1"/>
      <w:numFmt w:val="lowerLetter"/>
      <w:lvlText w:val="%8."/>
      <w:lvlJc w:val="left"/>
      <w:pPr>
        <w:ind w:left="5760" w:hanging="360"/>
      </w:pPr>
    </w:lvl>
    <w:lvl w:ilvl="8" w:tplc="1AFC8F86" w:tentative="1">
      <w:start w:val="1"/>
      <w:numFmt w:val="lowerRoman"/>
      <w:lvlText w:val="%9."/>
      <w:lvlJc w:val="right"/>
      <w:pPr>
        <w:ind w:left="6480" w:hanging="180"/>
      </w:pPr>
    </w:lvl>
  </w:abstractNum>
  <w:abstractNum w:abstractNumId="3" w15:restartNumberingAfterBreak="0">
    <w:nsid w:val="0FB13983"/>
    <w:multiLevelType w:val="hybridMultilevel"/>
    <w:tmpl w:val="4A787376"/>
    <w:lvl w:ilvl="0" w:tplc="0C86B55E">
      <w:start w:val="1"/>
      <w:numFmt w:val="decimal"/>
      <w:lvlText w:val="%1."/>
      <w:lvlJc w:val="left"/>
      <w:pPr>
        <w:ind w:left="720" w:hanging="360"/>
      </w:pPr>
      <w:rPr>
        <w:rFonts w:ascii="Arial" w:hAnsi="Arial" w:cs="Arial" w:hint="default"/>
        <w:color w:val="auto"/>
        <w:sz w:val="22"/>
        <w:szCs w:val="22"/>
      </w:rPr>
    </w:lvl>
    <w:lvl w:ilvl="1" w:tplc="B07281D4">
      <w:start w:val="1"/>
      <w:numFmt w:val="lowerLetter"/>
      <w:lvlText w:val="%2."/>
      <w:lvlJc w:val="left"/>
      <w:pPr>
        <w:ind w:left="1440" w:hanging="360"/>
      </w:pPr>
      <w:rPr>
        <w:sz w:val="24"/>
        <w:szCs w:val="24"/>
      </w:rPr>
    </w:lvl>
    <w:lvl w:ilvl="2" w:tplc="121C16BE" w:tentative="1">
      <w:start w:val="1"/>
      <w:numFmt w:val="lowerRoman"/>
      <w:lvlText w:val="%3."/>
      <w:lvlJc w:val="right"/>
      <w:pPr>
        <w:ind w:left="2160" w:hanging="180"/>
      </w:pPr>
    </w:lvl>
    <w:lvl w:ilvl="3" w:tplc="F83CD9F8" w:tentative="1">
      <w:start w:val="1"/>
      <w:numFmt w:val="decimal"/>
      <w:lvlText w:val="%4."/>
      <w:lvlJc w:val="left"/>
      <w:pPr>
        <w:ind w:left="2880" w:hanging="360"/>
      </w:pPr>
    </w:lvl>
    <w:lvl w:ilvl="4" w:tplc="B77219A4" w:tentative="1">
      <w:start w:val="1"/>
      <w:numFmt w:val="lowerLetter"/>
      <w:lvlText w:val="%5."/>
      <w:lvlJc w:val="left"/>
      <w:pPr>
        <w:ind w:left="3600" w:hanging="360"/>
      </w:pPr>
    </w:lvl>
    <w:lvl w:ilvl="5" w:tplc="012657E0" w:tentative="1">
      <w:start w:val="1"/>
      <w:numFmt w:val="lowerRoman"/>
      <w:lvlText w:val="%6."/>
      <w:lvlJc w:val="right"/>
      <w:pPr>
        <w:ind w:left="4320" w:hanging="180"/>
      </w:pPr>
    </w:lvl>
    <w:lvl w:ilvl="6" w:tplc="99B096C2" w:tentative="1">
      <w:start w:val="1"/>
      <w:numFmt w:val="decimal"/>
      <w:lvlText w:val="%7."/>
      <w:lvlJc w:val="left"/>
      <w:pPr>
        <w:ind w:left="5040" w:hanging="360"/>
      </w:pPr>
    </w:lvl>
    <w:lvl w:ilvl="7" w:tplc="135880DC" w:tentative="1">
      <w:start w:val="1"/>
      <w:numFmt w:val="lowerLetter"/>
      <w:lvlText w:val="%8."/>
      <w:lvlJc w:val="left"/>
      <w:pPr>
        <w:ind w:left="5760" w:hanging="360"/>
      </w:pPr>
    </w:lvl>
    <w:lvl w:ilvl="8" w:tplc="1CB6BB62" w:tentative="1">
      <w:start w:val="1"/>
      <w:numFmt w:val="lowerRoman"/>
      <w:lvlText w:val="%9."/>
      <w:lvlJc w:val="right"/>
      <w:pPr>
        <w:ind w:left="6480" w:hanging="180"/>
      </w:pPr>
    </w:lvl>
  </w:abstractNum>
  <w:abstractNum w:abstractNumId="4" w15:restartNumberingAfterBreak="0">
    <w:nsid w:val="18C03249"/>
    <w:multiLevelType w:val="hybridMultilevel"/>
    <w:tmpl w:val="BA2A6444"/>
    <w:lvl w:ilvl="0" w:tplc="A9860F9E">
      <w:start w:val="1"/>
      <w:numFmt w:val="bullet"/>
      <w:lvlText w:val=""/>
      <w:lvlJc w:val="left"/>
      <w:pPr>
        <w:ind w:left="720" w:hanging="360"/>
      </w:pPr>
      <w:rPr>
        <w:rFonts w:ascii="Symbol" w:hAnsi="Symbol" w:hint="default"/>
        <w:color w:val="auto"/>
      </w:rPr>
    </w:lvl>
    <w:lvl w:ilvl="1" w:tplc="92FEC0F2">
      <w:start w:val="1"/>
      <w:numFmt w:val="bullet"/>
      <w:lvlText w:val="o"/>
      <w:lvlJc w:val="left"/>
      <w:pPr>
        <w:ind w:left="1440" w:hanging="360"/>
      </w:pPr>
      <w:rPr>
        <w:rFonts w:ascii="Courier New" w:hAnsi="Courier New" w:cs="Courier New" w:hint="default"/>
      </w:rPr>
    </w:lvl>
    <w:lvl w:ilvl="2" w:tplc="9F90EA62" w:tentative="1">
      <w:start w:val="1"/>
      <w:numFmt w:val="bullet"/>
      <w:lvlText w:val=""/>
      <w:lvlJc w:val="left"/>
      <w:pPr>
        <w:ind w:left="2160" w:hanging="360"/>
      </w:pPr>
      <w:rPr>
        <w:rFonts w:ascii="Wingdings" w:hAnsi="Wingdings" w:hint="default"/>
      </w:rPr>
    </w:lvl>
    <w:lvl w:ilvl="3" w:tplc="53D2EF32" w:tentative="1">
      <w:start w:val="1"/>
      <w:numFmt w:val="bullet"/>
      <w:lvlText w:val=""/>
      <w:lvlJc w:val="left"/>
      <w:pPr>
        <w:ind w:left="2880" w:hanging="360"/>
      </w:pPr>
      <w:rPr>
        <w:rFonts w:ascii="Symbol" w:hAnsi="Symbol" w:hint="default"/>
      </w:rPr>
    </w:lvl>
    <w:lvl w:ilvl="4" w:tplc="DC50A46C" w:tentative="1">
      <w:start w:val="1"/>
      <w:numFmt w:val="bullet"/>
      <w:lvlText w:val="o"/>
      <w:lvlJc w:val="left"/>
      <w:pPr>
        <w:ind w:left="3600" w:hanging="360"/>
      </w:pPr>
      <w:rPr>
        <w:rFonts w:ascii="Courier New" w:hAnsi="Courier New" w:cs="Courier New" w:hint="default"/>
      </w:rPr>
    </w:lvl>
    <w:lvl w:ilvl="5" w:tplc="4A52ADC6" w:tentative="1">
      <w:start w:val="1"/>
      <w:numFmt w:val="bullet"/>
      <w:lvlText w:val=""/>
      <w:lvlJc w:val="left"/>
      <w:pPr>
        <w:ind w:left="4320" w:hanging="360"/>
      </w:pPr>
      <w:rPr>
        <w:rFonts w:ascii="Wingdings" w:hAnsi="Wingdings" w:hint="default"/>
      </w:rPr>
    </w:lvl>
    <w:lvl w:ilvl="6" w:tplc="1A080200" w:tentative="1">
      <w:start w:val="1"/>
      <w:numFmt w:val="bullet"/>
      <w:lvlText w:val=""/>
      <w:lvlJc w:val="left"/>
      <w:pPr>
        <w:ind w:left="5040" w:hanging="360"/>
      </w:pPr>
      <w:rPr>
        <w:rFonts w:ascii="Symbol" w:hAnsi="Symbol" w:hint="default"/>
      </w:rPr>
    </w:lvl>
    <w:lvl w:ilvl="7" w:tplc="0D749520" w:tentative="1">
      <w:start w:val="1"/>
      <w:numFmt w:val="bullet"/>
      <w:lvlText w:val="o"/>
      <w:lvlJc w:val="left"/>
      <w:pPr>
        <w:ind w:left="5760" w:hanging="360"/>
      </w:pPr>
      <w:rPr>
        <w:rFonts w:ascii="Courier New" w:hAnsi="Courier New" w:cs="Courier New" w:hint="default"/>
      </w:rPr>
    </w:lvl>
    <w:lvl w:ilvl="8" w:tplc="71148356" w:tentative="1">
      <w:start w:val="1"/>
      <w:numFmt w:val="bullet"/>
      <w:lvlText w:val=""/>
      <w:lvlJc w:val="left"/>
      <w:pPr>
        <w:ind w:left="6480" w:hanging="360"/>
      </w:pPr>
      <w:rPr>
        <w:rFonts w:ascii="Wingdings" w:hAnsi="Wingdings" w:hint="default"/>
      </w:rPr>
    </w:lvl>
  </w:abstractNum>
  <w:abstractNum w:abstractNumId="5"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A13A3"/>
    <w:multiLevelType w:val="hybridMultilevel"/>
    <w:tmpl w:val="6B565834"/>
    <w:lvl w:ilvl="0" w:tplc="C71C1EA0">
      <w:start w:val="1"/>
      <w:numFmt w:val="decimal"/>
      <w:lvlText w:val="%1."/>
      <w:lvlJc w:val="left"/>
      <w:pPr>
        <w:ind w:left="720" w:hanging="360"/>
      </w:pPr>
      <w:rPr>
        <w:rFonts w:ascii="Arial" w:hAnsi="Arial" w:hint="default"/>
        <w:b w:val="0"/>
        <w:color w:val="auto"/>
        <w:sz w:val="20"/>
      </w:rPr>
    </w:lvl>
    <w:lvl w:ilvl="1" w:tplc="33F6CDA8">
      <w:start w:val="1"/>
      <w:numFmt w:val="lowerLetter"/>
      <w:lvlText w:val="%2."/>
      <w:lvlJc w:val="left"/>
      <w:pPr>
        <w:ind w:left="1440" w:hanging="360"/>
      </w:pPr>
      <w:rPr>
        <w:b w:val="0"/>
        <w:i w:val="0"/>
      </w:rPr>
    </w:lvl>
    <w:lvl w:ilvl="2" w:tplc="2E76BAC4">
      <w:start w:val="1"/>
      <w:numFmt w:val="lowerRoman"/>
      <w:lvlText w:val="%3."/>
      <w:lvlJc w:val="right"/>
      <w:pPr>
        <w:ind w:left="2160" w:hanging="180"/>
      </w:pPr>
    </w:lvl>
    <w:lvl w:ilvl="3" w:tplc="6932FC24" w:tentative="1">
      <w:start w:val="1"/>
      <w:numFmt w:val="decimal"/>
      <w:lvlText w:val="%4."/>
      <w:lvlJc w:val="left"/>
      <w:pPr>
        <w:ind w:left="2880" w:hanging="360"/>
      </w:pPr>
    </w:lvl>
    <w:lvl w:ilvl="4" w:tplc="767CEB2C" w:tentative="1">
      <w:start w:val="1"/>
      <w:numFmt w:val="lowerLetter"/>
      <w:lvlText w:val="%5."/>
      <w:lvlJc w:val="left"/>
      <w:pPr>
        <w:ind w:left="3600" w:hanging="360"/>
      </w:pPr>
    </w:lvl>
    <w:lvl w:ilvl="5" w:tplc="A3F201C4" w:tentative="1">
      <w:start w:val="1"/>
      <w:numFmt w:val="lowerRoman"/>
      <w:lvlText w:val="%6."/>
      <w:lvlJc w:val="right"/>
      <w:pPr>
        <w:ind w:left="4320" w:hanging="180"/>
      </w:pPr>
    </w:lvl>
    <w:lvl w:ilvl="6" w:tplc="2292A232" w:tentative="1">
      <w:start w:val="1"/>
      <w:numFmt w:val="decimal"/>
      <w:lvlText w:val="%7."/>
      <w:lvlJc w:val="left"/>
      <w:pPr>
        <w:ind w:left="5040" w:hanging="360"/>
      </w:pPr>
    </w:lvl>
    <w:lvl w:ilvl="7" w:tplc="D602A232" w:tentative="1">
      <w:start w:val="1"/>
      <w:numFmt w:val="lowerLetter"/>
      <w:lvlText w:val="%8."/>
      <w:lvlJc w:val="left"/>
      <w:pPr>
        <w:ind w:left="5760" w:hanging="360"/>
      </w:pPr>
    </w:lvl>
    <w:lvl w:ilvl="8" w:tplc="F198F794" w:tentative="1">
      <w:start w:val="1"/>
      <w:numFmt w:val="lowerRoman"/>
      <w:lvlText w:val="%9."/>
      <w:lvlJc w:val="right"/>
      <w:pPr>
        <w:ind w:left="6480" w:hanging="180"/>
      </w:pPr>
    </w:lvl>
  </w:abstractNum>
  <w:abstractNum w:abstractNumId="12" w15:restartNumberingAfterBreak="0">
    <w:nsid w:val="3D9C4569"/>
    <w:multiLevelType w:val="hybridMultilevel"/>
    <w:tmpl w:val="3684ED7E"/>
    <w:lvl w:ilvl="0" w:tplc="6ABC275A">
      <w:start w:val="1"/>
      <w:numFmt w:val="lowerLetter"/>
      <w:lvlText w:val="%1."/>
      <w:lvlJc w:val="left"/>
      <w:pPr>
        <w:ind w:left="1440" w:hanging="360"/>
      </w:pPr>
      <w:rPr>
        <w:sz w:val="24"/>
        <w:szCs w:val="24"/>
      </w:rPr>
    </w:lvl>
    <w:lvl w:ilvl="1" w:tplc="2A684FD4" w:tentative="1">
      <w:start w:val="1"/>
      <w:numFmt w:val="lowerLetter"/>
      <w:lvlText w:val="%2."/>
      <w:lvlJc w:val="left"/>
      <w:pPr>
        <w:ind w:left="1440" w:hanging="360"/>
      </w:pPr>
    </w:lvl>
    <w:lvl w:ilvl="2" w:tplc="CC5C7FB6" w:tentative="1">
      <w:start w:val="1"/>
      <w:numFmt w:val="lowerRoman"/>
      <w:lvlText w:val="%3."/>
      <w:lvlJc w:val="right"/>
      <w:pPr>
        <w:ind w:left="2160" w:hanging="180"/>
      </w:pPr>
    </w:lvl>
    <w:lvl w:ilvl="3" w:tplc="F7E83816" w:tentative="1">
      <w:start w:val="1"/>
      <w:numFmt w:val="decimal"/>
      <w:lvlText w:val="%4."/>
      <w:lvlJc w:val="left"/>
      <w:pPr>
        <w:ind w:left="2880" w:hanging="360"/>
      </w:pPr>
    </w:lvl>
    <w:lvl w:ilvl="4" w:tplc="2A8CB820" w:tentative="1">
      <w:start w:val="1"/>
      <w:numFmt w:val="lowerLetter"/>
      <w:lvlText w:val="%5."/>
      <w:lvlJc w:val="left"/>
      <w:pPr>
        <w:ind w:left="3600" w:hanging="360"/>
      </w:pPr>
    </w:lvl>
    <w:lvl w:ilvl="5" w:tplc="3A2CF986" w:tentative="1">
      <w:start w:val="1"/>
      <w:numFmt w:val="lowerRoman"/>
      <w:lvlText w:val="%6."/>
      <w:lvlJc w:val="right"/>
      <w:pPr>
        <w:ind w:left="4320" w:hanging="180"/>
      </w:pPr>
    </w:lvl>
    <w:lvl w:ilvl="6" w:tplc="4FE2E64E" w:tentative="1">
      <w:start w:val="1"/>
      <w:numFmt w:val="decimal"/>
      <w:lvlText w:val="%7."/>
      <w:lvlJc w:val="left"/>
      <w:pPr>
        <w:ind w:left="5040" w:hanging="360"/>
      </w:pPr>
    </w:lvl>
    <w:lvl w:ilvl="7" w:tplc="BBC4E9A2" w:tentative="1">
      <w:start w:val="1"/>
      <w:numFmt w:val="lowerLetter"/>
      <w:lvlText w:val="%8."/>
      <w:lvlJc w:val="left"/>
      <w:pPr>
        <w:ind w:left="5760" w:hanging="360"/>
      </w:pPr>
    </w:lvl>
    <w:lvl w:ilvl="8" w:tplc="7802428C" w:tentative="1">
      <w:start w:val="1"/>
      <w:numFmt w:val="lowerRoman"/>
      <w:lvlText w:val="%9."/>
      <w:lvlJc w:val="right"/>
      <w:pPr>
        <w:ind w:left="6480" w:hanging="180"/>
      </w:pPr>
    </w:lvl>
  </w:abstractNum>
  <w:abstractNum w:abstractNumId="13"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B322C"/>
    <w:multiLevelType w:val="hybridMultilevel"/>
    <w:tmpl w:val="7258013C"/>
    <w:lvl w:ilvl="0" w:tplc="C494E43E">
      <w:start w:val="1"/>
      <w:numFmt w:val="bullet"/>
      <w:lvlText w:val=""/>
      <w:lvlJc w:val="left"/>
      <w:pPr>
        <w:ind w:left="774" w:hanging="360"/>
      </w:pPr>
      <w:rPr>
        <w:rFonts w:ascii="Symbol" w:hAnsi="Symbol" w:hint="default"/>
        <w:color w:val="auto"/>
      </w:rPr>
    </w:lvl>
    <w:lvl w:ilvl="1" w:tplc="D2801DEA" w:tentative="1">
      <w:start w:val="1"/>
      <w:numFmt w:val="bullet"/>
      <w:lvlText w:val="o"/>
      <w:lvlJc w:val="left"/>
      <w:pPr>
        <w:ind w:left="1494" w:hanging="360"/>
      </w:pPr>
      <w:rPr>
        <w:rFonts w:ascii="Courier New" w:hAnsi="Courier New" w:cs="Courier New" w:hint="default"/>
      </w:rPr>
    </w:lvl>
    <w:lvl w:ilvl="2" w:tplc="F64C5954" w:tentative="1">
      <w:start w:val="1"/>
      <w:numFmt w:val="bullet"/>
      <w:lvlText w:val=""/>
      <w:lvlJc w:val="left"/>
      <w:pPr>
        <w:ind w:left="2214" w:hanging="360"/>
      </w:pPr>
      <w:rPr>
        <w:rFonts w:ascii="Wingdings" w:hAnsi="Wingdings" w:hint="default"/>
      </w:rPr>
    </w:lvl>
    <w:lvl w:ilvl="3" w:tplc="64E06B28" w:tentative="1">
      <w:start w:val="1"/>
      <w:numFmt w:val="bullet"/>
      <w:lvlText w:val=""/>
      <w:lvlJc w:val="left"/>
      <w:pPr>
        <w:ind w:left="2934" w:hanging="360"/>
      </w:pPr>
      <w:rPr>
        <w:rFonts w:ascii="Symbol" w:hAnsi="Symbol" w:hint="default"/>
      </w:rPr>
    </w:lvl>
    <w:lvl w:ilvl="4" w:tplc="383491AC" w:tentative="1">
      <w:start w:val="1"/>
      <w:numFmt w:val="bullet"/>
      <w:lvlText w:val="o"/>
      <w:lvlJc w:val="left"/>
      <w:pPr>
        <w:ind w:left="3654" w:hanging="360"/>
      </w:pPr>
      <w:rPr>
        <w:rFonts w:ascii="Courier New" w:hAnsi="Courier New" w:cs="Courier New" w:hint="default"/>
      </w:rPr>
    </w:lvl>
    <w:lvl w:ilvl="5" w:tplc="191C877A" w:tentative="1">
      <w:start w:val="1"/>
      <w:numFmt w:val="bullet"/>
      <w:lvlText w:val=""/>
      <w:lvlJc w:val="left"/>
      <w:pPr>
        <w:ind w:left="4374" w:hanging="360"/>
      </w:pPr>
      <w:rPr>
        <w:rFonts w:ascii="Wingdings" w:hAnsi="Wingdings" w:hint="default"/>
      </w:rPr>
    </w:lvl>
    <w:lvl w:ilvl="6" w:tplc="D9FAF6F8" w:tentative="1">
      <w:start w:val="1"/>
      <w:numFmt w:val="bullet"/>
      <w:lvlText w:val=""/>
      <w:lvlJc w:val="left"/>
      <w:pPr>
        <w:ind w:left="5094" w:hanging="360"/>
      </w:pPr>
      <w:rPr>
        <w:rFonts w:ascii="Symbol" w:hAnsi="Symbol" w:hint="default"/>
      </w:rPr>
    </w:lvl>
    <w:lvl w:ilvl="7" w:tplc="1D7C6606" w:tentative="1">
      <w:start w:val="1"/>
      <w:numFmt w:val="bullet"/>
      <w:lvlText w:val="o"/>
      <w:lvlJc w:val="left"/>
      <w:pPr>
        <w:ind w:left="5814" w:hanging="360"/>
      </w:pPr>
      <w:rPr>
        <w:rFonts w:ascii="Courier New" w:hAnsi="Courier New" w:cs="Courier New" w:hint="default"/>
      </w:rPr>
    </w:lvl>
    <w:lvl w:ilvl="8" w:tplc="638454CC" w:tentative="1">
      <w:start w:val="1"/>
      <w:numFmt w:val="bullet"/>
      <w:lvlText w:val=""/>
      <w:lvlJc w:val="left"/>
      <w:pPr>
        <w:ind w:left="6534" w:hanging="360"/>
      </w:pPr>
      <w:rPr>
        <w:rFonts w:ascii="Wingdings" w:hAnsi="Wingdings" w:hint="default"/>
      </w:rPr>
    </w:lvl>
  </w:abstractNum>
  <w:abstractNum w:abstractNumId="15"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A90F56"/>
    <w:multiLevelType w:val="hybridMultilevel"/>
    <w:tmpl w:val="3684ED7E"/>
    <w:lvl w:ilvl="0" w:tplc="C9204DCC">
      <w:start w:val="1"/>
      <w:numFmt w:val="lowerLetter"/>
      <w:lvlText w:val="%1."/>
      <w:lvlJc w:val="left"/>
      <w:pPr>
        <w:ind w:left="1440" w:hanging="360"/>
      </w:pPr>
      <w:rPr>
        <w:sz w:val="24"/>
        <w:szCs w:val="24"/>
      </w:rPr>
    </w:lvl>
    <w:lvl w:ilvl="1" w:tplc="D9B69FA2" w:tentative="1">
      <w:start w:val="1"/>
      <w:numFmt w:val="lowerLetter"/>
      <w:lvlText w:val="%2."/>
      <w:lvlJc w:val="left"/>
      <w:pPr>
        <w:ind w:left="1440" w:hanging="360"/>
      </w:pPr>
    </w:lvl>
    <w:lvl w:ilvl="2" w:tplc="7018BF4A" w:tentative="1">
      <w:start w:val="1"/>
      <w:numFmt w:val="lowerRoman"/>
      <w:lvlText w:val="%3."/>
      <w:lvlJc w:val="right"/>
      <w:pPr>
        <w:ind w:left="2160" w:hanging="180"/>
      </w:pPr>
    </w:lvl>
    <w:lvl w:ilvl="3" w:tplc="2926FAD6" w:tentative="1">
      <w:start w:val="1"/>
      <w:numFmt w:val="decimal"/>
      <w:lvlText w:val="%4."/>
      <w:lvlJc w:val="left"/>
      <w:pPr>
        <w:ind w:left="2880" w:hanging="360"/>
      </w:pPr>
    </w:lvl>
    <w:lvl w:ilvl="4" w:tplc="A9281740" w:tentative="1">
      <w:start w:val="1"/>
      <w:numFmt w:val="lowerLetter"/>
      <w:lvlText w:val="%5."/>
      <w:lvlJc w:val="left"/>
      <w:pPr>
        <w:ind w:left="3600" w:hanging="360"/>
      </w:pPr>
    </w:lvl>
    <w:lvl w:ilvl="5" w:tplc="589E3B44" w:tentative="1">
      <w:start w:val="1"/>
      <w:numFmt w:val="lowerRoman"/>
      <w:lvlText w:val="%6."/>
      <w:lvlJc w:val="right"/>
      <w:pPr>
        <w:ind w:left="4320" w:hanging="180"/>
      </w:pPr>
    </w:lvl>
    <w:lvl w:ilvl="6" w:tplc="19A8A514" w:tentative="1">
      <w:start w:val="1"/>
      <w:numFmt w:val="decimal"/>
      <w:lvlText w:val="%7."/>
      <w:lvlJc w:val="left"/>
      <w:pPr>
        <w:ind w:left="5040" w:hanging="360"/>
      </w:pPr>
    </w:lvl>
    <w:lvl w:ilvl="7" w:tplc="5CA24828" w:tentative="1">
      <w:start w:val="1"/>
      <w:numFmt w:val="lowerLetter"/>
      <w:lvlText w:val="%8."/>
      <w:lvlJc w:val="left"/>
      <w:pPr>
        <w:ind w:left="5760" w:hanging="360"/>
      </w:pPr>
    </w:lvl>
    <w:lvl w:ilvl="8" w:tplc="9C82CC54" w:tentative="1">
      <w:start w:val="1"/>
      <w:numFmt w:val="lowerRoman"/>
      <w:lvlText w:val="%9."/>
      <w:lvlJc w:val="right"/>
      <w:pPr>
        <w:ind w:left="6480" w:hanging="180"/>
      </w:pPr>
    </w:lvl>
  </w:abstractNum>
  <w:abstractNum w:abstractNumId="1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F317A"/>
    <w:multiLevelType w:val="hybridMultilevel"/>
    <w:tmpl w:val="3684ED7E"/>
    <w:lvl w:ilvl="0" w:tplc="41F490B6">
      <w:start w:val="1"/>
      <w:numFmt w:val="lowerLetter"/>
      <w:lvlText w:val="%1."/>
      <w:lvlJc w:val="left"/>
      <w:pPr>
        <w:ind w:left="1440" w:hanging="360"/>
      </w:pPr>
      <w:rPr>
        <w:sz w:val="24"/>
        <w:szCs w:val="24"/>
      </w:rPr>
    </w:lvl>
    <w:lvl w:ilvl="1" w:tplc="03E47A56" w:tentative="1">
      <w:start w:val="1"/>
      <w:numFmt w:val="lowerLetter"/>
      <w:lvlText w:val="%2."/>
      <w:lvlJc w:val="left"/>
      <w:pPr>
        <w:ind w:left="1440" w:hanging="360"/>
      </w:pPr>
    </w:lvl>
    <w:lvl w:ilvl="2" w:tplc="CA8CE876" w:tentative="1">
      <w:start w:val="1"/>
      <w:numFmt w:val="lowerRoman"/>
      <w:lvlText w:val="%3."/>
      <w:lvlJc w:val="right"/>
      <w:pPr>
        <w:ind w:left="2160" w:hanging="180"/>
      </w:pPr>
    </w:lvl>
    <w:lvl w:ilvl="3" w:tplc="AD7E41B8" w:tentative="1">
      <w:start w:val="1"/>
      <w:numFmt w:val="decimal"/>
      <w:lvlText w:val="%4."/>
      <w:lvlJc w:val="left"/>
      <w:pPr>
        <w:ind w:left="2880" w:hanging="360"/>
      </w:pPr>
    </w:lvl>
    <w:lvl w:ilvl="4" w:tplc="C1A8DC34" w:tentative="1">
      <w:start w:val="1"/>
      <w:numFmt w:val="lowerLetter"/>
      <w:lvlText w:val="%5."/>
      <w:lvlJc w:val="left"/>
      <w:pPr>
        <w:ind w:left="3600" w:hanging="360"/>
      </w:pPr>
    </w:lvl>
    <w:lvl w:ilvl="5" w:tplc="36748B0C" w:tentative="1">
      <w:start w:val="1"/>
      <w:numFmt w:val="lowerRoman"/>
      <w:lvlText w:val="%6."/>
      <w:lvlJc w:val="right"/>
      <w:pPr>
        <w:ind w:left="4320" w:hanging="180"/>
      </w:pPr>
    </w:lvl>
    <w:lvl w:ilvl="6" w:tplc="BE94BB16" w:tentative="1">
      <w:start w:val="1"/>
      <w:numFmt w:val="decimal"/>
      <w:lvlText w:val="%7."/>
      <w:lvlJc w:val="left"/>
      <w:pPr>
        <w:ind w:left="5040" w:hanging="360"/>
      </w:pPr>
    </w:lvl>
    <w:lvl w:ilvl="7" w:tplc="E048A664" w:tentative="1">
      <w:start w:val="1"/>
      <w:numFmt w:val="lowerLetter"/>
      <w:lvlText w:val="%8."/>
      <w:lvlJc w:val="left"/>
      <w:pPr>
        <w:ind w:left="5760" w:hanging="360"/>
      </w:pPr>
    </w:lvl>
    <w:lvl w:ilvl="8" w:tplc="F6EEC002" w:tentative="1">
      <w:start w:val="1"/>
      <w:numFmt w:val="lowerRoman"/>
      <w:lvlText w:val="%9."/>
      <w:lvlJc w:val="right"/>
      <w:pPr>
        <w:ind w:left="6480" w:hanging="180"/>
      </w:pPr>
    </w:lvl>
  </w:abstractNum>
  <w:abstractNum w:abstractNumId="20"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6"/>
  </w:num>
  <w:num w:numId="4">
    <w:abstractNumId w:val="13"/>
  </w:num>
  <w:num w:numId="5">
    <w:abstractNumId w:val="20"/>
  </w:num>
  <w:num w:numId="6">
    <w:abstractNumId w:val="6"/>
  </w:num>
  <w:num w:numId="7">
    <w:abstractNumId w:val="1"/>
  </w:num>
  <w:num w:numId="8">
    <w:abstractNumId w:val="5"/>
  </w:num>
  <w:num w:numId="9">
    <w:abstractNumId w:val="15"/>
  </w:num>
  <w:num w:numId="10">
    <w:abstractNumId w:val="18"/>
  </w:num>
  <w:num w:numId="11">
    <w:abstractNumId w:val="7"/>
  </w:num>
  <w:num w:numId="12">
    <w:abstractNumId w:val="23"/>
  </w:num>
  <w:num w:numId="13">
    <w:abstractNumId w:val="21"/>
  </w:num>
  <w:num w:numId="14">
    <w:abstractNumId w:val="10"/>
  </w:num>
  <w:num w:numId="15">
    <w:abstractNumId w:val="22"/>
  </w:num>
  <w:num w:numId="16">
    <w:abstractNumId w:val="3"/>
  </w:num>
  <w:num w:numId="17">
    <w:abstractNumId w:val="12"/>
  </w:num>
  <w:num w:numId="18">
    <w:abstractNumId w:val="17"/>
  </w:num>
  <w:num w:numId="19">
    <w:abstractNumId w:val="0"/>
  </w:num>
  <w:num w:numId="20">
    <w:abstractNumId w:val="19"/>
  </w:num>
  <w:num w:numId="21">
    <w:abstractNumId w:val="14"/>
  </w:num>
  <w:num w:numId="22">
    <w:abstractNumId w:val="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2"/>
    <w:rsid w:val="00032995"/>
    <w:rsid w:val="00046C20"/>
    <w:rsid w:val="000552B3"/>
    <w:rsid w:val="0007067B"/>
    <w:rsid w:val="00081D07"/>
    <w:rsid w:val="000C3494"/>
    <w:rsid w:val="000E599A"/>
    <w:rsid w:val="000F2564"/>
    <w:rsid w:val="00153C15"/>
    <w:rsid w:val="001A5F16"/>
    <w:rsid w:val="001D216A"/>
    <w:rsid w:val="001D2E82"/>
    <w:rsid w:val="001F5AB1"/>
    <w:rsid w:val="00205DF3"/>
    <w:rsid w:val="0022083E"/>
    <w:rsid w:val="00222D0B"/>
    <w:rsid w:val="00241D3D"/>
    <w:rsid w:val="0025218F"/>
    <w:rsid w:val="00254DA8"/>
    <w:rsid w:val="00272B04"/>
    <w:rsid w:val="0029547D"/>
    <w:rsid w:val="002B5C69"/>
    <w:rsid w:val="002D230B"/>
    <w:rsid w:val="002D3822"/>
    <w:rsid w:val="003213D9"/>
    <w:rsid w:val="003D38ED"/>
    <w:rsid w:val="004632E9"/>
    <w:rsid w:val="0046678C"/>
    <w:rsid w:val="004B4254"/>
    <w:rsid w:val="004C05FA"/>
    <w:rsid w:val="004D3B0F"/>
    <w:rsid w:val="0051363B"/>
    <w:rsid w:val="00516B0E"/>
    <w:rsid w:val="00584B74"/>
    <w:rsid w:val="00603DDF"/>
    <w:rsid w:val="00607188"/>
    <w:rsid w:val="00671D1D"/>
    <w:rsid w:val="00677789"/>
    <w:rsid w:val="0068286F"/>
    <w:rsid w:val="006C4C9C"/>
    <w:rsid w:val="006C5288"/>
    <w:rsid w:val="006D2221"/>
    <w:rsid w:val="006E1E6A"/>
    <w:rsid w:val="006E4001"/>
    <w:rsid w:val="006F58A5"/>
    <w:rsid w:val="00711349"/>
    <w:rsid w:val="00723C5D"/>
    <w:rsid w:val="007833EE"/>
    <w:rsid w:val="007B553F"/>
    <w:rsid w:val="00806473"/>
    <w:rsid w:val="00853A7A"/>
    <w:rsid w:val="00892B6E"/>
    <w:rsid w:val="009A549D"/>
    <w:rsid w:val="009C39DB"/>
    <w:rsid w:val="00A52F3D"/>
    <w:rsid w:val="00A731BB"/>
    <w:rsid w:val="00AA740C"/>
    <w:rsid w:val="00B14B62"/>
    <w:rsid w:val="00B251DB"/>
    <w:rsid w:val="00B26C25"/>
    <w:rsid w:val="00B35C0C"/>
    <w:rsid w:val="00BD0F8A"/>
    <w:rsid w:val="00BE6EEA"/>
    <w:rsid w:val="00D220CF"/>
    <w:rsid w:val="00D841E9"/>
    <w:rsid w:val="00E01D7D"/>
    <w:rsid w:val="00E3027E"/>
    <w:rsid w:val="00EA7496"/>
    <w:rsid w:val="00EC00A2"/>
    <w:rsid w:val="00F22BB9"/>
    <w:rsid w:val="00F95EC5"/>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1 heading,AR bullet 1,Bullet Point,Bullet Points,Bullet point,Bullet points,Bulleted Para,Bulletr List Paragraph,Content descriptions,L,List Paragraph1,List Paragraph11,List Paragraph2,NFP GP Bulleted List,Recommendation,bullet point list"/>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ListParagraphChar">
    <w:name w:val="List Paragraph Char"/>
    <w:aliases w:val="1 heading Char,AR bullet 1 Char,Bullet Point Char,Bullet Points Char,Bullet point Char,Bullet points Char,Bulleted Para Char,Bulletr List Paragraph Char,Content descriptions Char,L Char,List Paragraph1 Char,List Paragraph11 Char"/>
    <w:link w:val="ListParagraph"/>
    <w:uiPriority w:val="34"/>
    <w:locked/>
    <w:rsid w:val="0067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696F-9526-47CF-9AD2-A7780811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Document.dotx</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2020 Review of Activities of the National Offshore Petroleum Titles Administrator</vt:lpstr>
    </vt:vector>
  </TitlesOfParts>
  <Manager/>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Review of Activities of the National Offshore Petroleum Titles Administrator</dc:title>
  <dc:subject/>
  <dc:creator/>
  <cp:keywords/>
  <dc:description/>
  <cp:lastModifiedBy/>
  <cp:revision>1</cp:revision>
  <dcterms:created xsi:type="dcterms:W3CDTF">2020-04-23T07:03:00Z</dcterms:created>
  <dcterms:modified xsi:type="dcterms:W3CDTF">2020-04-23T07:08:00Z</dcterms:modified>
</cp:coreProperties>
</file>