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911E5" w14:textId="7030B986" w:rsidR="00975726" w:rsidRDefault="00260B01" w:rsidP="006875C2">
      <w:pPr>
        <w:pStyle w:val="Title"/>
        <w:spacing w:before="4480"/>
        <w:ind w:left="851" w:right="663"/>
      </w:pPr>
      <w:r>
        <w:rPr>
          <w:noProof/>
          <w:lang w:eastAsia="en-AU"/>
        </w:rPr>
        <w:drawing>
          <wp:anchor distT="0" distB="0" distL="114300" distR="114300" simplePos="0" relativeHeight="251658240" behindDoc="0" locked="0" layoutInCell="1" allowOverlap="1" wp14:anchorId="692AF81F" wp14:editId="4EE18E8D">
            <wp:simplePos x="0" y="0"/>
            <wp:positionH relativeFrom="column">
              <wp:posOffset>-340397</wp:posOffset>
            </wp:positionH>
            <wp:positionV relativeFrom="paragraph">
              <wp:posOffset>-380444</wp:posOffset>
            </wp:positionV>
            <wp:extent cx="4321936" cy="667445"/>
            <wp:effectExtent l="0" t="0" r="2540" b="0"/>
            <wp:wrapNone/>
            <wp:docPr id="1" name="Picture 1" descr="Department of Industry, Science, Energy and Resources | National Measurment Institut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ER-NMI-inline-RGB.png"/>
                    <pic:cNvPicPr/>
                  </pic:nvPicPr>
                  <pic:blipFill>
                    <a:blip r:embed="rId11">
                      <a:extLst>
                        <a:ext uri="{28A0092B-C50C-407E-A947-70E740481C1C}">
                          <a14:useLocalDpi xmlns:a14="http://schemas.microsoft.com/office/drawing/2010/main" val="0"/>
                        </a:ext>
                      </a:extLst>
                    </a:blip>
                    <a:stretch>
                      <a:fillRect/>
                    </a:stretch>
                  </pic:blipFill>
                  <pic:spPr>
                    <a:xfrm>
                      <a:off x="0" y="0"/>
                      <a:ext cx="4322778" cy="667575"/>
                    </a:xfrm>
                    <a:prstGeom prst="rect">
                      <a:avLst/>
                    </a:prstGeom>
                  </pic:spPr>
                </pic:pic>
              </a:graphicData>
            </a:graphic>
            <wp14:sizeRelH relativeFrom="page">
              <wp14:pctWidth>0</wp14:pctWidth>
            </wp14:sizeRelH>
            <wp14:sizeRelV relativeFrom="page">
              <wp14:pctHeight>0</wp14:pctHeight>
            </wp14:sizeRelV>
          </wp:anchor>
        </w:drawing>
      </w:r>
      <w:r w:rsidR="00B7796E">
        <w:t>Trade Measurement Compliance in 201</w:t>
      </w:r>
      <w:r w:rsidR="00021168">
        <w:t>8</w:t>
      </w:r>
      <w:r w:rsidR="008458C3" w:rsidRPr="008458C3">
        <w:t>–</w:t>
      </w:r>
      <w:r w:rsidR="00B7796E">
        <w:t>1</w:t>
      </w:r>
      <w:r w:rsidR="00021168">
        <w:t>9</w:t>
      </w:r>
    </w:p>
    <w:p w14:paraId="29407255" w14:textId="77777777" w:rsidR="002300AC" w:rsidRDefault="00B7796E" w:rsidP="001A25AE">
      <w:pPr>
        <w:pStyle w:val="Subtitle"/>
        <w:ind w:left="910" w:right="662"/>
      </w:pPr>
      <w:r>
        <w:t>Legal Metrology Branch</w:t>
      </w:r>
    </w:p>
    <w:p w14:paraId="286EEF30" w14:textId="2A0DA537" w:rsidR="00163B54" w:rsidRDefault="00D3599E" w:rsidP="001A25AE">
      <w:pPr>
        <w:pStyle w:val="Subtitle"/>
        <w:ind w:left="910" w:right="662"/>
      </w:pPr>
      <w:r>
        <w:t>March</w:t>
      </w:r>
      <w:r w:rsidR="006648C2">
        <w:t xml:space="preserve"> </w:t>
      </w:r>
      <w:r w:rsidR="00B7796E">
        <w:t>20</w:t>
      </w:r>
      <w:r w:rsidR="006648C2">
        <w:t>20</w:t>
      </w:r>
    </w:p>
    <w:p w14:paraId="42DAC2C7" w14:textId="77777777" w:rsidR="00602C92" w:rsidRDefault="004F4DBC" w:rsidP="001A25AE">
      <w:pPr>
        <w:ind w:left="910" w:right="662"/>
        <w:rPr>
          <w:rStyle w:val="Hyperlink"/>
        </w:rPr>
      </w:pPr>
      <w:hyperlink r:id="rId12" w:history="1">
        <w:r w:rsidR="00B7796E" w:rsidRPr="00994A66">
          <w:rPr>
            <w:rStyle w:val="Hyperlink"/>
          </w:rPr>
          <w:t>www.measurement.gov.au</w:t>
        </w:r>
      </w:hyperlink>
    </w:p>
    <w:p w14:paraId="5D6F2AED" w14:textId="77777777" w:rsidR="001A2DC6" w:rsidRDefault="001A2DC6" w:rsidP="001A25AE">
      <w:pPr>
        <w:ind w:left="993" w:right="804"/>
        <w:rPr>
          <w:rStyle w:val="Hyperlink"/>
        </w:rPr>
      </w:pPr>
    </w:p>
    <w:p w14:paraId="0CCEAFC0" w14:textId="77777777" w:rsidR="001A2DC6" w:rsidRDefault="001A2DC6" w:rsidP="00163B54">
      <w:pPr>
        <w:rPr>
          <w:rStyle w:val="Hyperlink"/>
        </w:rPr>
        <w:sectPr w:rsidR="001A2DC6" w:rsidSect="0088639D">
          <w:headerReference w:type="default" r:id="rId13"/>
          <w:pgSz w:w="11906" w:h="16838"/>
          <w:pgMar w:top="1440" w:right="1440" w:bottom="1440" w:left="1440" w:header="708" w:footer="708" w:gutter="0"/>
          <w:cols w:space="708"/>
          <w:docGrid w:linePitch="360"/>
        </w:sectPr>
      </w:pPr>
    </w:p>
    <w:p w14:paraId="70391092" w14:textId="77777777" w:rsidR="00CB2680" w:rsidRDefault="00CB2680" w:rsidP="00CB2680">
      <w:pPr>
        <w:pStyle w:val="TOCHeading"/>
      </w:pPr>
      <w:bookmarkStart w:id="0" w:name="_Toc419991345"/>
      <w:r>
        <w:lastRenderedPageBreak/>
        <w:t>Contents</w:t>
      </w:r>
    </w:p>
    <w:p w14:paraId="13C970D7" w14:textId="77777777" w:rsidR="00221E81" w:rsidRDefault="00163B54">
      <w:pPr>
        <w:pStyle w:val="TOC1"/>
        <w:tabs>
          <w:tab w:val="right" w:leader="dot" w:pos="9016"/>
        </w:tabs>
        <w:rPr>
          <w:rFonts w:eastAsiaTheme="minorEastAsia"/>
          <w:noProof/>
          <w:sz w:val="22"/>
          <w:lang w:eastAsia="en-AU"/>
        </w:rPr>
      </w:pPr>
      <w:r>
        <w:fldChar w:fldCharType="begin"/>
      </w:r>
      <w:r>
        <w:instrText xml:space="preserve"> TOC \o "1-2" \h \z \u </w:instrText>
      </w:r>
      <w:r>
        <w:fldChar w:fldCharType="separate"/>
      </w:r>
      <w:hyperlink w:anchor="_Toc32933788" w:history="1">
        <w:r w:rsidR="00221E81" w:rsidRPr="00AC5BDA">
          <w:rPr>
            <w:rStyle w:val="Hyperlink"/>
            <w:noProof/>
          </w:rPr>
          <w:t>What is Trade Measurement?</w:t>
        </w:r>
        <w:r w:rsidR="00221E81">
          <w:rPr>
            <w:noProof/>
            <w:webHidden/>
          </w:rPr>
          <w:tab/>
        </w:r>
        <w:r w:rsidR="00221E81">
          <w:rPr>
            <w:noProof/>
            <w:webHidden/>
          </w:rPr>
          <w:fldChar w:fldCharType="begin"/>
        </w:r>
        <w:r w:rsidR="00221E81">
          <w:rPr>
            <w:noProof/>
            <w:webHidden/>
          </w:rPr>
          <w:instrText xml:space="preserve"> PAGEREF _Toc32933788 \h </w:instrText>
        </w:r>
        <w:r w:rsidR="00221E81">
          <w:rPr>
            <w:noProof/>
            <w:webHidden/>
          </w:rPr>
        </w:r>
        <w:r w:rsidR="00221E81">
          <w:rPr>
            <w:noProof/>
            <w:webHidden/>
          </w:rPr>
          <w:fldChar w:fldCharType="separate"/>
        </w:r>
        <w:r w:rsidR="00A66E5D">
          <w:rPr>
            <w:noProof/>
            <w:webHidden/>
          </w:rPr>
          <w:t>3</w:t>
        </w:r>
        <w:r w:rsidR="00221E81">
          <w:rPr>
            <w:noProof/>
            <w:webHidden/>
          </w:rPr>
          <w:fldChar w:fldCharType="end"/>
        </w:r>
      </w:hyperlink>
    </w:p>
    <w:p w14:paraId="31FAA207" w14:textId="77777777" w:rsidR="00221E81" w:rsidRDefault="004F4DBC">
      <w:pPr>
        <w:pStyle w:val="TOC1"/>
        <w:tabs>
          <w:tab w:val="right" w:leader="dot" w:pos="9016"/>
        </w:tabs>
        <w:rPr>
          <w:rFonts w:eastAsiaTheme="minorEastAsia"/>
          <w:noProof/>
          <w:sz w:val="22"/>
          <w:lang w:eastAsia="en-AU"/>
        </w:rPr>
      </w:pPr>
      <w:hyperlink w:anchor="_Toc32933789" w:history="1">
        <w:r w:rsidR="00221E81" w:rsidRPr="00AC5BDA">
          <w:rPr>
            <w:rStyle w:val="Hyperlink"/>
            <w:noProof/>
          </w:rPr>
          <w:t>Regulation of Trade Measurement</w:t>
        </w:r>
        <w:r w:rsidR="00221E81">
          <w:rPr>
            <w:noProof/>
            <w:webHidden/>
          </w:rPr>
          <w:tab/>
        </w:r>
        <w:r w:rsidR="00221E81">
          <w:rPr>
            <w:noProof/>
            <w:webHidden/>
          </w:rPr>
          <w:fldChar w:fldCharType="begin"/>
        </w:r>
        <w:r w:rsidR="00221E81">
          <w:rPr>
            <w:noProof/>
            <w:webHidden/>
          </w:rPr>
          <w:instrText xml:space="preserve"> PAGEREF _Toc32933789 \h </w:instrText>
        </w:r>
        <w:r w:rsidR="00221E81">
          <w:rPr>
            <w:noProof/>
            <w:webHidden/>
          </w:rPr>
        </w:r>
        <w:r w:rsidR="00221E81">
          <w:rPr>
            <w:noProof/>
            <w:webHidden/>
          </w:rPr>
          <w:fldChar w:fldCharType="separate"/>
        </w:r>
        <w:r w:rsidR="00A66E5D">
          <w:rPr>
            <w:noProof/>
            <w:webHidden/>
          </w:rPr>
          <w:t>3</w:t>
        </w:r>
        <w:r w:rsidR="00221E81">
          <w:rPr>
            <w:noProof/>
            <w:webHidden/>
          </w:rPr>
          <w:fldChar w:fldCharType="end"/>
        </w:r>
      </w:hyperlink>
    </w:p>
    <w:p w14:paraId="7726A9AD" w14:textId="77777777" w:rsidR="00221E81" w:rsidRDefault="004F4DBC">
      <w:pPr>
        <w:pStyle w:val="TOC1"/>
        <w:tabs>
          <w:tab w:val="right" w:leader="dot" w:pos="9016"/>
        </w:tabs>
        <w:rPr>
          <w:rFonts w:eastAsiaTheme="minorEastAsia"/>
          <w:noProof/>
          <w:sz w:val="22"/>
          <w:lang w:eastAsia="en-AU"/>
        </w:rPr>
      </w:pPr>
      <w:hyperlink w:anchor="_Toc32933790" w:history="1">
        <w:r w:rsidR="00221E81" w:rsidRPr="00AC5BDA">
          <w:rPr>
            <w:rStyle w:val="Hyperlink"/>
            <w:noProof/>
          </w:rPr>
          <w:t>Concentrated National Audits</w:t>
        </w:r>
        <w:r w:rsidR="00221E81">
          <w:rPr>
            <w:noProof/>
            <w:webHidden/>
          </w:rPr>
          <w:tab/>
        </w:r>
        <w:r w:rsidR="00221E81">
          <w:rPr>
            <w:noProof/>
            <w:webHidden/>
          </w:rPr>
          <w:fldChar w:fldCharType="begin"/>
        </w:r>
        <w:r w:rsidR="00221E81">
          <w:rPr>
            <w:noProof/>
            <w:webHidden/>
          </w:rPr>
          <w:instrText xml:space="preserve"> PAGEREF _Toc32933790 \h </w:instrText>
        </w:r>
        <w:r w:rsidR="00221E81">
          <w:rPr>
            <w:noProof/>
            <w:webHidden/>
          </w:rPr>
        </w:r>
        <w:r w:rsidR="00221E81">
          <w:rPr>
            <w:noProof/>
            <w:webHidden/>
          </w:rPr>
          <w:fldChar w:fldCharType="separate"/>
        </w:r>
        <w:r w:rsidR="00A66E5D">
          <w:rPr>
            <w:noProof/>
            <w:webHidden/>
          </w:rPr>
          <w:t>4</w:t>
        </w:r>
        <w:r w:rsidR="00221E81">
          <w:rPr>
            <w:noProof/>
            <w:webHidden/>
          </w:rPr>
          <w:fldChar w:fldCharType="end"/>
        </w:r>
      </w:hyperlink>
    </w:p>
    <w:p w14:paraId="21484876" w14:textId="77777777" w:rsidR="00221E81" w:rsidRDefault="004F4DBC">
      <w:pPr>
        <w:pStyle w:val="TOC2"/>
        <w:tabs>
          <w:tab w:val="right" w:leader="dot" w:pos="9016"/>
        </w:tabs>
        <w:rPr>
          <w:rFonts w:eastAsiaTheme="minorEastAsia"/>
          <w:noProof/>
          <w:color w:val="auto"/>
          <w:sz w:val="22"/>
          <w:lang w:eastAsia="en-AU"/>
        </w:rPr>
      </w:pPr>
      <w:hyperlink w:anchor="_Toc32933791" w:history="1">
        <w:r w:rsidR="00221E81" w:rsidRPr="00AC5BDA">
          <w:rPr>
            <w:rStyle w:val="Hyperlink"/>
            <w:noProof/>
          </w:rPr>
          <w:t>Major Supermarkets</w:t>
        </w:r>
        <w:r w:rsidR="00221E81">
          <w:rPr>
            <w:noProof/>
            <w:webHidden/>
          </w:rPr>
          <w:tab/>
        </w:r>
        <w:r w:rsidR="00221E81">
          <w:rPr>
            <w:noProof/>
            <w:webHidden/>
          </w:rPr>
          <w:fldChar w:fldCharType="begin"/>
        </w:r>
        <w:r w:rsidR="00221E81">
          <w:rPr>
            <w:noProof/>
            <w:webHidden/>
          </w:rPr>
          <w:instrText xml:space="preserve"> PAGEREF _Toc32933791 \h </w:instrText>
        </w:r>
        <w:r w:rsidR="00221E81">
          <w:rPr>
            <w:noProof/>
            <w:webHidden/>
          </w:rPr>
        </w:r>
        <w:r w:rsidR="00221E81">
          <w:rPr>
            <w:noProof/>
            <w:webHidden/>
          </w:rPr>
          <w:fldChar w:fldCharType="separate"/>
        </w:r>
        <w:r w:rsidR="00A66E5D">
          <w:rPr>
            <w:noProof/>
            <w:webHidden/>
          </w:rPr>
          <w:t>4</w:t>
        </w:r>
        <w:r w:rsidR="00221E81">
          <w:rPr>
            <w:noProof/>
            <w:webHidden/>
          </w:rPr>
          <w:fldChar w:fldCharType="end"/>
        </w:r>
      </w:hyperlink>
    </w:p>
    <w:p w14:paraId="6D109F05" w14:textId="77777777" w:rsidR="00221E81" w:rsidRDefault="004F4DBC">
      <w:pPr>
        <w:pStyle w:val="TOC2"/>
        <w:tabs>
          <w:tab w:val="right" w:leader="dot" w:pos="9016"/>
        </w:tabs>
        <w:rPr>
          <w:rFonts w:eastAsiaTheme="minorEastAsia"/>
          <w:noProof/>
          <w:color w:val="auto"/>
          <w:sz w:val="22"/>
          <w:lang w:eastAsia="en-AU"/>
        </w:rPr>
      </w:pPr>
      <w:hyperlink w:anchor="_Toc32933792" w:history="1">
        <w:r w:rsidR="00221E81" w:rsidRPr="00AC5BDA">
          <w:rPr>
            <w:rStyle w:val="Hyperlink"/>
            <w:noProof/>
          </w:rPr>
          <w:t>Retail Fuel</w:t>
        </w:r>
        <w:r w:rsidR="00221E81">
          <w:rPr>
            <w:noProof/>
            <w:webHidden/>
          </w:rPr>
          <w:tab/>
        </w:r>
        <w:r w:rsidR="00221E81">
          <w:rPr>
            <w:noProof/>
            <w:webHidden/>
          </w:rPr>
          <w:fldChar w:fldCharType="begin"/>
        </w:r>
        <w:r w:rsidR="00221E81">
          <w:rPr>
            <w:noProof/>
            <w:webHidden/>
          </w:rPr>
          <w:instrText xml:space="preserve"> PAGEREF _Toc32933792 \h </w:instrText>
        </w:r>
        <w:r w:rsidR="00221E81">
          <w:rPr>
            <w:noProof/>
            <w:webHidden/>
          </w:rPr>
        </w:r>
        <w:r w:rsidR="00221E81">
          <w:rPr>
            <w:noProof/>
            <w:webHidden/>
          </w:rPr>
          <w:fldChar w:fldCharType="separate"/>
        </w:r>
        <w:r w:rsidR="00A66E5D">
          <w:rPr>
            <w:noProof/>
            <w:webHidden/>
          </w:rPr>
          <w:t>4</w:t>
        </w:r>
        <w:r w:rsidR="00221E81">
          <w:rPr>
            <w:noProof/>
            <w:webHidden/>
          </w:rPr>
          <w:fldChar w:fldCharType="end"/>
        </w:r>
      </w:hyperlink>
    </w:p>
    <w:p w14:paraId="31B17FF3" w14:textId="77777777" w:rsidR="00221E81" w:rsidRDefault="004F4DBC">
      <w:pPr>
        <w:pStyle w:val="TOC1"/>
        <w:tabs>
          <w:tab w:val="right" w:leader="dot" w:pos="9016"/>
        </w:tabs>
        <w:rPr>
          <w:rFonts w:eastAsiaTheme="minorEastAsia"/>
          <w:noProof/>
          <w:sz w:val="22"/>
          <w:lang w:eastAsia="en-AU"/>
        </w:rPr>
      </w:pPr>
      <w:hyperlink w:anchor="_Toc32933793" w:history="1">
        <w:r w:rsidR="00221E81" w:rsidRPr="00AC5BDA">
          <w:rPr>
            <w:rStyle w:val="Hyperlink"/>
            <w:noProof/>
          </w:rPr>
          <w:t>Summary of Compliance Activity and Outcomes</w:t>
        </w:r>
        <w:r w:rsidR="00221E81">
          <w:rPr>
            <w:noProof/>
            <w:webHidden/>
          </w:rPr>
          <w:tab/>
        </w:r>
        <w:r w:rsidR="00221E81">
          <w:rPr>
            <w:noProof/>
            <w:webHidden/>
          </w:rPr>
          <w:fldChar w:fldCharType="begin"/>
        </w:r>
        <w:r w:rsidR="00221E81">
          <w:rPr>
            <w:noProof/>
            <w:webHidden/>
          </w:rPr>
          <w:instrText xml:space="preserve"> PAGEREF _Toc32933793 \h </w:instrText>
        </w:r>
        <w:r w:rsidR="00221E81">
          <w:rPr>
            <w:noProof/>
            <w:webHidden/>
          </w:rPr>
        </w:r>
        <w:r w:rsidR="00221E81">
          <w:rPr>
            <w:noProof/>
            <w:webHidden/>
          </w:rPr>
          <w:fldChar w:fldCharType="separate"/>
        </w:r>
        <w:r w:rsidR="00A66E5D">
          <w:rPr>
            <w:noProof/>
            <w:webHidden/>
          </w:rPr>
          <w:t>5</w:t>
        </w:r>
        <w:r w:rsidR="00221E81">
          <w:rPr>
            <w:noProof/>
            <w:webHidden/>
          </w:rPr>
          <w:fldChar w:fldCharType="end"/>
        </w:r>
      </w:hyperlink>
    </w:p>
    <w:p w14:paraId="01864DF2" w14:textId="77777777" w:rsidR="00221E81" w:rsidRDefault="004F4DBC">
      <w:pPr>
        <w:pStyle w:val="TOC2"/>
        <w:tabs>
          <w:tab w:val="right" w:leader="dot" w:pos="9016"/>
        </w:tabs>
        <w:rPr>
          <w:rFonts w:eastAsiaTheme="minorEastAsia"/>
          <w:noProof/>
          <w:color w:val="auto"/>
          <w:sz w:val="22"/>
          <w:lang w:eastAsia="en-AU"/>
        </w:rPr>
      </w:pPr>
      <w:hyperlink w:anchor="_Toc32933794" w:history="1">
        <w:r w:rsidR="00221E81" w:rsidRPr="00AC5BDA">
          <w:rPr>
            <w:rStyle w:val="Hyperlink"/>
            <w:noProof/>
          </w:rPr>
          <w:t>Trader Audits</w:t>
        </w:r>
        <w:r w:rsidR="00221E81">
          <w:rPr>
            <w:noProof/>
            <w:webHidden/>
          </w:rPr>
          <w:tab/>
        </w:r>
        <w:r w:rsidR="00221E81">
          <w:rPr>
            <w:noProof/>
            <w:webHidden/>
          </w:rPr>
          <w:fldChar w:fldCharType="begin"/>
        </w:r>
        <w:r w:rsidR="00221E81">
          <w:rPr>
            <w:noProof/>
            <w:webHidden/>
          </w:rPr>
          <w:instrText xml:space="preserve"> PAGEREF _Toc32933794 \h </w:instrText>
        </w:r>
        <w:r w:rsidR="00221E81">
          <w:rPr>
            <w:noProof/>
            <w:webHidden/>
          </w:rPr>
        </w:r>
        <w:r w:rsidR="00221E81">
          <w:rPr>
            <w:noProof/>
            <w:webHidden/>
          </w:rPr>
          <w:fldChar w:fldCharType="separate"/>
        </w:r>
        <w:r w:rsidR="00A66E5D">
          <w:rPr>
            <w:noProof/>
            <w:webHidden/>
          </w:rPr>
          <w:t>5</w:t>
        </w:r>
        <w:r w:rsidR="00221E81">
          <w:rPr>
            <w:noProof/>
            <w:webHidden/>
          </w:rPr>
          <w:fldChar w:fldCharType="end"/>
        </w:r>
      </w:hyperlink>
    </w:p>
    <w:p w14:paraId="1868E707" w14:textId="77777777" w:rsidR="00221E81" w:rsidRDefault="004F4DBC">
      <w:pPr>
        <w:pStyle w:val="TOC2"/>
        <w:tabs>
          <w:tab w:val="right" w:leader="dot" w:pos="9016"/>
        </w:tabs>
        <w:rPr>
          <w:rFonts w:eastAsiaTheme="minorEastAsia"/>
          <w:noProof/>
          <w:color w:val="auto"/>
          <w:sz w:val="22"/>
          <w:lang w:eastAsia="en-AU"/>
        </w:rPr>
      </w:pPr>
      <w:hyperlink w:anchor="_Toc32933795" w:history="1">
        <w:r w:rsidR="00221E81" w:rsidRPr="00AC5BDA">
          <w:rPr>
            <w:rStyle w:val="Hyperlink"/>
            <w:noProof/>
          </w:rPr>
          <w:t>Measuring Instruments</w:t>
        </w:r>
        <w:r w:rsidR="00221E81">
          <w:rPr>
            <w:noProof/>
            <w:webHidden/>
          </w:rPr>
          <w:tab/>
        </w:r>
        <w:r w:rsidR="00221E81">
          <w:rPr>
            <w:noProof/>
            <w:webHidden/>
          </w:rPr>
          <w:fldChar w:fldCharType="begin"/>
        </w:r>
        <w:r w:rsidR="00221E81">
          <w:rPr>
            <w:noProof/>
            <w:webHidden/>
          </w:rPr>
          <w:instrText xml:space="preserve"> PAGEREF _Toc32933795 \h </w:instrText>
        </w:r>
        <w:r w:rsidR="00221E81">
          <w:rPr>
            <w:noProof/>
            <w:webHidden/>
          </w:rPr>
        </w:r>
        <w:r w:rsidR="00221E81">
          <w:rPr>
            <w:noProof/>
            <w:webHidden/>
          </w:rPr>
          <w:fldChar w:fldCharType="separate"/>
        </w:r>
        <w:r w:rsidR="00A66E5D">
          <w:rPr>
            <w:noProof/>
            <w:webHidden/>
          </w:rPr>
          <w:t>6</w:t>
        </w:r>
        <w:r w:rsidR="00221E81">
          <w:rPr>
            <w:noProof/>
            <w:webHidden/>
          </w:rPr>
          <w:fldChar w:fldCharType="end"/>
        </w:r>
      </w:hyperlink>
    </w:p>
    <w:p w14:paraId="0B73AE2C" w14:textId="77777777" w:rsidR="00221E81" w:rsidRDefault="004F4DBC">
      <w:pPr>
        <w:pStyle w:val="TOC2"/>
        <w:tabs>
          <w:tab w:val="right" w:leader="dot" w:pos="9016"/>
        </w:tabs>
        <w:rPr>
          <w:rFonts w:eastAsiaTheme="minorEastAsia"/>
          <w:noProof/>
          <w:color w:val="auto"/>
          <w:sz w:val="22"/>
          <w:lang w:eastAsia="en-AU"/>
        </w:rPr>
      </w:pPr>
      <w:hyperlink w:anchor="_Toc32933796" w:history="1">
        <w:r w:rsidR="00221E81" w:rsidRPr="00AC5BDA">
          <w:rPr>
            <w:rStyle w:val="Hyperlink"/>
            <w:noProof/>
          </w:rPr>
          <w:t>Packaged Goods</w:t>
        </w:r>
        <w:r w:rsidR="00221E81">
          <w:rPr>
            <w:noProof/>
            <w:webHidden/>
          </w:rPr>
          <w:tab/>
        </w:r>
        <w:r w:rsidR="00221E81">
          <w:rPr>
            <w:noProof/>
            <w:webHidden/>
          </w:rPr>
          <w:fldChar w:fldCharType="begin"/>
        </w:r>
        <w:r w:rsidR="00221E81">
          <w:rPr>
            <w:noProof/>
            <w:webHidden/>
          </w:rPr>
          <w:instrText xml:space="preserve"> PAGEREF _Toc32933796 \h </w:instrText>
        </w:r>
        <w:r w:rsidR="00221E81">
          <w:rPr>
            <w:noProof/>
            <w:webHidden/>
          </w:rPr>
        </w:r>
        <w:r w:rsidR="00221E81">
          <w:rPr>
            <w:noProof/>
            <w:webHidden/>
          </w:rPr>
          <w:fldChar w:fldCharType="separate"/>
        </w:r>
        <w:r w:rsidR="00A66E5D">
          <w:rPr>
            <w:noProof/>
            <w:webHidden/>
          </w:rPr>
          <w:t>6</w:t>
        </w:r>
        <w:r w:rsidR="00221E81">
          <w:rPr>
            <w:noProof/>
            <w:webHidden/>
          </w:rPr>
          <w:fldChar w:fldCharType="end"/>
        </w:r>
      </w:hyperlink>
    </w:p>
    <w:p w14:paraId="6FED768E" w14:textId="77777777" w:rsidR="00221E81" w:rsidRDefault="004F4DBC">
      <w:pPr>
        <w:pStyle w:val="TOC1"/>
        <w:tabs>
          <w:tab w:val="right" w:leader="dot" w:pos="9016"/>
        </w:tabs>
        <w:rPr>
          <w:rFonts w:eastAsiaTheme="minorEastAsia"/>
          <w:noProof/>
          <w:sz w:val="22"/>
          <w:lang w:eastAsia="en-AU"/>
        </w:rPr>
      </w:pPr>
      <w:hyperlink w:anchor="_Toc32933797" w:history="1">
        <w:r w:rsidR="00221E81" w:rsidRPr="00AC5BDA">
          <w:rPr>
            <w:rStyle w:val="Hyperlink"/>
            <w:noProof/>
          </w:rPr>
          <w:t>Enforcement Actions</w:t>
        </w:r>
        <w:r w:rsidR="00221E81">
          <w:rPr>
            <w:noProof/>
            <w:webHidden/>
          </w:rPr>
          <w:tab/>
        </w:r>
        <w:r w:rsidR="00221E81">
          <w:rPr>
            <w:noProof/>
            <w:webHidden/>
          </w:rPr>
          <w:fldChar w:fldCharType="begin"/>
        </w:r>
        <w:r w:rsidR="00221E81">
          <w:rPr>
            <w:noProof/>
            <w:webHidden/>
          </w:rPr>
          <w:instrText xml:space="preserve"> PAGEREF _Toc32933797 \h </w:instrText>
        </w:r>
        <w:r w:rsidR="00221E81">
          <w:rPr>
            <w:noProof/>
            <w:webHidden/>
          </w:rPr>
        </w:r>
        <w:r w:rsidR="00221E81">
          <w:rPr>
            <w:noProof/>
            <w:webHidden/>
          </w:rPr>
          <w:fldChar w:fldCharType="separate"/>
        </w:r>
        <w:r w:rsidR="00A66E5D">
          <w:rPr>
            <w:noProof/>
            <w:webHidden/>
          </w:rPr>
          <w:t>8</w:t>
        </w:r>
        <w:r w:rsidR="00221E81">
          <w:rPr>
            <w:noProof/>
            <w:webHidden/>
          </w:rPr>
          <w:fldChar w:fldCharType="end"/>
        </w:r>
      </w:hyperlink>
    </w:p>
    <w:p w14:paraId="03EA205C" w14:textId="77777777" w:rsidR="00221E81" w:rsidRDefault="004F4DBC">
      <w:pPr>
        <w:pStyle w:val="TOC2"/>
        <w:tabs>
          <w:tab w:val="right" w:leader="dot" w:pos="9016"/>
        </w:tabs>
        <w:rPr>
          <w:rFonts w:eastAsiaTheme="minorEastAsia"/>
          <w:noProof/>
          <w:color w:val="auto"/>
          <w:sz w:val="22"/>
          <w:lang w:eastAsia="en-AU"/>
        </w:rPr>
      </w:pPr>
      <w:hyperlink w:anchor="_Toc32933798" w:history="1">
        <w:r w:rsidR="00221E81" w:rsidRPr="00AC5BDA">
          <w:rPr>
            <w:rStyle w:val="Hyperlink"/>
            <w:noProof/>
          </w:rPr>
          <w:t>Prosecutions</w:t>
        </w:r>
        <w:r w:rsidR="00221E81">
          <w:rPr>
            <w:noProof/>
            <w:webHidden/>
          </w:rPr>
          <w:tab/>
        </w:r>
        <w:r w:rsidR="00221E81">
          <w:rPr>
            <w:noProof/>
            <w:webHidden/>
          </w:rPr>
          <w:fldChar w:fldCharType="begin"/>
        </w:r>
        <w:r w:rsidR="00221E81">
          <w:rPr>
            <w:noProof/>
            <w:webHidden/>
          </w:rPr>
          <w:instrText xml:space="preserve"> PAGEREF _Toc32933798 \h </w:instrText>
        </w:r>
        <w:r w:rsidR="00221E81">
          <w:rPr>
            <w:noProof/>
            <w:webHidden/>
          </w:rPr>
        </w:r>
        <w:r w:rsidR="00221E81">
          <w:rPr>
            <w:noProof/>
            <w:webHidden/>
          </w:rPr>
          <w:fldChar w:fldCharType="separate"/>
        </w:r>
        <w:r w:rsidR="00A66E5D">
          <w:rPr>
            <w:noProof/>
            <w:webHidden/>
          </w:rPr>
          <w:t>9</w:t>
        </w:r>
        <w:r w:rsidR="00221E81">
          <w:rPr>
            <w:noProof/>
            <w:webHidden/>
          </w:rPr>
          <w:fldChar w:fldCharType="end"/>
        </w:r>
      </w:hyperlink>
    </w:p>
    <w:p w14:paraId="47E8218B" w14:textId="77777777" w:rsidR="00221E81" w:rsidRDefault="004F4DBC">
      <w:pPr>
        <w:pStyle w:val="TOC1"/>
        <w:tabs>
          <w:tab w:val="right" w:leader="dot" w:pos="9016"/>
        </w:tabs>
        <w:rPr>
          <w:rFonts w:eastAsiaTheme="minorEastAsia"/>
          <w:noProof/>
          <w:sz w:val="22"/>
          <w:lang w:eastAsia="en-AU"/>
        </w:rPr>
      </w:pPr>
      <w:hyperlink w:anchor="_Toc32933799" w:history="1">
        <w:r w:rsidR="00221E81" w:rsidRPr="00AC5BDA">
          <w:rPr>
            <w:rStyle w:val="Hyperlink"/>
            <w:noProof/>
          </w:rPr>
          <w:t>Compliance and Enforcement by Trader Type</w:t>
        </w:r>
        <w:r w:rsidR="00221E81">
          <w:rPr>
            <w:noProof/>
            <w:webHidden/>
          </w:rPr>
          <w:tab/>
        </w:r>
        <w:r w:rsidR="00221E81">
          <w:rPr>
            <w:noProof/>
            <w:webHidden/>
          </w:rPr>
          <w:fldChar w:fldCharType="begin"/>
        </w:r>
        <w:r w:rsidR="00221E81">
          <w:rPr>
            <w:noProof/>
            <w:webHidden/>
          </w:rPr>
          <w:instrText xml:space="preserve"> PAGEREF _Toc32933799 \h </w:instrText>
        </w:r>
        <w:r w:rsidR="00221E81">
          <w:rPr>
            <w:noProof/>
            <w:webHidden/>
          </w:rPr>
        </w:r>
        <w:r w:rsidR="00221E81">
          <w:rPr>
            <w:noProof/>
            <w:webHidden/>
          </w:rPr>
          <w:fldChar w:fldCharType="separate"/>
        </w:r>
        <w:r w:rsidR="00A66E5D">
          <w:rPr>
            <w:noProof/>
            <w:webHidden/>
          </w:rPr>
          <w:t>10</w:t>
        </w:r>
        <w:r w:rsidR="00221E81">
          <w:rPr>
            <w:noProof/>
            <w:webHidden/>
          </w:rPr>
          <w:fldChar w:fldCharType="end"/>
        </w:r>
      </w:hyperlink>
    </w:p>
    <w:p w14:paraId="2F5BAD36" w14:textId="77777777" w:rsidR="00221E81" w:rsidRDefault="004F4DBC">
      <w:pPr>
        <w:pStyle w:val="TOC2"/>
        <w:tabs>
          <w:tab w:val="right" w:leader="dot" w:pos="9016"/>
        </w:tabs>
        <w:rPr>
          <w:rFonts w:eastAsiaTheme="minorEastAsia"/>
          <w:noProof/>
          <w:color w:val="auto"/>
          <w:sz w:val="22"/>
          <w:lang w:eastAsia="en-AU"/>
        </w:rPr>
      </w:pPr>
      <w:hyperlink w:anchor="_Toc32933800" w:history="1">
        <w:r w:rsidR="00221E81" w:rsidRPr="00AC5BDA">
          <w:rPr>
            <w:rStyle w:val="Hyperlink"/>
            <w:noProof/>
          </w:rPr>
          <w:t>Fruit and Vegetables Retail</w:t>
        </w:r>
        <w:r w:rsidR="00221E81">
          <w:rPr>
            <w:noProof/>
            <w:webHidden/>
          </w:rPr>
          <w:tab/>
        </w:r>
        <w:r w:rsidR="00221E81">
          <w:rPr>
            <w:noProof/>
            <w:webHidden/>
          </w:rPr>
          <w:fldChar w:fldCharType="begin"/>
        </w:r>
        <w:r w:rsidR="00221E81">
          <w:rPr>
            <w:noProof/>
            <w:webHidden/>
          </w:rPr>
          <w:instrText xml:space="preserve"> PAGEREF _Toc32933800 \h </w:instrText>
        </w:r>
        <w:r w:rsidR="00221E81">
          <w:rPr>
            <w:noProof/>
            <w:webHidden/>
          </w:rPr>
        </w:r>
        <w:r w:rsidR="00221E81">
          <w:rPr>
            <w:noProof/>
            <w:webHidden/>
          </w:rPr>
          <w:fldChar w:fldCharType="separate"/>
        </w:r>
        <w:r w:rsidR="00A66E5D">
          <w:rPr>
            <w:noProof/>
            <w:webHidden/>
          </w:rPr>
          <w:t>10</w:t>
        </w:r>
        <w:r w:rsidR="00221E81">
          <w:rPr>
            <w:noProof/>
            <w:webHidden/>
          </w:rPr>
          <w:fldChar w:fldCharType="end"/>
        </w:r>
      </w:hyperlink>
    </w:p>
    <w:p w14:paraId="6B10B0AE" w14:textId="77777777" w:rsidR="00221E81" w:rsidRDefault="004F4DBC">
      <w:pPr>
        <w:pStyle w:val="TOC2"/>
        <w:tabs>
          <w:tab w:val="right" w:leader="dot" w:pos="9016"/>
        </w:tabs>
        <w:rPr>
          <w:rFonts w:eastAsiaTheme="minorEastAsia"/>
          <w:noProof/>
          <w:color w:val="auto"/>
          <w:sz w:val="22"/>
          <w:lang w:eastAsia="en-AU"/>
        </w:rPr>
      </w:pPr>
      <w:hyperlink w:anchor="_Toc32933801" w:history="1">
        <w:r w:rsidR="00221E81" w:rsidRPr="00AC5BDA">
          <w:rPr>
            <w:rStyle w:val="Hyperlink"/>
            <w:noProof/>
          </w:rPr>
          <w:t>Supermarkets</w:t>
        </w:r>
        <w:r w:rsidR="00221E81" w:rsidRPr="00AC5BDA">
          <w:rPr>
            <w:rStyle w:val="Hyperlink"/>
            <w:noProof/>
            <w:vertAlign w:val="superscript"/>
          </w:rPr>
          <w:t>*</w:t>
        </w:r>
        <w:r w:rsidR="00221E81">
          <w:rPr>
            <w:noProof/>
            <w:webHidden/>
          </w:rPr>
          <w:tab/>
        </w:r>
        <w:r w:rsidR="00221E81">
          <w:rPr>
            <w:noProof/>
            <w:webHidden/>
          </w:rPr>
          <w:fldChar w:fldCharType="begin"/>
        </w:r>
        <w:r w:rsidR="00221E81">
          <w:rPr>
            <w:noProof/>
            <w:webHidden/>
          </w:rPr>
          <w:instrText xml:space="preserve"> PAGEREF _Toc32933801 \h </w:instrText>
        </w:r>
        <w:r w:rsidR="00221E81">
          <w:rPr>
            <w:noProof/>
            <w:webHidden/>
          </w:rPr>
        </w:r>
        <w:r w:rsidR="00221E81">
          <w:rPr>
            <w:noProof/>
            <w:webHidden/>
          </w:rPr>
          <w:fldChar w:fldCharType="separate"/>
        </w:r>
        <w:r w:rsidR="00A66E5D">
          <w:rPr>
            <w:noProof/>
            <w:webHidden/>
          </w:rPr>
          <w:t>10</w:t>
        </w:r>
        <w:r w:rsidR="00221E81">
          <w:rPr>
            <w:noProof/>
            <w:webHidden/>
          </w:rPr>
          <w:fldChar w:fldCharType="end"/>
        </w:r>
      </w:hyperlink>
    </w:p>
    <w:p w14:paraId="7A56E8A9" w14:textId="77777777" w:rsidR="00221E81" w:rsidRDefault="004F4DBC">
      <w:pPr>
        <w:pStyle w:val="TOC2"/>
        <w:tabs>
          <w:tab w:val="right" w:leader="dot" w:pos="9016"/>
        </w:tabs>
        <w:rPr>
          <w:rFonts w:eastAsiaTheme="minorEastAsia"/>
          <w:noProof/>
          <w:color w:val="auto"/>
          <w:sz w:val="22"/>
          <w:lang w:eastAsia="en-AU"/>
        </w:rPr>
      </w:pPr>
      <w:hyperlink w:anchor="_Toc32933802" w:history="1">
        <w:r w:rsidR="00221E81" w:rsidRPr="00AC5BDA">
          <w:rPr>
            <w:rStyle w:val="Hyperlink"/>
            <w:noProof/>
          </w:rPr>
          <w:t>Meat Retail</w:t>
        </w:r>
        <w:r w:rsidR="00221E81">
          <w:rPr>
            <w:noProof/>
            <w:webHidden/>
          </w:rPr>
          <w:tab/>
        </w:r>
        <w:r w:rsidR="00221E81">
          <w:rPr>
            <w:noProof/>
            <w:webHidden/>
          </w:rPr>
          <w:fldChar w:fldCharType="begin"/>
        </w:r>
        <w:r w:rsidR="00221E81">
          <w:rPr>
            <w:noProof/>
            <w:webHidden/>
          </w:rPr>
          <w:instrText xml:space="preserve"> PAGEREF _Toc32933802 \h </w:instrText>
        </w:r>
        <w:r w:rsidR="00221E81">
          <w:rPr>
            <w:noProof/>
            <w:webHidden/>
          </w:rPr>
        </w:r>
        <w:r w:rsidR="00221E81">
          <w:rPr>
            <w:noProof/>
            <w:webHidden/>
          </w:rPr>
          <w:fldChar w:fldCharType="separate"/>
        </w:r>
        <w:r w:rsidR="00A66E5D">
          <w:rPr>
            <w:noProof/>
            <w:webHidden/>
          </w:rPr>
          <w:t>11</w:t>
        </w:r>
        <w:r w:rsidR="00221E81">
          <w:rPr>
            <w:noProof/>
            <w:webHidden/>
          </w:rPr>
          <w:fldChar w:fldCharType="end"/>
        </w:r>
      </w:hyperlink>
    </w:p>
    <w:p w14:paraId="7328997F" w14:textId="77777777" w:rsidR="00221E81" w:rsidRDefault="004F4DBC">
      <w:pPr>
        <w:pStyle w:val="TOC2"/>
        <w:tabs>
          <w:tab w:val="right" w:leader="dot" w:pos="9016"/>
        </w:tabs>
        <w:rPr>
          <w:rFonts w:eastAsiaTheme="minorEastAsia"/>
          <w:noProof/>
          <w:color w:val="auto"/>
          <w:sz w:val="22"/>
          <w:lang w:eastAsia="en-AU"/>
        </w:rPr>
      </w:pPr>
      <w:hyperlink w:anchor="_Toc32933803" w:history="1">
        <w:r w:rsidR="00221E81" w:rsidRPr="00AC5BDA">
          <w:rPr>
            <w:rStyle w:val="Hyperlink"/>
            <w:noProof/>
          </w:rPr>
          <w:t>Importer</w:t>
        </w:r>
        <w:r w:rsidR="00221E81">
          <w:rPr>
            <w:noProof/>
            <w:webHidden/>
          </w:rPr>
          <w:tab/>
        </w:r>
        <w:r w:rsidR="00221E81">
          <w:rPr>
            <w:noProof/>
            <w:webHidden/>
          </w:rPr>
          <w:fldChar w:fldCharType="begin"/>
        </w:r>
        <w:r w:rsidR="00221E81">
          <w:rPr>
            <w:noProof/>
            <w:webHidden/>
          </w:rPr>
          <w:instrText xml:space="preserve"> PAGEREF _Toc32933803 \h </w:instrText>
        </w:r>
        <w:r w:rsidR="00221E81">
          <w:rPr>
            <w:noProof/>
            <w:webHidden/>
          </w:rPr>
        </w:r>
        <w:r w:rsidR="00221E81">
          <w:rPr>
            <w:noProof/>
            <w:webHidden/>
          </w:rPr>
          <w:fldChar w:fldCharType="separate"/>
        </w:r>
        <w:r w:rsidR="00A66E5D">
          <w:rPr>
            <w:noProof/>
            <w:webHidden/>
          </w:rPr>
          <w:t>11</w:t>
        </w:r>
        <w:r w:rsidR="00221E81">
          <w:rPr>
            <w:noProof/>
            <w:webHidden/>
          </w:rPr>
          <w:fldChar w:fldCharType="end"/>
        </w:r>
      </w:hyperlink>
    </w:p>
    <w:p w14:paraId="779591F2" w14:textId="77777777" w:rsidR="00221E81" w:rsidRDefault="004F4DBC">
      <w:pPr>
        <w:pStyle w:val="TOC2"/>
        <w:tabs>
          <w:tab w:val="right" w:leader="dot" w:pos="9016"/>
        </w:tabs>
        <w:rPr>
          <w:rFonts w:eastAsiaTheme="minorEastAsia"/>
          <w:noProof/>
          <w:color w:val="auto"/>
          <w:sz w:val="22"/>
          <w:lang w:eastAsia="en-AU"/>
        </w:rPr>
      </w:pPr>
      <w:hyperlink w:anchor="_Toc32933804" w:history="1">
        <w:r w:rsidR="00221E81" w:rsidRPr="00AC5BDA">
          <w:rPr>
            <w:rStyle w:val="Hyperlink"/>
            <w:noProof/>
          </w:rPr>
          <w:t>Seafood Retail</w:t>
        </w:r>
        <w:r w:rsidR="00221E81">
          <w:rPr>
            <w:noProof/>
            <w:webHidden/>
          </w:rPr>
          <w:tab/>
        </w:r>
        <w:r w:rsidR="00221E81">
          <w:rPr>
            <w:noProof/>
            <w:webHidden/>
          </w:rPr>
          <w:fldChar w:fldCharType="begin"/>
        </w:r>
        <w:r w:rsidR="00221E81">
          <w:rPr>
            <w:noProof/>
            <w:webHidden/>
          </w:rPr>
          <w:instrText xml:space="preserve"> PAGEREF _Toc32933804 \h </w:instrText>
        </w:r>
        <w:r w:rsidR="00221E81">
          <w:rPr>
            <w:noProof/>
            <w:webHidden/>
          </w:rPr>
        </w:r>
        <w:r w:rsidR="00221E81">
          <w:rPr>
            <w:noProof/>
            <w:webHidden/>
          </w:rPr>
          <w:fldChar w:fldCharType="separate"/>
        </w:r>
        <w:r w:rsidR="00A66E5D">
          <w:rPr>
            <w:noProof/>
            <w:webHidden/>
          </w:rPr>
          <w:t>12</w:t>
        </w:r>
        <w:r w:rsidR="00221E81">
          <w:rPr>
            <w:noProof/>
            <w:webHidden/>
          </w:rPr>
          <w:fldChar w:fldCharType="end"/>
        </w:r>
      </w:hyperlink>
    </w:p>
    <w:p w14:paraId="400CF803" w14:textId="77777777" w:rsidR="00221E81" w:rsidRDefault="004F4DBC">
      <w:pPr>
        <w:pStyle w:val="TOC2"/>
        <w:tabs>
          <w:tab w:val="right" w:leader="dot" w:pos="9016"/>
        </w:tabs>
        <w:rPr>
          <w:rFonts w:eastAsiaTheme="minorEastAsia"/>
          <w:noProof/>
          <w:color w:val="auto"/>
          <w:sz w:val="22"/>
          <w:lang w:eastAsia="en-AU"/>
        </w:rPr>
      </w:pPr>
      <w:hyperlink w:anchor="_Toc32933805" w:history="1">
        <w:r w:rsidR="00221E81" w:rsidRPr="00AC5BDA">
          <w:rPr>
            <w:rStyle w:val="Hyperlink"/>
            <w:noProof/>
          </w:rPr>
          <w:t>Small Business (Food)</w:t>
        </w:r>
        <w:r w:rsidR="00221E81">
          <w:rPr>
            <w:noProof/>
            <w:webHidden/>
          </w:rPr>
          <w:tab/>
        </w:r>
        <w:r w:rsidR="00221E81">
          <w:rPr>
            <w:noProof/>
            <w:webHidden/>
          </w:rPr>
          <w:fldChar w:fldCharType="begin"/>
        </w:r>
        <w:r w:rsidR="00221E81">
          <w:rPr>
            <w:noProof/>
            <w:webHidden/>
          </w:rPr>
          <w:instrText xml:space="preserve"> PAGEREF _Toc32933805 \h </w:instrText>
        </w:r>
        <w:r w:rsidR="00221E81">
          <w:rPr>
            <w:noProof/>
            <w:webHidden/>
          </w:rPr>
        </w:r>
        <w:r w:rsidR="00221E81">
          <w:rPr>
            <w:noProof/>
            <w:webHidden/>
          </w:rPr>
          <w:fldChar w:fldCharType="separate"/>
        </w:r>
        <w:r w:rsidR="00A66E5D">
          <w:rPr>
            <w:noProof/>
            <w:webHidden/>
          </w:rPr>
          <w:t>12</w:t>
        </w:r>
        <w:r w:rsidR="00221E81">
          <w:rPr>
            <w:noProof/>
            <w:webHidden/>
          </w:rPr>
          <w:fldChar w:fldCharType="end"/>
        </w:r>
      </w:hyperlink>
    </w:p>
    <w:p w14:paraId="4C9351BF" w14:textId="77777777" w:rsidR="00221E81" w:rsidRDefault="004F4DBC">
      <w:pPr>
        <w:pStyle w:val="TOC1"/>
        <w:tabs>
          <w:tab w:val="right" w:leader="dot" w:pos="9016"/>
        </w:tabs>
        <w:rPr>
          <w:rFonts w:eastAsiaTheme="minorEastAsia"/>
          <w:noProof/>
          <w:sz w:val="22"/>
          <w:lang w:eastAsia="en-AU"/>
        </w:rPr>
      </w:pPr>
      <w:hyperlink w:anchor="_Toc32933806" w:history="1">
        <w:r w:rsidR="00221E81" w:rsidRPr="00AC5BDA">
          <w:rPr>
            <w:rStyle w:val="Hyperlink"/>
            <w:noProof/>
          </w:rPr>
          <w:t>Compliance by Instrument Type</w:t>
        </w:r>
        <w:r w:rsidR="00221E81">
          <w:rPr>
            <w:noProof/>
            <w:webHidden/>
          </w:rPr>
          <w:tab/>
        </w:r>
        <w:r w:rsidR="00221E81">
          <w:rPr>
            <w:noProof/>
            <w:webHidden/>
          </w:rPr>
          <w:fldChar w:fldCharType="begin"/>
        </w:r>
        <w:r w:rsidR="00221E81">
          <w:rPr>
            <w:noProof/>
            <w:webHidden/>
          </w:rPr>
          <w:instrText xml:space="preserve"> PAGEREF _Toc32933806 \h </w:instrText>
        </w:r>
        <w:r w:rsidR="00221E81">
          <w:rPr>
            <w:noProof/>
            <w:webHidden/>
          </w:rPr>
        </w:r>
        <w:r w:rsidR="00221E81">
          <w:rPr>
            <w:noProof/>
            <w:webHidden/>
          </w:rPr>
          <w:fldChar w:fldCharType="separate"/>
        </w:r>
        <w:r w:rsidR="00A66E5D">
          <w:rPr>
            <w:noProof/>
            <w:webHidden/>
          </w:rPr>
          <w:t>13</w:t>
        </w:r>
        <w:r w:rsidR="00221E81">
          <w:rPr>
            <w:noProof/>
            <w:webHidden/>
          </w:rPr>
          <w:fldChar w:fldCharType="end"/>
        </w:r>
      </w:hyperlink>
    </w:p>
    <w:p w14:paraId="4AB3F13D" w14:textId="77777777" w:rsidR="00221E81" w:rsidRDefault="004F4DBC">
      <w:pPr>
        <w:pStyle w:val="TOC2"/>
        <w:tabs>
          <w:tab w:val="right" w:leader="dot" w:pos="9016"/>
        </w:tabs>
        <w:rPr>
          <w:rFonts w:eastAsiaTheme="minorEastAsia"/>
          <w:noProof/>
          <w:color w:val="auto"/>
          <w:sz w:val="22"/>
          <w:lang w:eastAsia="en-AU"/>
        </w:rPr>
      </w:pPr>
      <w:hyperlink w:anchor="_Toc32933807" w:history="1">
        <w:r w:rsidR="00221E81" w:rsidRPr="00AC5BDA">
          <w:rPr>
            <w:rStyle w:val="Hyperlink"/>
            <w:noProof/>
          </w:rPr>
          <w:t>Compliance of Retail Fuel Dispensers</w:t>
        </w:r>
        <w:r w:rsidR="00221E81">
          <w:rPr>
            <w:noProof/>
            <w:webHidden/>
          </w:rPr>
          <w:tab/>
        </w:r>
        <w:r w:rsidR="00221E81">
          <w:rPr>
            <w:noProof/>
            <w:webHidden/>
          </w:rPr>
          <w:fldChar w:fldCharType="begin"/>
        </w:r>
        <w:r w:rsidR="00221E81">
          <w:rPr>
            <w:noProof/>
            <w:webHidden/>
          </w:rPr>
          <w:instrText xml:space="preserve"> PAGEREF _Toc32933807 \h </w:instrText>
        </w:r>
        <w:r w:rsidR="00221E81">
          <w:rPr>
            <w:noProof/>
            <w:webHidden/>
          </w:rPr>
        </w:r>
        <w:r w:rsidR="00221E81">
          <w:rPr>
            <w:noProof/>
            <w:webHidden/>
          </w:rPr>
          <w:fldChar w:fldCharType="separate"/>
        </w:r>
        <w:r w:rsidR="00A66E5D">
          <w:rPr>
            <w:noProof/>
            <w:webHidden/>
          </w:rPr>
          <w:t>15</w:t>
        </w:r>
        <w:r w:rsidR="00221E81">
          <w:rPr>
            <w:noProof/>
            <w:webHidden/>
          </w:rPr>
          <w:fldChar w:fldCharType="end"/>
        </w:r>
      </w:hyperlink>
    </w:p>
    <w:p w14:paraId="743A9DBA" w14:textId="77777777" w:rsidR="00221E81" w:rsidRDefault="004F4DBC">
      <w:pPr>
        <w:pStyle w:val="TOC1"/>
        <w:tabs>
          <w:tab w:val="right" w:leader="dot" w:pos="9016"/>
        </w:tabs>
        <w:rPr>
          <w:rFonts w:eastAsiaTheme="minorEastAsia"/>
          <w:noProof/>
          <w:sz w:val="22"/>
          <w:lang w:eastAsia="en-AU"/>
        </w:rPr>
      </w:pPr>
      <w:hyperlink w:anchor="_Toc32933808" w:history="1">
        <w:r w:rsidR="00221E81" w:rsidRPr="00AC5BDA">
          <w:rPr>
            <w:rStyle w:val="Hyperlink"/>
            <w:noProof/>
          </w:rPr>
          <w:t>Compliance of Packaged Goods</w:t>
        </w:r>
        <w:r w:rsidR="00221E81">
          <w:rPr>
            <w:noProof/>
            <w:webHidden/>
          </w:rPr>
          <w:tab/>
        </w:r>
        <w:r w:rsidR="00221E81">
          <w:rPr>
            <w:noProof/>
            <w:webHidden/>
          </w:rPr>
          <w:fldChar w:fldCharType="begin"/>
        </w:r>
        <w:r w:rsidR="00221E81">
          <w:rPr>
            <w:noProof/>
            <w:webHidden/>
          </w:rPr>
          <w:instrText xml:space="preserve"> PAGEREF _Toc32933808 \h </w:instrText>
        </w:r>
        <w:r w:rsidR="00221E81">
          <w:rPr>
            <w:noProof/>
            <w:webHidden/>
          </w:rPr>
        </w:r>
        <w:r w:rsidR="00221E81">
          <w:rPr>
            <w:noProof/>
            <w:webHidden/>
          </w:rPr>
          <w:fldChar w:fldCharType="separate"/>
        </w:r>
        <w:r w:rsidR="00A66E5D">
          <w:rPr>
            <w:noProof/>
            <w:webHidden/>
          </w:rPr>
          <w:t>16</w:t>
        </w:r>
        <w:r w:rsidR="00221E81">
          <w:rPr>
            <w:noProof/>
            <w:webHidden/>
          </w:rPr>
          <w:fldChar w:fldCharType="end"/>
        </w:r>
      </w:hyperlink>
    </w:p>
    <w:p w14:paraId="4E8FD0C2" w14:textId="77777777" w:rsidR="00FD5DE8" w:rsidRDefault="00163B54" w:rsidP="00163B54">
      <w:pPr>
        <w:pStyle w:val="Heading1"/>
      </w:pPr>
      <w:r>
        <w:fldChar w:fldCharType="end"/>
      </w:r>
      <w:r w:rsidR="00FD5DE8">
        <w:br w:type="page"/>
      </w:r>
    </w:p>
    <w:p w14:paraId="7E489197" w14:textId="77777777" w:rsidR="00163B54" w:rsidRDefault="00B7796E" w:rsidP="00163B54">
      <w:pPr>
        <w:pStyle w:val="Heading1"/>
      </w:pPr>
      <w:bookmarkStart w:id="1" w:name="_Toc32933788"/>
      <w:r>
        <w:lastRenderedPageBreak/>
        <w:t xml:space="preserve">What is </w:t>
      </w:r>
      <w:r w:rsidR="002F79D7">
        <w:t>T</w:t>
      </w:r>
      <w:r>
        <w:t xml:space="preserve">rade </w:t>
      </w:r>
      <w:r w:rsidR="002F79D7">
        <w:t>M</w:t>
      </w:r>
      <w:r>
        <w:t>easurement?</w:t>
      </w:r>
      <w:bookmarkEnd w:id="1"/>
    </w:p>
    <w:p w14:paraId="41065C5F" w14:textId="77777777" w:rsidR="00B7796E" w:rsidRPr="00B7796E" w:rsidRDefault="00B7796E" w:rsidP="00B7796E">
      <w:r w:rsidRPr="00B7796E">
        <w:t>Trade measurement refers to buying and selling of goods and services where the value is determined by measurement.</w:t>
      </w:r>
    </w:p>
    <w:p w14:paraId="2C126E92" w14:textId="77777777" w:rsidR="00B7796E" w:rsidRPr="00B7796E" w:rsidRDefault="00B7796E" w:rsidP="00B7796E">
      <w:r w:rsidRPr="00B7796E">
        <w:t>Studies in Australia, the USA and Canada have estimated that the total value of trade transactions involving measurement (including packaged goods and utility metering) accounts for at least 50% of Gross National Income</w:t>
      </w:r>
      <w:r w:rsidRPr="00B7796E">
        <w:rPr>
          <w:vertAlign w:val="superscript"/>
        </w:rPr>
        <w:footnoteReference w:id="1"/>
      </w:r>
      <w:r w:rsidRPr="00B7796E">
        <w:t>. Of this amount, around a quarter is accounted for by retail transactions with the remaining three quarters being business to business transactions. Based on these estimates, the total value of trade transactions involving measurement in Australia is currently more than $750 billion a year.</w:t>
      </w:r>
    </w:p>
    <w:p w14:paraId="5A28AA82" w14:textId="77777777" w:rsidR="00B7796E" w:rsidRPr="00B7796E" w:rsidRDefault="00B7796E" w:rsidP="00B7796E">
      <w:r w:rsidRPr="00B7796E">
        <w:t>Consistency and certainty in measurement supports fair and open competition. It provides a level playing field for business by ensuring that all market participants, irrespective of their size or financial strength, follow the same rules and have equal opportunity to compete.</w:t>
      </w:r>
    </w:p>
    <w:p w14:paraId="65222467" w14:textId="77777777" w:rsidR="00B7796E" w:rsidRPr="00B7796E" w:rsidRDefault="00B7796E" w:rsidP="00B7796E">
      <w:r w:rsidRPr="00B7796E">
        <w:t>Reliable representations of measurements help consumers and businesses make informed purchasing decisions. More broadly, they support the efficient operation of the market.</w:t>
      </w:r>
    </w:p>
    <w:p w14:paraId="69DB61D3" w14:textId="77777777" w:rsidR="00B7796E" w:rsidRDefault="00B7796E" w:rsidP="00157862">
      <w:pPr>
        <w:pStyle w:val="Heading1"/>
      </w:pPr>
      <w:bookmarkStart w:id="2" w:name="_Toc32933789"/>
      <w:r>
        <w:t xml:space="preserve">Regulation of </w:t>
      </w:r>
      <w:r w:rsidR="002F79D7">
        <w:t>T</w:t>
      </w:r>
      <w:r>
        <w:t xml:space="preserve">rade </w:t>
      </w:r>
      <w:r w:rsidR="002F79D7">
        <w:t>M</w:t>
      </w:r>
      <w:r>
        <w:t>easurement</w:t>
      </w:r>
      <w:bookmarkEnd w:id="2"/>
    </w:p>
    <w:p w14:paraId="2044D6C3" w14:textId="181470DA" w:rsidR="00B7796E" w:rsidRDefault="00B7796E" w:rsidP="00B7796E">
      <w:r>
        <w:t>Th</w:t>
      </w:r>
      <w:r w:rsidR="00157862">
        <w:t>e National Measurement Institute (NMI)</w:t>
      </w:r>
      <w:r w:rsidR="00666E9A">
        <w:t>, a division of the Australian Gov</w:t>
      </w:r>
      <w:r w:rsidR="00DF6101">
        <w:t>ernment Department of Industry,</w:t>
      </w:r>
      <w:r w:rsidR="00666E9A">
        <w:t xml:space="preserve"> Science,</w:t>
      </w:r>
      <w:r w:rsidR="00DF6101">
        <w:t xml:space="preserve"> Energy and Resources</w:t>
      </w:r>
      <w:r w:rsidR="00157862">
        <w:t xml:space="preserve"> administers </w:t>
      </w:r>
      <w:r>
        <w:t xml:space="preserve">the </w:t>
      </w:r>
      <w:hyperlink r:id="rId14" w:history="1">
        <w:r w:rsidRPr="00B7796E">
          <w:rPr>
            <w:rStyle w:val="Hyperlink"/>
            <w:i/>
          </w:rPr>
          <w:t>National Measurement Act 1960</w:t>
        </w:r>
      </w:hyperlink>
      <w:r>
        <w:t xml:space="preserve"> and associated regulations</w:t>
      </w:r>
      <w:r w:rsidR="00157862">
        <w:t xml:space="preserve"> t</w:t>
      </w:r>
      <w:r>
        <w:t>o ensure that</w:t>
      </w:r>
      <w:r w:rsidR="009D42B4">
        <w:t>,</w:t>
      </w:r>
      <w:r w:rsidR="00446350">
        <w:t xml:space="preserve"> for trade purposes</w:t>
      </w:r>
      <w:r>
        <w:t>:</w:t>
      </w:r>
    </w:p>
    <w:p w14:paraId="0BEFBB07" w14:textId="77777777" w:rsidR="00B7796E" w:rsidRDefault="00B7796E" w:rsidP="00B7796E">
      <w:pPr>
        <w:pStyle w:val="ListParagraph"/>
        <w:numPr>
          <w:ilvl w:val="0"/>
          <w:numId w:val="11"/>
        </w:numPr>
      </w:pPr>
      <w:r>
        <w:t xml:space="preserve">measuring instruments are fit for purpose </w:t>
      </w:r>
    </w:p>
    <w:p w14:paraId="06E6BA43" w14:textId="77777777" w:rsidR="00B7796E" w:rsidRDefault="00B7796E" w:rsidP="00B7796E">
      <w:pPr>
        <w:pStyle w:val="ListParagraph"/>
        <w:numPr>
          <w:ilvl w:val="0"/>
          <w:numId w:val="11"/>
        </w:numPr>
      </w:pPr>
      <w:r>
        <w:t xml:space="preserve">measurements are made correctly </w:t>
      </w:r>
    </w:p>
    <w:p w14:paraId="5C845117" w14:textId="77777777" w:rsidR="00B7796E" w:rsidRDefault="00B7796E" w:rsidP="004E3E57">
      <w:pPr>
        <w:pStyle w:val="ListParagraph"/>
        <w:numPr>
          <w:ilvl w:val="0"/>
          <w:numId w:val="11"/>
        </w:numPr>
        <w:ind w:left="714" w:hanging="357"/>
      </w:pPr>
      <w:proofErr w:type="gramStart"/>
      <w:r>
        <w:t>representations</w:t>
      </w:r>
      <w:proofErr w:type="gramEnd"/>
      <w:r>
        <w:t xml:space="preserve"> about measurements are accurate.</w:t>
      </w:r>
    </w:p>
    <w:p w14:paraId="5B27B466" w14:textId="77777777" w:rsidR="00157862" w:rsidRPr="0007518F" w:rsidRDefault="00157862" w:rsidP="00157862">
      <w:r>
        <w:t xml:space="preserve">To help businesses comply with their legal obligations, </w:t>
      </w:r>
      <w:r w:rsidR="009D5579">
        <w:t xml:space="preserve">NMI’s trade measurement </w:t>
      </w:r>
      <w:r w:rsidR="00A62CFE">
        <w:t>inspectors</w:t>
      </w:r>
      <w:r w:rsidRPr="0007518F">
        <w:t xml:space="preserve">: </w:t>
      </w:r>
    </w:p>
    <w:p w14:paraId="1D408D1D" w14:textId="77777777" w:rsidR="00157862" w:rsidRPr="0007518F" w:rsidRDefault="00157862" w:rsidP="00157862">
      <w:pPr>
        <w:pStyle w:val="ListParagraph"/>
        <w:numPr>
          <w:ilvl w:val="0"/>
          <w:numId w:val="12"/>
        </w:numPr>
      </w:pPr>
      <w:r>
        <w:t>test measuring instruments, inspect packaged goods and review business practices</w:t>
      </w:r>
    </w:p>
    <w:p w14:paraId="50726621" w14:textId="77777777" w:rsidR="00157862" w:rsidRPr="0007518F" w:rsidRDefault="00157862" w:rsidP="00157862">
      <w:pPr>
        <w:pStyle w:val="ListParagraph"/>
        <w:numPr>
          <w:ilvl w:val="0"/>
          <w:numId w:val="12"/>
        </w:numPr>
      </w:pPr>
      <w:r>
        <w:t>provide advice on meeting compliance</w:t>
      </w:r>
      <w:r w:rsidRPr="0007518F">
        <w:t xml:space="preserve"> obligations </w:t>
      </w:r>
    </w:p>
    <w:p w14:paraId="4FC4DC99" w14:textId="77777777" w:rsidR="00157862" w:rsidRDefault="00157862" w:rsidP="00157862">
      <w:pPr>
        <w:pStyle w:val="ListParagraph"/>
        <w:numPr>
          <w:ilvl w:val="0"/>
          <w:numId w:val="12"/>
        </w:numPr>
      </w:pPr>
      <w:proofErr w:type="gramStart"/>
      <w:r w:rsidRPr="0007518F">
        <w:t>take</w:t>
      </w:r>
      <w:proofErr w:type="gramEnd"/>
      <w:r w:rsidRPr="0007518F">
        <w:t xml:space="preserve"> enforcement action when necessary.</w:t>
      </w:r>
    </w:p>
    <w:p w14:paraId="4E4FC6E7" w14:textId="77777777" w:rsidR="00225BE3" w:rsidRDefault="00225BE3" w:rsidP="00225BE3">
      <w:r>
        <w:t>Inspectors usually wear branded clothing and show an ID card to the business owner/operator at the commencement of an audit. However, inspectors can also make incognito ‘trial purchases’ to assess whether businesses are, for example, correctly operating scales and allowing for the weight of packaging during over-the-counter transactions.</w:t>
      </w:r>
    </w:p>
    <w:p w14:paraId="658E6648" w14:textId="77777777" w:rsidR="000D638B" w:rsidRDefault="000D638B" w:rsidP="000D638B">
      <w:r>
        <w:t>NMI takes a risk-based approach when targeting compliance activities and determining the appropriate and proportionate regulatory response where non-compliance is identified.</w:t>
      </w:r>
    </w:p>
    <w:p w14:paraId="22F6B43F" w14:textId="77777777" w:rsidR="000D638B" w:rsidRDefault="000D638B" w:rsidP="000D638B">
      <w:r>
        <w:t>We measure risk in terms of the harm and likelihood of regulatory non-compliance. Some of the factors used to determine harm include:</w:t>
      </w:r>
    </w:p>
    <w:p w14:paraId="6D6D916D" w14:textId="77777777" w:rsidR="000D638B" w:rsidRDefault="000D638B" w:rsidP="000D638B">
      <w:pPr>
        <w:pStyle w:val="ListParagraph"/>
        <w:numPr>
          <w:ilvl w:val="0"/>
          <w:numId w:val="30"/>
        </w:numPr>
      </w:pPr>
      <w:r>
        <w:t>impact on confidence in the measurement system</w:t>
      </w:r>
    </w:p>
    <w:p w14:paraId="1F70F9D0" w14:textId="77777777" w:rsidR="000D638B" w:rsidRDefault="000D638B" w:rsidP="000D638B">
      <w:pPr>
        <w:pStyle w:val="ListParagraph"/>
        <w:numPr>
          <w:ilvl w:val="0"/>
          <w:numId w:val="30"/>
        </w:numPr>
      </w:pPr>
      <w:r>
        <w:t>extent of financial detriment to consumers or industry</w:t>
      </w:r>
    </w:p>
    <w:p w14:paraId="4C2C53BD" w14:textId="77777777" w:rsidR="000D638B" w:rsidRDefault="000D638B" w:rsidP="000D638B">
      <w:pPr>
        <w:pStyle w:val="ListParagraph"/>
        <w:numPr>
          <w:ilvl w:val="0"/>
          <w:numId w:val="30"/>
        </w:numPr>
      </w:pPr>
      <w:r>
        <w:t>impact on maintaining a level playing field for business competition</w:t>
      </w:r>
    </w:p>
    <w:p w14:paraId="5B9555D2" w14:textId="77777777" w:rsidR="000D638B" w:rsidRDefault="000D638B" w:rsidP="000D638B">
      <w:pPr>
        <w:pStyle w:val="ListParagraph"/>
        <w:numPr>
          <w:ilvl w:val="0"/>
          <w:numId w:val="30"/>
        </w:numPr>
      </w:pPr>
      <w:proofErr w:type="gramStart"/>
      <w:r>
        <w:t>ability</w:t>
      </w:r>
      <w:proofErr w:type="gramEnd"/>
      <w:r>
        <w:t xml:space="preserve"> of consumers to make informed purchasing decisions.</w:t>
      </w:r>
    </w:p>
    <w:p w14:paraId="0B0A432B" w14:textId="77777777" w:rsidR="000D638B" w:rsidRDefault="000D638B" w:rsidP="00225BE3"/>
    <w:p w14:paraId="23BF6EFD" w14:textId="77777777" w:rsidR="00A3151B" w:rsidRDefault="00A3151B">
      <w:pPr>
        <w:spacing w:after="200"/>
        <w:rPr>
          <w:rFonts w:asciiTheme="majorHAnsi" w:eastAsiaTheme="majorEastAsia" w:hAnsiTheme="majorHAnsi" w:cstheme="majorBidi"/>
          <w:b/>
          <w:bCs/>
          <w:color w:val="7C1222" w:themeColor="accent1" w:themeShade="BF"/>
          <w:sz w:val="28"/>
          <w:szCs w:val="28"/>
        </w:rPr>
      </w:pPr>
      <w:r>
        <w:br w:type="page"/>
      </w:r>
    </w:p>
    <w:p w14:paraId="02119364" w14:textId="77777777" w:rsidR="002F79D7" w:rsidRDefault="002F79D7" w:rsidP="002F0E5F">
      <w:pPr>
        <w:pStyle w:val="Heading1"/>
      </w:pPr>
      <w:bookmarkStart w:id="3" w:name="_Toc32933790"/>
      <w:r>
        <w:lastRenderedPageBreak/>
        <w:t>Concentrated National Audits</w:t>
      </w:r>
      <w:bookmarkEnd w:id="3"/>
    </w:p>
    <w:p w14:paraId="77500EA2" w14:textId="7D9D43CA" w:rsidR="00FA2015" w:rsidRDefault="00FA2015" w:rsidP="00FA2015">
      <w:r>
        <w:t>2018</w:t>
      </w:r>
      <w:r w:rsidR="008458C3" w:rsidRPr="008458C3">
        <w:t>–</w:t>
      </w:r>
      <w:r>
        <w:t>19</w:t>
      </w:r>
      <w:r w:rsidR="002F0E5F">
        <w:t xml:space="preserve"> saw the first introduction of concentrated national audits as part of NMI’s compliance and enforcement strategy. Under this program methodology</w:t>
      </w:r>
      <w:r>
        <w:t>, all trade measurement inspect</w:t>
      </w:r>
      <w:r w:rsidR="002F0E5F">
        <w:t xml:space="preserve">ion activity is </w:t>
      </w:r>
      <w:r>
        <w:t xml:space="preserve">focused on a single industry sector over a </w:t>
      </w:r>
      <w:r w:rsidR="002F0E5F">
        <w:t>specific time period</w:t>
      </w:r>
      <w:r>
        <w:t>.</w:t>
      </w:r>
    </w:p>
    <w:p w14:paraId="554E5C9B" w14:textId="77777777" w:rsidR="00FA2015" w:rsidRDefault="00FA2015" w:rsidP="00FA2015">
      <w:r>
        <w:t xml:space="preserve">Two major factors determining which traders are targeted in these national audits </w:t>
      </w:r>
      <w:r w:rsidR="002F0E5F">
        <w:t>are</w:t>
      </w:r>
      <w:r>
        <w:t>:</w:t>
      </w:r>
    </w:p>
    <w:p w14:paraId="3A438B8A" w14:textId="77777777" w:rsidR="00FA2015" w:rsidRDefault="00FA2015" w:rsidP="002F0E5F">
      <w:pPr>
        <w:pStyle w:val="ListParagraph"/>
        <w:numPr>
          <w:ilvl w:val="0"/>
          <w:numId w:val="31"/>
        </w:numPr>
      </w:pPr>
      <w:r>
        <w:t>previously identified non-compliance</w:t>
      </w:r>
    </w:p>
    <w:p w14:paraId="4C4CEFD2" w14:textId="77777777" w:rsidR="00FA2015" w:rsidRDefault="00FA2015" w:rsidP="002F0E5F">
      <w:pPr>
        <w:pStyle w:val="ListParagraph"/>
        <w:numPr>
          <w:ilvl w:val="0"/>
          <w:numId w:val="31"/>
        </w:numPr>
      </w:pPr>
      <w:proofErr w:type="gramStart"/>
      <w:r>
        <w:t>relative</w:t>
      </w:r>
      <w:proofErr w:type="gramEnd"/>
      <w:r>
        <w:t xml:space="preserve"> market shares of industry participants</w:t>
      </w:r>
      <w:r w:rsidR="002F0E5F">
        <w:t>.</w:t>
      </w:r>
    </w:p>
    <w:p w14:paraId="3E991817" w14:textId="153EA20F" w:rsidR="002F0E5F" w:rsidRDefault="002F0E5F" w:rsidP="00FA2015">
      <w:r>
        <w:t>Two</w:t>
      </w:r>
      <w:r w:rsidR="00FA2015">
        <w:t xml:space="preserve"> concentrated national audit programs w</w:t>
      </w:r>
      <w:r>
        <w:t>ere undertaken</w:t>
      </w:r>
      <w:r w:rsidR="00FA2015">
        <w:t xml:space="preserve"> in 201</w:t>
      </w:r>
      <w:r>
        <w:t>8</w:t>
      </w:r>
      <w:r w:rsidR="008458C3" w:rsidRPr="008458C3">
        <w:t>–</w:t>
      </w:r>
      <w:r>
        <w:t>19:</w:t>
      </w:r>
    </w:p>
    <w:p w14:paraId="123E0B2A" w14:textId="77777777" w:rsidR="002F0E5F" w:rsidRDefault="002F0E5F" w:rsidP="002F0E5F">
      <w:pPr>
        <w:pStyle w:val="ListParagraph"/>
        <w:numPr>
          <w:ilvl w:val="0"/>
          <w:numId w:val="32"/>
        </w:numPr>
      </w:pPr>
      <w:r>
        <w:t>major supermarkets</w:t>
      </w:r>
    </w:p>
    <w:p w14:paraId="713F17CE" w14:textId="77777777" w:rsidR="002F79D7" w:rsidRDefault="002F0E5F" w:rsidP="002F0E5F">
      <w:pPr>
        <w:pStyle w:val="ListParagraph"/>
        <w:numPr>
          <w:ilvl w:val="0"/>
          <w:numId w:val="32"/>
        </w:numPr>
      </w:pPr>
      <w:proofErr w:type="gramStart"/>
      <w:r>
        <w:t>retail</w:t>
      </w:r>
      <w:proofErr w:type="gramEnd"/>
      <w:r>
        <w:t xml:space="preserve"> fuel</w:t>
      </w:r>
      <w:r w:rsidR="00FA2015">
        <w:t>.</w:t>
      </w:r>
    </w:p>
    <w:p w14:paraId="1C8139F7" w14:textId="1EDBCEBA" w:rsidR="00DB28FE" w:rsidRDefault="00DB28FE" w:rsidP="00DB28FE">
      <w:r>
        <w:t xml:space="preserve">NB: The enforcement actions </w:t>
      </w:r>
      <w:r w:rsidR="003E1610">
        <w:t xml:space="preserve">resulting from the major supermarkets and retail fuel concentrated national audits </w:t>
      </w:r>
      <w:r>
        <w:t xml:space="preserve">were </w:t>
      </w:r>
      <w:r w:rsidR="0036193A">
        <w:t xml:space="preserve">implemented </w:t>
      </w:r>
      <w:r>
        <w:t>in 2019</w:t>
      </w:r>
      <w:r w:rsidR="008458C3" w:rsidRPr="008458C3">
        <w:t>–</w:t>
      </w:r>
      <w:r>
        <w:t>20</w:t>
      </w:r>
      <w:r w:rsidR="00A2010D">
        <w:t>,</w:t>
      </w:r>
      <w:r w:rsidR="004C6F08">
        <w:t xml:space="preserve"> and</w:t>
      </w:r>
      <w:r w:rsidR="005411D9">
        <w:t xml:space="preserve"> are not included in the statistics provided elsewhere in this report</w:t>
      </w:r>
      <w:r w:rsidR="004C6F08">
        <w:t xml:space="preserve">. </w:t>
      </w:r>
    </w:p>
    <w:p w14:paraId="24998396" w14:textId="77777777" w:rsidR="002F0E5F" w:rsidRDefault="002F0E5F" w:rsidP="002F0E5F">
      <w:pPr>
        <w:pStyle w:val="Heading2"/>
      </w:pPr>
      <w:bookmarkStart w:id="4" w:name="_Toc32933791"/>
      <w:r>
        <w:t>Major Supermarkets</w:t>
      </w:r>
      <w:bookmarkEnd w:id="4"/>
    </w:p>
    <w:p w14:paraId="3059D694" w14:textId="17AAF070" w:rsidR="002F0E5F" w:rsidRDefault="006846F6" w:rsidP="00FA2015">
      <w:r w:rsidRPr="006846F6">
        <w:t>Over the two</w:t>
      </w:r>
      <w:r w:rsidR="00A2010D">
        <w:t>-</w:t>
      </w:r>
      <w:r w:rsidRPr="006846F6">
        <w:t>week period from 12</w:t>
      </w:r>
      <w:r w:rsidR="008458C3" w:rsidRPr="008458C3">
        <w:t>–</w:t>
      </w:r>
      <w:r w:rsidRPr="006846F6">
        <w:t>23 November 2018, NMI audited the effectiveness of the quality management systems of Australia’s five major supermarket chains through inspections focusing on trading practices, pre-packed products and accuracy of measuring equipment.</w:t>
      </w:r>
    </w:p>
    <w:p w14:paraId="0189B161" w14:textId="18F892C5" w:rsidR="00093ED9" w:rsidRPr="00093ED9" w:rsidRDefault="00271DC2" w:rsidP="00093ED9">
      <w:r>
        <w:t>Over a thousand</w:t>
      </w:r>
      <w:r w:rsidRPr="00093ED9">
        <w:t xml:space="preserve"> </w:t>
      </w:r>
      <w:r w:rsidR="00093ED9" w:rsidRPr="00093ED9">
        <w:t xml:space="preserve">major supermarkets and grocery stores located in metropolitan and regional areas of Australia were </w:t>
      </w:r>
      <w:r w:rsidR="00093ED9">
        <w:t>audited for compliance with trade measurement laws</w:t>
      </w:r>
      <w:r w:rsidR="00093ED9" w:rsidRPr="00093ED9">
        <w:t>, including:</w:t>
      </w:r>
    </w:p>
    <w:p w14:paraId="1A667FE7" w14:textId="77777777" w:rsidR="00093ED9" w:rsidRPr="00093ED9" w:rsidRDefault="00093ED9" w:rsidP="00093ED9">
      <w:pPr>
        <w:numPr>
          <w:ilvl w:val="0"/>
          <w:numId w:val="33"/>
        </w:numPr>
        <w:ind w:left="714" w:hanging="357"/>
        <w:contextualSpacing/>
      </w:pPr>
      <w:r w:rsidRPr="00093ED9">
        <w:t>5180 measuring instruments tested, of which 1044 (20%) were non-compliant</w:t>
      </w:r>
    </w:p>
    <w:p w14:paraId="69457418" w14:textId="77777777" w:rsidR="00093ED9" w:rsidRPr="00093ED9" w:rsidRDefault="00093ED9" w:rsidP="00093ED9">
      <w:pPr>
        <w:numPr>
          <w:ilvl w:val="0"/>
          <w:numId w:val="33"/>
        </w:numPr>
        <w:ind w:left="714" w:hanging="357"/>
        <w:contextualSpacing/>
      </w:pPr>
      <w:r w:rsidRPr="00093ED9">
        <w:t>29,133 lines of pre-packed articles inspected, of which 430 (1.5%) were non-compliant</w:t>
      </w:r>
    </w:p>
    <w:p w14:paraId="2883A462" w14:textId="77777777" w:rsidR="00093ED9" w:rsidRPr="00093ED9" w:rsidRDefault="00093ED9" w:rsidP="00093ED9">
      <w:pPr>
        <w:numPr>
          <w:ilvl w:val="0"/>
          <w:numId w:val="33"/>
        </w:numPr>
        <w:ind w:left="714" w:hanging="357"/>
      </w:pPr>
      <w:r w:rsidRPr="00093ED9">
        <w:t>588 trial purchases undertaken, of which 66 (11.2%) failed.</w:t>
      </w:r>
    </w:p>
    <w:p w14:paraId="5D4615B9" w14:textId="77777777" w:rsidR="00093ED9" w:rsidRPr="00093ED9" w:rsidRDefault="00093ED9" w:rsidP="00093ED9">
      <w:r w:rsidRPr="00093ED9">
        <w:t>Of the 1062 business premises visited:</w:t>
      </w:r>
    </w:p>
    <w:p w14:paraId="64BC370B" w14:textId="77777777" w:rsidR="00093ED9" w:rsidRPr="00093ED9" w:rsidRDefault="00093ED9" w:rsidP="00093ED9">
      <w:pPr>
        <w:numPr>
          <w:ilvl w:val="0"/>
          <w:numId w:val="33"/>
        </w:numPr>
        <w:ind w:left="714" w:hanging="357"/>
        <w:contextualSpacing/>
      </w:pPr>
      <w:r w:rsidRPr="00093ED9">
        <w:t>595 (56%) were found to be non-compliant with one or more aspects of trade measurement legislation</w:t>
      </w:r>
    </w:p>
    <w:p w14:paraId="23987CDC" w14:textId="77777777" w:rsidR="00093ED9" w:rsidRPr="00093ED9" w:rsidRDefault="00093ED9" w:rsidP="00093ED9">
      <w:pPr>
        <w:numPr>
          <w:ilvl w:val="0"/>
          <w:numId w:val="33"/>
        </w:numPr>
        <w:ind w:left="714" w:hanging="357"/>
        <w:contextualSpacing/>
      </w:pPr>
      <w:r w:rsidRPr="00093ED9">
        <w:t>24 (2%) were non-compliant due to weighing equipment being inaccurate to the detriment of the customer</w:t>
      </w:r>
    </w:p>
    <w:p w14:paraId="2BFAD1EC" w14:textId="77777777" w:rsidR="00093ED9" w:rsidRPr="00093ED9" w:rsidRDefault="00093ED9" w:rsidP="00093ED9">
      <w:pPr>
        <w:numPr>
          <w:ilvl w:val="0"/>
          <w:numId w:val="33"/>
        </w:numPr>
        <w:ind w:left="714" w:hanging="357"/>
        <w:contextualSpacing/>
      </w:pPr>
      <w:r w:rsidRPr="00093ED9">
        <w:t>306 (29%) were non-compliant due to weighing equipment being inaccurate to the advantage of the customer</w:t>
      </w:r>
    </w:p>
    <w:p w14:paraId="505427F2" w14:textId="77777777" w:rsidR="00093ED9" w:rsidRPr="00093ED9" w:rsidRDefault="00093ED9" w:rsidP="00093ED9">
      <w:pPr>
        <w:numPr>
          <w:ilvl w:val="0"/>
          <w:numId w:val="33"/>
        </w:numPr>
        <w:ind w:left="714" w:hanging="357"/>
        <w:contextualSpacing/>
      </w:pPr>
      <w:r w:rsidRPr="00093ED9">
        <w:t xml:space="preserve">108 (10%) were using unverified measuring instruments </w:t>
      </w:r>
    </w:p>
    <w:p w14:paraId="478D4741" w14:textId="77777777" w:rsidR="00093ED9" w:rsidRPr="00093ED9" w:rsidRDefault="00093ED9" w:rsidP="00093ED9">
      <w:pPr>
        <w:numPr>
          <w:ilvl w:val="0"/>
          <w:numId w:val="33"/>
        </w:numPr>
        <w:ind w:left="714" w:hanging="357"/>
        <w:contextualSpacing/>
      </w:pPr>
      <w:r w:rsidRPr="00093ED9">
        <w:t>30 (3%) were non-compliant due to incorrect labelling or marking of pre-packed articles</w:t>
      </w:r>
    </w:p>
    <w:p w14:paraId="11F36860" w14:textId="77777777" w:rsidR="00093ED9" w:rsidRPr="00093ED9" w:rsidRDefault="00093ED9" w:rsidP="00093ED9">
      <w:pPr>
        <w:numPr>
          <w:ilvl w:val="0"/>
          <w:numId w:val="33"/>
        </w:numPr>
        <w:ind w:left="714" w:hanging="357"/>
      </w:pPr>
      <w:r w:rsidRPr="00093ED9">
        <w:t>199 (19%) were non-compliant due to short measure in pre-packed articles.</w:t>
      </w:r>
    </w:p>
    <w:p w14:paraId="41F7E399" w14:textId="7BFD5C55" w:rsidR="002F0E5F" w:rsidRDefault="009B6442" w:rsidP="00FA2015">
      <w:r w:rsidRPr="009B6442">
        <w:t>702 non-compliance notices were issued covering 775 breaches</w:t>
      </w:r>
      <w:r w:rsidR="00A2010D">
        <w:t>. S</w:t>
      </w:r>
      <w:r w:rsidRPr="009B6442">
        <w:t>ome stores were issued with more than one notice or a notice covering more than one breach.</w:t>
      </w:r>
    </w:p>
    <w:p w14:paraId="5DE32B50" w14:textId="77777777" w:rsidR="005411D9" w:rsidRDefault="005411D9" w:rsidP="00FA2015">
      <w:r>
        <w:t xml:space="preserve">In response to non-compliance detected during the audit, NMI has entered into agreements with </w:t>
      </w:r>
      <w:r w:rsidRPr="005411D9">
        <w:t xml:space="preserve">the </w:t>
      </w:r>
      <w:r>
        <w:t xml:space="preserve">major </w:t>
      </w:r>
      <w:r w:rsidRPr="005411D9">
        <w:t>supermarket chains that include improvements to staff training programs on measurement accuracy, improvements to weighing instrument checking, and regular reporting to NMI on progress</w:t>
      </w:r>
      <w:r>
        <w:t>.</w:t>
      </w:r>
    </w:p>
    <w:p w14:paraId="6F0187E2" w14:textId="77777777" w:rsidR="005411D9" w:rsidRDefault="002B52A5" w:rsidP="00FA2015">
      <w:r w:rsidRPr="002B52A5">
        <w:t>NMI will also be undertaking a follow-up campaign in 2020 to check that actions undertaken as a result of these agreements have been effective in reducing the level of non-compliance.</w:t>
      </w:r>
    </w:p>
    <w:p w14:paraId="28C6D18E" w14:textId="77777777" w:rsidR="002F0E5F" w:rsidRDefault="002F0E5F" w:rsidP="002F0E5F">
      <w:pPr>
        <w:pStyle w:val="Heading2"/>
      </w:pPr>
      <w:bookmarkStart w:id="5" w:name="_Toc32933792"/>
      <w:r>
        <w:t>Retail Fuel</w:t>
      </w:r>
      <w:bookmarkEnd w:id="5"/>
    </w:p>
    <w:p w14:paraId="6E61F027" w14:textId="7B0FE92B" w:rsidR="002F0E5F" w:rsidRDefault="009B6442" w:rsidP="00FA2015">
      <w:r w:rsidRPr="009B6442">
        <w:t xml:space="preserve">The </w:t>
      </w:r>
      <w:r w:rsidR="00F4213B">
        <w:t>2017</w:t>
      </w:r>
      <w:r w:rsidR="008458C3" w:rsidRPr="008458C3">
        <w:t>–</w:t>
      </w:r>
      <w:r w:rsidR="00F4213B">
        <w:t xml:space="preserve">18 trade measurement compliance report identified </w:t>
      </w:r>
      <w:r w:rsidR="00DF410E">
        <w:t>a</w:t>
      </w:r>
      <w:r w:rsidR="00271DC2">
        <w:t xml:space="preserve">n </w:t>
      </w:r>
      <w:r w:rsidR="00FF5F77">
        <w:t>upward</w:t>
      </w:r>
      <w:r w:rsidR="00DF410E">
        <w:t xml:space="preserve"> tr</w:t>
      </w:r>
      <w:r w:rsidR="00AE0F7F">
        <w:t xml:space="preserve">end </w:t>
      </w:r>
      <w:r w:rsidR="0036193A">
        <w:t>over</w:t>
      </w:r>
      <w:r w:rsidR="00AE0F7F">
        <w:t xml:space="preserve"> recent years</w:t>
      </w:r>
      <w:r w:rsidR="0036193A">
        <w:t xml:space="preserve"> </w:t>
      </w:r>
      <w:r w:rsidR="00F4213B">
        <w:t xml:space="preserve">in the </w:t>
      </w:r>
      <w:r w:rsidRPr="009B6442">
        <w:t xml:space="preserve">proportion of </w:t>
      </w:r>
      <w:r w:rsidR="00F4213B">
        <w:t xml:space="preserve">retail fuel </w:t>
      </w:r>
      <w:r w:rsidRPr="009B6442">
        <w:t>dispensers found to be to inaccurate to consumer disadvantage</w:t>
      </w:r>
      <w:r w:rsidR="00271DC2">
        <w:t xml:space="preserve"> by more than </w:t>
      </w:r>
      <w:r>
        <w:t xml:space="preserve">the </w:t>
      </w:r>
      <w:r w:rsidRPr="009B6442">
        <w:t xml:space="preserve">maximum permissible error (MPE) </w:t>
      </w:r>
      <w:r>
        <w:t>of</w:t>
      </w:r>
      <w:r w:rsidRPr="009B6442">
        <w:t xml:space="preserve"> 0.3%</w:t>
      </w:r>
      <w:r w:rsidR="00EA41C3">
        <w:t>. Th</w:t>
      </w:r>
      <w:r w:rsidR="0036193A">
        <w:t>at</w:t>
      </w:r>
      <w:r w:rsidR="00EA41C3">
        <w:t xml:space="preserve"> proportion</w:t>
      </w:r>
      <w:r>
        <w:t xml:space="preserve"> </w:t>
      </w:r>
      <w:r w:rsidRPr="009B6442">
        <w:t>doubled between 201</w:t>
      </w:r>
      <w:r>
        <w:t>5</w:t>
      </w:r>
      <w:r w:rsidR="008458C3" w:rsidRPr="008458C3">
        <w:t>–</w:t>
      </w:r>
      <w:r>
        <w:t>16</w:t>
      </w:r>
      <w:r w:rsidRPr="009B6442">
        <w:t xml:space="preserve"> and 2017</w:t>
      </w:r>
      <w:r w:rsidR="008458C3" w:rsidRPr="008458C3">
        <w:t>–</w:t>
      </w:r>
      <w:r w:rsidRPr="009B6442">
        <w:t>18, from 2.4 per cent to 4.8 per cent.</w:t>
      </w:r>
    </w:p>
    <w:p w14:paraId="3E46F185" w14:textId="2C7107EA" w:rsidR="002B52A5" w:rsidRDefault="00F80F50" w:rsidP="004C6F08">
      <w:r>
        <w:lastRenderedPageBreak/>
        <w:t>In response to this trend, a</w:t>
      </w:r>
      <w:r w:rsidR="009B6442" w:rsidRPr="009B6442">
        <w:t xml:space="preserve"> concentrated national audit o</w:t>
      </w:r>
      <w:r w:rsidR="00F4213B">
        <w:t>f retail</w:t>
      </w:r>
      <w:r w:rsidR="009B6442" w:rsidRPr="009B6442">
        <w:t xml:space="preserve"> fuel </w:t>
      </w:r>
      <w:r w:rsidR="00F4213B">
        <w:t xml:space="preserve">premises </w:t>
      </w:r>
      <w:r w:rsidR="004C6F08">
        <w:t xml:space="preserve">was undertaken over </w:t>
      </w:r>
      <w:r w:rsidR="00C609F2">
        <w:t xml:space="preserve">the week of </w:t>
      </w:r>
      <w:r w:rsidR="00F4213B">
        <w:t>1</w:t>
      </w:r>
      <w:r w:rsidR="008458C3" w:rsidRPr="008458C3">
        <w:t>–</w:t>
      </w:r>
      <w:r w:rsidR="00F4213B">
        <w:t>5</w:t>
      </w:r>
      <w:r w:rsidR="009B6442" w:rsidRPr="009B6442">
        <w:t xml:space="preserve"> April 2019</w:t>
      </w:r>
      <w:r w:rsidR="004C6F08">
        <w:t>.</w:t>
      </w:r>
      <w:r w:rsidR="009B6442" w:rsidRPr="009B6442">
        <w:t xml:space="preserve"> </w:t>
      </w:r>
    </w:p>
    <w:p w14:paraId="42AC3DC7" w14:textId="77777777" w:rsidR="009B6442" w:rsidRPr="009B6442" w:rsidRDefault="004C6F08" w:rsidP="004C6F08">
      <w:r>
        <w:t>As part of</w:t>
      </w:r>
      <w:r w:rsidR="00AE0F7F" w:rsidRPr="009B6442">
        <w:t xml:space="preserve"> </w:t>
      </w:r>
      <w:r>
        <w:t xml:space="preserve">the </w:t>
      </w:r>
      <w:r w:rsidR="00AE0F7F" w:rsidRPr="009B6442">
        <w:t>audit</w:t>
      </w:r>
      <w:r w:rsidR="00AE0F7F">
        <w:t xml:space="preserve">, </w:t>
      </w:r>
      <w:r w:rsidR="00F4213B">
        <w:t xml:space="preserve">NMI’s trade measurement inspectors visited </w:t>
      </w:r>
      <w:r w:rsidR="009B6442" w:rsidRPr="009B6442">
        <w:t xml:space="preserve">328 retail fuel sites </w:t>
      </w:r>
      <w:r w:rsidR="00F4213B">
        <w:t xml:space="preserve">and tested 1,340 dispensers. </w:t>
      </w:r>
      <w:r>
        <w:t xml:space="preserve">Confirming the trend identified in earlier years, </w:t>
      </w:r>
      <w:r w:rsidR="009B6442" w:rsidRPr="009B6442">
        <w:t xml:space="preserve">97 (7.2%) dispensers </w:t>
      </w:r>
      <w:r w:rsidR="00F4213B">
        <w:t xml:space="preserve">were found to be </w:t>
      </w:r>
      <w:r w:rsidR="009B6442" w:rsidRPr="009B6442">
        <w:t xml:space="preserve">inaccurate outside </w:t>
      </w:r>
      <w:r w:rsidR="00F4213B">
        <w:t xml:space="preserve">the </w:t>
      </w:r>
      <w:r w:rsidR="009B6442" w:rsidRPr="009B6442">
        <w:t>0.3% MPE, including</w:t>
      </w:r>
      <w:r w:rsidR="00F4213B">
        <w:t>:</w:t>
      </w:r>
    </w:p>
    <w:p w14:paraId="64CAD98D" w14:textId="77777777" w:rsidR="009B6442" w:rsidRPr="009B6442" w:rsidRDefault="009B6442" w:rsidP="00F4213B">
      <w:pPr>
        <w:pStyle w:val="ListParagraph"/>
        <w:numPr>
          <w:ilvl w:val="0"/>
          <w:numId w:val="34"/>
        </w:numPr>
      </w:pPr>
      <w:r w:rsidRPr="009B6442">
        <w:t>65 (4.9 %) dispensers outside MPE to consumer disadvantage</w:t>
      </w:r>
    </w:p>
    <w:p w14:paraId="5508E364" w14:textId="77777777" w:rsidR="002F0E5F" w:rsidRDefault="009B6442" w:rsidP="00F4213B">
      <w:pPr>
        <w:pStyle w:val="ListParagraph"/>
        <w:numPr>
          <w:ilvl w:val="0"/>
          <w:numId w:val="34"/>
        </w:numPr>
      </w:pPr>
      <w:r w:rsidRPr="009B6442">
        <w:t>32 (2.4 %) dispensers outside MPE to consumer advantage</w:t>
      </w:r>
      <w:r w:rsidR="00F4213B">
        <w:t>.</w:t>
      </w:r>
    </w:p>
    <w:p w14:paraId="4A42713A" w14:textId="702155CF" w:rsidR="0012511B" w:rsidRDefault="00C609F2">
      <w:r>
        <w:t>At the time of publishing this report, nine fuel retailers have been fined a total of $15,750 for non-compliance identified during the national audit program</w:t>
      </w:r>
      <w:r w:rsidR="00271DC2">
        <w:t xml:space="preserve">, and </w:t>
      </w:r>
      <w:r w:rsidR="0012511B">
        <w:t>a number of other enforcement actions are still under consideration</w:t>
      </w:r>
      <w:r w:rsidR="00271DC2">
        <w:t>.</w:t>
      </w:r>
    </w:p>
    <w:p w14:paraId="013FC1C2" w14:textId="77777777" w:rsidR="00446350" w:rsidRDefault="002F79D7" w:rsidP="003221EB">
      <w:pPr>
        <w:pStyle w:val="Heading1"/>
      </w:pPr>
      <w:bookmarkStart w:id="6" w:name="_Toc32933793"/>
      <w:r>
        <w:t xml:space="preserve">Summary of </w:t>
      </w:r>
      <w:r w:rsidR="003221EB">
        <w:t xml:space="preserve">Compliance </w:t>
      </w:r>
      <w:r>
        <w:t>A</w:t>
      </w:r>
      <w:r w:rsidR="003221EB">
        <w:t xml:space="preserve">ctivity and </w:t>
      </w:r>
      <w:r>
        <w:t>O</w:t>
      </w:r>
      <w:r w:rsidR="003221EB">
        <w:t>utcomes</w:t>
      </w:r>
      <w:bookmarkEnd w:id="6"/>
    </w:p>
    <w:p w14:paraId="05F8E188" w14:textId="77777777" w:rsidR="0068579B" w:rsidRDefault="0068579B" w:rsidP="002F0E5F">
      <w:pPr>
        <w:pStyle w:val="Heading2"/>
      </w:pPr>
      <w:bookmarkStart w:id="7" w:name="_Toc32933794"/>
      <w:r>
        <w:t>Trader Audits</w:t>
      </w:r>
      <w:bookmarkEnd w:id="7"/>
    </w:p>
    <w:p w14:paraId="37F0DEC6" w14:textId="07496810" w:rsidR="003221EB" w:rsidRPr="0007518F" w:rsidRDefault="003221EB" w:rsidP="003221EB">
      <w:r>
        <w:t>In 201</w:t>
      </w:r>
      <w:r w:rsidR="00021168">
        <w:t>8</w:t>
      </w:r>
      <w:r w:rsidR="008458C3" w:rsidRPr="008458C3">
        <w:t>–</w:t>
      </w:r>
      <w:r>
        <w:t>1</w:t>
      </w:r>
      <w:r w:rsidR="00021168">
        <w:t>9</w:t>
      </w:r>
      <w:r w:rsidRPr="0007518F">
        <w:t>, NMI’s trade measurement inspectors:</w:t>
      </w:r>
    </w:p>
    <w:p w14:paraId="2E9F1207" w14:textId="3DF56B39" w:rsidR="003221EB" w:rsidRPr="0007518F" w:rsidRDefault="003221EB" w:rsidP="00DB1020">
      <w:pPr>
        <w:pStyle w:val="ListParagraph"/>
        <w:numPr>
          <w:ilvl w:val="0"/>
          <w:numId w:val="13"/>
        </w:numPr>
      </w:pPr>
      <w:r>
        <w:t xml:space="preserve">audited </w:t>
      </w:r>
      <w:r w:rsidR="00345A88">
        <w:t xml:space="preserve">just </w:t>
      </w:r>
      <w:r w:rsidR="00021168">
        <w:t>over</w:t>
      </w:r>
      <w:r w:rsidR="00021168" w:rsidRPr="0007518F">
        <w:t xml:space="preserve"> </w:t>
      </w:r>
      <w:r w:rsidR="00021168">
        <w:t>7</w:t>
      </w:r>
      <w:r>
        <w:t>5</w:t>
      </w:r>
      <w:r w:rsidRPr="0007518F">
        <w:t xml:space="preserve">00 business premises </w:t>
      </w:r>
      <w:r w:rsidR="00DB1020">
        <w:t>(includes initial and follow-up audits)</w:t>
      </w:r>
      <w:r w:rsidR="00DB1020" w:rsidDel="00DB1020">
        <w:t xml:space="preserve"> </w:t>
      </w:r>
    </w:p>
    <w:p w14:paraId="278364B2" w14:textId="77777777" w:rsidR="003221EB" w:rsidRPr="0007518F" w:rsidRDefault="003221EB" w:rsidP="003221EB">
      <w:pPr>
        <w:pStyle w:val="ListParagraph"/>
        <w:numPr>
          <w:ilvl w:val="0"/>
          <w:numId w:val="13"/>
        </w:numPr>
      </w:pPr>
      <w:r>
        <w:t xml:space="preserve">tested </w:t>
      </w:r>
      <w:r w:rsidR="00021168">
        <w:t>almost</w:t>
      </w:r>
      <w:r>
        <w:t xml:space="preserve"> 1</w:t>
      </w:r>
      <w:r w:rsidR="00021168">
        <w:t>6</w:t>
      </w:r>
      <w:r w:rsidRPr="0007518F">
        <w:t>,000 measuring instruments</w:t>
      </w:r>
    </w:p>
    <w:p w14:paraId="76BAC572" w14:textId="77777777" w:rsidR="003221EB" w:rsidRPr="0007518F" w:rsidRDefault="003221EB" w:rsidP="003221EB">
      <w:pPr>
        <w:pStyle w:val="ListParagraph"/>
        <w:numPr>
          <w:ilvl w:val="0"/>
          <w:numId w:val="13"/>
        </w:numPr>
      </w:pPr>
      <w:r>
        <w:t xml:space="preserve">inspected </w:t>
      </w:r>
      <w:r w:rsidR="00F77132">
        <w:t>over</w:t>
      </w:r>
      <w:r w:rsidRPr="0007518F">
        <w:t xml:space="preserve"> </w:t>
      </w:r>
      <w:r w:rsidR="00021168">
        <w:t>600</w:t>
      </w:r>
      <w:r w:rsidR="00021168" w:rsidRPr="0007518F">
        <w:t xml:space="preserve"> </w:t>
      </w:r>
      <w:r w:rsidRPr="0007518F">
        <w:t>weighbridges</w:t>
      </w:r>
    </w:p>
    <w:p w14:paraId="76359CDF" w14:textId="77777777" w:rsidR="00C340E2" w:rsidRDefault="003221EB" w:rsidP="00C340E2">
      <w:pPr>
        <w:pStyle w:val="ListParagraph"/>
        <w:numPr>
          <w:ilvl w:val="0"/>
          <w:numId w:val="13"/>
        </w:numPr>
      </w:pPr>
      <w:proofErr w:type="gramStart"/>
      <w:r>
        <w:t>inspected</w:t>
      </w:r>
      <w:proofErr w:type="gramEnd"/>
      <w:r>
        <w:t xml:space="preserve"> over</w:t>
      </w:r>
      <w:r w:rsidR="00345A88">
        <w:t xml:space="preserve"> 7</w:t>
      </w:r>
      <w:r w:rsidR="00021168">
        <w:t>0</w:t>
      </w:r>
      <w:r w:rsidR="00345A88">
        <w:t>,</w:t>
      </w:r>
      <w:r w:rsidR="00021168">
        <w:t>0</w:t>
      </w:r>
      <w:r w:rsidR="00345A88">
        <w:t>0</w:t>
      </w:r>
      <w:r>
        <w:t>0</w:t>
      </w:r>
      <w:r w:rsidRPr="0007518F">
        <w:t xml:space="preserve"> lines of </w:t>
      </w:r>
      <w:r>
        <w:t xml:space="preserve">packaged goods (over </w:t>
      </w:r>
      <w:r w:rsidR="00021168">
        <w:t>250</w:t>
      </w:r>
      <w:r>
        <w:t>,</w:t>
      </w:r>
      <w:r w:rsidRPr="0007518F">
        <w:t xml:space="preserve">000 individual packages) for correct measure and </w:t>
      </w:r>
      <w:r>
        <w:t xml:space="preserve">measurement </w:t>
      </w:r>
      <w:r w:rsidRPr="0007518F">
        <w:t>labelling</w:t>
      </w:r>
      <w:r w:rsidR="004A1CC0">
        <w:t>.</w:t>
      </w:r>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tader audit details in previous years."/>
      </w:tblPr>
      <w:tblGrid>
        <w:gridCol w:w="1134"/>
        <w:gridCol w:w="1554"/>
        <w:gridCol w:w="1390"/>
        <w:gridCol w:w="1587"/>
        <w:gridCol w:w="1971"/>
        <w:gridCol w:w="1390"/>
      </w:tblGrid>
      <w:tr w:rsidR="00C340E2" w14:paraId="51CAFBAC" w14:textId="77777777" w:rsidTr="00C340E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134" w:type="dxa"/>
          </w:tcPr>
          <w:p w14:paraId="01D01DF6" w14:textId="77777777" w:rsidR="00C340E2" w:rsidRDefault="00C340E2" w:rsidP="00C340E2">
            <w:pPr>
              <w:spacing w:after="0"/>
            </w:pPr>
            <w:r>
              <w:t>Year</w:t>
            </w:r>
          </w:p>
        </w:tc>
        <w:tc>
          <w:tcPr>
            <w:tcW w:w="1554" w:type="dxa"/>
          </w:tcPr>
          <w:p w14:paraId="281A1F17" w14:textId="77777777" w:rsidR="00C340E2" w:rsidRDefault="00C340E2" w:rsidP="00C340E2">
            <w:pPr>
              <w:spacing w:after="0"/>
              <w:jc w:val="center"/>
              <w:cnfStyle w:val="100000000000" w:firstRow="1" w:lastRow="0" w:firstColumn="0" w:lastColumn="0" w:oddVBand="0" w:evenVBand="0" w:oddHBand="0" w:evenHBand="0" w:firstRowFirstColumn="0" w:firstRowLastColumn="0" w:lastRowFirstColumn="0" w:lastRowLastColumn="0"/>
            </w:pPr>
            <w:r>
              <w:t>Trader audits</w:t>
            </w:r>
          </w:p>
        </w:tc>
        <w:tc>
          <w:tcPr>
            <w:tcW w:w="1390" w:type="dxa"/>
          </w:tcPr>
          <w:p w14:paraId="0D277C18" w14:textId="77777777" w:rsidR="00C340E2" w:rsidRDefault="00C340E2" w:rsidP="00C340E2">
            <w:pPr>
              <w:spacing w:after="0"/>
              <w:jc w:val="center"/>
              <w:cnfStyle w:val="100000000000" w:firstRow="1" w:lastRow="0" w:firstColumn="0" w:lastColumn="0" w:oddVBand="0" w:evenVBand="0" w:oddHBand="0" w:evenHBand="0" w:firstRowFirstColumn="0" w:firstRowLastColumn="0" w:lastRowFirstColumn="0" w:lastRowLastColumn="0"/>
            </w:pPr>
            <w:r>
              <w:t>Measuring instruments</w:t>
            </w:r>
          </w:p>
        </w:tc>
        <w:tc>
          <w:tcPr>
            <w:tcW w:w="1587" w:type="dxa"/>
          </w:tcPr>
          <w:p w14:paraId="3ED05AD1" w14:textId="77777777" w:rsidR="00C340E2" w:rsidRDefault="00C340E2" w:rsidP="00C340E2">
            <w:pPr>
              <w:spacing w:after="0"/>
              <w:jc w:val="center"/>
              <w:cnfStyle w:val="100000000000" w:firstRow="1" w:lastRow="0" w:firstColumn="0" w:lastColumn="0" w:oddVBand="0" w:evenVBand="0" w:oddHBand="0" w:evenHBand="0" w:firstRowFirstColumn="0" w:firstRowLastColumn="0" w:lastRowFirstColumn="0" w:lastRowLastColumn="0"/>
            </w:pPr>
            <w:r>
              <w:t>Weighbridges</w:t>
            </w:r>
          </w:p>
        </w:tc>
        <w:tc>
          <w:tcPr>
            <w:tcW w:w="1971" w:type="dxa"/>
          </w:tcPr>
          <w:p w14:paraId="5A38E34F" w14:textId="77777777" w:rsidR="00C340E2" w:rsidRDefault="00C340E2" w:rsidP="00C340E2">
            <w:pPr>
              <w:spacing w:after="0"/>
              <w:jc w:val="center"/>
              <w:cnfStyle w:val="100000000000" w:firstRow="1" w:lastRow="0" w:firstColumn="0" w:lastColumn="0" w:oddVBand="0" w:evenVBand="0" w:oddHBand="0" w:evenHBand="0" w:firstRowFirstColumn="0" w:firstRowLastColumn="0" w:lastRowFirstColumn="0" w:lastRowLastColumn="0"/>
            </w:pPr>
            <w:r>
              <w:t xml:space="preserve">Packaged lines </w:t>
            </w:r>
          </w:p>
        </w:tc>
        <w:tc>
          <w:tcPr>
            <w:tcW w:w="1390" w:type="dxa"/>
          </w:tcPr>
          <w:p w14:paraId="5375304E" w14:textId="77777777" w:rsidR="00C340E2" w:rsidRDefault="00C340E2" w:rsidP="00C340E2">
            <w:pPr>
              <w:spacing w:after="0"/>
              <w:jc w:val="center"/>
              <w:cnfStyle w:val="100000000000" w:firstRow="1" w:lastRow="0" w:firstColumn="0" w:lastColumn="0" w:oddVBand="0" w:evenVBand="0" w:oddHBand="0" w:evenHBand="0" w:firstRowFirstColumn="0" w:firstRowLastColumn="0" w:lastRowFirstColumn="0" w:lastRowLastColumn="0"/>
            </w:pPr>
            <w:r>
              <w:t>Individual packages</w:t>
            </w:r>
          </w:p>
        </w:tc>
      </w:tr>
      <w:tr w:rsidR="00F61B71" w:rsidRPr="00F61B71" w14:paraId="6224EFED" w14:textId="77777777" w:rsidTr="00C340E2">
        <w:tc>
          <w:tcPr>
            <w:cnfStyle w:val="001000000000" w:firstRow="0" w:lastRow="0" w:firstColumn="1" w:lastColumn="0" w:oddVBand="0" w:evenVBand="0" w:oddHBand="0" w:evenHBand="0" w:firstRowFirstColumn="0" w:firstRowLastColumn="0" w:lastRowFirstColumn="0" w:lastRowLastColumn="0"/>
            <w:tcW w:w="1134" w:type="dxa"/>
          </w:tcPr>
          <w:p w14:paraId="7325DF6E" w14:textId="2629EF4D" w:rsidR="00F61B71" w:rsidRPr="00F61B71" w:rsidRDefault="00F61B71" w:rsidP="00244AF1">
            <w:pPr>
              <w:spacing w:after="0"/>
              <w:rPr>
                <w:b w:val="0"/>
              </w:rPr>
            </w:pPr>
            <w:r w:rsidRPr="00F61B71">
              <w:rPr>
                <w:b w:val="0"/>
              </w:rPr>
              <w:t>2015</w:t>
            </w:r>
            <w:r w:rsidR="008458C3" w:rsidRPr="008458C3">
              <w:rPr>
                <w:b w:val="0"/>
              </w:rPr>
              <w:t>–</w:t>
            </w:r>
            <w:r w:rsidRPr="00F61B71">
              <w:rPr>
                <w:b w:val="0"/>
              </w:rPr>
              <w:t>16</w:t>
            </w:r>
          </w:p>
        </w:tc>
        <w:tc>
          <w:tcPr>
            <w:tcW w:w="1554" w:type="dxa"/>
          </w:tcPr>
          <w:p w14:paraId="0EF97906" w14:textId="77777777" w:rsidR="00F61B71" w:rsidRPr="00F61B71" w:rsidRDefault="00F61B71" w:rsidP="00244AF1">
            <w:pPr>
              <w:spacing w:after="0"/>
              <w:jc w:val="center"/>
              <w:cnfStyle w:val="000000000000" w:firstRow="0" w:lastRow="0" w:firstColumn="0" w:lastColumn="0" w:oddVBand="0" w:evenVBand="0" w:oddHBand="0" w:evenHBand="0" w:firstRowFirstColumn="0" w:firstRowLastColumn="0" w:lastRowFirstColumn="0" w:lastRowLastColumn="0"/>
            </w:pPr>
            <w:r>
              <w:t>10,123</w:t>
            </w:r>
          </w:p>
        </w:tc>
        <w:tc>
          <w:tcPr>
            <w:tcW w:w="1390" w:type="dxa"/>
          </w:tcPr>
          <w:p w14:paraId="13A48A9D" w14:textId="77777777" w:rsidR="00F61B71" w:rsidRPr="00F61B71" w:rsidRDefault="00F61B71" w:rsidP="00244AF1">
            <w:pPr>
              <w:spacing w:after="0"/>
              <w:jc w:val="center"/>
              <w:cnfStyle w:val="000000000000" w:firstRow="0" w:lastRow="0" w:firstColumn="0" w:lastColumn="0" w:oddVBand="0" w:evenVBand="0" w:oddHBand="0" w:evenHBand="0" w:firstRowFirstColumn="0" w:firstRowLastColumn="0" w:lastRowFirstColumn="0" w:lastRowLastColumn="0"/>
            </w:pPr>
            <w:r>
              <w:t>15,240</w:t>
            </w:r>
          </w:p>
        </w:tc>
        <w:tc>
          <w:tcPr>
            <w:tcW w:w="1587" w:type="dxa"/>
          </w:tcPr>
          <w:p w14:paraId="2A665BB0" w14:textId="77777777" w:rsidR="00F61B71" w:rsidRPr="00F61B71" w:rsidRDefault="00F61B71" w:rsidP="00244AF1">
            <w:pPr>
              <w:spacing w:after="0"/>
              <w:jc w:val="center"/>
              <w:cnfStyle w:val="000000000000" w:firstRow="0" w:lastRow="0" w:firstColumn="0" w:lastColumn="0" w:oddVBand="0" w:evenVBand="0" w:oddHBand="0" w:evenHBand="0" w:firstRowFirstColumn="0" w:firstRowLastColumn="0" w:lastRowFirstColumn="0" w:lastRowLastColumn="0"/>
            </w:pPr>
            <w:r>
              <w:t>960</w:t>
            </w:r>
          </w:p>
        </w:tc>
        <w:tc>
          <w:tcPr>
            <w:tcW w:w="1971" w:type="dxa"/>
          </w:tcPr>
          <w:p w14:paraId="33D840AF" w14:textId="77777777" w:rsidR="00F61B71" w:rsidRPr="00F61B71" w:rsidRDefault="00F61B71" w:rsidP="00244AF1">
            <w:pPr>
              <w:spacing w:after="0"/>
              <w:jc w:val="center"/>
              <w:cnfStyle w:val="000000000000" w:firstRow="0" w:lastRow="0" w:firstColumn="0" w:lastColumn="0" w:oddVBand="0" w:evenVBand="0" w:oddHBand="0" w:evenHBand="0" w:firstRowFirstColumn="0" w:firstRowLastColumn="0" w:lastRowFirstColumn="0" w:lastRowLastColumn="0"/>
            </w:pPr>
            <w:r>
              <w:t>80,163</w:t>
            </w:r>
          </w:p>
        </w:tc>
        <w:tc>
          <w:tcPr>
            <w:tcW w:w="1390" w:type="dxa"/>
          </w:tcPr>
          <w:p w14:paraId="0A3659F0" w14:textId="77777777" w:rsidR="00F61B71" w:rsidRPr="00F61B71" w:rsidRDefault="00F61B71" w:rsidP="00244AF1">
            <w:pPr>
              <w:spacing w:after="0"/>
              <w:jc w:val="center"/>
              <w:cnfStyle w:val="000000000000" w:firstRow="0" w:lastRow="0" w:firstColumn="0" w:lastColumn="0" w:oddVBand="0" w:evenVBand="0" w:oddHBand="0" w:evenHBand="0" w:firstRowFirstColumn="0" w:firstRowLastColumn="0" w:lastRowFirstColumn="0" w:lastRowLastColumn="0"/>
            </w:pPr>
            <w:r>
              <w:t>319,616</w:t>
            </w:r>
          </w:p>
        </w:tc>
      </w:tr>
      <w:tr w:rsidR="00244AF1" w14:paraId="4E02C293" w14:textId="77777777" w:rsidTr="00C340E2">
        <w:tc>
          <w:tcPr>
            <w:cnfStyle w:val="001000000000" w:firstRow="0" w:lastRow="0" w:firstColumn="1" w:lastColumn="0" w:oddVBand="0" w:evenVBand="0" w:oddHBand="0" w:evenHBand="0" w:firstRowFirstColumn="0" w:firstRowLastColumn="0" w:lastRowFirstColumn="0" w:lastRowLastColumn="0"/>
            <w:tcW w:w="1134" w:type="dxa"/>
          </w:tcPr>
          <w:p w14:paraId="3E154997" w14:textId="31CE2D5F" w:rsidR="00244AF1" w:rsidRPr="00F80EF7" w:rsidRDefault="00244AF1" w:rsidP="00244AF1">
            <w:pPr>
              <w:spacing w:after="0"/>
              <w:rPr>
                <w:b w:val="0"/>
              </w:rPr>
            </w:pPr>
            <w:r w:rsidRPr="00F80EF7">
              <w:rPr>
                <w:b w:val="0"/>
              </w:rPr>
              <w:t>2016</w:t>
            </w:r>
            <w:r w:rsidR="008458C3" w:rsidRPr="008458C3">
              <w:rPr>
                <w:b w:val="0"/>
              </w:rPr>
              <w:t>–</w:t>
            </w:r>
            <w:r w:rsidRPr="00F80EF7">
              <w:rPr>
                <w:b w:val="0"/>
              </w:rPr>
              <w:t>17</w:t>
            </w:r>
          </w:p>
        </w:tc>
        <w:tc>
          <w:tcPr>
            <w:tcW w:w="1554" w:type="dxa"/>
          </w:tcPr>
          <w:p w14:paraId="51B4EE4F" w14:textId="77777777" w:rsidR="00244AF1" w:rsidRDefault="00244AF1" w:rsidP="001965BB">
            <w:pPr>
              <w:spacing w:after="0"/>
              <w:jc w:val="center"/>
              <w:cnfStyle w:val="000000000000" w:firstRow="0" w:lastRow="0" w:firstColumn="0" w:lastColumn="0" w:oddVBand="0" w:evenVBand="0" w:oddHBand="0" w:evenHBand="0" w:firstRowFirstColumn="0" w:firstRowLastColumn="0" w:lastRowFirstColumn="0" w:lastRowLastColumn="0"/>
            </w:pPr>
            <w:r>
              <w:t>10,</w:t>
            </w:r>
            <w:r w:rsidR="001965BB">
              <w:t>218</w:t>
            </w:r>
          </w:p>
        </w:tc>
        <w:tc>
          <w:tcPr>
            <w:tcW w:w="1390" w:type="dxa"/>
          </w:tcPr>
          <w:p w14:paraId="25273F57" w14:textId="77777777" w:rsidR="00244AF1" w:rsidRDefault="00244AF1" w:rsidP="001965BB">
            <w:pPr>
              <w:spacing w:after="0"/>
              <w:jc w:val="center"/>
              <w:cnfStyle w:val="000000000000" w:firstRow="0" w:lastRow="0" w:firstColumn="0" w:lastColumn="0" w:oddVBand="0" w:evenVBand="0" w:oddHBand="0" w:evenHBand="0" w:firstRowFirstColumn="0" w:firstRowLastColumn="0" w:lastRowFirstColumn="0" w:lastRowLastColumn="0"/>
            </w:pPr>
            <w:r>
              <w:t>17,</w:t>
            </w:r>
            <w:r w:rsidR="001965BB">
              <w:t>037</w:t>
            </w:r>
          </w:p>
        </w:tc>
        <w:tc>
          <w:tcPr>
            <w:tcW w:w="1587" w:type="dxa"/>
          </w:tcPr>
          <w:p w14:paraId="6DB5C2FF" w14:textId="77777777" w:rsidR="00244AF1" w:rsidRDefault="001965BB" w:rsidP="001965BB">
            <w:pPr>
              <w:spacing w:after="0"/>
              <w:jc w:val="center"/>
              <w:cnfStyle w:val="000000000000" w:firstRow="0" w:lastRow="0" w:firstColumn="0" w:lastColumn="0" w:oddVBand="0" w:evenVBand="0" w:oddHBand="0" w:evenHBand="0" w:firstRowFirstColumn="0" w:firstRowLastColumn="0" w:lastRowFirstColumn="0" w:lastRowLastColumn="0"/>
            </w:pPr>
            <w:r>
              <w:t>1154</w:t>
            </w:r>
          </w:p>
        </w:tc>
        <w:tc>
          <w:tcPr>
            <w:tcW w:w="1971" w:type="dxa"/>
          </w:tcPr>
          <w:p w14:paraId="71069B08" w14:textId="77777777" w:rsidR="00244AF1" w:rsidRDefault="00244AF1" w:rsidP="001965BB">
            <w:pPr>
              <w:spacing w:after="0"/>
              <w:jc w:val="center"/>
              <w:cnfStyle w:val="000000000000" w:firstRow="0" w:lastRow="0" w:firstColumn="0" w:lastColumn="0" w:oddVBand="0" w:evenVBand="0" w:oddHBand="0" w:evenHBand="0" w:firstRowFirstColumn="0" w:firstRowLastColumn="0" w:lastRowFirstColumn="0" w:lastRowLastColumn="0"/>
            </w:pPr>
            <w:r>
              <w:t>87,</w:t>
            </w:r>
            <w:r w:rsidR="001965BB">
              <w:t>812</w:t>
            </w:r>
          </w:p>
        </w:tc>
        <w:tc>
          <w:tcPr>
            <w:tcW w:w="1390" w:type="dxa"/>
          </w:tcPr>
          <w:p w14:paraId="25767F6A" w14:textId="77777777" w:rsidR="00244AF1" w:rsidRDefault="00244AF1" w:rsidP="001965BB">
            <w:pPr>
              <w:spacing w:after="0"/>
              <w:jc w:val="center"/>
              <w:cnfStyle w:val="000000000000" w:firstRow="0" w:lastRow="0" w:firstColumn="0" w:lastColumn="0" w:oddVBand="0" w:evenVBand="0" w:oddHBand="0" w:evenHBand="0" w:firstRowFirstColumn="0" w:firstRowLastColumn="0" w:lastRowFirstColumn="0" w:lastRowLastColumn="0"/>
            </w:pPr>
            <w:r>
              <w:t>355,</w:t>
            </w:r>
            <w:r w:rsidR="001965BB">
              <w:t>294</w:t>
            </w:r>
          </w:p>
        </w:tc>
      </w:tr>
      <w:tr w:rsidR="00244AF1" w14:paraId="791B53F9" w14:textId="77777777" w:rsidTr="00C340E2">
        <w:tc>
          <w:tcPr>
            <w:cnfStyle w:val="001000000000" w:firstRow="0" w:lastRow="0" w:firstColumn="1" w:lastColumn="0" w:oddVBand="0" w:evenVBand="0" w:oddHBand="0" w:evenHBand="0" w:firstRowFirstColumn="0" w:firstRowLastColumn="0" w:lastRowFirstColumn="0" w:lastRowLastColumn="0"/>
            <w:tcW w:w="1134" w:type="dxa"/>
          </w:tcPr>
          <w:p w14:paraId="5AEF5CAA" w14:textId="38FED7C8" w:rsidR="00244AF1" w:rsidRPr="00F80EF7" w:rsidRDefault="00244AF1" w:rsidP="00244AF1">
            <w:pPr>
              <w:spacing w:after="0"/>
              <w:rPr>
                <w:b w:val="0"/>
              </w:rPr>
            </w:pPr>
            <w:r w:rsidRPr="00F80EF7">
              <w:rPr>
                <w:b w:val="0"/>
              </w:rPr>
              <w:t>2017</w:t>
            </w:r>
            <w:r w:rsidR="00DA6D27" w:rsidRPr="008458C3">
              <w:rPr>
                <w:b w:val="0"/>
              </w:rPr>
              <w:t>–</w:t>
            </w:r>
            <w:r w:rsidRPr="00F80EF7">
              <w:rPr>
                <w:b w:val="0"/>
              </w:rPr>
              <w:t>18</w:t>
            </w:r>
          </w:p>
        </w:tc>
        <w:tc>
          <w:tcPr>
            <w:tcW w:w="1554" w:type="dxa"/>
          </w:tcPr>
          <w:p w14:paraId="2BC2C8BD" w14:textId="77777777" w:rsidR="00244AF1" w:rsidRDefault="001965BB" w:rsidP="001965BB">
            <w:pPr>
              <w:spacing w:after="0"/>
              <w:jc w:val="center"/>
              <w:cnfStyle w:val="000000000000" w:firstRow="0" w:lastRow="0" w:firstColumn="0" w:lastColumn="0" w:oddVBand="0" w:evenVBand="0" w:oddHBand="0" w:evenHBand="0" w:firstRowFirstColumn="0" w:firstRowLastColumn="0" w:lastRowFirstColumn="0" w:lastRowLastColumn="0"/>
            </w:pPr>
            <w:r>
              <w:t>9633</w:t>
            </w:r>
          </w:p>
        </w:tc>
        <w:tc>
          <w:tcPr>
            <w:tcW w:w="1390" w:type="dxa"/>
          </w:tcPr>
          <w:p w14:paraId="6A9BD279" w14:textId="77777777" w:rsidR="00244AF1" w:rsidRDefault="00244AF1" w:rsidP="001965BB">
            <w:pPr>
              <w:spacing w:after="0"/>
              <w:jc w:val="center"/>
              <w:cnfStyle w:val="000000000000" w:firstRow="0" w:lastRow="0" w:firstColumn="0" w:lastColumn="0" w:oddVBand="0" w:evenVBand="0" w:oddHBand="0" w:evenHBand="0" w:firstRowFirstColumn="0" w:firstRowLastColumn="0" w:lastRowFirstColumn="0" w:lastRowLastColumn="0"/>
            </w:pPr>
            <w:r>
              <w:t>14,</w:t>
            </w:r>
            <w:r w:rsidR="001965BB">
              <w:t>918</w:t>
            </w:r>
          </w:p>
        </w:tc>
        <w:tc>
          <w:tcPr>
            <w:tcW w:w="1587" w:type="dxa"/>
          </w:tcPr>
          <w:p w14:paraId="76E667A9" w14:textId="77777777" w:rsidR="00244AF1" w:rsidRDefault="00244AF1" w:rsidP="00244AF1">
            <w:pPr>
              <w:spacing w:after="0"/>
              <w:jc w:val="center"/>
              <w:cnfStyle w:val="000000000000" w:firstRow="0" w:lastRow="0" w:firstColumn="0" w:lastColumn="0" w:oddVBand="0" w:evenVBand="0" w:oddHBand="0" w:evenHBand="0" w:firstRowFirstColumn="0" w:firstRowLastColumn="0" w:lastRowFirstColumn="0" w:lastRowLastColumn="0"/>
            </w:pPr>
            <w:r>
              <w:t>965</w:t>
            </w:r>
          </w:p>
        </w:tc>
        <w:tc>
          <w:tcPr>
            <w:tcW w:w="1971" w:type="dxa"/>
          </w:tcPr>
          <w:p w14:paraId="0023BA55" w14:textId="77777777" w:rsidR="00244AF1" w:rsidRDefault="00244AF1" w:rsidP="001965BB">
            <w:pPr>
              <w:spacing w:after="0"/>
              <w:jc w:val="center"/>
              <w:cnfStyle w:val="000000000000" w:firstRow="0" w:lastRow="0" w:firstColumn="0" w:lastColumn="0" w:oddVBand="0" w:evenVBand="0" w:oddHBand="0" w:evenHBand="0" w:firstRowFirstColumn="0" w:firstRowLastColumn="0" w:lastRowFirstColumn="0" w:lastRowLastColumn="0"/>
            </w:pPr>
            <w:r>
              <w:t>71,</w:t>
            </w:r>
            <w:r w:rsidR="001965BB">
              <w:t>799</w:t>
            </w:r>
          </w:p>
        </w:tc>
        <w:tc>
          <w:tcPr>
            <w:tcW w:w="1390" w:type="dxa"/>
          </w:tcPr>
          <w:p w14:paraId="75AFECC6" w14:textId="77777777" w:rsidR="00244AF1" w:rsidRDefault="00244AF1" w:rsidP="00244AF1">
            <w:pPr>
              <w:spacing w:after="0"/>
              <w:jc w:val="center"/>
              <w:cnfStyle w:val="000000000000" w:firstRow="0" w:lastRow="0" w:firstColumn="0" w:lastColumn="0" w:oddVBand="0" w:evenVBand="0" w:oddHBand="0" w:evenHBand="0" w:firstRowFirstColumn="0" w:firstRowLastColumn="0" w:lastRowFirstColumn="0" w:lastRowLastColumn="0"/>
            </w:pPr>
            <w:r>
              <w:t>271,</w:t>
            </w:r>
            <w:r w:rsidR="001965BB">
              <w:t>375</w:t>
            </w:r>
          </w:p>
        </w:tc>
      </w:tr>
      <w:tr w:rsidR="00021168" w14:paraId="79CFE284" w14:textId="77777777" w:rsidTr="00C340E2">
        <w:tc>
          <w:tcPr>
            <w:cnfStyle w:val="001000000000" w:firstRow="0" w:lastRow="0" w:firstColumn="1" w:lastColumn="0" w:oddVBand="0" w:evenVBand="0" w:oddHBand="0" w:evenHBand="0" w:firstRowFirstColumn="0" w:firstRowLastColumn="0" w:lastRowFirstColumn="0" w:lastRowLastColumn="0"/>
            <w:tcW w:w="1134" w:type="dxa"/>
          </w:tcPr>
          <w:p w14:paraId="28718333" w14:textId="4DAF6B87" w:rsidR="00021168" w:rsidRPr="00021168" w:rsidRDefault="00021168" w:rsidP="00244AF1">
            <w:pPr>
              <w:spacing w:after="0"/>
              <w:rPr>
                <w:b w:val="0"/>
              </w:rPr>
            </w:pPr>
            <w:r w:rsidRPr="00021168">
              <w:rPr>
                <w:b w:val="0"/>
              </w:rPr>
              <w:t>2018</w:t>
            </w:r>
            <w:r w:rsidR="008458C3" w:rsidRPr="008458C3">
              <w:rPr>
                <w:b w:val="0"/>
              </w:rPr>
              <w:t>–</w:t>
            </w:r>
            <w:r w:rsidRPr="00021168">
              <w:rPr>
                <w:b w:val="0"/>
              </w:rPr>
              <w:t>19</w:t>
            </w:r>
          </w:p>
        </w:tc>
        <w:tc>
          <w:tcPr>
            <w:tcW w:w="1554" w:type="dxa"/>
          </w:tcPr>
          <w:p w14:paraId="25C30C3A" w14:textId="77777777" w:rsidR="00021168" w:rsidRDefault="001965BB" w:rsidP="00244AF1">
            <w:pPr>
              <w:spacing w:after="0"/>
              <w:jc w:val="center"/>
              <w:cnfStyle w:val="000000000000" w:firstRow="0" w:lastRow="0" w:firstColumn="0" w:lastColumn="0" w:oddVBand="0" w:evenVBand="0" w:oddHBand="0" w:evenHBand="0" w:firstRowFirstColumn="0" w:firstRowLastColumn="0" w:lastRowFirstColumn="0" w:lastRowLastColumn="0"/>
            </w:pPr>
            <w:r>
              <w:t>7586</w:t>
            </w:r>
          </w:p>
        </w:tc>
        <w:tc>
          <w:tcPr>
            <w:tcW w:w="1390" w:type="dxa"/>
          </w:tcPr>
          <w:p w14:paraId="46B8D899" w14:textId="77777777" w:rsidR="00021168" w:rsidRDefault="001965BB" w:rsidP="00244AF1">
            <w:pPr>
              <w:spacing w:after="0"/>
              <w:jc w:val="center"/>
              <w:cnfStyle w:val="000000000000" w:firstRow="0" w:lastRow="0" w:firstColumn="0" w:lastColumn="0" w:oddVBand="0" w:evenVBand="0" w:oddHBand="0" w:evenHBand="0" w:firstRowFirstColumn="0" w:firstRowLastColumn="0" w:lastRowFirstColumn="0" w:lastRowLastColumn="0"/>
            </w:pPr>
            <w:r>
              <w:t>15,887</w:t>
            </w:r>
          </w:p>
        </w:tc>
        <w:tc>
          <w:tcPr>
            <w:tcW w:w="1587" w:type="dxa"/>
          </w:tcPr>
          <w:p w14:paraId="3C5A4305" w14:textId="77777777" w:rsidR="00021168" w:rsidRDefault="001965BB" w:rsidP="00244AF1">
            <w:pPr>
              <w:spacing w:after="0"/>
              <w:jc w:val="center"/>
              <w:cnfStyle w:val="000000000000" w:firstRow="0" w:lastRow="0" w:firstColumn="0" w:lastColumn="0" w:oddVBand="0" w:evenVBand="0" w:oddHBand="0" w:evenHBand="0" w:firstRowFirstColumn="0" w:firstRowLastColumn="0" w:lastRowFirstColumn="0" w:lastRowLastColumn="0"/>
            </w:pPr>
            <w:r>
              <w:t>614</w:t>
            </w:r>
          </w:p>
        </w:tc>
        <w:tc>
          <w:tcPr>
            <w:tcW w:w="1971" w:type="dxa"/>
          </w:tcPr>
          <w:p w14:paraId="6DC9DDB2" w14:textId="77777777" w:rsidR="00021168" w:rsidRDefault="001965BB" w:rsidP="001F31B2">
            <w:pPr>
              <w:spacing w:after="0"/>
              <w:jc w:val="center"/>
              <w:cnfStyle w:val="000000000000" w:firstRow="0" w:lastRow="0" w:firstColumn="0" w:lastColumn="0" w:oddVBand="0" w:evenVBand="0" w:oddHBand="0" w:evenHBand="0" w:firstRowFirstColumn="0" w:firstRowLastColumn="0" w:lastRowFirstColumn="0" w:lastRowLastColumn="0"/>
            </w:pPr>
            <w:r w:rsidRPr="001F31B2">
              <w:t>70,</w:t>
            </w:r>
            <w:r w:rsidR="001F31B2" w:rsidRPr="001F31B2">
              <w:t>1</w:t>
            </w:r>
            <w:r w:rsidRPr="001F31B2">
              <w:t>83</w:t>
            </w:r>
          </w:p>
        </w:tc>
        <w:tc>
          <w:tcPr>
            <w:tcW w:w="1390" w:type="dxa"/>
          </w:tcPr>
          <w:p w14:paraId="744AEF6B" w14:textId="77777777" w:rsidR="00021168" w:rsidRDefault="001965BB" w:rsidP="00244AF1">
            <w:pPr>
              <w:spacing w:after="0"/>
              <w:jc w:val="center"/>
              <w:cnfStyle w:val="000000000000" w:firstRow="0" w:lastRow="0" w:firstColumn="0" w:lastColumn="0" w:oddVBand="0" w:evenVBand="0" w:oddHBand="0" w:evenHBand="0" w:firstRowFirstColumn="0" w:firstRowLastColumn="0" w:lastRowFirstColumn="0" w:lastRowLastColumn="0"/>
            </w:pPr>
            <w:r>
              <w:t>256,507</w:t>
            </w:r>
          </w:p>
        </w:tc>
      </w:tr>
    </w:tbl>
    <w:p w14:paraId="3731CB87" w14:textId="5F7E8B6A" w:rsidR="00091355" w:rsidRDefault="00A62CFE" w:rsidP="003221EB">
      <w:r>
        <w:t>Non-compliance can take many forms, from inappro</w:t>
      </w:r>
      <w:r w:rsidR="00D94563">
        <w:t>priate measurement practices (for example</w:t>
      </w:r>
      <w:r w:rsidR="00EB0D46">
        <w:t>,</w:t>
      </w:r>
      <w:r>
        <w:t xml:space="preserve"> not </w:t>
      </w:r>
      <w:r w:rsidR="005A7670">
        <w:t xml:space="preserve">adjusting </w:t>
      </w:r>
      <w:r w:rsidR="00100E15">
        <w:t xml:space="preserve">shop scales to account for the weight of </w:t>
      </w:r>
      <w:r>
        <w:t>packaging in over the counter transactions) and measurement labels that do</w:t>
      </w:r>
      <w:r w:rsidR="00DB1020">
        <w:t xml:space="preserve"> </w:t>
      </w:r>
      <w:r>
        <w:t>n</w:t>
      </w:r>
      <w:r w:rsidR="00DB1020">
        <w:t>o</w:t>
      </w:r>
      <w:r>
        <w:t>t meet regulatory requirements</w:t>
      </w:r>
      <w:r w:rsidR="00271DC2">
        <w:t>,</w:t>
      </w:r>
      <w:r>
        <w:t xml:space="preserve"> to short measure in packaged goods and using measuring instruments that are unapproved or inaccurate.</w:t>
      </w:r>
      <w:r w:rsidR="00666E9A">
        <w:t xml:space="preserve">  </w:t>
      </w:r>
    </w:p>
    <w:p w14:paraId="0C59D157" w14:textId="77777777" w:rsidR="00345A88" w:rsidRDefault="00C03DEA" w:rsidP="003221EB">
      <w:r>
        <w:t>Not all</w:t>
      </w:r>
      <w:r w:rsidR="003221EB" w:rsidRPr="00183D36">
        <w:t xml:space="preserve"> </w:t>
      </w:r>
      <w:r w:rsidR="006320A5">
        <w:t>instances</w:t>
      </w:r>
      <w:r w:rsidR="003221EB" w:rsidRPr="00183D36">
        <w:t xml:space="preserve"> of non-compliance </w:t>
      </w:r>
      <w:r w:rsidR="009B10FD">
        <w:t xml:space="preserve">necessarily </w:t>
      </w:r>
      <w:r w:rsidR="003221EB" w:rsidRPr="00183D36">
        <w:t>affect the integrity of measurement-based transactions</w:t>
      </w:r>
      <w:r w:rsidR="00345A88">
        <w:t>.</w:t>
      </w:r>
      <w:r w:rsidR="002767F6">
        <w:t xml:space="preserve"> Where measurement errors are found they are usually relatively minor and large errors are quite rare. However, even minor measurement errors can have a significant impact on competition and consumer detriment when considered in aggregate.</w:t>
      </w:r>
    </w:p>
    <w:p w14:paraId="6CC09B2B" w14:textId="77777777" w:rsidR="00666E9A" w:rsidRDefault="00666E9A" w:rsidP="00666E9A">
      <w:r>
        <w:t>6</w:t>
      </w:r>
      <w:r w:rsidR="00601CBD">
        <w:t>6</w:t>
      </w:r>
      <w:r w:rsidRPr="00C15179">
        <w:t xml:space="preserve"> per cent of </w:t>
      </w:r>
      <w:r w:rsidR="00AE0F7F">
        <w:t xml:space="preserve">the </w:t>
      </w:r>
      <w:r>
        <w:t>7283 traders</w:t>
      </w:r>
      <w:r w:rsidR="00AE0F7F">
        <w:t xml:space="preserve"> audited</w:t>
      </w:r>
      <w:r w:rsidRPr="00C15179">
        <w:t xml:space="preserve"> </w:t>
      </w:r>
      <w:r>
        <w:t xml:space="preserve">were </w:t>
      </w:r>
      <w:r w:rsidRPr="00C15179">
        <w:t xml:space="preserve">found to be </w:t>
      </w:r>
      <w:r>
        <w:t xml:space="preserve">fully </w:t>
      </w:r>
      <w:r w:rsidRPr="00C15179">
        <w:t>compl</w:t>
      </w:r>
      <w:r>
        <w:t>iant in an initial audit in 201</w:t>
      </w:r>
      <w:r w:rsidR="00601CBD">
        <w:t>8</w:t>
      </w:r>
      <w:r>
        <w:t>–1</w:t>
      </w:r>
      <w:r w:rsidR="00601CBD">
        <w:t>9</w:t>
      </w:r>
      <w:r>
        <w:t xml:space="preserve">, a similar proportion to </w:t>
      </w:r>
      <w:r w:rsidR="00601CBD">
        <w:t>that recorded over the past four years</w:t>
      </w:r>
      <w:r w:rsidRPr="00C15179">
        <w:t>.</w:t>
      </w:r>
      <w:r>
        <w:t xml:space="preserve"> </w:t>
      </w:r>
    </w:p>
    <w:p w14:paraId="340DB30A" w14:textId="77777777" w:rsidR="003221EB" w:rsidRDefault="00616A56" w:rsidP="003221EB">
      <w:r>
        <w:t xml:space="preserve">Trade measurement inspectors make follow-up visits where non-compliance has been identified in an initial audit. </w:t>
      </w:r>
      <w:r w:rsidR="00345A88">
        <w:t>Reflecting that</w:t>
      </w:r>
      <w:r w:rsidR="003221EB" w:rsidRPr="00183D36">
        <w:t xml:space="preserve"> most businesses </w:t>
      </w:r>
      <w:r w:rsidR="00D85222">
        <w:t>are keen to do the right thing</w:t>
      </w:r>
      <w:r w:rsidR="00D85222" w:rsidRPr="00183D36">
        <w:t xml:space="preserve"> </w:t>
      </w:r>
      <w:r w:rsidR="00D85222">
        <w:t xml:space="preserve">and </w:t>
      </w:r>
      <w:r w:rsidR="003221EB" w:rsidRPr="00183D36">
        <w:t xml:space="preserve">promptly rectify trade measurement </w:t>
      </w:r>
      <w:r w:rsidR="006320A5">
        <w:t>breaches</w:t>
      </w:r>
      <w:r w:rsidR="003221EB" w:rsidRPr="00183D36">
        <w:t xml:space="preserve"> once they are made aware of them</w:t>
      </w:r>
      <w:r w:rsidR="00345A88">
        <w:t xml:space="preserve">, 81 per cent of </w:t>
      </w:r>
      <w:r w:rsidR="00601CBD">
        <w:t xml:space="preserve">1229 </w:t>
      </w:r>
      <w:r w:rsidR="00244AF1">
        <w:t>traders</w:t>
      </w:r>
      <w:r w:rsidR="00345A88">
        <w:t xml:space="preserve"> were found to be </w:t>
      </w:r>
      <w:r w:rsidR="00244AF1">
        <w:t xml:space="preserve">fully </w:t>
      </w:r>
      <w:r w:rsidR="00345A88">
        <w:t>compliant in follow-up audits.</w:t>
      </w:r>
      <w:r w:rsidR="009D5579">
        <w:t xml:space="preserve"> </w:t>
      </w:r>
      <w:r w:rsidR="0075581A">
        <w:t xml:space="preserve">This equates to around </w:t>
      </w:r>
      <w:r w:rsidR="00601CBD">
        <w:t xml:space="preserve">96 </w:t>
      </w:r>
      <w:r w:rsidR="0075581A">
        <w:t>per cent of all businesses inspected found to be complying with the law after follow-up audit</w:t>
      </w:r>
      <w:r w:rsidR="00406755">
        <w:t>s undertaken</w:t>
      </w:r>
      <w:r w:rsidR="0075581A">
        <w:t>.</w:t>
      </w:r>
      <w:r w:rsidR="009D5579">
        <w:t xml:space="preserve"> </w:t>
      </w:r>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internal audit details in previous years."/>
      </w:tblPr>
      <w:tblGrid>
        <w:gridCol w:w="1134"/>
        <w:gridCol w:w="993"/>
        <w:gridCol w:w="1842"/>
        <w:gridCol w:w="1276"/>
        <w:gridCol w:w="1843"/>
        <w:gridCol w:w="1938"/>
      </w:tblGrid>
      <w:tr w:rsidR="00406755" w:rsidRPr="00406755" w14:paraId="19E29205" w14:textId="77777777" w:rsidTr="00CE66EF">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134" w:type="dxa"/>
          </w:tcPr>
          <w:p w14:paraId="0C9A4833" w14:textId="77777777" w:rsidR="00406755" w:rsidRDefault="00406755" w:rsidP="00FB77C0">
            <w:pPr>
              <w:spacing w:after="0"/>
            </w:pPr>
            <w:r>
              <w:lastRenderedPageBreak/>
              <w:t>Year</w:t>
            </w:r>
          </w:p>
        </w:tc>
        <w:tc>
          <w:tcPr>
            <w:tcW w:w="993" w:type="dxa"/>
          </w:tcPr>
          <w:p w14:paraId="15D07D89" w14:textId="77777777" w:rsidR="00406755" w:rsidRDefault="00406755" w:rsidP="00FB77C0">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842" w:type="dxa"/>
          </w:tcPr>
          <w:p w14:paraId="7A6C9C4D" w14:textId="77777777" w:rsidR="00406755" w:rsidRDefault="00406755" w:rsidP="00B8338D">
            <w:pPr>
              <w:spacing w:after="0"/>
              <w:jc w:val="center"/>
              <w:cnfStyle w:val="100000000000" w:firstRow="1" w:lastRow="0" w:firstColumn="0" w:lastColumn="0" w:oddVBand="0" w:evenVBand="0" w:oddHBand="0" w:evenHBand="0" w:firstRowFirstColumn="0" w:firstRowLastColumn="0" w:lastRowFirstColumn="0" w:lastRowLastColumn="0"/>
            </w:pPr>
            <w:r>
              <w:t xml:space="preserve">Initial </w:t>
            </w:r>
            <w:r>
              <w:br/>
              <w:t>non-compliance</w:t>
            </w:r>
          </w:p>
        </w:tc>
        <w:tc>
          <w:tcPr>
            <w:tcW w:w="1276" w:type="dxa"/>
          </w:tcPr>
          <w:p w14:paraId="33B52445" w14:textId="77777777" w:rsidR="00406755" w:rsidRDefault="00406755" w:rsidP="00FB77C0">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843" w:type="dxa"/>
          </w:tcPr>
          <w:p w14:paraId="473D2CEE" w14:textId="77777777" w:rsidR="00406755" w:rsidRDefault="00406755" w:rsidP="00B8338D">
            <w:pPr>
              <w:spacing w:after="0"/>
              <w:jc w:val="center"/>
              <w:cnfStyle w:val="100000000000" w:firstRow="1" w:lastRow="0" w:firstColumn="0" w:lastColumn="0" w:oddVBand="0" w:evenVBand="0" w:oddHBand="0" w:evenHBand="0" w:firstRowFirstColumn="0" w:firstRowLastColumn="0" w:lastRowFirstColumn="0" w:lastRowLastColumn="0"/>
            </w:pPr>
            <w:r>
              <w:t xml:space="preserve">Follow-up </w:t>
            </w:r>
            <w:r>
              <w:br/>
              <w:t>non-compliance</w:t>
            </w:r>
          </w:p>
        </w:tc>
        <w:tc>
          <w:tcPr>
            <w:tcW w:w="1938" w:type="dxa"/>
          </w:tcPr>
          <w:p w14:paraId="10F17357" w14:textId="77777777" w:rsidR="00406755" w:rsidRPr="00406755" w:rsidRDefault="00406755" w:rsidP="00406755">
            <w:pPr>
              <w:spacing w:after="0"/>
              <w:jc w:val="center"/>
              <w:cnfStyle w:val="100000000000" w:firstRow="1" w:lastRow="0" w:firstColumn="0" w:lastColumn="0" w:oddVBand="0" w:evenVBand="0" w:oddHBand="0" w:evenHBand="0" w:firstRowFirstColumn="0" w:firstRowLastColumn="0" w:lastRowFirstColumn="0" w:lastRowLastColumn="0"/>
            </w:pPr>
            <w:r w:rsidRPr="00406755">
              <w:t xml:space="preserve">Estimated </w:t>
            </w:r>
            <w:r>
              <w:t>final</w:t>
            </w:r>
            <w:r w:rsidRPr="00406755">
              <w:t xml:space="preserve"> non-compliance</w:t>
            </w:r>
          </w:p>
        </w:tc>
      </w:tr>
      <w:tr w:rsidR="00406755" w:rsidRPr="00F61B71" w14:paraId="57C3C23B" w14:textId="77777777" w:rsidTr="00CE66EF">
        <w:tc>
          <w:tcPr>
            <w:cnfStyle w:val="001000000000" w:firstRow="0" w:lastRow="0" w:firstColumn="1" w:lastColumn="0" w:oddVBand="0" w:evenVBand="0" w:oddHBand="0" w:evenHBand="0" w:firstRowFirstColumn="0" w:firstRowLastColumn="0" w:lastRowFirstColumn="0" w:lastRowLastColumn="0"/>
            <w:tcW w:w="1134" w:type="dxa"/>
          </w:tcPr>
          <w:p w14:paraId="24089340" w14:textId="5DBD07F6" w:rsidR="00406755" w:rsidRPr="00F61B71" w:rsidRDefault="00406755" w:rsidP="00FB77C0">
            <w:pPr>
              <w:spacing w:after="0"/>
              <w:rPr>
                <w:b w:val="0"/>
              </w:rPr>
            </w:pPr>
            <w:r>
              <w:rPr>
                <w:b w:val="0"/>
              </w:rPr>
              <w:t>2015</w:t>
            </w:r>
            <w:r w:rsidR="008458C3" w:rsidRPr="008458C3">
              <w:rPr>
                <w:b w:val="0"/>
              </w:rPr>
              <w:t>–</w:t>
            </w:r>
            <w:r>
              <w:rPr>
                <w:b w:val="0"/>
              </w:rPr>
              <w:t>16</w:t>
            </w:r>
          </w:p>
        </w:tc>
        <w:tc>
          <w:tcPr>
            <w:tcW w:w="993" w:type="dxa"/>
          </w:tcPr>
          <w:p w14:paraId="7805B206" w14:textId="77777777" w:rsidR="00406755" w:rsidRPr="00F61B71" w:rsidRDefault="00406755" w:rsidP="00F61B71">
            <w:pPr>
              <w:spacing w:after="0"/>
              <w:jc w:val="center"/>
              <w:cnfStyle w:val="000000000000" w:firstRow="0" w:lastRow="0" w:firstColumn="0" w:lastColumn="0" w:oddVBand="0" w:evenVBand="0" w:oddHBand="0" w:evenHBand="0" w:firstRowFirstColumn="0" w:firstRowLastColumn="0" w:lastRowFirstColumn="0" w:lastRowLastColumn="0"/>
            </w:pPr>
            <w:r>
              <w:t>7634</w:t>
            </w:r>
          </w:p>
        </w:tc>
        <w:tc>
          <w:tcPr>
            <w:tcW w:w="1842" w:type="dxa"/>
          </w:tcPr>
          <w:p w14:paraId="0D8B7DBA" w14:textId="77777777" w:rsidR="00406755" w:rsidRPr="00F61B71" w:rsidRDefault="00406755" w:rsidP="005A7670">
            <w:pPr>
              <w:spacing w:after="0"/>
              <w:jc w:val="center"/>
              <w:cnfStyle w:val="000000000000" w:firstRow="0" w:lastRow="0" w:firstColumn="0" w:lastColumn="0" w:oddVBand="0" w:evenVBand="0" w:oddHBand="0" w:evenHBand="0" w:firstRowFirstColumn="0" w:firstRowLastColumn="0" w:lastRowFirstColumn="0" w:lastRowLastColumn="0"/>
            </w:pPr>
            <w:r>
              <w:t>2558 (</w:t>
            </w:r>
            <w:r w:rsidR="005A7670">
              <w:t>33.5</w:t>
            </w:r>
            <w:r>
              <w:t>%)</w:t>
            </w:r>
          </w:p>
        </w:tc>
        <w:tc>
          <w:tcPr>
            <w:tcW w:w="1276" w:type="dxa"/>
          </w:tcPr>
          <w:p w14:paraId="3B6311A0" w14:textId="77777777" w:rsidR="00406755" w:rsidRPr="00F61B71" w:rsidRDefault="00406755" w:rsidP="00FB77C0">
            <w:pPr>
              <w:spacing w:after="0"/>
              <w:jc w:val="center"/>
              <w:cnfStyle w:val="000000000000" w:firstRow="0" w:lastRow="0" w:firstColumn="0" w:lastColumn="0" w:oddVBand="0" w:evenVBand="0" w:oddHBand="0" w:evenHBand="0" w:firstRowFirstColumn="0" w:firstRowLastColumn="0" w:lastRowFirstColumn="0" w:lastRowLastColumn="0"/>
            </w:pPr>
            <w:r>
              <w:t>2489</w:t>
            </w:r>
          </w:p>
        </w:tc>
        <w:tc>
          <w:tcPr>
            <w:tcW w:w="1843" w:type="dxa"/>
          </w:tcPr>
          <w:p w14:paraId="62A804C9" w14:textId="77777777" w:rsidR="00406755" w:rsidRPr="00F61B71" w:rsidRDefault="00406755" w:rsidP="00352C04">
            <w:pPr>
              <w:spacing w:after="0"/>
              <w:jc w:val="center"/>
              <w:cnfStyle w:val="000000000000" w:firstRow="0" w:lastRow="0" w:firstColumn="0" w:lastColumn="0" w:oddVBand="0" w:evenVBand="0" w:oddHBand="0" w:evenHBand="0" w:firstRowFirstColumn="0" w:firstRowLastColumn="0" w:lastRowFirstColumn="0" w:lastRowLastColumn="0"/>
            </w:pPr>
            <w:r>
              <w:t>380 (15</w:t>
            </w:r>
            <w:r w:rsidR="00651836">
              <w:t>.3</w:t>
            </w:r>
            <w:r>
              <w:t>%)</w:t>
            </w:r>
          </w:p>
        </w:tc>
        <w:tc>
          <w:tcPr>
            <w:tcW w:w="1938" w:type="dxa"/>
          </w:tcPr>
          <w:p w14:paraId="62CC6ECE" w14:textId="77777777" w:rsidR="00406755" w:rsidRDefault="00406755" w:rsidP="00352C04">
            <w:pPr>
              <w:spacing w:after="0"/>
              <w:jc w:val="center"/>
              <w:cnfStyle w:val="000000000000" w:firstRow="0" w:lastRow="0" w:firstColumn="0" w:lastColumn="0" w:oddVBand="0" w:evenVBand="0" w:oddHBand="0" w:evenHBand="0" w:firstRowFirstColumn="0" w:firstRowLastColumn="0" w:lastRowFirstColumn="0" w:lastRowLastColumn="0"/>
            </w:pPr>
            <w:r>
              <w:t>5.0%</w:t>
            </w:r>
          </w:p>
        </w:tc>
      </w:tr>
      <w:tr w:rsidR="00406755" w:rsidRPr="0085285D" w14:paraId="02603188" w14:textId="77777777" w:rsidTr="00CE66EF">
        <w:tc>
          <w:tcPr>
            <w:cnfStyle w:val="001000000000" w:firstRow="0" w:lastRow="0" w:firstColumn="1" w:lastColumn="0" w:oddVBand="0" w:evenVBand="0" w:oddHBand="0" w:evenHBand="0" w:firstRowFirstColumn="0" w:firstRowLastColumn="0" w:lastRowFirstColumn="0" w:lastRowLastColumn="0"/>
            <w:tcW w:w="1134" w:type="dxa"/>
          </w:tcPr>
          <w:p w14:paraId="0BFF32C5" w14:textId="37E7541D" w:rsidR="00406755" w:rsidRPr="00847199" w:rsidRDefault="00406755" w:rsidP="00FB77C0">
            <w:pPr>
              <w:spacing w:after="0"/>
              <w:rPr>
                <w:b w:val="0"/>
              </w:rPr>
            </w:pPr>
            <w:r w:rsidRPr="00847199">
              <w:rPr>
                <w:b w:val="0"/>
              </w:rPr>
              <w:t>2016</w:t>
            </w:r>
            <w:r w:rsidR="008458C3" w:rsidRPr="008458C3">
              <w:rPr>
                <w:b w:val="0"/>
              </w:rPr>
              <w:t>–</w:t>
            </w:r>
            <w:r w:rsidRPr="00847199">
              <w:rPr>
                <w:b w:val="0"/>
              </w:rPr>
              <w:t>17</w:t>
            </w:r>
          </w:p>
        </w:tc>
        <w:tc>
          <w:tcPr>
            <w:tcW w:w="993" w:type="dxa"/>
          </w:tcPr>
          <w:p w14:paraId="584B612B" w14:textId="77777777" w:rsidR="00406755" w:rsidRDefault="007525A7" w:rsidP="007525A7">
            <w:pPr>
              <w:spacing w:after="0"/>
              <w:jc w:val="center"/>
              <w:cnfStyle w:val="000000000000" w:firstRow="0" w:lastRow="0" w:firstColumn="0" w:lastColumn="0" w:oddVBand="0" w:evenVBand="0" w:oddHBand="0" w:evenHBand="0" w:firstRowFirstColumn="0" w:firstRowLastColumn="0" w:lastRowFirstColumn="0" w:lastRowLastColumn="0"/>
            </w:pPr>
            <w:r>
              <w:t>7761</w:t>
            </w:r>
          </w:p>
        </w:tc>
        <w:tc>
          <w:tcPr>
            <w:tcW w:w="1842" w:type="dxa"/>
          </w:tcPr>
          <w:p w14:paraId="5EDB91E6" w14:textId="77777777" w:rsidR="00406755" w:rsidRDefault="007525A7" w:rsidP="007525A7">
            <w:pPr>
              <w:spacing w:after="0"/>
              <w:jc w:val="center"/>
              <w:cnfStyle w:val="000000000000" w:firstRow="0" w:lastRow="0" w:firstColumn="0" w:lastColumn="0" w:oddVBand="0" w:evenVBand="0" w:oddHBand="0" w:evenHBand="0" w:firstRowFirstColumn="0" w:firstRowLastColumn="0" w:lastRowFirstColumn="0" w:lastRowLastColumn="0"/>
            </w:pPr>
            <w:r>
              <w:t xml:space="preserve">2732 </w:t>
            </w:r>
            <w:r w:rsidR="00406755">
              <w:t>(3</w:t>
            </w:r>
            <w:r>
              <w:t>5</w:t>
            </w:r>
            <w:r w:rsidR="005A7670">
              <w:t>.2</w:t>
            </w:r>
            <w:r w:rsidR="00406755">
              <w:t>%)</w:t>
            </w:r>
          </w:p>
        </w:tc>
        <w:tc>
          <w:tcPr>
            <w:tcW w:w="1276" w:type="dxa"/>
          </w:tcPr>
          <w:p w14:paraId="2879183F" w14:textId="77777777" w:rsidR="00406755" w:rsidRPr="0085285D" w:rsidRDefault="007525A7" w:rsidP="007525A7">
            <w:pPr>
              <w:spacing w:after="0"/>
              <w:jc w:val="center"/>
              <w:cnfStyle w:val="000000000000" w:firstRow="0" w:lastRow="0" w:firstColumn="0" w:lastColumn="0" w:oddVBand="0" w:evenVBand="0" w:oddHBand="0" w:evenHBand="0" w:firstRowFirstColumn="0" w:firstRowLastColumn="0" w:lastRowFirstColumn="0" w:lastRowLastColumn="0"/>
            </w:pPr>
            <w:r>
              <w:t>2257</w:t>
            </w:r>
          </w:p>
        </w:tc>
        <w:tc>
          <w:tcPr>
            <w:tcW w:w="1843" w:type="dxa"/>
          </w:tcPr>
          <w:p w14:paraId="48A3EDBF" w14:textId="77777777" w:rsidR="00406755" w:rsidRPr="0085285D" w:rsidRDefault="00406755" w:rsidP="007525A7">
            <w:pPr>
              <w:spacing w:after="0"/>
              <w:jc w:val="center"/>
              <w:cnfStyle w:val="000000000000" w:firstRow="0" w:lastRow="0" w:firstColumn="0" w:lastColumn="0" w:oddVBand="0" w:evenVBand="0" w:oddHBand="0" w:evenHBand="0" w:firstRowFirstColumn="0" w:firstRowLastColumn="0" w:lastRowFirstColumn="0" w:lastRowLastColumn="0"/>
            </w:pPr>
            <w:r>
              <w:t>3</w:t>
            </w:r>
            <w:r w:rsidR="007525A7">
              <w:t>8</w:t>
            </w:r>
            <w:r>
              <w:t>2</w:t>
            </w:r>
            <w:r w:rsidRPr="0085285D">
              <w:t xml:space="preserve"> (</w:t>
            </w:r>
            <w:r>
              <w:t>1</w:t>
            </w:r>
            <w:r w:rsidRPr="0085285D">
              <w:t>6</w:t>
            </w:r>
            <w:r w:rsidR="00651836">
              <w:t>.9</w:t>
            </w:r>
            <w:r w:rsidRPr="0085285D">
              <w:t>%)</w:t>
            </w:r>
          </w:p>
        </w:tc>
        <w:tc>
          <w:tcPr>
            <w:tcW w:w="1938" w:type="dxa"/>
          </w:tcPr>
          <w:p w14:paraId="53E48F74" w14:textId="77777777" w:rsidR="00406755" w:rsidRDefault="00406755" w:rsidP="00352C04">
            <w:pPr>
              <w:spacing w:after="0"/>
              <w:jc w:val="center"/>
              <w:cnfStyle w:val="000000000000" w:firstRow="0" w:lastRow="0" w:firstColumn="0" w:lastColumn="0" w:oddVBand="0" w:evenVBand="0" w:oddHBand="0" w:evenHBand="0" w:firstRowFirstColumn="0" w:firstRowLastColumn="0" w:lastRowFirstColumn="0" w:lastRowLastColumn="0"/>
            </w:pPr>
            <w:r>
              <w:t>4.</w:t>
            </w:r>
            <w:r w:rsidR="007525A7">
              <w:t>9</w:t>
            </w:r>
            <w:r>
              <w:t>%</w:t>
            </w:r>
          </w:p>
        </w:tc>
      </w:tr>
      <w:tr w:rsidR="00406755" w14:paraId="55CABAA9" w14:textId="77777777" w:rsidTr="00CE66EF">
        <w:tc>
          <w:tcPr>
            <w:cnfStyle w:val="001000000000" w:firstRow="0" w:lastRow="0" w:firstColumn="1" w:lastColumn="0" w:oddVBand="0" w:evenVBand="0" w:oddHBand="0" w:evenHBand="0" w:firstRowFirstColumn="0" w:firstRowLastColumn="0" w:lastRowFirstColumn="0" w:lastRowLastColumn="0"/>
            <w:tcW w:w="1134" w:type="dxa"/>
          </w:tcPr>
          <w:p w14:paraId="3F58E075" w14:textId="4092BE04" w:rsidR="00406755" w:rsidRPr="00847199" w:rsidRDefault="00406755" w:rsidP="00FB77C0">
            <w:pPr>
              <w:spacing w:after="0"/>
              <w:rPr>
                <w:b w:val="0"/>
              </w:rPr>
            </w:pPr>
            <w:r w:rsidRPr="00847199">
              <w:rPr>
                <w:b w:val="0"/>
              </w:rPr>
              <w:t>2017</w:t>
            </w:r>
            <w:r w:rsidR="008458C3" w:rsidRPr="008458C3">
              <w:rPr>
                <w:b w:val="0"/>
              </w:rPr>
              <w:t>–</w:t>
            </w:r>
            <w:r w:rsidRPr="00847199">
              <w:rPr>
                <w:b w:val="0"/>
              </w:rPr>
              <w:t>18</w:t>
            </w:r>
          </w:p>
        </w:tc>
        <w:tc>
          <w:tcPr>
            <w:tcW w:w="993" w:type="dxa"/>
          </w:tcPr>
          <w:p w14:paraId="4FA7CF3B" w14:textId="77777777" w:rsidR="00406755" w:rsidRDefault="00406755" w:rsidP="007525A7">
            <w:pPr>
              <w:spacing w:after="0"/>
              <w:jc w:val="center"/>
              <w:cnfStyle w:val="000000000000" w:firstRow="0" w:lastRow="0" w:firstColumn="0" w:lastColumn="0" w:oddVBand="0" w:evenVBand="0" w:oddHBand="0" w:evenHBand="0" w:firstRowFirstColumn="0" w:firstRowLastColumn="0" w:lastRowFirstColumn="0" w:lastRowLastColumn="0"/>
            </w:pPr>
            <w:r>
              <w:t>728</w:t>
            </w:r>
            <w:r w:rsidR="007525A7">
              <w:t>2</w:t>
            </w:r>
          </w:p>
        </w:tc>
        <w:tc>
          <w:tcPr>
            <w:tcW w:w="1842" w:type="dxa"/>
          </w:tcPr>
          <w:p w14:paraId="73C5FC66" w14:textId="77777777" w:rsidR="00406755" w:rsidRDefault="00406755" w:rsidP="005A7670">
            <w:pPr>
              <w:spacing w:after="0"/>
              <w:jc w:val="center"/>
              <w:cnfStyle w:val="000000000000" w:firstRow="0" w:lastRow="0" w:firstColumn="0" w:lastColumn="0" w:oddVBand="0" w:evenVBand="0" w:oddHBand="0" w:evenHBand="0" w:firstRowFirstColumn="0" w:firstRowLastColumn="0" w:lastRowFirstColumn="0" w:lastRowLastColumn="0"/>
            </w:pPr>
            <w:r>
              <w:t>254</w:t>
            </w:r>
            <w:r w:rsidR="007525A7">
              <w:t>5</w:t>
            </w:r>
            <w:r>
              <w:t xml:space="preserve"> (</w:t>
            </w:r>
            <w:r w:rsidR="005A7670">
              <w:t>34.9</w:t>
            </w:r>
            <w:r>
              <w:t>%)</w:t>
            </w:r>
          </w:p>
        </w:tc>
        <w:tc>
          <w:tcPr>
            <w:tcW w:w="1276" w:type="dxa"/>
          </w:tcPr>
          <w:p w14:paraId="0D70B976" w14:textId="77777777" w:rsidR="00406755" w:rsidRDefault="007525A7" w:rsidP="007525A7">
            <w:pPr>
              <w:spacing w:after="0"/>
              <w:jc w:val="center"/>
              <w:cnfStyle w:val="000000000000" w:firstRow="0" w:lastRow="0" w:firstColumn="0" w:lastColumn="0" w:oddVBand="0" w:evenVBand="0" w:oddHBand="0" w:evenHBand="0" w:firstRowFirstColumn="0" w:firstRowLastColumn="0" w:lastRowFirstColumn="0" w:lastRowLastColumn="0"/>
            </w:pPr>
            <w:r>
              <w:t>2351</w:t>
            </w:r>
          </w:p>
        </w:tc>
        <w:tc>
          <w:tcPr>
            <w:tcW w:w="1843" w:type="dxa"/>
          </w:tcPr>
          <w:p w14:paraId="3887A6A1" w14:textId="77777777" w:rsidR="00406755" w:rsidRDefault="00406755" w:rsidP="00651836">
            <w:pPr>
              <w:spacing w:after="0"/>
              <w:jc w:val="center"/>
              <w:cnfStyle w:val="000000000000" w:firstRow="0" w:lastRow="0" w:firstColumn="0" w:lastColumn="0" w:oddVBand="0" w:evenVBand="0" w:oddHBand="0" w:evenHBand="0" w:firstRowFirstColumn="0" w:firstRowLastColumn="0" w:lastRowFirstColumn="0" w:lastRowLastColumn="0"/>
            </w:pPr>
            <w:r>
              <w:t>4</w:t>
            </w:r>
            <w:r w:rsidR="007525A7">
              <w:t>22</w:t>
            </w:r>
            <w:r>
              <w:t xml:space="preserve"> (</w:t>
            </w:r>
            <w:r w:rsidR="00651836">
              <w:t>17.9</w:t>
            </w:r>
            <w:r>
              <w:t>%)</w:t>
            </w:r>
          </w:p>
        </w:tc>
        <w:tc>
          <w:tcPr>
            <w:tcW w:w="1938" w:type="dxa"/>
          </w:tcPr>
          <w:p w14:paraId="47104242" w14:textId="77777777" w:rsidR="00406755" w:rsidRDefault="00406755" w:rsidP="00B8338D">
            <w:pPr>
              <w:spacing w:after="0"/>
              <w:jc w:val="center"/>
              <w:cnfStyle w:val="000000000000" w:firstRow="0" w:lastRow="0" w:firstColumn="0" w:lastColumn="0" w:oddVBand="0" w:evenVBand="0" w:oddHBand="0" w:evenHBand="0" w:firstRowFirstColumn="0" w:firstRowLastColumn="0" w:lastRowFirstColumn="0" w:lastRowLastColumn="0"/>
            </w:pPr>
            <w:r>
              <w:t>5.</w:t>
            </w:r>
            <w:r w:rsidR="007525A7">
              <w:t>8</w:t>
            </w:r>
            <w:r>
              <w:t>%</w:t>
            </w:r>
          </w:p>
        </w:tc>
      </w:tr>
      <w:tr w:rsidR="007525A7" w14:paraId="7EB70C08" w14:textId="77777777" w:rsidTr="00CE66EF">
        <w:tc>
          <w:tcPr>
            <w:cnfStyle w:val="001000000000" w:firstRow="0" w:lastRow="0" w:firstColumn="1" w:lastColumn="0" w:oddVBand="0" w:evenVBand="0" w:oddHBand="0" w:evenHBand="0" w:firstRowFirstColumn="0" w:firstRowLastColumn="0" w:lastRowFirstColumn="0" w:lastRowLastColumn="0"/>
            <w:tcW w:w="1134" w:type="dxa"/>
          </w:tcPr>
          <w:p w14:paraId="5D67D9AF" w14:textId="5890855B" w:rsidR="007525A7" w:rsidRPr="00847199" w:rsidRDefault="007525A7" w:rsidP="00FB77C0">
            <w:pPr>
              <w:spacing w:after="0"/>
              <w:rPr>
                <w:b w:val="0"/>
              </w:rPr>
            </w:pPr>
            <w:r>
              <w:rPr>
                <w:b w:val="0"/>
              </w:rPr>
              <w:t>2018</w:t>
            </w:r>
            <w:r w:rsidR="008458C3" w:rsidRPr="008458C3">
              <w:rPr>
                <w:b w:val="0"/>
              </w:rPr>
              <w:t>–</w:t>
            </w:r>
            <w:r>
              <w:rPr>
                <w:b w:val="0"/>
              </w:rPr>
              <w:t>19</w:t>
            </w:r>
          </w:p>
        </w:tc>
        <w:tc>
          <w:tcPr>
            <w:tcW w:w="993" w:type="dxa"/>
          </w:tcPr>
          <w:p w14:paraId="7416E4D0" w14:textId="77777777" w:rsidR="007525A7" w:rsidRDefault="007525A7" w:rsidP="00FB77C0">
            <w:pPr>
              <w:spacing w:after="0"/>
              <w:jc w:val="center"/>
              <w:cnfStyle w:val="000000000000" w:firstRow="0" w:lastRow="0" w:firstColumn="0" w:lastColumn="0" w:oddVBand="0" w:evenVBand="0" w:oddHBand="0" w:evenHBand="0" w:firstRowFirstColumn="0" w:firstRowLastColumn="0" w:lastRowFirstColumn="0" w:lastRowLastColumn="0"/>
            </w:pPr>
            <w:r>
              <w:t>6357</w:t>
            </w:r>
          </w:p>
        </w:tc>
        <w:tc>
          <w:tcPr>
            <w:tcW w:w="1842" w:type="dxa"/>
          </w:tcPr>
          <w:p w14:paraId="2D550264" w14:textId="77777777" w:rsidR="007525A7" w:rsidRDefault="007525A7" w:rsidP="00651836">
            <w:pPr>
              <w:spacing w:after="0"/>
              <w:jc w:val="center"/>
              <w:cnfStyle w:val="000000000000" w:firstRow="0" w:lastRow="0" w:firstColumn="0" w:lastColumn="0" w:oddVBand="0" w:evenVBand="0" w:oddHBand="0" w:evenHBand="0" w:firstRowFirstColumn="0" w:firstRowLastColumn="0" w:lastRowFirstColumn="0" w:lastRowLastColumn="0"/>
            </w:pPr>
            <w:r>
              <w:t>2127 (</w:t>
            </w:r>
            <w:r w:rsidR="00651836">
              <w:t>33.5</w:t>
            </w:r>
            <w:r>
              <w:t>%)</w:t>
            </w:r>
          </w:p>
        </w:tc>
        <w:tc>
          <w:tcPr>
            <w:tcW w:w="1276" w:type="dxa"/>
          </w:tcPr>
          <w:p w14:paraId="31496F80" w14:textId="77777777" w:rsidR="007525A7" w:rsidRDefault="007525A7" w:rsidP="00FB77C0">
            <w:pPr>
              <w:spacing w:after="0"/>
              <w:jc w:val="center"/>
              <w:cnfStyle w:val="000000000000" w:firstRow="0" w:lastRow="0" w:firstColumn="0" w:lastColumn="0" w:oddVBand="0" w:evenVBand="0" w:oddHBand="0" w:evenHBand="0" w:firstRowFirstColumn="0" w:firstRowLastColumn="0" w:lastRowFirstColumn="0" w:lastRowLastColumn="0"/>
            </w:pPr>
            <w:r>
              <w:t>1229</w:t>
            </w:r>
          </w:p>
        </w:tc>
        <w:tc>
          <w:tcPr>
            <w:tcW w:w="1843" w:type="dxa"/>
          </w:tcPr>
          <w:p w14:paraId="69474BAD" w14:textId="77777777" w:rsidR="007525A7" w:rsidRDefault="007525A7" w:rsidP="00B8338D">
            <w:pPr>
              <w:spacing w:after="0"/>
              <w:jc w:val="center"/>
              <w:cnfStyle w:val="000000000000" w:firstRow="0" w:lastRow="0" w:firstColumn="0" w:lastColumn="0" w:oddVBand="0" w:evenVBand="0" w:oddHBand="0" w:evenHBand="0" w:firstRowFirstColumn="0" w:firstRowLastColumn="0" w:lastRowFirstColumn="0" w:lastRowLastColumn="0"/>
            </w:pPr>
            <w:r>
              <w:t>237 (19</w:t>
            </w:r>
            <w:r w:rsidR="00651836">
              <w:t>.3</w:t>
            </w:r>
            <w:r>
              <w:t>%)</w:t>
            </w:r>
          </w:p>
        </w:tc>
        <w:tc>
          <w:tcPr>
            <w:tcW w:w="1938" w:type="dxa"/>
          </w:tcPr>
          <w:p w14:paraId="6F2F254E" w14:textId="77777777" w:rsidR="007525A7" w:rsidRDefault="007525A7" w:rsidP="00B8338D">
            <w:pPr>
              <w:spacing w:after="0"/>
              <w:jc w:val="center"/>
              <w:cnfStyle w:val="000000000000" w:firstRow="0" w:lastRow="0" w:firstColumn="0" w:lastColumn="0" w:oddVBand="0" w:evenVBand="0" w:oddHBand="0" w:evenHBand="0" w:firstRowFirstColumn="0" w:firstRowLastColumn="0" w:lastRowFirstColumn="0" w:lastRowLastColumn="0"/>
            </w:pPr>
            <w:r>
              <w:t>3.7%</w:t>
            </w:r>
          </w:p>
        </w:tc>
      </w:tr>
    </w:tbl>
    <w:p w14:paraId="4F5581EC" w14:textId="3B58CF19" w:rsidR="0084125E" w:rsidRDefault="00406755" w:rsidP="003221EB">
      <w:r>
        <w:t>While much</w:t>
      </w:r>
      <w:r w:rsidR="000333FC">
        <w:t xml:space="preserve"> non-compliance is </w:t>
      </w:r>
      <w:r>
        <w:t>relatively minor and usually</w:t>
      </w:r>
      <w:r w:rsidR="000333FC">
        <w:t xml:space="preserve"> quickly </w:t>
      </w:r>
      <w:r>
        <w:t>addressed</w:t>
      </w:r>
      <w:r w:rsidR="00CF4FD3">
        <w:t xml:space="preserve"> when identified by trade measurement inspectors</w:t>
      </w:r>
      <w:r w:rsidR="000333FC">
        <w:t>, t</w:t>
      </w:r>
      <w:r w:rsidR="00CE1390">
        <w:t>rader types with the greatest proportion of non-compliant businesses in 201</w:t>
      </w:r>
      <w:r w:rsidR="00601CBD">
        <w:t>8</w:t>
      </w:r>
      <w:r w:rsidR="008458C3" w:rsidRPr="008458C3">
        <w:t>–</w:t>
      </w:r>
      <w:r w:rsidR="00CE1390">
        <w:t>1</w:t>
      </w:r>
      <w:r w:rsidR="00601CBD">
        <w:t>9</w:t>
      </w:r>
      <w:r w:rsidR="00CE1390">
        <w:t xml:space="preserve"> included:</w:t>
      </w:r>
    </w:p>
    <w:p w14:paraId="1E660DAF" w14:textId="77777777" w:rsidR="00CE1390" w:rsidRDefault="00CE1390" w:rsidP="00CE1390">
      <w:pPr>
        <w:pStyle w:val="ListParagraph"/>
        <w:numPr>
          <w:ilvl w:val="0"/>
          <w:numId w:val="14"/>
        </w:numPr>
      </w:pPr>
      <w:r>
        <w:t xml:space="preserve">fruit and vegetables retail </w:t>
      </w:r>
    </w:p>
    <w:p w14:paraId="4C27A8F9" w14:textId="77777777" w:rsidR="00CE1390" w:rsidRDefault="00CE1390" w:rsidP="00CE1390">
      <w:pPr>
        <w:pStyle w:val="ListParagraph"/>
        <w:numPr>
          <w:ilvl w:val="0"/>
          <w:numId w:val="14"/>
        </w:numPr>
      </w:pPr>
      <w:r>
        <w:t xml:space="preserve">seafood retail </w:t>
      </w:r>
    </w:p>
    <w:p w14:paraId="288A2D5A" w14:textId="77777777" w:rsidR="00CE1390" w:rsidRDefault="00CE1390" w:rsidP="00CE1390">
      <w:pPr>
        <w:pStyle w:val="ListParagraph"/>
        <w:numPr>
          <w:ilvl w:val="0"/>
          <w:numId w:val="14"/>
        </w:numPr>
      </w:pPr>
      <w:r>
        <w:t xml:space="preserve">meat retail </w:t>
      </w:r>
    </w:p>
    <w:p w14:paraId="57FAA7D1" w14:textId="77777777" w:rsidR="00CE1390" w:rsidRDefault="00CE1390" w:rsidP="00CE1390">
      <w:pPr>
        <w:pStyle w:val="ListParagraph"/>
        <w:numPr>
          <w:ilvl w:val="0"/>
          <w:numId w:val="14"/>
        </w:numPr>
      </w:pPr>
      <w:r>
        <w:t xml:space="preserve">importer </w:t>
      </w:r>
    </w:p>
    <w:p w14:paraId="4604D9C3" w14:textId="77777777" w:rsidR="00601CBD" w:rsidRDefault="0094010C" w:rsidP="00CE1390">
      <w:pPr>
        <w:pStyle w:val="ListParagraph"/>
        <w:numPr>
          <w:ilvl w:val="0"/>
          <w:numId w:val="14"/>
        </w:numPr>
      </w:pPr>
      <w:r>
        <w:t>supermarket</w:t>
      </w:r>
    </w:p>
    <w:p w14:paraId="4322E9B4" w14:textId="77777777" w:rsidR="0094010C" w:rsidRDefault="00247470" w:rsidP="00601CBD">
      <w:pPr>
        <w:pStyle w:val="ListParagraph"/>
        <w:numPr>
          <w:ilvl w:val="0"/>
          <w:numId w:val="14"/>
        </w:numPr>
      </w:pPr>
      <w:proofErr w:type="gramStart"/>
      <w:r>
        <w:t>small</w:t>
      </w:r>
      <w:proofErr w:type="gramEnd"/>
      <w:r>
        <w:t xml:space="preserve"> business (food)</w:t>
      </w:r>
      <w:r w:rsidR="00406755">
        <w:t>.</w:t>
      </w:r>
    </w:p>
    <w:p w14:paraId="2D6C6C64" w14:textId="77777777" w:rsidR="0068579B" w:rsidRDefault="0068579B" w:rsidP="002F0E5F">
      <w:pPr>
        <w:pStyle w:val="Heading2"/>
      </w:pPr>
      <w:bookmarkStart w:id="8" w:name="_Toc32933795"/>
      <w:r>
        <w:t>Measuring Instruments</w:t>
      </w:r>
      <w:bookmarkEnd w:id="8"/>
    </w:p>
    <w:p w14:paraId="3387158A" w14:textId="77777777" w:rsidR="00A15E82" w:rsidRDefault="00E62912" w:rsidP="00CE1390">
      <w:r>
        <w:t>Australia’s trade measurement laws require that measuring instruments used for trade are of an approved type, have been verified by a licensed technician before use, and are accurate at all times while in use</w:t>
      </w:r>
      <w:r w:rsidR="00E37B0D">
        <w:t>. NMI authorises servicing licensees to undertake verifications</w:t>
      </w:r>
      <w:r w:rsidR="00A15E82">
        <w:t>.</w:t>
      </w:r>
    </w:p>
    <w:p w14:paraId="60522779" w14:textId="77777777" w:rsidR="00603AF2" w:rsidRDefault="0075581A" w:rsidP="00603AF2">
      <w:r>
        <w:t xml:space="preserve">Although </w:t>
      </w:r>
      <w:r w:rsidR="00601CBD">
        <w:t>9.</w:t>
      </w:r>
      <w:r>
        <w:t>6 per cent of almost 1</w:t>
      </w:r>
      <w:r w:rsidR="00434405">
        <w:t>6</w:t>
      </w:r>
      <w:r>
        <w:t xml:space="preserve">,000 measuring instruments tested were found to be measuring inaccurately, </w:t>
      </w:r>
      <w:r w:rsidR="00603AF2">
        <w:t>7</w:t>
      </w:r>
      <w:r w:rsidR="00434405">
        <w:t>.2</w:t>
      </w:r>
      <w:r w:rsidR="00603AF2">
        <w:t xml:space="preserve"> per cent of instruments were actually inaccurate in </w:t>
      </w:r>
      <w:r>
        <w:t>consumers</w:t>
      </w:r>
      <w:r w:rsidR="00100E15">
        <w:t>’</w:t>
      </w:r>
      <w:r>
        <w:t xml:space="preserve"> favour</w:t>
      </w:r>
      <w:r w:rsidR="00DB1020">
        <w:t xml:space="preserve">, </w:t>
      </w:r>
      <w:r w:rsidR="0068579B">
        <w:t xml:space="preserve">three times </w:t>
      </w:r>
      <w:r w:rsidR="00B148E2">
        <w:t xml:space="preserve">more than </w:t>
      </w:r>
      <w:r w:rsidR="0068579B">
        <w:t xml:space="preserve">the </w:t>
      </w:r>
      <w:r w:rsidR="00603AF2">
        <w:t>2.</w:t>
      </w:r>
      <w:r w:rsidR="00434405">
        <w:t>4</w:t>
      </w:r>
      <w:r w:rsidR="00603AF2">
        <w:t xml:space="preserve"> per cent </w:t>
      </w:r>
      <w:r w:rsidR="0068579B">
        <w:t xml:space="preserve">that </w:t>
      </w:r>
      <w:r w:rsidR="00DB1020">
        <w:t xml:space="preserve">were </w:t>
      </w:r>
      <w:r w:rsidR="00603AF2">
        <w:t>inaccurate to consumer disadvantage.</w:t>
      </w:r>
      <w:r w:rsidR="00895FE1">
        <w:t xml:space="preserve"> </w:t>
      </w:r>
    </w:p>
    <w:p w14:paraId="4AC12CB7" w14:textId="590DC028" w:rsidR="00CE1390" w:rsidRDefault="004E2B9A" w:rsidP="00CE1390">
      <w:r>
        <w:t>In 201</w:t>
      </w:r>
      <w:r w:rsidR="00434405">
        <w:t>8</w:t>
      </w:r>
      <w:r w:rsidR="008458C3" w:rsidRPr="008458C3">
        <w:t>–</w:t>
      </w:r>
      <w:r>
        <w:t>1</w:t>
      </w:r>
      <w:r w:rsidR="00434405">
        <w:t>9</w:t>
      </w:r>
      <w:r>
        <w:t xml:space="preserve">, instrument </w:t>
      </w:r>
      <w:r w:rsidR="00065915">
        <w:t xml:space="preserve">categories with the greatest proportion </w:t>
      </w:r>
      <w:r>
        <w:t xml:space="preserve">of instruments tested </w:t>
      </w:r>
      <w:r w:rsidR="00065915">
        <w:t xml:space="preserve">found </w:t>
      </w:r>
      <w:r>
        <w:t xml:space="preserve">to be </w:t>
      </w:r>
      <w:r w:rsidR="00065915">
        <w:t>inaccurate to consumer disadvantage included:</w:t>
      </w:r>
    </w:p>
    <w:p w14:paraId="6FDD4790" w14:textId="77777777" w:rsidR="00065915" w:rsidRDefault="00065915" w:rsidP="00065915">
      <w:pPr>
        <w:pStyle w:val="ListParagraph"/>
        <w:numPr>
          <w:ilvl w:val="0"/>
          <w:numId w:val="29"/>
        </w:numPr>
      </w:pPr>
      <w:r>
        <w:t>weighbridges</w:t>
      </w:r>
      <w:r w:rsidR="004E2B9A">
        <w:t xml:space="preserve"> – </w:t>
      </w:r>
      <w:r w:rsidR="00434405">
        <w:t>more than 6</w:t>
      </w:r>
      <w:r w:rsidR="004E2B9A">
        <w:t xml:space="preserve">00 weighbridges were tested, with </w:t>
      </w:r>
      <w:r w:rsidR="00434405">
        <w:t>almost 7</w:t>
      </w:r>
      <w:r w:rsidR="00DB550C">
        <w:t xml:space="preserve"> per cent</w:t>
      </w:r>
      <w:r w:rsidR="004E2B9A">
        <w:t xml:space="preserve"> inaccurate </w:t>
      </w:r>
      <w:r w:rsidR="00EE0A6F">
        <w:t xml:space="preserve">to consumer </w:t>
      </w:r>
      <w:r w:rsidR="0068579B">
        <w:t>disadvantage</w:t>
      </w:r>
    </w:p>
    <w:p w14:paraId="170F4C69" w14:textId="77777777" w:rsidR="00895940" w:rsidRDefault="00895940" w:rsidP="00065915">
      <w:pPr>
        <w:pStyle w:val="ListParagraph"/>
        <w:numPr>
          <w:ilvl w:val="0"/>
          <w:numId w:val="29"/>
        </w:numPr>
      </w:pPr>
      <w:r>
        <w:t xml:space="preserve">bulk flow meters for petroleum products – almost 60 tested, with more than 5 per cent measuring to consumer </w:t>
      </w:r>
      <w:r w:rsidR="0068579B">
        <w:t>disadvantage</w:t>
      </w:r>
    </w:p>
    <w:p w14:paraId="40F31D9A" w14:textId="77777777" w:rsidR="00065915" w:rsidRDefault="00065915" w:rsidP="00065915">
      <w:pPr>
        <w:pStyle w:val="ListParagraph"/>
        <w:numPr>
          <w:ilvl w:val="0"/>
          <w:numId w:val="29"/>
        </w:numPr>
      </w:pPr>
      <w:r>
        <w:t>retail fuel dispensers (petrol and diesel)</w:t>
      </w:r>
      <w:r w:rsidR="004E2B9A">
        <w:t xml:space="preserve"> – over </w:t>
      </w:r>
      <w:r w:rsidR="00895940">
        <w:t xml:space="preserve">4000 </w:t>
      </w:r>
      <w:r w:rsidR="004E2B9A">
        <w:t>tested, with 5</w:t>
      </w:r>
      <w:r w:rsidR="00DB550C">
        <w:t xml:space="preserve"> per cent</w:t>
      </w:r>
      <w:r w:rsidR="004E2B9A">
        <w:t xml:space="preserve"> measuring to consumer </w:t>
      </w:r>
      <w:r w:rsidR="0068579B">
        <w:t>disadvantage</w:t>
      </w:r>
    </w:p>
    <w:p w14:paraId="49C38565" w14:textId="77777777" w:rsidR="00065915" w:rsidRDefault="00065915" w:rsidP="00065915">
      <w:pPr>
        <w:pStyle w:val="ListParagraph"/>
        <w:numPr>
          <w:ilvl w:val="0"/>
          <w:numId w:val="29"/>
        </w:numPr>
      </w:pPr>
      <w:r>
        <w:t>weighing instruments (30 kg to 3 tonnes)</w:t>
      </w:r>
      <w:r w:rsidR="00DB550C">
        <w:t xml:space="preserve"> – almost 3</w:t>
      </w:r>
      <w:r w:rsidR="00895940">
        <w:t>0</w:t>
      </w:r>
      <w:r w:rsidR="00DB550C">
        <w:t xml:space="preserve">0 tested and over </w:t>
      </w:r>
      <w:r w:rsidR="00895940">
        <w:t xml:space="preserve">4 </w:t>
      </w:r>
      <w:r w:rsidR="00DB550C">
        <w:t>per cent</w:t>
      </w:r>
      <w:r w:rsidR="00895940">
        <w:t xml:space="preserve"> inaccurate to consumer </w:t>
      </w:r>
      <w:r w:rsidR="0068579B">
        <w:t>disadvantage</w:t>
      </w:r>
    </w:p>
    <w:p w14:paraId="6CE15578" w14:textId="77777777" w:rsidR="00065915" w:rsidRDefault="00065915" w:rsidP="00065915">
      <w:pPr>
        <w:pStyle w:val="ListParagraph"/>
        <w:numPr>
          <w:ilvl w:val="0"/>
          <w:numId w:val="29"/>
        </w:numPr>
      </w:pPr>
      <w:proofErr w:type="gramStart"/>
      <w:r>
        <w:t>beverage</w:t>
      </w:r>
      <w:proofErr w:type="gramEnd"/>
      <w:r>
        <w:t xml:space="preserve"> dispensers</w:t>
      </w:r>
      <w:r w:rsidR="004E2B9A">
        <w:t xml:space="preserve"> – </w:t>
      </w:r>
      <w:r w:rsidR="00895940">
        <w:t xml:space="preserve">just </w:t>
      </w:r>
      <w:r w:rsidR="004E2B9A">
        <w:t xml:space="preserve">over </w:t>
      </w:r>
      <w:r w:rsidR="00895940">
        <w:t xml:space="preserve">400 </w:t>
      </w:r>
      <w:r w:rsidR="004E2B9A">
        <w:t xml:space="preserve">were tested, with </w:t>
      </w:r>
      <w:r w:rsidR="00895940">
        <w:t>4</w:t>
      </w:r>
      <w:r w:rsidR="00EE0A6F">
        <w:t xml:space="preserve"> per cent</w:t>
      </w:r>
      <w:r w:rsidR="004E2B9A">
        <w:t xml:space="preserve"> </w:t>
      </w:r>
      <w:r w:rsidR="00EE0A6F">
        <w:t>measuring to</w:t>
      </w:r>
      <w:r w:rsidR="004E2B9A">
        <w:t xml:space="preserve"> consumer </w:t>
      </w:r>
      <w:r w:rsidR="0068579B">
        <w:t>disadvantage</w:t>
      </w:r>
      <w:r w:rsidR="004E2B9A">
        <w:t xml:space="preserve">.  </w:t>
      </w:r>
    </w:p>
    <w:p w14:paraId="1B98DE5F" w14:textId="77777777" w:rsidR="0068579B" w:rsidRDefault="0068579B" w:rsidP="002F0E5F">
      <w:pPr>
        <w:pStyle w:val="Heading2"/>
        <w:rPr>
          <w:noProof/>
        </w:rPr>
      </w:pPr>
      <w:bookmarkStart w:id="9" w:name="_Toc32933796"/>
      <w:r>
        <w:rPr>
          <w:noProof/>
        </w:rPr>
        <w:t>Packaged Goods</w:t>
      </w:r>
      <w:bookmarkEnd w:id="9"/>
    </w:p>
    <w:p w14:paraId="5297AD11" w14:textId="111BF457" w:rsidR="000333FC" w:rsidRDefault="00503E6F" w:rsidP="000333FC">
      <w:r>
        <w:rPr>
          <w:noProof/>
        </w:rPr>
        <w:t>As with other aspects of trade measurement, most packaged goods give the right measure</w:t>
      </w:r>
      <w:r>
        <w:t xml:space="preserve">. </w:t>
      </w:r>
      <w:r w:rsidR="00190CF8">
        <w:t xml:space="preserve">Of the </w:t>
      </w:r>
      <w:r w:rsidR="00603AF2" w:rsidRPr="001F31B2">
        <w:t>7</w:t>
      </w:r>
      <w:r w:rsidR="00895940" w:rsidRPr="001F31B2">
        <w:t>0</w:t>
      </w:r>
      <w:r w:rsidR="00603AF2" w:rsidRPr="001F31B2">
        <w:t>,</w:t>
      </w:r>
      <w:r w:rsidR="00895940" w:rsidRPr="001F31B2">
        <w:t>183</w:t>
      </w:r>
      <w:r w:rsidR="00603AF2" w:rsidRPr="00603AF2">
        <w:t xml:space="preserve"> lines of packaged goods</w:t>
      </w:r>
      <w:r w:rsidR="00603AF2">
        <w:t xml:space="preserve"> tested in 201</w:t>
      </w:r>
      <w:r w:rsidR="00895940">
        <w:t>8</w:t>
      </w:r>
      <w:r w:rsidR="008458C3" w:rsidRPr="008458C3">
        <w:t>–</w:t>
      </w:r>
      <w:r w:rsidR="00603AF2">
        <w:t>1</w:t>
      </w:r>
      <w:r w:rsidR="00895940">
        <w:t>9</w:t>
      </w:r>
      <w:r w:rsidR="00190CF8">
        <w:t xml:space="preserve">, 2.3 per cent </w:t>
      </w:r>
      <w:r w:rsidR="00603AF2">
        <w:t>were found to contain less product than stated on the label</w:t>
      </w:r>
      <w:r w:rsidR="00606F86">
        <w:t>, with most discrepancies usually relatively small</w:t>
      </w:r>
      <w:r w:rsidR="00603AF2">
        <w:t xml:space="preserve">. </w:t>
      </w:r>
      <w:r w:rsidR="000333FC">
        <w:t xml:space="preserve">Packaged goods </w:t>
      </w:r>
      <w:r w:rsidR="00A84300">
        <w:t xml:space="preserve">product types </w:t>
      </w:r>
      <w:r w:rsidR="000333FC">
        <w:t>with the greatest proportion of incorrect measure in 201</w:t>
      </w:r>
      <w:r w:rsidR="00606F86">
        <w:t>8</w:t>
      </w:r>
      <w:r w:rsidR="008458C3" w:rsidRPr="008458C3">
        <w:t>–</w:t>
      </w:r>
      <w:r w:rsidR="000333FC">
        <w:t>1</w:t>
      </w:r>
      <w:r w:rsidR="00606F86">
        <w:t>9</w:t>
      </w:r>
      <w:r w:rsidR="000333FC">
        <w:t xml:space="preserve"> included:</w:t>
      </w:r>
    </w:p>
    <w:p w14:paraId="1FD734C0" w14:textId="77777777" w:rsidR="001F518F" w:rsidRDefault="001F518F" w:rsidP="001F518F">
      <w:pPr>
        <w:pStyle w:val="ListParagraph"/>
        <w:numPr>
          <w:ilvl w:val="0"/>
          <w:numId w:val="28"/>
        </w:numPr>
      </w:pPr>
      <w:r>
        <w:t>chemicals (industrial) – 20.3 per cent of 64 packaged lines</w:t>
      </w:r>
    </w:p>
    <w:p w14:paraId="1E0F7FD8" w14:textId="77777777" w:rsidR="00606F86" w:rsidRDefault="00606F86" w:rsidP="00606F86">
      <w:pPr>
        <w:pStyle w:val="ListParagraph"/>
        <w:numPr>
          <w:ilvl w:val="0"/>
          <w:numId w:val="28"/>
        </w:numPr>
      </w:pPr>
      <w:r>
        <w:t>chemicals (household) – 17.7 per cent of 79 packaged lines</w:t>
      </w:r>
    </w:p>
    <w:p w14:paraId="53A84FFE" w14:textId="77777777" w:rsidR="00606F86" w:rsidRDefault="00606F86" w:rsidP="00606F86">
      <w:pPr>
        <w:pStyle w:val="ListParagraph"/>
        <w:numPr>
          <w:ilvl w:val="0"/>
          <w:numId w:val="28"/>
        </w:numPr>
      </w:pPr>
      <w:r>
        <w:t>farm supplies – 9.5 per cent of 137 packaged lines</w:t>
      </w:r>
    </w:p>
    <w:p w14:paraId="7B11AAE5" w14:textId="77777777" w:rsidR="00606F86" w:rsidRDefault="00606F86" w:rsidP="00606F86">
      <w:pPr>
        <w:pStyle w:val="ListParagraph"/>
        <w:numPr>
          <w:ilvl w:val="0"/>
          <w:numId w:val="28"/>
        </w:numPr>
      </w:pPr>
      <w:r>
        <w:t>seafood (frozen) – 7.6 per cent of 982 packaged lines</w:t>
      </w:r>
    </w:p>
    <w:p w14:paraId="6FD61B69" w14:textId="77777777" w:rsidR="001F518F" w:rsidRDefault="001F518F" w:rsidP="001F518F">
      <w:pPr>
        <w:pStyle w:val="ListParagraph"/>
        <w:numPr>
          <w:ilvl w:val="0"/>
          <w:numId w:val="28"/>
        </w:numPr>
      </w:pPr>
      <w:r>
        <w:lastRenderedPageBreak/>
        <w:t>herbs/spices/s</w:t>
      </w:r>
      <w:r w:rsidRPr="001F518F">
        <w:t>easoning</w:t>
      </w:r>
      <w:r>
        <w:t xml:space="preserve"> – 7 per cent of 1646 packaged lines</w:t>
      </w:r>
    </w:p>
    <w:p w14:paraId="03E66DAE" w14:textId="77777777" w:rsidR="00606F86" w:rsidRDefault="00606F86" w:rsidP="00606F86">
      <w:pPr>
        <w:pStyle w:val="ListParagraph"/>
        <w:numPr>
          <w:ilvl w:val="0"/>
          <w:numId w:val="28"/>
        </w:numPr>
      </w:pPr>
      <w:r>
        <w:t>meat (processed) – 6.8 per cent of 2266 packaged lines</w:t>
      </w:r>
    </w:p>
    <w:p w14:paraId="3A0A5A4B" w14:textId="77777777" w:rsidR="000333FC" w:rsidRDefault="000333FC" w:rsidP="000333FC">
      <w:pPr>
        <w:pStyle w:val="ListParagraph"/>
        <w:numPr>
          <w:ilvl w:val="0"/>
          <w:numId w:val="28"/>
        </w:numPr>
      </w:pPr>
      <w:r>
        <w:t>meat (fresh)</w:t>
      </w:r>
      <w:r w:rsidR="00606F86">
        <w:t xml:space="preserve"> – 3.3 per cent of 13,957 packaged lines</w:t>
      </w:r>
    </w:p>
    <w:p w14:paraId="3A36BDEC" w14:textId="77777777" w:rsidR="000333FC" w:rsidRDefault="000333FC" w:rsidP="000333FC">
      <w:pPr>
        <w:pStyle w:val="ListParagraph"/>
        <w:numPr>
          <w:ilvl w:val="0"/>
          <w:numId w:val="28"/>
        </w:numPr>
      </w:pPr>
      <w:r>
        <w:t>seafood (fresh)</w:t>
      </w:r>
      <w:r w:rsidR="00606F86">
        <w:t xml:space="preserve"> – 3 per cent of 575 packaged lines</w:t>
      </w:r>
    </w:p>
    <w:p w14:paraId="6120D5EF" w14:textId="7879675F" w:rsidR="00065915" w:rsidRDefault="00065915" w:rsidP="00CE1390">
      <w:r>
        <w:t>F</w:t>
      </w:r>
      <w:r w:rsidR="005D0A20">
        <w:t xml:space="preserve">urther </w:t>
      </w:r>
      <w:r>
        <w:t xml:space="preserve">details </w:t>
      </w:r>
      <w:r w:rsidR="00FB77C0">
        <w:t xml:space="preserve">on compliance and enforcement activity </w:t>
      </w:r>
      <w:r w:rsidR="00786B60">
        <w:t xml:space="preserve">and outcomes </w:t>
      </w:r>
      <w:r w:rsidR="00FB77C0">
        <w:t>in 201</w:t>
      </w:r>
      <w:r w:rsidR="00606F86">
        <w:t>8</w:t>
      </w:r>
      <w:r w:rsidR="008458C3" w:rsidRPr="008458C3">
        <w:t>–</w:t>
      </w:r>
      <w:r w:rsidR="00FB77C0">
        <w:t>1</w:t>
      </w:r>
      <w:r w:rsidR="00606F86">
        <w:t>9</w:t>
      </w:r>
      <w:r w:rsidR="00FB77C0">
        <w:t xml:space="preserve"> </w:t>
      </w:r>
      <w:r w:rsidR="005D0A20">
        <w:t>are provided</w:t>
      </w:r>
      <w:r>
        <w:t xml:space="preserve"> below.</w:t>
      </w:r>
    </w:p>
    <w:p w14:paraId="43BC0B70" w14:textId="647FA96F" w:rsidR="005D0A20" w:rsidRDefault="00FB77C0" w:rsidP="005D0A20">
      <w:r>
        <w:t xml:space="preserve">The </w:t>
      </w:r>
      <w:r w:rsidR="00786B60">
        <w:t>results outlined in this report were used in developing NMI’s inspection priorities for trade measurement compliance activity in 201</w:t>
      </w:r>
      <w:r w:rsidR="00606F86">
        <w:t>9</w:t>
      </w:r>
      <w:r w:rsidR="008458C3" w:rsidRPr="008458C3">
        <w:t>–</w:t>
      </w:r>
      <w:r w:rsidR="00606F86">
        <w:t>20</w:t>
      </w:r>
      <w:r w:rsidR="00786B60">
        <w:t xml:space="preserve">. A copy of the </w:t>
      </w:r>
      <w:hyperlink r:id="rId15" w:history="1">
        <w:r w:rsidR="00786B60" w:rsidRPr="00786B60">
          <w:rPr>
            <w:rStyle w:val="Hyperlink"/>
          </w:rPr>
          <w:t>201</w:t>
        </w:r>
        <w:r w:rsidR="00606F86">
          <w:rPr>
            <w:rStyle w:val="Hyperlink"/>
          </w:rPr>
          <w:t>9</w:t>
        </w:r>
        <w:r w:rsidR="00786B60" w:rsidRPr="00786B60">
          <w:rPr>
            <w:rStyle w:val="Hyperlink"/>
          </w:rPr>
          <w:t>-</w:t>
        </w:r>
        <w:r w:rsidR="00606F86">
          <w:rPr>
            <w:rStyle w:val="Hyperlink"/>
          </w:rPr>
          <w:t>20</w:t>
        </w:r>
        <w:r w:rsidR="00606F86" w:rsidRPr="00786B60">
          <w:rPr>
            <w:rStyle w:val="Hyperlink"/>
          </w:rPr>
          <w:t xml:space="preserve"> </w:t>
        </w:r>
        <w:r w:rsidR="00786B60" w:rsidRPr="00786B60">
          <w:rPr>
            <w:rStyle w:val="Hyperlink"/>
          </w:rPr>
          <w:t>National Compliance Plan</w:t>
        </w:r>
      </w:hyperlink>
      <w:r w:rsidR="00786B60">
        <w:rPr>
          <w:rStyle w:val="FootnoteReference"/>
        </w:rPr>
        <w:footnoteReference w:id="2"/>
      </w:r>
      <w:r w:rsidR="00786B60">
        <w:t xml:space="preserve"> is available on the NMI website.</w:t>
      </w:r>
      <w:r w:rsidR="005D0A20">
        <w:t xml:space="preserve">  </w:t>
      </w:r>
    </w:p>
    <w:p w14:paraId="200FAAD2" w14:textId="77777777" w:rsidR="00CE1390" w:rsidRDefault="00CE1390" w:rsidP="002F67CA">
      <w:r>
        <w:br w:type="page"/>
      </w:r>
    </w:p>
    <w:p w14:paraId="1418F9AE" w14:textId="77777777" w:rsidR="001D383E" w:rsidRDefault="001D383E" w:rsidP="001D383E">
      <w:pPr>
        <w:pStyle w:val="Heading1"/>
      </w:pPr>
      <w:bookmarkStart w:id="10" w:name="_Toc32933797"/>
      <w:r>
        <w:lastRenderedPageBreak/>
        <w:t xml:space="preserve">Enforcement </w:t>
      </w:r>
      <w:r w:rsidR="001239C1">
        <w:t>A</w:t>
      </w:r>
      <w:r>
        <w:t>ctions</w:t>
      </w:r>
      <w:bookmarkEnd w:id="10"/>
    </w:p>
    <w:p w14:paraId="1D2F5551" w14:textId="77777777" w:rsidR="001D383E" w:rsidRDefault="001D383E" w:rsidP="003221EB">
      <w:r>
        <w:t>NMI inspectors issue non-compliance notices whenever any breaches of trade measurement law are identified during trader audits.</w:t>
      </w:r>
    </w:p>
    <w:p w14:paraId="3BE8B461" w14:textId="77777777" w:rsidR="001D383E" w:rsidRDefault="001D383E" w:rsidP="001D383E">
      <w:r>
        <w:t>E</w:t>
      </w:r>
      <w:r w:rsidRPr="00BA54FF">
        <w:t xml:space="preserve">nforcement action of a more serious nature is taken </w:t>
      </w:r>
      <w:r>
        <w:t>w</w:t>
      </w:r>
      <w:r w:rsidRPr="00BA54FF">
        <w:t>hen</w:t>
      </w:r>
      <w:r>
        <w:t>:</w:t>
      </w:r>
    </w:p>
    <w:p w14:paraId="695CD0AA" w14:textId="77777777" w:rsidR="001D383E" w:rsidRDefault="001D383E" w:rsidP="001D383E">
      <w:pPr>
        <w:pStyle w:val="ListParagraph"/>
        <w:numPr>
          <w:ilvl w:val="0"/>
          <w:numId w:val="16"/>
        </w:numPr>
      </w:pPr>
      <w:r w:rsidRPr="00BA54FF">
        <w:t>continued non-compliance is detected after a notice has been previously issued</w:t>
      </w:r>
    </w:p>
    <w:p w14:paraId="28BE0B63" w14:textId="77777777" w:rsidR="001D383E" w:rsidRDefault="001D383E" w:rsidP="001D383E">
      <w:pPr>
        <w:pStyle w:val="ListParagraph"/>
        <w:numPr>
          <w:ilvl w:val="0"/>
          <w:numId w:val="16"/>
        </w:numPr>
      </w:pPr>
      <w:r w:rsidRPr="00BA54FF">
        <w:t>a breach detected in an initial audit is particularly severe</w:t>
      </w:r>
    </w:p>
    <w:p w14:paraId="1DC79196" w14:textId="77777777" w:rsidR="001D383E" w:rsidRDefault="001D383E" w:rsidP="001D383E">
      <w:pPr>
        <w:pStyle w:val="ListParagraph"/>
        <w:numPr>
          <w:ilvl w:val="0"/>
          <w:numId w:val="16"/>
        </w:numPr>
      </w:pPr>
      <w:proofErr w:type="gramStart"/>
      <w:r>
        <w:t>contraventions</w:t>
      </w:r>
      <w:proofErr w:type="gramEnd"/>
      <w:r>
        <w:t xml:space="preserve"> are of high public interest.</w:t>
      </w:r>
    </w:p>
    <w:p w14:paraId="0C28D8F3" w14:textId="77777777" w:rsidR="001D383E" w:rsidRDefault="001D383E" w:rsidP="001D383E">
      <w:r>
        <w:t>Potential e</w:t>
      </w:r>
      <w:r w:rsidRPr="00BA54FF">
        <w:t>nforcement action</w:t>
      </w:r>
      <w:r>
        <w:t>s include:</w:t>
      </w:r>
      <w:r w:rsidRPr="00BA54FF">
        <w:t xml:space="preserve"> </w:t>
      </w:r>
    </w:p>
    <w:p w14:paraId="16179143" w14:textId="77777777" w:rsidR="001D383E" w:rsidRDefault="001D383E" w:rsidP="001D383E">
      <w:pPr>
        <w:pStyle w:val="ListParagraph"/>
        <w:numPr>
          <w:ilvl w:val="0"/>
          <w:numId w:val="15"/>
        </w:numPr>
      </w:pPr>
      <w:r w:rsidRPr="00BA54FF">
        <w:t>warning letters</w:t>
      </w:r>
      <w:r w:rsidR="00666E9A">
        <w:t xml:space="preserve"> </w:t>
      </w:r>
    </w:p>
    <w:p w14:paraId="212C668C" w14:textId="77777777" w:rsidR="001D383E" w:rsidRDefault="001D383E" w:rsidP="001D383E">
      <w:pPr>
        <w:pStyle w:val="ListParagraph"/>
        <w:numPr>
          <w:ilvl w:val="0"/>
          <w:numId w:val="15"/>
        </w:numPr>
      </w:pPr>
      <w:r w:rsidRPr="00BA54FF">
        <w:t>infringement notices with associated fines</w:t>
      </w:r>
    </w:p>
    <w:p w14:paraId="3F66CCF8" w14:textId="77777777" w:rsidR="001D383E" w:rsidRDefault="001D383E" w:rsidP="001D383E">
      <w:pPr>
        <w:pStyle w:val="ListParagraph"/>
        <w:numPr>
          <w:ilvl w:val="0"/>
          <w:numId w:val="15"/>
        </w:numPr>
      </w:pPr>
      <w:r>
        <w:t>enforceable undertakings</w:t>
      </w:r>
      <w:r w:rsidRPr="00BA54FF">
        <w:t xml:space="preserve"> </w:t>
      </w:r>
    </w:p>
    <w:p w14:paraId="65D22434" w14:textId="77777777" w:rsidR="001D383E" w:rsidRDefault="001D383E" w:rsidP="001D383E">
      <w:pPr>
        <w:pStyle w:val="ListParagraph"/>
        <w:numPr>
          <w:ilvl w:val="0"/>
          <w:numId w:val="15"/>
        </w:numPr>
      </w:pPr>
      <w:proofErr w:type="gramStart"/>
      <w:r>
        <w:t>referral</w:t>
      </w:r>
      <w:proofErr w:type="gramEnd"/>
      <w:r>
        <w:t xml:space="preserve"> to the </w:t>
      </w:r>
      <w:r w:rsidRPr="00BA54FF">
        <w:t>Commonwealth Director of Public Prosecutions</w:t>
      </w:r>
      <w:r>
        <w:t xml:space="preserve"> </w:t>
      </w:r>
      <w:r w:rsidR="00645ADE">
        <w:t xml:space="preserve">(CDPP) </w:t>
      </w:r>
      <w:r>
        <w:t xml:space="preserve">for injunction or </w:t>
      </w:r>
      <w:r w:rsidRPr="00BA54FF">
        <w:t xml:space="preserve">prosecution. </w:t>
      </w:r>
    </w:p>
    <w:p w14:paraId="49C3BE20" w14:textId="77777777" w:rsidR="00064ABF" w:rsidRDefault="00064ABF" w:rsidP="003221EB">
      <w:r>
        <w:t xml:space="preserve">Any enforcement action, such as </w:t>
      </w:r>
      <w:r w:rsidR="00A97596">
        <w:t xml:space="preserve">a </w:t>
      </w:r>
      <w:r>
        <w:t xml:space="preserve">warning letter or infringement notice, may cover more than one breach of trade measurement law.  </w:t>
      </w:r>
    </w:p>
    <w:p w14:paraId="7561A64B" w14:textId="77777777" w:rsidR="001D383E" w:rsidRDefault="001D383E" w:rsidP="003221EB">
      <w:r>
        <w:t xml:space="preserve">The </w:t>
      </w:r>
      <w:r w:rsidR="009D42B4">
        <w:t>value</w:t>
      </w:r>
      <w:r>
        <w:t xml:space="preserve"> of fines associat</w:t>
      </w:r>
      <w:r w:rsidR="00F80EF7">
        <w:t>ed</w:t>
      </w:r>
      <w:r>
        <w:t xml:space="preserve"> with infringement notices is currently $1,050 per offence.</w:t>
      </w:r>
    </w:p>
    <w:p w14:paraId="3E356ED4" w14:textId="77777777" w:rsidR="001D383E" w:rsidRDefault="001D383E" w:rsidP="003221EB">
      <w:r>
        <w:t xml:space="preserve">If a matter is dealt with in a </w:t>
      </w:r>
      <w:r w:rsidR="009D42B4">
        <w:t>C</w:t>
      </w:r>
      <w:r>
        <w:t>ourt, the maximum penalty is $210,000 per offence for a company and $42,000 per offence for an individual.</w:t>
      </w:r>
    </w:p>
    <w:p w14:paraId="22E97DEE" w14:textId="20A9C3C1" w:rsidR="00645ADE" w:rsidRDefault="00645ADE" w:rsidP="003221EB">
      <w:r>
        <w:t>In 201</w:t>
      </w:r>
      <w:r w:rsidR="00E5348D">
        <w:t>8</w:t>
      </w:r>
      <w:r w:rsidR="008458C3" w:rsidRPr="008458C3">
        <w:t>–</w:t>
      </w:r>
      <w:r>
        <w:t>1</w:t>
      </w:r>
      <w:r w:rsidR="00E5348D">
        <w:t>9</w:t>
      </w:r>
      <w:r>
        <w:t xml:space="preserve">, NMI issued </w:t>
      </w:r>
      <w:r w:rsidR="00E5348D">
        <w:t xml:space="preserve">37 </w:t>
      </w:r>
      <w:r>
        <w:t>infringement notices with $</w:t>
      </w:r>
      <w:r w:rsidR="00E5348D">
        <w:t>43,0</w:t>
      </w:r>
      <w:r>
        <w:t>50 in associated fines</w:t>
      </w:r>
      <w:r w:rsidR="00D63157">
        <w:t xml:space="preserve"> and</w:t>
      </w:r>
      <w:r>
        <w:t xml:space="preserve"> </w:t>
      </w:r>
      <w:r w:rsidR="00E5348D">
        <w:t>secured one conviction</w:t>
      </w:r>
      <w:r>
        <w:t>.</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ecement action details in previous years."/>
      </w:tblPr>
      <w:tblGrid>
        <w:gridCol w:w="1210"/>
        <w:gridCol w:w="1572"/>
        <w:gridCol w:w="1572"/>
        <w:gridCol w:w="1573"/>
        <w:gridCol w:w="1572"/>
        <w:gridCol w:w="1573"/>
      </w:tblGrid>
      <w:tr w:rsidR="00140516" w14:paraId="1A6D1D46" w14:textId="77777777" w:rsidTr="00140516">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10" w:type="dxa"/>
          </w:tcPr>
          <w:p w14:paraId="7290CECD" w14:textId="77777777" w:rsidR="00140516" w:rsidRDefault="00140516" w:rsidP="005C07E7">
            <w:pPr>
              <w:spacing w:after="0"/>
            </w:pPr>
            <w:r>
              <w:t>Year</w:t>
            </w:r>
          </w:p>
        </w:tc>
        <w:tc>
          <w:tcPr>
            <w:tcW w:w="1572" w:type="dxa"/>
          </w:tcPr>
          <w:p w14:paraId="385A8948" w14:textId="77777777" w:rsidR="00140516" w:rsidRDefault="00140516" w:rsidP="00F4574E">
            <w:pPr>
              <w:spacing w:after="0"/>
              <w:jc w:val="center"/>
              <w:cnfStyle w:val="100000000000" w:firstRow="1" w:lastRow="0" w:firstColumn="0" w:lastColumn="0" w:oddVBand="0" w:evenVBand="0" w:oddHBand="0" w:evenHBand="0" w:firstRowFirstColumn="0" w:firstRowLastColumn="0" w:lastRowFirstColumn="0" w:lastRowLastColumn="0"/>
            </w:pPr>
            <w:r>
              <w:t>Non-compliance notice</w:t>
            </w:r>
          </w:p>
        </w:tc>
        <w:tc>
          <w:tcPr>
            <w:tcW w:w="1572" w:type="dxa"/>
          </w:tcPr>
          <w:p w14:paraId="04515DE9" w14:textId="77777777" w:rsidR="00140516" w:rsidRDefault="00140516" w:rsidP="00F4574E">
            <w:pPr>
              <w:spacing w:after="0"/>
              <w:jc w:val="center"/>
              <w:cnfStyle w:val="100000000000" w:firstRow="1" w:lastRow="0" w:firstColumn="0" w:lastColumn="0" w:oddVBand="0" w:evenVBand="0" w:oddHBand="0" w:evenHBand="0" w:firstRowFirstColumn="0" w:firstRowLastColumn="0" w:lastRowFirstColumn="0" w:lastRowLastColumn="0"/>
            </w:pPr>
            <w:r>
              <w:t>Warning letter</w:t>
            </w:r>
          </w:p>
        </w:tc>
        <w:tc>
          <w:tcPr>
            <w:tcW w:w="1573" w:type="dxa"/>
          </w:tcPr>
          <w:p w14:paraId="408C6373" w14:textId="77777777" w:rsidR="00140516" w:rsidRDefault="00140516" w:rsidP="00F4574E">
            <w:pPr>
              <w:spacing w:after="0"/>
              <w:jc w:val="center"/>
              <w:cnfStyle w:val="100000000000" w:firstRow="1" w:lastRow="0" w:firstColumn="0" w:lastColumn="0" w:oddVBand="0" w:evenVBand="0" w:oddHBand="0" w:evenHBand="0" w:firstRowFirstColumn="0" w:firstRowLastColumn="0" w:lastRowFirstColumn="0" w:lastRowLastColumn="0"/>
            </w:pPr>
            <w:r>
              <w:t>Infringement notice</w:t>
            </w:r>
          </w:p>
        </w:tc>
        <w:tc>
          <w:tcPr>
            <w:tcW w:w="1572" w:type="dxa"/>
          </w:tcPr>
          <w:p w14:paraId="64D00845" w14:textId="77777777" w:rsidR="00140516" w:rsidRDefault="00140516" w:rsidP="00F4574E">
            <w:pPr>
              <w:spacing w:after="0"/>
              <w:jc w:val="center"/>
              <w:cnfStyle w:val="100000000000" w:firstRow="1" w:lastRow="0" w:firstColumn="0" w:lastColumn="0" w:oddVBand="0" w:evenVBand="0" w:oddHBand="0" w:evenHBand="0" w:firstRowFirstColumn="0" w:firstRowLastColumn="0" w:lastRowFirstColumn="0" w:lastRowLastColumn="0"/>
            </w:pPr>
            <w:r>
              <w:t>Referral to CDPP</w:t>
            </w:r>
          </w:p>
        </w:tc>
        <w:tc>
          <w:tcPr>
            <w:tcW w:w="1573" w:type="dxa"/>
          </w:tcPr>
          <w:p w14:paraId="1BDA2293" w14:textId="77777777"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Conviction</w:t>
            </w:r>
          </w:p>
        </w:tc>
      </w:tr>
      <w:tr w:rsidR="000D638B" w14:paraId="7EAFFA52" w14:textId="77777777" w:rsidTr="00140516">
        <w:tc>
          <w:tcPr>
            <w:cnfStyle w:val="001000000000" w:firstRow="0" w:lastRow="0" w:firstColumn="1" w:lastColumn="0" w:oddVBand="0" w:evenVBand="0" w:oddHBand="0" w:evenHBand="0" w:firstRowFirstColumn="0" w:firstRowLastColumn="0" w:lastRowFirstColumn="0" w:lastRowLastColumn="0"/>
            <w:tcW w:w="1210" w:type="dxa"/>
          </w:tcPr>
          <w:p w14:paraId="6708BEEC" w14:textId="122A2FF7" w:rsidR="000D638B" w:rsidRPr="000D638B" w:rsidRDefault="000D638B" w:rsidP="005C07E7">
            <w:pPr>
              <w:spacing w:after="0"/>
              <w:rPr>
                <w:b w:val="0"/>
              </w:rPr>
            </w:pPr>
            <w:r w:rsidRPr="000D638B">
              <w:rPr>
                <w:b w:val="0"/>
              </w:rPr>
              <w:t>2015</w:t>
            </w:r>
            <w:r w:rsidR="008458C3" w:rsidRPr="008458C3">
              <w:rPr>
                <w:b w:val="0"/>
              </w:rPr>
              <w:t>–</w:t>
            </w:r>
            <w:r w:rsidRPr="000D638B">
              <w:rPr>
                <w:b w:val="0"/>
              </w:rPr>
              <w:t>16</w:t>
            </w:r>
          </w:p>
        </w:tc>
        <w:tc>
          <w:tcPr>
            <w:tcW w:w="1572" w:type="dxa"/>
          </w:tcPr>
          <w:p w14:paraId="5591624A" w14:textId="77777777" w:rsidR="000D638B" w:rsidRDefault="000D638B" w:rsidP="005C07E7">
            <w:pPr>
              <w:spacing w:after="0"/>
              <w:jc w:val="center"/>
              <w:cnfStyle w:val="000000000000" w:firstRow="0" w:lastRow="0" w:firstColumn="0" w:lastColumn="0" w:oddVBand="0" w:evenVBand="0" w:oddHBand="0" w:evenHBand="0" w:firstRowFirstColumn="0" w:firstRowLastColumn="0" w:lastRowFirstColumn="0" w:lastRowLastColumn="0"/>
            </w:pPr>
            <w:r>
              <w:t>2938</w:t>
            </w:r>
          </w:p>
        </w:tc>
        <w:tc>
          <w:tcPr>
            <w:tcW w:w="1572" w:type="dxa"/>
          </w:tcPr>
          <w:p w14:paraId="457482B4" w14:textId="77777777" w:rsidR="000D638B"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207</w:t>
            </w:r>
          </w:p>
        </w:tc>
        <w:tc>
          <w:tcPr>
            <w:tcW w:w="1573" w:type="dxa"/>
          </w:tcPr>
          <w:p w14:paraId="21C71AB8" w14:textId="77777777" w:rsidR="000D638B" w:rsidRDefault="000D638B" w:rsidP="005C07E7">
            <w:pPr>
              <w:spacing w:after="0"/>
              <w:jc w:val="center"/>
              <w:cnfStyle w:val="000000000000" w:firstRow="0" w:lastRow="0" w:firstColumn="0" w:lastColumn="0" w:oddVBand="0" w:evenVBand="0" w:oddHBand="0" w:evenHBand="0" w:firstRowFirstColumn="0" w:firstRowLastColumn="0" w:lastRowFirstColumn="0" w:lastRowLastColumn="0"/>
            </w:pPr>
            <w:r>
              <w:t>87 ($85,100)</w:t>
            </w:r>
          </w:p>
        </w:tc>
        <w:tc>
          <w:tcPr>
            <w:tcW w:w="1572" w:type="dxa"/>
          </w:tcPr>
          <w:p w14:paraId="6E58CAD3" w14:textId="77777777" w:rsidR="000D638B" w:rsidRDefault="000D638B" w:rsidP="005C07E7">
            <w:pPr>
              <w:spacing w:after="0"/>
              <w:jc w:val="center"/>
              <w:cnfStyle w:val="000000000000" w:firstRow="0" w:lastRow="0" w:firstColumn="0" w:lastColumn="0" w:oddVBand="0" w:evenVBand="0" w:oddHBand="0" w:evenHBand="0" w:firstRowFirstColumn="0" w:firstRowLastColumn="0" w:lastRowFirstColumn="0" w:lastRowLastColumn="0"/>
            </w:pPr>
            <w:r>
              <w:t>7</w:t>
            </w:r>
          </w:p>
        </w:tc>
        <w:tc>
          <w:tcPr>
            <w:tcW w:w="1573" w:type="dxa"/>
          </w:tcPr>
          <w:p w14:paraId="5F69F384" w14:textId="77777777" w:rsidR="000D638B" w:rsidRDefault="000D638B" w:rsidP="005C07E7">
            <w:pPr>
              <w:spacing w:after="0"/>
              <w:jc w:val="center"/>
              <w:cnfStyle w:val="000000000000" w:firstRow="0" w:lastRow="0" w:firstColumn="0" w:lastColumn="0" w:oddVBand="0" w:evenVBand="0" w:oddHBand="0" w:evenHBand="0" w:firstRowFirstColumn="0" w:firstRowLastColumn="0" w:lastRowFirstColumn="0" w:lastRowLastColumn="0"/>
            </w:pPr>
            <w:r>
              <w:t>1</w:t>
            </w:r>
          </w:p>
        </w:tc>
      </w:tr>
      <w:tr w:rsidR="00140516" w14:paraId="0C08FB11" w14:textId="77777777" w:rsidTr="00140516">
        <w:tc>
          <w:tcPr>
            <w:cnfStyle w:val="001000000000" w:firstRow="0" w:lastRow="0" w:firstColumn="1" w:lastColumn="0" w:oddVBand="0" w:evenVBand="0" w:oddHBand="0" w:evenHBand="0" w:firstRowFirstColumn="0" w:firstRowLastColumn="0" w:lastRowFirstColumn="0" w:lastRowLastColumn="0"/>
            <w:tcW w:w="1210" w:type="dxa"/>
          </w:tcPr>
          <w:p w14:paraId="40232728" w14:textId="777ECC4D" w:rsidR="00140516" w:rsidRPr="00847199" w:rsidRDefault="00140516" w:rsidP="005C07E7">
            <w:pPr>
              <w:spacing w:after="0"/>
              <w:rPr>
                <w:b w:val="0"/>
              </w:rPr>
            </w:pPr>
            <w:r w:rsidRPr="00847199">
              <w:rPr>
                <w:b w:val="0"/>
              </w:rPr>
              <w:t>2016</w:t>
            </w:r>
            <w:r w:rsidR="008458C3" w:rsidRPr="008458C3">
              <w:rPr>
                <w:b w:val="0"/>
              </w:rPr>
              <w:t>–</w:t>
            </w:r>
            <w:r w:rsidRPr="00847199">
              <w:rPr>
                <w:b w:val="0"/>
              </w:rPr>
              <w:t>17</w:t>
            </w:r>
          </w:p>
        </w:tc>
        <w:tc>
          <w:tcPr>
            <w:tcW w:w="1572" w:type="dxa"/>
          </w:tcPr>
          <w:p w14:paraId="1FA1FDAE" w14:textId="77777777" w:rsidR="00140516" w:rsidRDefault="00140516" w:rsidP="00E5348D">
            <w:pPr>
              <w:spacing w:after="0"/>
              <w:jc w:val="center"/>
              <w:cnfStyle w:val="000000000000" w:firstRow="0" w:lastRow="0" w:firstColumn="0" w:lastColumn="0" w:oddVBand="0" w:evenVBand="0" w:oddHBand="0" w:evenHBand="0" w:firstRowFirstColumn="0" w:firstRowLastColumn="0" w:lastRowFirstColumn="0" w:lastRowLastColumn="0"/>
            </w:pPr>
            <w:r>
              <w:t>3</w:t>
            </w:r>
            <w:r w:rsidR="00E5348D">
              <w:t>68</w:t>
            </w:r>
            <w:r>
              <w:t>7</w:t>
            </w:r>
          </w:p>
        </w:tc>
        <w:tc>
          <w:tcPr>
            <w:tcW w:w="1572" w:type="dxa"/>
          </w:tcPr>
          <w:p w14:paraId="248DAF04" w14:textId="77777777" w:rsidR="00140516" w:rsidRDefault="00F80E5A" w:rsidP="00E5348D">
            <w:pPr>
              <w:spacing w:after="0"/>
              <w:jc w:val="center"/>
              <w:cnfStyle w:val="000000000000" w:firstRow="0" w:lastRow="0" w:firstColumn="0" w:lastColumn="0" w:oddVBand="0" w:evenVBand="0" w:oddHBand="0" w:evenHBand="0" w:firstRowFirstColumn="0" w:firstRowLastColumn="0" w:lastRowFirstColumn="0" w:lastRowLastColumn="0"/>
            </w:pPr>
            <w:r>
              <w:t>30</w:t>
            </w:r>
            <w:r w:rsidR="00E5348D">
              <w:t>6</w:t>
            </w:r>
          </w:p>
        </w:tc>
        <w:tc>
          <w:tcPr>
            <w:tcW w:w="1573" w:type="dxa"/>
          </w:tcPr>
          <w:p w14:paraId="6A7FE5C5" w14:textId="77777777" w:rsidR="00140516" w:rsidRDefault="00F80E5A" w:rsidP="005C07E7">
            <w:pPr>
              <w:spacing w:after="0"/>
              <w:jc w:val="center"/>
              <w:cnfStyle w:val="000000000000" w:firstRow="0" w:lastRow="0" w:firstColumn="0" w:lastColumn="0" w:oddVBand="0" w:evenVBand="0" w:oddHBand="0" w:evenHBand="0" w:firstRowFirstColumn="0" w:firstRowLastColumn="0" w:lastRowFirstColumn="0" w:lastRowLastColumn="0"/>
            </w:pPr>
            <w:r>
              <w:t>74 ($69,300</w:t>
            </w:r>
            <w:r w:rsidR="00140516">
              <w:t>)</w:t>
            </w:r>
          </w:p>
        </w:tc>
        <w:tc>
          <w:tcPr>
            <w:tcW w:w="1572" w:type="dxa"/>
          </w:tcPr>
          <w:p w14:paraId="479EB50C" w14:textId="77777777" w:rsidR="00140516" w:rsidRDefault="00140516" w:rsidP="005C07E7">
            <w:pPr>
              <w:spacing w:after="0"/>
              <w:jc w:val="center"/>
              <w:cnfStyle w:val="000000000000" w:firstRow="0" w:lastRow="0" w:firstColumn="0" w:lastColumn="0" w:oddVBand="0" w:evenVBand="0" w:oddHBand="0" w:evenHBand="0" w:firstRowFirstColumn="0" w:firstRowLastColumn="0" w:lastRowFirstColumn="0" w:lastRowLastColumn="0"/>
            </w:pPr>
            <w:r>
              <w:t>3</w:t>
            </w:r>
          </w:p>
        </w:tc>
        <w:tc>
          <w:tcPr>
            <w:tcW w:w="1573" w:type="dxa"/>
          </w:tcPr>
          <w:p w14:paraId="2E945837" w14:textId="77777777" w:rsidR="00140516" w:rsidRDefault="00140516" w:rsidP="005C07E7">
            <w:pPr>
              <w:spacing w:after="0"/>
              <w:jc w:val="center"/>
              <w:cnfStyle w:val="000000000000" w:firstRow="0" w:lastRow="0" w:firstColumn="0" w:lastColumn="0" w:oddVBand="0" w:evenVBand="0" w:oddHBand="0" w:evenHBand="0" w:firstRowFirstColumn="0" w:firstRowLastColumn="0" w:lastRowFirstColumn="0" w:lastRowLastColumn="0"/>
            </w:pPr>
            <w:r>
              <w:t>3</w:t>
            </w:r>
          </w:p>
        </w:tc>
      </w:tr>
      <w:tr w:rsidR="00140516" w14:paraId="52270E19" w14:textId="77777777" w:rsidTr="00140516">
        <w:tc>
          <w:tcPr>
            <w:cnfStyle w:val="001000000000" w:firstRow="0" w:lastRow="0" w:firstColumn="1" w:lastColumn="0" w:oddVBand="0" w:evenVBand="0" w:oddHBand="0" w:evenHBand="0" w:firstRowFirstColumn="0" w:firstRowLastColumn="0" w:lastRowFirstColumn="0" w:lastRowLastColumn="0"/>
            <w:tcW w:w="1210" w:type="dxa"/>
          </w:tcPr>
          <w:p w14:paraId="4F9480C9" w14:textId="0D647359" w:rsidR="00140516" w:rsidRPr="00847199" w:rsidRDefault="00140516" w:rsidP="005C07E7">
            <w:pPr>
              <w:spacing w:after="0"/>
              <w:rPr>
                <w:b w:val="0"/>
              </w:rPr>
            </w:pPr>
            <w:r w:rsidRPr="00847199">
              <w:rPr>
                <w:b w:val="0"/>
              </w:rPr>
              <w:t>2017</w:t>
            </w:r>
            <w:r w:rsidR="008458C3" w:rsidRPr="008458C3">
              <w:rPr>
                <w:b w:val="0"/>
              </w:rPr>
              <w:t>–</w:t>
            </w:r>
            <w:r w:rsidRPr="00847199">
              <w:rPr>
                <w:b w:val="0"/>
              </w:rPr>
              <w:t>-18</w:t>
            </w:r>
          </w:p>
        </w:tc>
        <w:tc>
          <w:tcPr>
            <w:tcW w:w="1572" w:type="dxa"/>
          </w:tcPr>
          <w:p w14:paraId="0F1D6F0C" w14:textId="77777777" w:rsidR="00140516" w:rsidRDefault="00140516" w:rsidP="00E5348D">
            <w:pPr>
              <w:spacing w:after="0"/>
              <w:jc w:val="center"/>
              <w:cnfStyle w:val="000000000000" w:firstRow="0" w:lastRow="0" w:firstColumn="0" w:lastColumn="0" w:oddVBand="0" w:evenVBand="0" w:oddHBand="0" w:evenHBand="0" w:firstRowFirstColumn="0" w:firstRowLastColumn="0" w:lastRowFirstColumn="0" w:lastRowLastColumn="0"/>
            </w:pPr>
            <w:r>
              <w:t>36</w:t>
            </w:r>
            <w:r w:rsidR="00E5348D">
              <w:t>14</w:t>
            </w:r>
          </w:p>
        </w:tc>
        <w:tc>
          <w:tcPr>
            <w:tcW w:w="1572" w:type="dxa"/>
          </w:tcPr>
          <w:p w14:paraId="7739D288" w14:textId="77777777" w:rsidR="00140516" w:rsidRDefault="00140516" w:rsidP="00E5348D">
            <w:pPr>
              <w:spacing w:after="0"/>
              <w:jc w:val="center"/>
              <w:cnfStyle w:val="000000000000" w:firstRow="0" w:lastRow="0" w:firstColumn="0" w:lastColumn="0" w:oddVBand="0" w:evenVBand="0" w:oddHBand="0" w:evenHBand="0" w:firstRowFirstColumn="0" w:firstRowLastColumn="0" w:lastRowFirstColumn="0" w:lastRowLastColumn="0"/>
            </w:pPr>
            <w:r>
              <w:t>2</w:t>
            </w:r>
            <w:r w:rsidR="00E5348D">
              <w:t>39</w:t>
            </w:r>
          </w:p>
        </w:tc>
        <w:tc>
          <w:tcPr>
            <w:tcW w:w="1573" w:type="dxa"/>
          </w:tcPr>
          <w:p w14:paraId="004EADF0" w14:textId="77777777" w:rsidR="00140516" w:rsidRDefault="00140516" w:rsidP="00140516">
            <w:pPr>
              <w:spacing w:after="0"/>
              <w:jc w:val="center"/>
              <w:cnfStyle w:val="000000000000" w:firstRow="0" w:lastRow="0" w:firstColumn="0" w:lastColumn="0" w:oddVBand="0" w:evenVBand="0" w:oddHBand="0" w:evenHBand="0" w:firstRowFirstColumn="0" w:firstRowLastColumn="0" w:lastRowFirstColumn="0" w:lastRowLastColumn="0"/>
            </w:pPr>
            <w:r>
              <w:t>58 ($65,250)</w:t>
            </w:r>
          </w:p>
        </w:tc>
        <w:tc>
          <w:tcPr>
            <w:tcW w:w="1572" w:type="dxa"/>
          </w:tcPr>
          <w:p w14:paraId="65736D7C" w14:textId="77777777" w:rsidR="00140516" w:rsidRDefault="00140516" w:rsidP="005C07E7">
            <w:pPr>
              <w:spacing w:after="0"/>
              <w:jc w:val="center"/>
              <w:cnfStyle w:val="000000000000" w:firstRow="0" w:lastRow="0" w:firstColumn="0" w:lastColumn="0" w:oddVBand="0" w:evenVBand="0" w:oddHBand="0" w:evenHBand="0" w:firstRowFirstColumn="0" w:firstRowLastColumn="0" w:lastRowFirstColumn="0" w:lastRowLastColumn="0"/>
            </w:pPr>
            <w:r>
              <w:t>1</w:t>
            </w:r>
          </w:p>
        </w:tc>
        <w:tc>
          <w:tcPr>
            <w:tcW w:w="1573" w:type="dxa"/>
          </w:tcPr>
          <w:p w14:paraId="183C08B7" w14:textId="77777777" w:rsidR="00140516" w:rsidRDefault="00140516" w:rsidP="005C07E7">
            <w:pPr>
              <w:spacing w:after="0"/>
              <w:jc w:val="center"/>
              <w:cnfStyle w:val="000000000000" w:firstRow="0" w:lastRow="0" w:firstColumn="0" w:lastColumn="0" w:oddVBand="0" w:evenVBand="0" w:oddHBand="0" w:evenHBand="0" w:firstRowFirstColumn="0" w:firstRowLastColumn="0" w:lastRowFirstColumn="0" w:lastRowLastColumn="0"/>
            </w:pPr>
            <w:r>
              <w:t>0</w:t>
            </w:r>
          </w:p>
        </w:tc>
      </w:tr>
      <w:tr w:rsidR="00E5348D" w14:paraId="651DD332" w14:textId="77777777" w:rsidTr="00140516">
        <w:tc>
          <w:tcPr>
            <w:cnfStyle w:val="001000000000" w:firstRow="0" w:lastRow="0" w:firstColumn="1" w:lastColumn="0" w:oddVBand="0" w:evenVBand="0" w:oddHBand="0" w:evenHBand="0" w:firstRowFirstColumn="0" w:firstRowLastColumn="0" w:lastRowFirstColumn="0" w:lastRowLastColumn="0"/>
            <w:tcW w:w="1210" w:type="dxa"/>
          </w:tcPr>
          <w:p w14:paraId="3F54C912" w14:textId="5670A14E" w:rsidR="00E5348D" w:rsidRPr="00847199" w:rsidRDefault="00E5348D" w:rsidP="005C07E7">
            <w:pPr>
              <w:spacing w:after="0"/>
              <w:rPr>
                <w:b w:val="0"/>
              </w:rPr>
            </w:pPr>
            <w:r>
              <w:rPr>
                <w:b w:val="0"/>
              </w:rPr>
              <w:t>2018</w:t>
            </w:r>
            <w:r w:rsidR="008458C3" w:rsidRPr="008458C3">
              <w:rPr>
                <w:b w:val="0"/>
              </w:rPr>
              <w:t>–</w:t>
            </w:r>
            <w:r>
              <w:rPr>
                <w:b w:val="0"/>
              </w:rPr>
              <w:t>19</w:t>
            </w:r>
          </w:p>
        </w:tc>
        <w:tc>
          <w:tcPr>
            <w:tcW w:w="1572" w:type="dxa"/>
          </w:tcPr>
          <w:p w14:paraId="32B29846" w14:textId="77777777" w:rsidR="00E5348D" w:rsidRDefault="00E5348D" w:rsidP="00E5348D">
            <w:pPr>
              <w:spacing w:after="0"/>
              <w:jc w:val="center"/>
              <w:cnfStyle w:val="000000000000" w:firstRow="0" w:lastRow="0" w:firstColumn="0" w:lastColumn="0" w:oddVBand="0" w:evenVBand="0" w:oddHBand="0" w:evenHBand="0" w:firstRowFirstColumn="0" w:firstRowLastColumn="0" w:lastRowFirstColumn="0" w:lastRowLastColumn="0"/>
            </w:pPr>
            <w:r>
              <w:t>2753</w:t>
            </w:r>
          </w:p>
        </w:tc>
        <w:tc>
          <w:tcPr>
            <w:tcW w:w="1572" w:type="dxa"/>
          </w:tcPr>
          <w:p w14:paraId="08887C04" w14:textId="77777777" w:rsidR="00E5348D" w:rsidRDefault="00E5348D" w:rsidP="00E5348D">
            <w:pPr>
              <w:spacing w:after="0"/>
              <w:jc w:val="center"/>
              <w:cnfStyle w:val="000000000000" w:firstRow="0" w:lastRow="0" w:firstColumn="0" w:lastColumn="0" w:oddVBand="0" w:evenVBand="0" w:oddHBand="0" w:evenHBand="0" w:firstRowFirstColumn="0" w:firstRowLastColumn="0" w:lastRowFirstColumn="0" w:lastRowLastColumn="0"/>
            </w:pPr>
            <w:r>
              <w:t>74</w:t>
            </w:r>
          </w:p>
        </w:tc>
        <w:tc>
          <w:tcPr>
            <w:tcW w:w="1573" w:type="dxa"/>
          </w:tcPr>
          <w:p w14:paraId="770A5CF9" w14:textId="77777777" w:rsidR="00E5348D" w:rsidRDefault="00E5348D" w:rsidP="00140516">
            <w:pPr>
              <w:spacing w:after="0"/>
              <w:jc w:val="center"/>
              <w:cnfStyle w:val="000000000000" w:firstRow="0" w:lastRow="0" w:firstColumn="0" w:lastColumn="0" w:oddVBand="0" w:evenVBand="0" w:oddHBand="0" w:evenHBand="0" w:firstRowFirstColumn="0" w:firstRowLastColumn="0" w:lastRowFirstColumn="0" w:lastRowLastColumn="0"/>
            </w:pPr>
            <w:r>
              <w:t>37 ($43,050)</w:t>
            </w:r>
          </w:p>
        </w:tc>
        <w:tc>
          <w:tcPr>
            <w:tcW w:w="1572" w:type="dxa"/>
          </w:tcPr>
          <w:p w14:paraId="639DAD26" w14:textId="77777777" w:rsidR="00E5348D"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3</w:t>
            </w:r>
          </w:p>
        </w:tc>
        <w:tc>
          <w:tcPr>
            <w:tcW w:w="1573" w:type="dxa"/>
          </w:tcPr>
          <w:p w14:paraId="33086BD7" w14:textId="77777777" w:rsidR="00E5348D"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1</w:t>
            </w:r>
          </w:p>
        </w:tc>
      </w:tr>
    </w:tbl>
    <w:p w14:paraId="443C18EE" w14:textId="77777777" w:rsidR="009B0EC8" w:rsidRPr="00C476C0" w:rsidRDefault="00C82E31" w:rsidP="00140516">
      <w:r>
        <w:t>As shown in the table below, t</w:t>
      </w:r>
      <w:r w:rsidR="00C1365E" w:rsidRPr="00C1365E">
        <w:t xml:space="preserve">he </w:t>
      </w:r>
      <w:r>
        <w:t>most common breach subject to an enforcement action in 201</w:t>
      </w:r>
      <w:r w:rsidR="00E5348D">
        <w:t>8</w:t>
      </w:r>
      <w:r>
        <w:t>-1</w:t>
      </w:r>
      <w:r w:rsidR="00E5348D">
        <w:t>9</w:t>
      </w:r>
      <w:r>
        <w:t xml:space="preserve"> was short measure in packaged goods. </w:t>
      </w:r>
      <w:r w:rsidR="00033463">
        <w:t xml:space="preserve">Trading practices breaches include not </w:t>
      </w:r>
      <w:r w:rsidR="00033463" w:rsidRPr="00033463">
        <w:t xml:space="preserve">correctly operating scales and </w:t>
      </w:r>
      <w:r w:rsidR="00033463">
        <w:t xml:space="preserve">not </w:t>
      </w:r>
      <w:r w:rsidR="00033463" w:rsidRPr="00033463">
        <w:t>allowing for the weight of packaging during over-the-counter transactions.</w:t>
      </w:r>
      <w:r w:rsidR="00033463">
        <w:t xml:space="preserve"> </w:t>
      </w:r>
      <w:r>
        <w:t xml:space="preserve">As noted above, an enforcement action may cover </w:t>
      </w:r>
      <w:r w:rsidR="009B0EC8" w:rsidRPr="00C476C0">
        <w:t>more than one breach.</w:t>
      </w:r>
    </w:p>
    <w:p w14:paraId="50952E4A" w14:textId="39E90694" w:rsidR="00140516" w:rsidRPr="00A61312" w:rsidRDefault="00140516" w:rsidP="00140516">
      <w:r>
        <w:rPr>
          <w:rStyle w:val="Tabletitle"/>
        </w:rPr>
        <w:t>Breaches by enforcement action 201</w:t>
      </w:r>
      <w:r w:rsidR="00E5348D">
        <w:rPr>
          <w:rStyle w:val="Tabletitle"/>
        </w:rPr>
        <w:t>8</w:t>
      </w:r>
      <w:r w:rsidR="008458C3" w:rsidRPr="008458C3">
        <w:rPr>
          <w:rStyle w:val="Tabletitle"/>
        </w:rPr>
        <w:t>–</w:t>
      </w:r>
      <w:r>
        <w:rPr>
          <w:rStyle w:val="Tabletitle"/>
        </w:rPr>
        <w:t>1</w:t>
      </w:r>
      <w:r w:rsidR="00E5348D">
        <w:rPr>
          <w:rStyle w:val="Tabletitle"/>
        </w:rPr>
        <w:t>9</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140516" w14:paraId="133D1EE2" w14:textId="77777777" w:rsidTr="005C07E7">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14:paraId="061D9FD5" w14:textId="77777777" w:rsidR="00140516" w:rsidRDefault="00140516" w:rsidP="005C07E7">
            <w:pPr>
              <w:spacing w:after="0"/>
            </w:pPr>
            <w:r>
              <w:t>Enforcement action</w:t>
            </w:r>
          </w:p>
        </w:tc>
        <w:tc>
          <w:tcPr>
            <w:tcW w:w="1701" w:type="dxa"/>
          </w:tcPr>
          <w:p w14:paraId="398964C7" w14:textId="77777777"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14:paraId="66EBFB2F" w14:textId="77777777"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14:paraId="06103290" w14:textId="77777777"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14:paraId="367074C9" w14:textId="77777777"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140516" w14:paraId="7DB9DDE6" w14:textId="77777777" w:rsidTr="005C07E7">
        <w:tc>
          <w:tcPr>
            <w:cnfStyle w:val="001000000000" w:firstRow="0" w:lastRow="0" w:firstColumn="1" w:lastColumn="0" w:oddVBand="0" w:evenVBand="0" w:oddHBand="0" w:evenHBand="0" w:firstRowFirstColumn="0" w:firstRowLastColumn="0" w:lastRowFirstColumn="0" w:lastRowLastColumn="0"/>
            <w:tcW w:w="2268" w:type="dxa"/>
          </w:tcPr>
          <w:p w14:paraId="2AD6921B" w14:textId="77777777" w:rsidR="00140516" w:rsidRPr="0085285D" w:rsidRDefault="00140516" w:rsidP="005C07E7">
            <w:pPr>
              <w:spacing w:after="0"/>
              <w:rPr>
                <w:b w:val="0"/>
              </w:rPr>
            </w:pPr>
            <w:r w:rsidRPr="0085285D">
              <w:rPr>
                <w:b w:val="0"/>
              </w:rPr>
              <w:t>Warning letter</w:t>
            </w:r>
          </w:p>
        </w:tc>
        <w:tc>
          <w:tcPr>
            <w:tcW w:w="1701" w:type="dxa"/>
          </w:tcPr>
          <w:p w14:paraId="04AFCCA9" w14:textId="77777777" w:rsidR="00140516" w:rsidRPr="0085285D"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8</w:t>
            </w:r>
          </w:p>
        </w:tc>
        <w:tc>
          <w:tcPr>
            <w:tcW w:w="1843" w:type="dxa"/>
          </w:tcPr>
          <w:p w14:paraId="674B215F" w14:textId="77777777" w:rsidR="00140516" w:rsidRPr="0085285D"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101</w:t>
            </w:r>
          </w:p>
        </w:tc>
        <w:tc>
          <w:tcPr>
            <w:tcW w:w="1843" w:type="dxa"/>
          </w:tcPr>
          <w:p w14:paraId="484C1945" w14:textId="77777777" w:rsidR="00140516" w:rsidRPr="0085285D"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9</w:t>
            </w:r>
          </w:p>
        </w:tc>
        <w:tc>
          <w:tcPr>
            <w:tcW w:w="1417" w:type="dxa"/>
          </w:tcPr>
          <w:p w14:paraId="2A724B27" w14:textId="77777777" w:rsidR="00140516" w:rsidRPr="0085285D"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24</w:t>
            </w:r>
          </w:p>
        </w:tc>
      </w:tr>
      <w:tr w:rsidR="00140516" w14:paraId="41CCB86D" w14:textId="77777777" w:rsidTr="005C07E7">
        <w:tc>
          <w:tcPr>
            <w:cnfStyle w:val="001000000000" w:firstRow="0" w:lastRow="0" w:firstColumn="1" w:lastColumn="0" w:oddVBand="0" w:evenVBand="0" w:oddHBand="0" w:evenHBand="0" w:firstRowFirstColumn="0" w:firstRowLastColumn="0" w:lastRowFirstColumn="0" w:lastRowLastColumn="0"/>
            <w:tcW w:w="2268" w:type="dxa"/>
          </w:tcPr>
          <w:p w14:paraId="5E82AC60" w14:textId="77777777" w:rsidR="00140516" w:rsidRPr="00847199" w:rsidRDefault="00140516" w:rsidP="005C07E7">
            <w:pPr>
              <w:spacing w:after="0"/>
              <w:rPr>
                <w:b w:val="0"/>
              </w:rPr>
            </w:pPr>
            <w:r>
              <w:rPr>
                <w:b w:val="0"/>
              </w:rPr>
              <w:t>Infringement notice</w:t>
            </w:r>
          </w:p>
        </w:tc>
        <w:tc>
          <w:tcPr>
            <w:tcW w:w="1701" w:type="dxa"/>
          </w:tcPr>
          <w:p w14:paraId="561BC766" w14:textId="77777777" w:rsidR="00140516" w:rsidRDefault="00140516" w:rsidP="00E5348D">
            <w:pPr>
              <w:spacing w:after="0"/>
              <w:jc w:val="center"/>
              <w:cnfStyle w:val="000000000000" w:firstRow="0" w:lastRow="0" w:firstColumn="0" w:lastColumn="0" w:oddVBand="0" w:evenVBand="0" w:oddHBand="0" w:evenHBand="0" w:firstRowFirstColumn="0" w:firstRowLastColumn="0" w:lastRowFirstColumn="0" w:lastRowLastColumn="0"/>
            </w:pPr>
            <w:r>
              <w:t>1</w:t>
            </w:r>
          </w:p>
        </w:tc>
        <w:tc>
          <w:tcPr>
            <w:tcW w:w="1843" w:type="dxa"/>
          </w:tcPr>
          <w:p w14:paraId="02BD7CCF" w14:textId="77777777" w:rsidR="00140516"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28</w:t>
            </w:r>
          </w:p>
        </w:tc>
        <w:tc>
          <w:tcPr>
            <w:tcW w:w="1843" w:type="dxa"/>
          </w:tcPr>
          <w:p w14:paraId="3A69C221" w14:textId="77777777" w:rsidR="00140516" w:rsidRDefault="00140516" w:rsidP="005C07E7">
            <w:pPr>
              <w:spacing w:after="0"/>
              <w:jc w:val="center"/>
              <w:cnfStyle w:val="000000000000" w:firstRow="0" w:lastRow="0" w:firstColumn="0" w:lastColumn="0" w:oddVBand="0" w:evenVBand="0" w:oddHBand="0" w:evenHBand="0" w:firstRowFirstColumn="0" w:firstRowLastColumn="0" w:lastRowFirstColumn="0" w:lastRowLastColumn="0"/>
            </w:pPr>
            <w:r>
              <w:t>1</w:t>
            </w:r>
          </w:p>
        </w:tc>
        <w:tc>
          <w:tcPr>
            <w:tcW w:w="1417" w:type="dxa"/>
          </w:tcPr>
          <w:p w14:paraId="064936EC" w14:textId="77777777" w:rsidR="00140516" w:rsidRDefault="00E5348D" w:rsidP="005C07E7">
            <w:pPr>
              <w:spacing w:after="0"/>
              <w:jc w:val="center"/>
              <w:cnfStyle w:val="000000000000" w:firstRow="0" w:lastRow="0" w:firstColumn="0" w:lastColumn="0" w:oddVBand="0" w:evenVBand="0" w:oddHBand="0" w:evenHBand="0" w:firstRowFirstColumn="0" w:firstRowLastColumn="0" w:lastRowFirstColumn="0" w:lastRowLastColumn="0"/>
            </w:pPr>
            <w:r>
              <w:t>9</w:t>
            </w:r>
          </w:p>
        </w:tc>
      </w:tr>
    </w:tbl>
    <w:p w14:paraId="65CC0C61" w14:textId="77777777" w:rsidR="00CE1390" w:rsidRDefault="00AA79A5" w:rsidP="002F0E5F">
      <w:pPr>
        <w:pStyle w:val="Heading2"/>
      </w:pPr>
      <w:bookmarkStart w:id="11" w:name="_Toc32933798"/>
      <w:r>
        <w:lastRenderedPageBreak/>
        <w:t>Prosecution</w:t>
      </w:r>
      <w:r w:rsidR="007A3071">
        <w:t>s</w:t>
      </w:r>
      <w:bookmarkEnd w:id="11"/>
    </w:p>
    <w:p w14:paraId="6003DCD2" w14:textId="4DF57AA8" w:rsidR="00AA79A5" w:rsidRDefault="00AA79A5" w:rsidP="00BD079F">
      <w:proofErr w:type="spellStart"/>
      <w:r w:rsidRPr="00AA79A5">
        <w:t>Ysun</w:t>
      </w:r>
      <w:proofErr w:type="spellEnd"/>
      <w:r w:rsidRPr="00AA79A5">
        <w:t xml:space="preserve"> Pty Ltd</w:t>
      </w:r>
      <w:r>
        <w:rPr>
          <w:rFonts w:ascii="Arial" w:hAnsi="Arial" w:cs="Arial"/>
        </w:rPr>
        <w:t>, trading as Orion Fruit Market,</w:t>
      </w:r>
      <w:r w:rsidRPr="00A067F1">
        <w:rPr>
          <w:rFonts w:ascii="Arial" w:hAnsi="Arial" w:cs="Arial"/>
        </w:rPr>
        <w:t xml:space="preserve"> </w:t>
      </w:r>
      <w:r>
        <w:t xml:space="preserve">was fined </w:t>
      </w:r>
      <w:r w:rsidRPr="00AA79A5">
        <w:t xml:space="preserve">$2000 </w:t>
      </w:r>
      <w:r>
        <w:t xml:space="preserve">in </w:t>
      </w:r>
      <w:r w:rsidRPr="00AA79A5">
        <w:t xml:space="preserve">Brisbane Magistrates Court </w:t>
      </w:r>
      <w:r>
        <w:t xml:space="preserve">on </w:t>
      </w:r>
      <w:r w:rsidRPr="00AA79A5">
        <w:t>Friday 21 June 2019</w:t>
      </w:r>
      <w:r>
        <w:t xml:space="preserve"> </w:t>
      </w:r>
      <w:r w:rsidRPr="00AA79A5">
        <w:t>after pleading guilty</w:t>
      </w:r>
      <w:r>
        <w:t xml:space="preserve"> to </w:t>
      </w:r>
      <w:r w:rsidRPr="00AA79A5">
        <w:t>seven breaches of section 18JD(2)</w:t>
      </w:r>
      <w:r>
        <w:t xml:space="preserve"> </w:t>
      </w:r>
      <w:r w:rsidRPr="00AA79A5">
        <w:t xml:space="preserve">of the </w:t>
      </w:r>
      <w:r w:rsidRPr="002F0E5F">
        <w:rPr>
          <w:i/>
        </w:rPr>
        <w:t>National Measurement Act 1960</w:t>
      </w:r>
      <w:r w:rsidRPr="00AA79A5">
        <w:t>.</w:t>
      </w:r>
      <w:r>
        <w:t xml:space="preserve"> The prosecution was initiated after persistent non-compliance</w:t>
      </w:r>
      <w:r w:rsidR="009E61EB">
        <w:t>.</w:t>
      </w:r>
      <w:r w:rsidR="007A3071">
        <w:t xml:space="preserve"> </w:t>
      </w:r>
      <w:proofErr w:type="spellStart"/>
      <w:r w:rsidR="007A3071">
        <w:t>Ysun</w:t>
      </w:r>
      <w:proofErr w:type="spellEnd"/>
      <w:r w:rsidR="007A3071">
        <w:t xml:space="preserve"> Pty Ltd was </w:t>
      </w:r>
      <w:r w:rsidR="00421B26">
        <w:t xml:space="preserve">found to be </w:t>
      </w:r>
      <w:r w:rsidR="007A3071" w:rsidRPr="007A3071">
        <w:t>not properly labelling products with a required measurement statement after repeated warnings over a period of ten months.</w:t>
      </w:r>
    </w:p>
    <w:p w14:paraId="2BC78520" w14:textId="6C6078DE" w:rsidR="00D63157" w:rsidRDefault="00D63157" w:rsidP="00BD079F">
      <w:r>
        <w:t>A</w:t>
      </w:r>
      <w:r w:rsidRPr="00D63157">
        <w:t xml:space="preserve">nother matter was referred </w:t>
      </w:r>
      <w:r>
        <w:t>during the year</w:t>
      </w:r>
      <w:r w:rsidRPr="00D63157">
        <w:t xml:space="preserve"> </w:t>
      </w:r>
      <w:r>
        <w:t xml:space="preserve">for consideration by </w:t>
      </w:r>
      <w:r w:rsidRPr="00D63157">
        <w:t>the Commonwealth Director of Public Prosecutions (CDPP)</w:t>
      </w:r>
      <w:r>
        <w:t>.</w:t>
      </w:r>
    </w:p>
    <w:p w14:paraId="0F3B6099" w14:textId="77777777" w:rsidR="00CE1390" w:rsidRDefault="00CE1390" w:rsidP="00BD079F">
      <w:r>
        <w:br w:type="page"/>
      </w:r>
    </w:p>
    <w:p w14:paraId="73F58E2B" w14:textId="77777777" w:rsidR="003221EB" w:rsidRDefault="00345A88" w:rsidP="004A1CC0">
      <w:pPr>
        <w:pStyle w:val="Heading1"/>
      </w:pPr>
      <w:bookmarkStart w:id="12" w:name="_Toc32933799"/>
      <w:r>
        <w:lastRenderedPageBreak/>
        <w:t xml:space="preserve">Compliance </w:t>
      </w:r>
      <w:r w:rsidR="000B32F4">
        <w:t xml:space="preserve">and </w:t>
      </w:r>
      <w:r w:rsidR="00247470">
        <w:t>E</w:t>
      </w:r>
      <w:r w:rsidR="000B32F4">
        <w:t xml:space="preserve">nforcement </w:t>
      </w:r>
      <w:r>
        <w:t xml:space="preserve">by </w:t>
      </w:r>
      <w:r w:rsidR="00247470">
        <w:t>T</w:t>
      </w:r>
      <w:r>
        <w:t xml:space="preserve">rader </w:t>
      </w:r>
      <w:r w:rsidR="00247470">
        <w:t>T</w:t>
      </w:r>
      <w:r>
        <w:t>ype</w:t>
      </w:r>
      <w:bookmarkEnd w:id="12"/>
    </w:p>
    <w:p w14:paraId="2E5BF77E" w14:textId="3BAE1C0E" w:rsidR="000D14B8" w:rsidRDefault="000D14B8" w:rsidP="00345A88">
      <w:r>
        <w:t xml:space="preserve">As in previous years, certain trader types continued to have relatively higher rates of non-compliance identified </w:t>
      </w:r>
      <w:r w:rsidR="0097221E">
        <w:t xml:space="preserve">during </w:t>
      </w:r>
      <w:r w:rsidR="00AB441B">
        <w:t xml:space="preserve">targeted </w:t>
      </w:r>
      <w:r w:rsidR="0097221E">
        <w:t>NMI inspections</w:t>
      </w:r>
      <w:r>
        <w:t xml:space="preserve"> i</w:t>
      </w:r>
      <w:r w:rsidR="00345A88">
        <w:t xml:space="preserve">n </w:t>
      </w:r>
      <w:r w:rsidR="00AA79A5">
        <w:t>2018</w:t>
      </w:r>
      <w:r w:rsidR="00CE66EF" w:rsidRPr="00CE66EF">
        <w:t>–</w:t>
      </w:r>
      <w:r w:rsidR="00AA79A5">
        <w:t>19</w:t>
      </w:r>
      <w:r>
        <w:t xml:space="preserve">. These trader types also incurred </w:t>
      </w:r>
      <w:r w:rsidR="00F61752">
        <w:t xml:space="preserve">relatively </w:t>
      </w:r>
      <w:r>
        <w:t xml:space="preserve">more infringement notices and </w:t>
      </w:r>
      <w:r w:rsidR="00137AEC">
        <w:t>warning letters</w:t>
      </w:r>
      <w:r w:rsidR="00064ABF">
        <w:t>.</w:t>
      </w:r>
    </w:p>
    <w:p w14:paraId="19325798" w14:textId="77777777" w:rsidR="00C82E31" w:rsidRDefault="00C82E31" w:rsidP="00345A88"/>
    <w:p w14:paraId="3B572C40" w14:textId="77777777" w:rsidR="00A61312" w:rsidRPr="00A61312" w:rsidRDefault="000D14B8" w:rsidP="00122E4D">
      <w:pPr>
        <w:pStyle w:val="Heading2"/>
      </w:pPr>
      <w:bookmarkStart w:id="13" w:name="_Toc32933800"/>
      <w:r>
        <w:t>F</w:t>
      </w:r>
      <w:r w:rsidR="00E13099" w:rsidRPr="00215A3C">
        <w:t xml:space="preserve">ruit and </w:t>
      </w:r>
      <w:r w:rsidR="00247470">
        <w:t>V</w:t>
      </w:r>
      <w:r w:rsidR="00E13099" w:rsidRPr="00215A3C">
        <w:t>egetable</w:t>
      </w:r>
      <w:r>
        <w:t>s</w:t>
      </w:r>
      <w:r w:rsidR="00E13099" w:rsidRPr="00215A3C">
        <w:t xml:space="preserve"> </w:t>
      </w:r>
      <w:r w:rsidR="00247470">
        <w:t>R</w:t>
      </w:r>
      <w:r w:rsidR="00E13099" w:rsidRPr="00215A3C">
        <w:t>et</w:t>
      </w:r>
      <w:r w:rsidR="00E13099">
        <w:t>ail</w:t>
      </w:r>
      <w:bookmarkEnd w:id="13"/>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fruit and vegetable compliance and enforcement in previous years."/>
      </w:tblPr>
      <w:tblGrid>
        <w:gridCol w:w="1229"/>
        <w:gridCol w:w="999"/>
        <w:gridCol w:w="1369"/>
        <w:gridCol w:w="1273"/>
        <w:gridCol w:w="1367"/>
        <w:gridCol w:w="1314"/>
        <w:gridCol w:w="1475"/>
      </w:tblGrid>
      <w:tr w:rsidR="00EE0A6F" w14:paraId="7839CA83" w14:textId="77777777" w:rsidTr="00EE0A6F">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14:paraId="1A495869" w14:textId="77777777" w:rsidR="00EE0A6F" w:rsidRDefault="00EE0A6F" w:rsidP="00EE0A6F">
            <w:pPr>
              <w:spacing w:after="0"/>
            </w:pPr>
            <w:r>
              <w:t>Year</w:t>
            </w:r>
          </w:p>
        </w:tc>
        <w:tc>
          <w:tcPr>
            <w:tcW w:w="999" w:type="dxa"/>
          </w:tcPr>
          <w:p w14:paraId="0AD180BA" w14:textId="77777777"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14:paraId="2244051D" w14:textId="77777777"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14:paraId="2684DD16" w14:textId="77777777"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7" w:type="dxa"/>
          </w:tcPr>
          <w:p w14:paraId="52226DA2" w14:textId="77777777"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4" w:type="dxa"/>
          </w:tcPr>
          <w:p w14:paraId="0DD4B520" w14:textId="77777777"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14:paraId="343534DD" w14:textId="77777777"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DF6A23" w:rsidRPr="0085285D" w14:paraId="6119E215" w14:textId="77777777" w:rsidTr="00DF6A23">
        <w:tc>
          <w:tcPr>
            <w:cnfStyle w:val="001000000000" w:firstRow="0" w:lastRow="0" w:firstColumn="1" w:lastColumn="0" w:oddVBand="0" w:evenVBand="0" w:oddHBand="0" w:evenHBand="0" w:firstRowFirstColumn="0" w:firstRowLastColumn="0" w:lastRowFirstColumn="0" w:lastRowLastColumn="0"/>
            <w:tcW w:w="1229" w:type="dxa"/>
          </w:tcPr>
          <w:p w14:paraId="5C1B07B0" w14:textId="21771915" w:rsidR="00DF6A23" w:rsidRPr="00847199" w:rsidRDefault="00DF6A23" w:rsidP="00DF6A23">
            <w:pPr>
              <w:spacing w:after="0"/>
              <w:rPr>
                <w:b w:val="0"/>
              </w:rPr>
            </w:pPr>
            <w:r w:rsidRPr="00847199">
              <w:rPr>
                <w:b w:val="0"/>
              </w:rPr>
              <w:t>2016</w:t>
            </w:r>
            <w:r w:rsidR="00CE66EF" w:rsidRPr="00CE66EF">
              <w:rPr>
                <w:b w:val="0"/>
              </w:rPr>
              <w:t>–</w:t>
            </w:r>
            <w:r w:rsidRPr="00847199">
              <w:rPr>
                <w:b w:val="0"/>
              </w:rPr>
              <w:t>17</w:t>
            </w:r>
          </w:p>
        </w:tc>
        <w:tc>
          <w:tcPr>
            <w:tcW w:w="999" w:type="dxa"/>
            <w:vAlign w:val="top"/>
          </w:tcPr>
          <w:p w14:paraId="1402CDC5"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648</w:t>
            </w:r>
          </w:p>
        </w:tc>
        <w:tc>
          <w:tcPr>
            <w:tcW w:w="1369" w:type="dxa"/>
            <w:vAlign w:val="top"/>
          </w:tcPr>
          <w:p w14:paraId="4A9CC872"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348 (54%)</w:t>
            </w:r>
          </w:p>
        </w:tc>
        <w:tc>
          <w:tcPr>
            <w:tcW w:w="1273" w:type="dxa"/>
            <w:vAlign w:val="top"/>
          </w:tcPr>
          <w:p w14:paraId="7BC29AFF" w14:textId="77777777" w:rsidR="00DF6A23" w:rsidRPr="0085285D"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273</w:t>
            </w:r>
          </w:p>
        </w:tc>
        <w:tc>
          <w:tcPr>
            <w:tcW w:w="1367" w:type="dxa"/>
            <w:vAlign w:val="top"/>
          </w:tcPr>
          <w:p w14:paraId="73C123D1" w14:textId="77777777" w:rsidR="00DF6A23" w:rsidRPr="0085285D"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69 (25%)</w:t>
            </w:r>
          </w:p>
        </w:tc>
        <w:tc>
          <w:tcPr>
            <w:tcW w:w="1314" w:type="dxa"/>
            <w:vAlign w:val="top"/>
          </w:tcPr>
          <w:p w14:paraId="5387FA71" w14:textId="77777777" w:rsidR="00DF6A23" w:rsidRPr="0085285D"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55</w:t>
            </w:r>
          </w:p>
        </w:tc>
        <w:tc>
          <w:tcPr>
            <w:tcW w:w="1475" w:type="dxa"/>
          </w:tcPr>
          <w:p w14:paraId="229FA216" w14:textId="77777777" w:rsidR="00DF6A23" w:rsidRPr="0085285D"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85285D">
              <w:t>9 ($8100)</w:t>
            </w:r>
          </w:p>
        </w:tc>
      </w:tr>
      <w:tr w:rsidR="00DF6A23" w14:paraId="51836D89" w14:textId="77777777" w:rsidTr="00DF6A23">
        <w:tc>
          <w:tcPr>
            <w:cnfStyle w:val="001000000000" w:firstRow="0" w:lastRow="0" w:firstColumn="1" w:lastColumn="0" w:oddVBand="0" w:evenVBand="0" w:oddHBand="0" w:evenHBand="0" w:firstRowFirstColumn="0" w:firstRowLastColumn="0" w:lastRowFirstColumn="0" w:lastRowLastColumn="0"/>
            <w:tcW w:w="1229" w:type="dxa"/>
          </w:tcPr>
          <w:p w14:paraId="39033365" w14:textId="710A05DB" w:rsidR="00DF6A23" w:rsidRPr="00847199" w:rsidRDefault="00DF6A23" w:rsidP="00DF6A23">
            <w:pPr>
              <w:spacing w:after="0"/>
              <w:rPr>
                <w:b w:val="0"/>
              </w:rPr>
            </w:pPr>
            <w:r w:rsidRPr="00847199">
              <w:rPr>
                <w:b w:val="0"/>
              </w:rPr>
              <w:t>2017</w:t>
            </w:r>
            <w:r w:rsidR="00CE66EF" w:rsidRPr="00CE66EF">
              <w:rPr>
                <w:b w:val="0"/>
              </w:rPr>
              <w:t>–</w:t>
            </w:r>
            <w:r w:rsidRPr="00847199">
              <w:rPr>
                <w:b w:val="0"/>
              </w:rPr>
              <w:t>18</w:t>
            </w:r>
          </w:p>
        </w:tc>
        <w:tc>
          <w:tcPr>
            <w:tcW w:w="999" w:type="dxa"/>
            <w:vAlign w:val="top"/>
          </w:tcPr>
          <w:p w14:paraId="4AD77585"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337</w:t>
            </w:r>
          </w:p>
        </w:tc>
        <w:tc>
          <w:tcPr>
            <w:tcW w:w="1369" w:type="dxa"/>
            <w:vAlign w:val="top"/>
          </w:tcPr>
          <w:p w14:paraId="46C44243"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176 (52%)</w:t>
            </w:r>
          </w:p>
        </w:tc>
        <w:tc>
          <w:tcPr>
            <w:tcW w:w="1273" w:type="dxa"/>
            <w:vAlign w:val="top"/>
          </w:tcPr>
          <w:p w14:paraId="722EE119"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245</w:t>
            </w:r>
          </w:p>
        </w:tc>
        <w:tc>
          <w:tcPr>
            <w:tcW w:w="1367" w:type="dxa"/>
            <w:vAlign w:val="top"/>
          </w:tcPr>
          <w:p w14:paraId="0B7E7758"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63 (26%)</w:t>
            </w:r>
          </w:p>
        </w:tc>
        <w:tc>
          <w:tcPr>
            <w:tcW w:w="1314" w:type="dxa"/>
            <w:vAlign w:val="top"/>
          </w:tcPr>
          <w:p w14:paraId="0DB516CE"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33</w:t>
            </w:r>
          </w:p>
        </w:tc>
        <w:tc>
          <w:tcPr>
            <w:tcW w:w="1475" w:type="dxa"/>
          </w:tcPr>
          <w:p w14:paraId="77389A46"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t>14 ($13,350)</w:t>
            </w:r>
          </w:p>
        </w:tc>
      </w:tr>
      <w:tr w:rsidR="00DF6A23" w14:paraId="2622F3A2" w14:textId="77777777" w:rsidTr="00DF6A23">
        <w:tc>
          <w:tcPr>
            <w:cnfStyle w:val="001000000000" w:firstRow="0" w:lastRow="0" w:firstColumn="1" w:lastColumn="0" w:oddVBand="0" w:evenVBand="0" w:oddHBand="0" w:evenHBand="0" w:firstRowFirstColumn="0" w:firstRowLastColumn="0" w:lastRowFirstColumn="0" w:lastRowLastColumn="0"/>
            <w:tcW w:w="1229" w:type="dxa"/>
          </w:tcPr>
          <w:p w14:paraId="3A0DEF38" w14:textId="288F8A7C" w:rsidR="00DF6A23" w:rsidRPr="00847199" w:rsidRDefault="00DF6A23" w:rsidP="00DF6A23">
            <w:pPr>
              <w:spacing w:after="0"/>
              <w:rPr>
                <w:b w:val="0"/>
              </w:rPr>
            </w:pPr>
            <w:r>
              <w:rPr>
                <w:b w:val="0"/>
              </w:rPr>
              <w:t>2018</w:t>
            </w:r>
            <w:r w:rsidR="00CE66EF" w:rsidRPr="00CE66EF">
              <w:rPr>
                <w:b w:val="0"/>
              </w:rPr>
              <w:t>–</w:t>
            </w:r>
            <w:r>
              <w:rPr>
                <w:b w:val="0"/>
              </w:rPr>
              <w:t>19</w:t>
            </w:r>
          </w:p>
        </w:tc>
        <w:tc>
          <w:tcPr>
            <w:tcW w:w="999" w:type="dxa"/>
            <w:vAlign w:val="top"/>
          </w:tcPr>
          <w:p w14:paraId="439F1800"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151</w:t>
            </w:r>
          </w:p>
        </w:tc>
        <w:tc>
          <w:tcPr>
            <w:tcW w:w="1369" w:type="dxa"/>
            <w:vAlign w:val="top"/>
          </w:tcPr>
          <w:p w14:paraId="49689DFA"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87 (58%)</w:t>
            </w:r>
          </w:p>
        </w:tc>
        <w:tc>
          <w:tcPr>
            <w:tcW w:w="1273" w:type="dxa"/>
            <w:vAlign w:val="top"/>
          </w:tcPr>
          <w:p w14:paraId="4D8161D3"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88</w:t>
            </w:r>
          </w:p>
        </w:tc>
        <w:tc>
          <w:tcPr>
            <w:tcW w:w="1367" w:type="dxa"/>
            <w:vAlign w:val="top"/>
          </w:tcPr>
          <w:p w14:paraId="7792CBF7"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29 (33%)</w:t>
            </w:r>
          </w:p>
        </w:tc>
        <w:tc>
          <w:tcPr>
            <w:tcW w:w="1314" w:type="dxa"/>
            <w:vAlign w:val="top"/>
          </w:tcPr>
          <w:p w14:paraId="55A7CDA6" w14:textId="77777777"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5</w:t>
            </w:r>
          </w:p>
        </w:tc>
        <w:tc>
          <w:tcPr>
            <w:tcW w:w="1475" w:type="dxa"/>
          </w:tcPr>
          <w:p w14:paraId="21892A28" w14:textId="77777777" w:rsidR="00DF6A23" w:rsidRDefault="00076D10" w:rsidP="00DF6A23">
            <w:pPr>
              <w:spacing w:after="0"/>
              <w:jc w:val="center"/>
              <w:cnfStyle w:val="000000000000" w:firstRow="0" w:lastRow="0" w:firstColumn="0" w:lastColumn="0" w:oddVBand="0" w:evenVBand="0" w:oddHBand="0" w:evenHBand="0" w:firstRowFirstColumn="0" w:firstRowLastColumn="0" w:lastRowFirstColumn="0" w:lastRowLastColumn="0"/>
            </w:pPr>
            <w:r>
              <w:t xml:space="preserve">4 </w:t>
            </w:r>
            <w:r w:rsidR="00247470">
              <w:t>($5250)</w:t>
            </w:r>
          </w:p>
        </w:tc>
      </w:tr>
    </w:tbl>
    <w:p w14:paraId="25E9630C" w14:textId="25C08E7D" w:rsidR="00A61312" w:rsidRPr="00A61312" w:rsidRDefault="00A61312" w:rsidP="00A61312">
      <w:r>
        <w:rPr>
          <w:rStyle w:val="Tabletitle"/>
        </w:rPr>
        <w:t>Breaches by enforcement action 201</w:t>
      </w:r>
      <w:r w:rsidR="00076D10">
        <w:rPr>
          <w:rStyle w:val="Tabletitle"/>
        </w:rPr>
        <w:t>8</w:t>
      </w:r>
      <w:r w:rsidR="00CE66EF">
        <w:rPr>
          <w:rStyle w:val="Tabletitle"/>
        </w:rPr>
        <w:t>–</w:t>
      </w:r>
      <w:r>
        <w:rPr>
          <w:rStyle w:val="Tabletitle"/>
        </w:rPr>
        <w:t>1</w:t>
      </w:r>
      <w:r w:rsidR="00076D10">
        <w:rPr>
          <w:rStyle w:val="Tabletitle"/>
        </w:rPr>
        <w:t>9</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A61312" w14:paraId="1FCC6EF5" w14:textId="77777777" w:rsidTr="00A6131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14:paraId="05898AFF" w14:textId="77777777" w:rsidR="00A61312" w:rsidRDefault="00A61312" w:rsidP="005C07E7">
            <w:pPr>
              <w:spacing w:after="0"/>
            </w:pPr>
            <w:r>
              <w:t>Enforcement action</w:t>
            </w:r>
          </w:p>
        </w:tc>
        <w:tc>
          <w:tcPr>
            <w:tcW w:w="1701" w:type="dxa"/>
          </w:tcPr>
          <w:p w14:paraId="08A5FEA1" w14:textId="77777777" w:rsidR="00A61312" w:rsidRDefault="00A61312" w:rsidP="00A61312">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14:paraId="63261D7C" w14:textId="77777777" w:rsidR="00A61312" w:rsidRDefault="00A61312" w:rsidP="00A61312">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14:paraId="48460453" w14:textId="77777777" w:rsidR="00A61312" w:rsidRDefault="00A61312" w:rsidP="00A61312">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14:paraId="4120BBAB" w14:textId="77777777" w:rsidR="00A61312" w:rsidRDefault="00A61312" w:rsidP="005C07E7">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076D10" w14:paraId="4A707DE6" w14:textId="77777777" w:rsidTr="00076D10">
        <w:tc>
          <w:tcPr>
            <w:cnfStyle w:val="001000000000" w:firstRow="0" w:lastRow="0" w:firstColumn="1" w:lastColumn="0" w:oddVBand="0" w:evenVBand="0" w:oddHBand="0" w:evenHBand="0" w:firstRowFirstColumn="0" w:firstRowLastColumn="0" w:lastRowFirstColumn="0" w:lastRowLastColumn="0"/>
            <w:tcW w:w="2268" w:type="dxa"/>
          </w:tcPr>
          <w:p w14:paraId="00C96CB2" w14:textId="77777777" w:rsidR="00076D10" w:rsidRPr="00847199" w:rsidRDefault="00076D10" w:rsidP="00076D10">
            <w:pPr>
              <w:spacing w:after="0"/>
              <w:rPr>
                <w:b w:val="0"/>
              </w:rPr>
            </w:pPr>
            <w:r>
              <w:rPr>
                <w:b w:val="0"/>
              </w:rPr>
              <w:t>Warning letter</w:t>
            </w:r>
          </w:p>
        </w:tc>
        <w:tc>
          <w:tcPr>
            <w:tcW w:w="1701" w:type="dxa"/>
            <w:vAlign w:val="top"/>
          </w:tcPr>
          <w:p w14:paraId="4A5BAB46"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A00EB8">
              <w:t>2</w:t>
            </w:r>
          </w:p>
        </w:tc>
        <w:tc>
          <w:tcPr>
            <w:tcW w:w="1843" w:type="dxa"/>
            <w:vAlign w:val="top"/>
          </w:tcPr>
          <w:p w14:paraId="39C688A1"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A00EB8">
              <w:t>8</w:t>
            </w:r>
          </w:p>
        </w:tc>
        <w:tc>
          <w:tcPr>
            <w:tcW w:w="1843" w:type="dxa"/>
            <w:vAlign w:val="top"/>
          </w:tcPr>
          <w:p w14:paraId="10745285"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A00EB8">
              <w:t>3</w:t>
            </w:r>
          </w:p>
        </w:tc>
        <w:tc>
          <w:tcPr>
            <w:tcW w:w="1417" w:type="dxa"/>
            <w:vAlign w:val="top"/>
          </w:tcPr>
          <w:p w14:paraId="598E7D79"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A00EB8">
              <w:t>2</w:t>
            </w:r>
          </w:p>
        </w:tc>
      </w:tr>
      <w:tr w:rsidR="00076D10" w14:paraId="40D613E9" w14:textId="77777777" w:rsidTr="00076D10">
        <w:tc>
          <w:tcPr>
            <w:cnfStyle w:val="001000000000" w:firstRow="0" w:lastRow="0" w:firstColumn="1" w:lastColumn="0" w:oddVBand="0" w:evenVBand="0" w:oddHBand="0" w:evenHBand="0" w:firstRowFirstColumn="0" w:firstRowLastColumn="0" w:lastRowFirstColumn="0" w:lastRowLastColumn="0"/>
            <w:tcW w:w="2268" w:type="dxa"/>
          </w:tcPr>
          <w:p w14:paraId="589AAC75" w14:textId="77777777" w:rsidR="00076D10" w:rsidRPr="00847199" w:rsidRDefault="00076D10" w:rsidP="00076D10">
            <w:pPr>
              <w:spacing w:after="0"/>
              <w:rPr>
                <w:b w:val="0"/>
              </w:rPr>
            </w:pPr>
            <w:r>
              <w:rPr>
                <w:b w:val="0"/>
              </w:rPr>
              <w:t>Infringement notice</w:t>
            </w:r>
          </w:p>
        </w:tc>
        <w:tc>
          <w:tcPr>
            <w:tcW w:w="1701" w:type="dxa"/>
            <w:vAlign w:val="top"/>
          </w:tcPr>
          <w:p w14:paraId="40D6DE6B"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A00EB8">
              <w:t>0</w:t>
            </w:r>
          </w:p>
        </w:tc>
        <w:tc>
          <w:tcPr>
            <w:tcW w:w="1843" w:type="dxa"/>
            <w:vAlign w:val="top"/>
          </w:tcPr>
          <w:p w14:paraId="0E1F8784"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A00EB8">
              <w:t>4</w:t>
            </w:r>
          </w:p>
        </w:tc>
        <w:tc>
          <w:tcPr>
            <w:tcW w:w="1843" w:type="dxa"/>
            <w:vAlign w:val="top"/>
          </w:tcPr>
          <w:p w14:paraId="6A9E81DB"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A00EB8">
              <w:t>0</w:t>
            </w:r>
          </w:p>
        </w:tc>
        <w:tc>
          <w:tcPr>
            <w:tcW w:w="1417" w:type="dxa"/>
            <w:vAlign w:val="top"/>
          </w:tcPr>
          <w:p w14:paraId="5DE8A385"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A00EB8">
              <w:t>1</w:t>
            </w:r>
          </w:p>
        </w:tc>
      </w:tr>
    </w:tbl>
    <w:p w14:paraId="6FC6AF61" w14:textId="77777777" w:rsidR="00847199" w:rsidRPr="00847199" w:rsidRDefault="00137AEC" w:rsidP="0097221E">
      <w:pPr>
        <w:pStyle w:val="Heading2"/>
      </w:pPr>
      <w:bookmarkStart w:id="14" w:name="_Toc32933801"/>
      <w:r>
        <w:t>Supermarkets</w:t>
      </w:r>
      <w:r w:rsidR="009E61EB" w:rsidRPr="00CE66EF">
        <w:rPr>
          <w:vertAlign w:val="superscript"/>
        </w:rPr>
        <w:t>*</w:t>
      </w:r>
      <w:bookmarkEnd w:id="14"/>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supermarket compliance and enforcement in previous years."/>
      </w:tblPr>
      <w:tblGrid>
        <w:gridCol w:w="1229"/>
        <w:gridCol w:w="999"/>
        <w:gridCol w:w="1369"/>
        <w:gridCol w:w="1273"/>
        <w:gridCol w:w="1369"/>
        <w:gridCol w:w="1312"/>
        <w:gridCol w:w="1475"/>
      </w:tblGrid>
      <w:tr w:rsidR="00847199" w14:paraId="65D16B5A" w14:textId="77777777" w:rsidTr="0097221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14:paraId="3442FEFF" w14:textId="77777777" w:rsidR="00847199" w:rsidRDefault="00847199" w:rsidP="0097221E">
            <w:pPr>
              <w:spacing w:after="0"/>
            </w:pPr>
            <w:r>
              <w:t>Year</w:t>
            </w:r>
          </w:p>
        </w:tc>
        <w:tc>
          <w:tcPr>
            <w:tcW w:w="999" w:type="dxa"/>
          </w:tcPr>
          <w:p w14:paraId="093D3FB4" w14:textId="77777777" w:rsidR="00847199" w:rsidRDefault="00847199" w:rsidP="0097221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14:paraId="0DC17F50" w14:textId="2B05EA17" w:rsidR="00847199" w:rsidRDefault="00847199" w:rsidP="0097221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14:paraId="533DC5E7" w14:textId="11CC3E19" w:rsidR="00847199" w:rsidRDefault="00847199" w:rsidP="0097221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14:paraId="03DDFE59" w14:textId="77777777" w:rsidR="00847199" w:rsidRDefault="00847199" w:rsidP="0097221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14:paraId="76733E1F" w14:textId="77777777" w:rsidR="00847199" w:rsidRDefault="00847199" w:rsidP="0097221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14:paraId="3E232864" w14:textId="77777777" w:rsidR="00847199" w:rsidRDefault="00847199" w:rsidP="0097221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076D10" w14:paraId="2C8915AB" w14:textId="77777777" w:rsidTr="00076D10">
        <w:tc>
          <w:tcPr>
            <w:cnfStyle w:val="001000000000" w:firstRow="0" w:lastRow="0" w:firstColumn="1" w:lastColumn="0" w:oddVBand="0" w:evenVBand="0" w:oddHBand="0" w:evenHBand="0" w:firstRowFirstColumn="0" w:firstRowLastColumn="0" w:lastRowFirstColumn="0" w:lastRowLastColumn="0"/>
            <w:tcW w:w="1229" w:type="dxa"/>
          </w:tcPr>
          <w:p w14:paraId="2E105288" w14:textId="67272A46" w:rsidR="00076D10" w:rsidRPr="00847199" w:rsidRDefault="00076D10" w:rsidP="00076D10">
            <w:pPr>
              <w:spacing w:after="0"/>
              <w:rPr>
                <w:b w:val="0"/>
              </w:rPr>
            </w:pPr>
            <w:r w:rsidRPr="00847199">
              <w:rPr>
                <w:b w:val="0"/>
              </w:rPr>
              <w:t>2016</w:t>
            </w:r>
            <w:r w:rsidR="00CE66EF">
              <w:rPr>
                <w:b w:val="0"/>
              </w:rPr>
              <w:t>–</w:t>
            </w:r>
            <w:r w:rsidRPr="00847199">
              <w:rPr>
                <w:b w:val="0"/>
              </w:rPr>
              <w:t>17</w:t>
            </w:r>
          </w:p>
        </w:tc>
        <w:tc>
          <w:tcPr>
            <w:tcW w:w="999" w:type="dxa"/>
            <w:vAlign w:val="top"/>
          </w:tcPr>
          <w:p w14:paraId="433B0864"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1432</w:t>
            </w:r>
          </w:p>
        </w:tc>
        <w:tc>
          <w:tcPr>
            <w:tcW w:w="1369" w:type="dxa"/>
            <w:vAlign w:val="top"/>
          </w:tcPr>
          <w:p w14:paraId="4ABDCE20"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529 (37%)</w:t>
            </w:r>
          </w:p>
        </w:tc>
        <w:tc>
          <w:tcPr>
            <w:tcW w:w="1273" w:type="dxa"/>
            <w:vAlign w:val="top"/>
          </w:tcPr>
          <w:p w14:paraId="6E998DBE" w14:textId="77777777" w:rsidR="00076D10" w:rsidRPr="0085285D"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489</w:t>
            </w:r>
          </w:p>
        </w:tc>
        <w:tc>
          <w:tcPr>
            <w:tcW w:w="1369" w:type="dxa"/>
            <w:vAlign w:val="top"/>
          </w:tcPr>
          <w:p w14:paraId="13DFB65A" w14:textId="77777777" w:rsidR="00076D10" w:rsidRPr="0085285D"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84 (17%)</w:t>
            </w:r>
          </w:p>
        </w:tc>
        <w:tc>
          <w:tcPr>
            <w:tcW w:w="1312" w:type="dxa"/>
            <w:vAlign w:val="top"/>
          </w:tcPr>
          <w:p w14:paraId="086345C8" w14:textId="77777777" w:rsidR="00076D10" w:rsidRPr="0085285D"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82</w:t>
            </w:r>
          </w:p>
        </w:tc>
        <w:tc>
          <w:tcPr>
            <w:tcW w:w="1475" w:type="dxa"/>
          </w:tcPr>
          <w:p w14:paraId="6378CE24"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t>24 ($24,300)</w:t>
            </w:r>
          </w:p>
        </w:tc>
      </w:tr>
      <w:tr w:rsidR="00076D10" w14:paraId="3E7A0887" w14:textId="77777777" w:rsidTr="00076D10">
        <w:tc>
          <w:tcPr>
            <w:cnfStyle w:val="001000000000" w:firstRow="0" w:lastRow="0" w:firstColumn="1" w:lastColumn="0" w:oddVBand="0" w:evenVBand="0" w:oddHBand="0" w:evenHBand="0" w:firstRowFirstColumn="0" w:firstRowLastColumn="0" w:lastRowFirstColumn="0" w:lastRowLastColumn="0"/>
            <w:tcW w:w="1229" w:type="dxa"/>
          </w:tcPr>
          <w:p w14:paraId="22110BC0" w14:textId="648DA99A" w:rsidR="00076D10" w:rsidRPr="00847199" w:rsidRDefault="00076D10" w:rsidP="00076D10">
            <w:pPr>
              <w:spacing w:after="0"/>
              <w:rPr>
                <w:b w:val="0"/>
              </w:rPr>
            </w:pPr>
            <w:r w:rsidRPr="00847199">
              <w:rPr>
                <w:b w:val="0"/>
              </w:rPr>
              <w:t>2017</w:t>
            </w:r>
            <w:r w:rsidR="00CE66EF">
              <w:rPr>
                <w:b w:val="0"/>
              </w:rPr>
              <w:t>–</w:t>
            </w:r>
            <w:r w:rsidRPr="00847199">
              <w:rPr>
                <w:b w:val="0"/>
              </w:rPr>
              <w:t>18</w:t>
            </w:r>
          </w:p>
        </w:tc>
        <w:tc>
          <w:tcPr>
            <w:tcW w:w="999" w:type="dxa"/>
            <w:vAlign w:val="top"/>
          </w:tcPr>
          <w:p w14:paraId="02FC9B4C"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1547</w:t>
            </w:r>
          </w:p>
        </w:tc>
        <w:tc>
          <w:tcPr>
            <w:tcW w:w="1369" w:type="dxa"/>
            <w:vAlign w:val="top"/>
          </w:tcPr>
          <w:p w14:paraId="2FDE5E38"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593 (38%)</w:t>
            </w:r>
          </w:p>
        </w:tc>
        <w:tc>
          <w:tcPr>
            <w:tcW w:w="1273" w:type="dxa"/>
            <w:vAlign w:val="top"/>
          </w:tcPr>
          <w:p w14:paraId="00D15940"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545</w:t>
            </w:r>
          </w:p>
        </w:tc>
        <w:tc>
          <w:tcPr>
            <w:tcW w:w="1369" w:type="dxa"/>
            <w:vAlign w:val="top"/>
          </w:tcPr>
          <w:p w14:paraId="7A599AA1"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101 (19%)</w:t>
            </w:r>
          </w:p>
        </w:tc>
        <w:tc>
          <w:tcPr>
            <w:tcW w:w="1312" w:type="dxa"/>
            <w:vAlign w:val="top"/>
          </w:tcPr>
          <w:p w14:paraId="5A8DFD09"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54</w:t>
            </w:r>
          </w:p>
        </w:tc>
        <w:tc>
          <w:tcPr>
            <w:tcW w:w="1475" w:type="dxa"/>
          </w:tcPr>
          <w:p w14:paraId="143132E4"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t>13 ($17,550)</w:t>
            </w:r>
          </w:p>
        </w:tc>
      </w:tr>
      <w:tr w:rsidR="00076D10" w14:paraId="57EDA671" w14:textId="77777777" w:rsidTr="00076D10">
        <w:tc>
          <w:tcPr>
            <w:cnfStyle w:val="001000000000" w:firstRow="0" w:lastRow="0" w:firstColumn="1" w:lastColumn="0" w:oddVBand="0" w:evenVBand="0" w:oddHBand="0" w:evenHBand="0" w:firstRowFirstColumn="0" w:firstRowLastColumn="0" w:lastRowFirstColumn="0" w:lastRowLastColumn="0"/>
            <w:tcW w:w="1229" w:type="dxa"/>
          </w:tcPr>
          <w:p w14:paraId="6AA6099E" w14:textId="29B0618C" w:rsidR="00076D10" w:rsidRPr="00847199" w:rsidRDefault="00076D10" w:rsidP="00076D10">
            <w:pPr>
              <w:spacing w:after="0"/>
              <w:rPr>
                <w:b w:val="0"/>
              </w:rPr>
            </w:pPr>
            <w:r>
              <w:rPr>
                <w:b w:val="0"/>
              </w:rPr>
              <w:t>2018</w:t>
            </w:r>
            <w:r w:rsidR="00CE66EF">
              <w:rPr>
                <w:b w:val="0"/>
              </w:rPr>
              <w:t>–</w:t>
            </w:r>
            <w:r>
              <w:rPr>
                <w:b w:val="0"/>
              </w:rPr>
              <w:t>19</w:t>
            </w:r>
          </w:p>
        </w:tc>
        <w:tc>
          <w:tcPr>
            <w:tcW w:w="999" w:type="dxa"/>
            <w:vAlign w:val="top"/>
          </w:tcPr>
          <w:p w14:paraId="7ECBE5C9"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2062</w:t>
            </w:r>
          </w:p>
        </w:tc>
        <w:tc>
          <w:tcPr>
            <w:tcW w:w="1369" w:type="dxa"/>
            <w:vAlign w:val="top"/>
          </w:tcPr>
          <w:p w14:paraId="6F3B45BB"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881 (43%)</w:t>
            </w:r>
          </w:p>
        </w:tc>
        <w:tc>
          <w:tcPr>
            <w:tcW w:w="1273" w:type="dxa"/>
            <w:vAlign w:val="top"/>
          </w:tcPr>
          <w:p w14:paraId="4FEEFE8F"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298</w:t>
            </w:r>
          </w:p>
        </w:tc>
        <w:tc>
          <w:tcPr>
            <w:tcW w:w="1369" w:type="dxa"/>
            <w:vAlign w:val="top"/>
          </w:tcPr>
          <w:p w14:paraId="1EA895E2"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59 (20%)</w:t>
            </w:r>
          </w:p>
        </w:tc>
        <w:tc>
          <w:tcPr>
            <w:tcW w:w="1312" w:type="dxa"/>
            <w:vAlign w:val="top"/>
          </w:tcPr>
          <w:p w14:paraId="448AC216"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522C5">
              <w:t>16</w:t>
            </w:r>
          </w:p>
        </w:tc>
        <w:tc>
          <w:tcPr>
            <w:tcW w:w="1475" w:type="dxa"/>
          </w:tcPr>
          <w:p w14:paraId="1A44AEAB"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t>11</w:t>
            </w:r>
            <w:r w:rsidR="00247470">
              <w:t xml:space="preserve"> ($12,600)</w:t>
            </w:r>
          </w:p>
        </w:tc>
      </w:tr>
    </w:tbl>
    <w:p w14:paraId="53173276" w14:textId="6E9B0136" w:rsidR="00A61312" w:rsidRPr="00A61312" w:rsidRDefault="00A61312" w:rsidP="00A61312">
      <w:r>
        <w:rPr>
          <w:rStyle w:val="Tabletitle"/>
        </w:rPr>
        <w:t>Breaches by enforcement action 201</w:t>
      </w:r>
      <w:r w:rsidR="00076D10">
        <w:rPr>
          <w:rStyle w:val="Tabletitle"/>
        </w:rPr>
        <w:t>8</w:t>
      </w:r>
      <w:r w:rsidR="00CE66EF">
        <w:rPr>
          <w:rStyle w:val="Tabletitle"/>
        </w:rPr>
        <w:t>–</w:t>
      </w:r>
      <w:r>
        <w:rPr>
          <w:rStyle w:val="Tabletitle"/>
        </w:rPr>
        <w:t>1</w:t>
      </w:r>
      <w:r w:rsidR="00076D10">
        <w:rPr>
          <w:rStyle w:val="Tabletitle"/>
        </w:rPr>
        <w:t>9</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nforcement actions."/>
      </w:tblPr>
      <w:tblGrid>
        <w:gridCol w:w="2268"/>
        <w:gridCol w:w="1701"/>
        <w:gridCol w:w="1843"/>
        <w:gridCol w:w="1843"/>
        <w:gridCol w:w="1417"/>
      </w:tblGrid>
      <w:tr w:rsidR="00A61312" w14:paraId="0DF5BD81" w14:textId="77777777" w:rsidTr="005C07E7">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14:paraId="3BF7CAE9" w14:textId="77777777" w:rsidR="00A61312" w:rsidRDefault="00A61312" w:rsidP="005C07E7">
            <w:pPr>
              <w:spacing w:after="0"/>
            </w:pPr>
            <w:r>
              <w:t>Enforcement action</w:t>
            </w:r>
          </w:p>
        </w:tc>
        <w:tc>
          <w:tcPr>
            <w:tcW w:w="1701" w:type="dxa"/>
          </w:tcPr>
          <w:p w14:paraId="2C3011A8" w14:textId="77777777" w:rsidR="00A61312" w:rsidRDefault="00A61312" w:rsidP="005C07E7">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14:paraId="4B2218AC" w14:textId="77777777" w:rsidR="00A61312" w:rsidRDefault="00A61312"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14:paraId="761952A0" w14:textId="77777777" w:rsidR="00A61312" w:rsidRDefault="00A61312"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14:paraId="4483C3A7" w14:textId="77777777" w:rsidR="00A61312" w:rsidRDefault="00A61312" w:rsidP="005C07E7">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076D10" w14:paraId="12F4802C" w14:textId="77777777" w:rsidTr="00076D10">
        <w:tc>
          <w:tcPr>
            <w:cnfStyle w:val="001000000000" w:firstRow="0" w:lastRow="0" w:firstColumn="1" w:lastColumn="0" w:oddVBand="0" w:evenVBand="0" w:oddHBand="0" w:evenHBand="0" w:firstRowFirstColumn="0" w:firstRowLastColumn="0" w:lastRowFirstColumn="0" w:lastRowLastColumn="0"/>
            <w:tcW w:w="2268" w:type="dxa"/>
          </w:tcPr>
          <w:p w14:paraId="2773BD8E" w14:textId="77777777" w:rsidR="00076D10" w:rsidRPr="00847199" w:rsidRDefault="00076D10" w:rsidP="00076D10">
            <w:pPr>
              <w:spacing w:after="0"/>
              <w:rPr>
                <w:b w:val="0"/>
              </w:rPr>
            </w:pPr>
            <w:r>
              <w:rPr>
                <w:b w:val="0"/>
              </w:rPr>
              <w:t>Warning letter</w:t>
            </w:r>
          </w:p>
        </w:tc>
        <w:tc>
          <w:tcPr>
            <w:tcW w:w="1701" w:type="dxa"/>
            <w:vAlign w:val="top"/>
          </w:tcPr>
          <w:p w14:paraId="1E3BB333"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B0B99">
              <w:t>0</w:t>
            </w:r>
          </w:p>
        </w:tc>
        <w:tc>
          <w:tcPr>
            <w:tcW w:w="1843" w:type="dxa"/>
            <w:vAlign w:val="top"/>
          </w:tcPr>
          <w:p w14:paraId="7356715C"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B0B99">
              <w:t>14</w:t>
            </w:r>
          </w:p>
        </w:tc>
        <w:tc>
          <w:tcPr>
            <w:tcW w:w="1843" w:type="dxa"/>
            <w:vAlign w:val="top"/>
          </w:tcPr>
          <w:p w14:paraId="5647BB59"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B0B99">
              <w:t>1</w:t>
            </w:r>
          </w:p>
        </w:tc>
        <w:tc>
          <w:tcPr>
            <w:tcW w:w="1417" w:type="dxa"/>
            <w:vAlign w:val="top"/>
          </w:tcPr>
          <w:p w14:paraId="18EB38F3"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B0B99">
              <w:t>7</w:t>
            </w:r>
          </w:p>
        </w:tc>
      </w:tr>
      <w:tr w:rsidR="00076D10" w14:paraId="72E8AD8F" w14:textId="77777777" w:rsidTr="00076D10">
        <w:tc>
          <w:tcPr>
            <w:cnfStyle w:val="001000000000" w:firstRow="0" w:lastRow="0" w:firstColumn="1" w:lastColumn="0" w:oddVBand="0" w:evenVBand="0" w:oddHBand="0" w:evenHBand="0" w:firstRowFirstColumn="0" w:firstRowLastColumn="0" w:lastRowFirstColumn="0" w:lastRowLastColumn="0"/>
            <w:tcW w:w="2268" w:type="dxa"/>
          </w:tcPr>
          <w:p w14:paraId="48E5CCCF" w14:textId="77777777" w:rsidR="00076D10" w:rsidRPr="00847199" w:rsidRDefault="00076D10" w:rsidP="00076D10">
            <w:pPr>
              <w:spacing w:after="0"/>
              <w:rPr>
                <w:b w:val="0"/>
              </w:rPr>
            </w:pPr>
            <w:r>
              <w:rPr>
                <w:b w:val="0"/>
              </w:rPr>
              <w:t>Infringement notice</w:t>
            </w:r>
          </w:p>
        </w:tc>
        <w:tc>
          <w:tcPr>
            <w:tcW w:w="1701" w:type="dxa"/>
            <w:vAlign w:val="top"/>
          </w:tcPr>
          <w:p w14:paraId="32EEFD36"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B0B99">
              <w:t>0</w:t>
            </w:r>
          </w:p>
        </w:tc>
        <w:tc>
          <w:tcPr>
            <w:tcW w:w="1843" w:type="dxa"/>
            <w:vAlign w:val="top"/>
          </w:tcPr>
          <w:p w14:paraId="1574DC8F"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B0B99">
              <w:t>11</w:t>
            </w:r>
          </w:p>
        </w:tc>
        <w:tc>
          <w:tcPr>
            <w:tcW w:w="1843" w:type="dxa"/>
            <w:vAlign w:val="top"/>
          </w:tcPr>
          <w:p w14:paraId="3F3E088E"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B0B99">
              <w:t>1</w:t>
            </w:r>
          </w:p>
        </w:tc>
        <w:tc>
          <w:tcPr>
            <w:tcW w:w="1417" w:type="dxa"/>
            <w:vAlign w:val="top"/>
          </w:tcPr>
          <w:p w14:paraId="49DB08AD" w14:textId="77777777" w:rsidR="00076D10" w:rsidRDefault="00076D10" w:rsidP="00076D10">
            <w:pPr>
              <w:spacing w:after="0"/>
              <w:jc w:val="center"/>
              <w:cnfStyle w:val="000000000000" w:firstRow="0" w:lastRow="0" w:firstColumn="0" w:lastColumn="0" w:oddVBand="0" w:evenVBand="0" w:oddHBand="0" w:evenHBand="0" w:firstRowFirstColumn="0" w:firstRowLastColumn="0" w:lastRowFirstColumn="0" w:lastRowLastColumn="0"/>
            </w:pPr>
            <w:r w:rsidRPr="003B0B99">
              <w:t>0</w:t>
            </w:r>
          </w:p>
        </w:tc>
      </w:tr>
    </w:tbl>
    <w:p w14:paraId="476D87BE" w14:textId="4B8A6E27" w:rsidR="00122E4D" w:rsidRPr="00FF5F77" w:rsidRDefault="003153BA" w:rsidP="00FF5F77">
      <w:pPr>
        <w:rPr>
          <w:rFonts w:asciiTheme="majorHAnsi" w:eastAsiaTheme="majorEastAsia" w:hAnsiTheme="majorHAnsi" w:cstheme="majorBidi"/>
          <w:b/>
          <w:bCs/>
          <w:color w:val="A6192E" w:themeColor="accent1"/>
          <w:sz w:val="26"/>
          <w:szCs w:val="26"/>
        </w:rPr>
      </w:pPr>
      <w:r w:rsidRPr="00FF5F77">
        <w:rPr>
          <w:b/>
          <w:vertAlign w:val="superscript"/>
        </w:rPr>
        <w:t>*</w:t>
      </w:r>
      <w:r w:rsidR="009E61EB" w:rsidRPr="00FF5F77">
        <w:t>NB: These figures do not include enforcement actions from the concentrated national audit program of major supermarkets in 2018</w:t>
      </w:r>
      <w:r w:rsidR="00CE66EF">
        <w:t>–</w:t>
      </w:r>
      <w:r w:rsidR="009E61EB" w:rsidRPr="00FF5F77">
        <w:t>19.</w:t>
      </w:r>
      <w:r w:rsidR="00122E4D">
        <w:br w:type="page"/>
      </w:r>
    </w:p>
    <w:p w14:paraId="4FFD528C" w14:textId="77777777" w:rsidR="0097221E" w:rsidRPr="00847199" w:rsidRDefault="000D14B8" w:rsidP="0097221E">
      <w:pPr>
        <w:pStyle w:val="Heading2"/>
      </w:pPr>
      <w:bookmarkStart w:id="15" w:name="_Toc32933802"/>
      <w:r>
        <w:lastRenderedPageBreak/>
        <w:t>M</w:t>
      </w:r>
      <w:r w:rsidR="00E13099" w:rsidRPr="00215A3C">
        <w:t xml:space="preserve">eat </w:t>
      </w:r>
      <w:r w:rsidR="00247470">
        <w:t>R</w:t>
      </w:r>
      <w:r w:rsidR="00E13099" w:rsidRPr="00215A3C">
        <w:t>et</w:t>
      </w:r>
      <w:r w:rsidR="00E13099">
        <w:t>ail</w:t>
      </w:r>
      <w:bookmarkEnd w:id="15"/>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meat retail compliance and enforcement in previous years."/>
      </w:tblPr>
      <w:tblGrid>
        <w:gridCol w:w="1229"/>
        <w:gridCol w:w="999"/>
        <w:gridCol w:w="1369"/>
        <w:gridCol w:w="1273"/>
        <w:gridCol w:w="1369"/>
        <w:gridCol w:w="1312"/>
        <w:gridCol w:w="1475"/>
      </w:tblGrid>
      <w:tr w:rsidR="0097221E" w14:paraId="103F9050" w14:textId="77777777" w:rsidTr="0097221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14:paraId="4454AC7C" w14:textId="77777777" w:rsidR="0097221E" w:rsidRDefault="0097221E" w:rsidP="0097221E">
            <w:pPr>
              <w:spacing w:after="0"/>
            </w:pPr>
            <w:r>
              <w:t>Year</w:t>
            </w:r>
          </w:p>
        </w:tc>
        <w:tc>
          <w:tcPr>
            <w:tcW w:w="999" w:type="dxa"/>
          </w:tcPr>
          <w:p w14:paraId="7F69F2E6"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14:paraId="1E986A4D"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14:paraId="5832D27B"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14:paraId="30C18F9A"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14:paraId="0CAED566"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14:paraId="2A3D645A"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9900F3" w14:paraId="37FDB254" w14:textId="77777777" w:rsidTr="006C3943">
        <w:tc>
          <w:tcPr>
            <w:cnfStyle w:val="001000000000" w:firstRow="0" w:lastRow="0" w:firstColumn="1" w:lastColumn="0" w:oddVBand="0" w:evenVBand="0" w:oddHBand="0" w:evenHBand="0" w:firstRowFirstColumn="0" w:firstRowLastColumn="0" w:lastRowFirstColumn="0" w:lastRowLastColumn="0"/>
            <w:tcW w:w="1229" w:type="dxa"/>
          </w:tcPr>
          <w:p w14:paraId="719008B4" w14:textId="18B099A0" w:rsidR="009900F3" w:rsidRPr="00847199" w:rsidRDefault="009900F3" w:rsidP="009900F3">
            <w:pPr>
              <w:spacing w:after="0"/>
              <w:rPr>
                <w:b w:val="0"/>
              </w:rPr>
            </w:pPr>
            <w:r w:rsidRPr="00847199">
              <w:rPr>
                <w:b w:val="0"/>
              </w:rPr>
              <w:t>2016</w:t>
            </w:r>
            <w:r w:rsidR="00CE66EF">
              <w:rPr>
                <w:b w:val="0"/>
              </w:rPr>
              <w:t>–</w:t>
            </w:r>
            <w:r w:rsidRPr="00847199">
              <w:rPr>
                <w:b w:val="0"/>
              </w:rPr>
              <w:t>17</w:t>
            </w:r>
          </w:p>
        </w:tc>
        <w:tc>
          <w:tcPr>
            <w:tcW w:w="999" w:type="dxa"/>
            <w:vAlign w:val="top"/>
          </w:tcPr>
          <w:p w14:paraId="3DAAD1B5"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827</w:t>
            </w:r>
          </w:p>
        </w:tc>
        <w:tc>
          <w:tcPr>
            <w:tcW w:w="1369" w:type="dxa"/>
            <w:vAlign w:val="top"/>
          </w:tcPr>
          <w:p w14:paraId="5D3BF162"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351 (42%)</w:t>
            </w:r>
          </w:p>
        </w:tc>
        <w:tc>
          <w:tcPr>
            <w:tcW w:w="1273" w:type="dxa"/>
            <w:vAlign w:val="top"/>
          </w:tcPr>
          <w:p w14:paraId="5FA81444" w14:textId="77777777" w:rsidR="009900F3" w:rsidRPr="0085285D"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342</w:t>
            </w:r>
          </w:p>
        </w:tc>
        <w:tc>
          <w:tcPr>
            <w:tcW w:w="1369" w:type="dxa"/>
            <w:vAlign w:val="top"/>
          </w:tcPr>
          <w:p w14:paraId="4E1E6279" w14:textId="77777777" w:rsidR="009900F3" w:rsidRPr="0085285D"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40 (12%)</w:t>
            </w:r>
          </w:p>
        </w:tc>
        <w:tc>
          <w:tcPr>
            <w:tcW w:w="1312" w:type="dxa"/>
            <w:vAlign w:val="top"/>
          </w:tcPr>
          <w:p w14:paraId="7EB499C4" w14:textId="77777777" w:rsidR="009900F3" w:rsidRPr="0085285D"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35</w:t>
            </w:r>
          </w:p>
        </w:tc>
        <w:tc>
          <w:tcPr>
            <w:tcW w:w="1475" w:type="dxa"/>
          </w:tcPr>
          <w:p w14:paraId="717BDDED"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t>5 ($4500)</w:t>
            </w:r>
          </w:p>
        </w:tc>
      </w:tr>
      <w:tr w:rsidR="009900F3" w14:paraId="05135F8F" w14:textId="77777777" w:rsidTr="006C3943">
        <w:tc>
          <w:tcPr>
            <w:cnfStyle w:val="001000000000" w:firstRow="0" w:lastRow="0" w:firstColumn="1" w:lastColumn="0" w:oddVBand="0" w:evenVBand="0" w:oddHBand="0" w:evenHBand="0" w:firstRowFirstColumn="0" w:firstRowLastColumn="0" w:lastRowFirstColumn="0" w:lastRowLastColumn="0"/>
            <w:tcW w:w="1229" w:type="dxa"/>
          </w:tcPr>
          <w:p w14:paraId="1AAF0348" w14:textId="4A023F3B" w:rsidR="009900F3" w:rsidRPr="00847199" w:rsidRDefault="009900F3" w:rsidP="009900F3">
            <w:pPr>
              <w:spacing w:after="0"/>
              <w:rPr>
                <w:b w:val="0"/>
              </w:rPr>
            </w:pPr>
            <w:r w:rsidRPr="00847199">
              <w:rPr>
                <w:b w:val="0"/>
              </w:rPr>
              <w:t>2017</w:t>
            </w:r>
            <w:r w:rsidR="00CE66EF">
              <w:rPr>
                <w:b w:val="0"/>
              </w:rPr>
              <w:t>–</w:t>
            </w:r>
            <w:r w:rsidRPr="00847199">
              <w:rPr>
                <w:b w:val="0"/>
              </w:rPr>
              <w:t>18</w:t>
            </w:r>
          </w:p>
        </w:tc>
        <w:tc>
          <w:tcPr>
            <w:tcW w:w="999" w:type="dxa"/>
            <w:vAlign w:val="top"/>
          </w:tcPr>
          <w:p w14:paraId="471D8E90"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856</w:t>
            </w:r>
          </w:p>
        </w:tc>
        <w:tc>
          <w:tcPr>
            <w:tcW w:w="1369" w:type="dxa"/>
            <w:vAlign w:val="top"/>
          </w:tcPr>
          <w:p w14:paraId="53F306FF"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418 (49%)</w:t>
            </w:r>
          </w:p>
        </w:tc>
        <w:tc>
          <w:tcPr>
            <w:tcW w:w="1273" w:type="dxa"/>
            <w:vAlign w:val="top"/>
          </w:tcPr>
          <w:p w14:paraId="2D6058ED"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414</w:t>
            </w:r>
          </w:p>
        </w:tc>
        <w:tc>
          <w:tcPr>
            <w:tcW w:w="1369" w:type="dxa"/>
            <w:vAlign w:val="top"/>
          </w:tcPr>
          <w:p w14:paraId="64405257"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61 (15%)</w:t>
            </w:r>
          </w:p>
        </w:tc>
        <w:tc>
          <w:tcPr>
            <w:tcW w:w="1312" w:type="dxa"/>
            <w:vAlign w:val="top"/>
          </w:tcPr>
          <w:p w14:paraId="12A3B012"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41</w:t>
            </w:r>
          </w:p>
        </w:tc>
        <w:tc>
          <w:tcPr>
            <w:tcW w:w="1475" w:type="dxa"/>
          </w:tcPr>
          <w:p w14:paraId="2CA65B90"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t>4 ($3900)</w:t>
            </w:r>
          </w:p>
        </w:tc>
      </w:tr>
      <w:tr w:rsidR="009900F3" w14:paraId="351DCFCF" w14:textId="77777777" w:rsidTr="006C3943">
        <w:tc>
          <w:tcPr>
            <w:cnfStyle w:val="001000000000" w:firstRow="0" w:lastRow="0" w:firstColumn="1" w:lastColumn="0" w:oddVBand="0" w:evenVBand="0" w:oddHBand="0" w:evenHBand="0" w:firstRowFirstColumn="0" w:firstRowLastColumn="0" w:lastRowFirstColumn="0" w:lastRowLastColumn="0"/>
            <w:tcW w:w="1229" w:type="dxa"/>
          </w:tcPr>
          <w:p w14:paraId="5345A5EC" w14:textId="53408570" w:rsidR="009900F3" w:rsidRPr="00847199" w:rsidRDefault="009900F3" w:rsidP="009900F3">
            <w:pPr>
              <w:spacing w:after="0"/>
              <w:rPr>
                <w:b w:val="0"/>
              </w:rPr>
            </w:pPr>
            <w:r>
              <w:rPr>
                <w:b w:val="0"/>
              </w:rPr>
              <w:t>2018</w:t>
            </w:r>
            <w:r w:rsidR="00CE66EF">
              <w:rPr>
                <w:b w:val="0"/>
              </w:rPr>
              <w:t>–</w:t>
            </w:r>
            <w:r>
              <w:rPr>
                <w:b w:val="0"/>
              </w:rPr>
              <w:t>19</w:t>
            </w:r>
          </w:p>
        </w:tc>
        <w:tc>
          <w:tcPr>
            <w:tcW w:w="999" w:type="dxa"/>
            <w:vAlign w:val="top"/>
          </w:tcPr>
          <w:p w14:paraId="31FB38AF"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467</w:t>
            </w:r>
          </w:p>
        </w:tc>
        <w:tc>
          <w:tcPr>
            <w:tcW w:w="1369" w:type="dxa"/>
            <w:vAlign w:val="top"/>
          </w:tcPr>
          <w:p w14:paraId="0DBA6546"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176 (38%)</w:t>
            </w:r>
          </w:p>
        </w:tc>
        <w:tc>
          <w:tcPr>
            <w:tcW w:w="1273" w:type="dxa"/>
            <w:vAlign w:val="top"/>
          </w:tcPr>
          <w:p w14:paraId="42CBDDC9"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161</w:t>
            </w:r>
          </w:p>
        </w:tc>
        <w:tc>
          <w:tcPr>
            <w:tcW w:w="1369" w:type="dxa"/>
            <w:vAlign w:val="top"/>
          </w:tcPr>
          <w:p w14:paraId="22083A11"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28 (17%)</w:t>
            </w:r>
          </w:p>
        </w:tc>
        <w:tc>
          <w:tcPr>
            <w:tcW w:w="1312" w:type="dxa"/>
            <w:vAlign w:val="top"/>
          </w:tcPr>
          <w:p w14:paraId="30A8740B"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0226FB">
              <w:t>8</w:t>
            </w:r>
          </w:p>
        </w:tc>
        <w:tc>
          <w:tcPr>
            <w:tcW w:w="1475" w:type="dxa"/>
          </w:tcPr>
          <w:p w14:paraId="4978A9FB"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t>6</w:t>
            </w:r>
            <w:r w:rsidR="00247470">
              <w:t xml:space="preserve"> ($7350)</w:t>
            </w:r>
          </w:p>
        </w:tc>
      </w:tr>
    </w:tbl>
    <w:p w14:paraId="53BA18EE" w14:textId="6D4BECB5" w:rsidR="00122E4D" w:rsidRPr="00A61312" w:rsidRDefault="00122E4D" w:rsidP="00122E4D">
      <w:r>
        <w:rPr>
          <w:rStyle w:val="Tabletitle"/>
        </w:rPr>
        <w:t>Breaches by enforcement action 201</w:t>
      </w:r>
      <w:r w:rsidR="006C3943">
        <w:rPr>
          <w:rStyle w:val="Tabletitle"/>
        </w:rPr>
        <w:t>8</w:t>
      </w:r>
      <w:r w:rsidR="00CE66EF">
        <w:rPr>
          <w:rStyle w:val="Tabletitle"/>
        </w:rPr>
        <w:t>–</w:t>
      </w:r>
      <w:r>
        <w:rPr>
          <w:rStyle w:val="Tabletitle"/>
        </w:rPr>
        <w:t>1</w:t>
      </w:r>
      <w:r w:rsidR="006C3943">
        <w:rPr>
          <w:rStyle w:val="Tabletitle"/>
        </w:rPr>
        <w:t>9</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122E4D" w14:paraId="1A4DF996" w14:textId="77777777" w:rsidTr="005C07E7">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14:paraId="255B4F69" w14:textId="77777777" w:rsidR="00122E4D" w:rsidRDefault="00122E4D" w:rsidP="005C07E7">
            <w:pPr>
              <w:spacing w:after="0"/>
            </w:pPr>
            <w:r>
              <w:t>Enforcement action</w:t>
            </w:r>
          </w:p>
        </w:tc>
        <w:tc>
          <w:tcPr>
            <w:tcW w:w="1701" w:type="dxa"/>
          </w:tcPr>
          <w:p w14:paraId="3B0226AB"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14:paraId="5C923873"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14:paraId="708C74CF"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14:paraId="576A0BA7"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6C3943" w14:paraId="09C99191" w14:textId="77777777" w:rsidTr="006C3943">
        <w:tc>
          <w:tcPr>
            <w:cnfStyle w:val="001000000000" w:firstRow="0" w:lastRow="0" w:firstColumn="1" w:lastColumn="0" w:oddVBand="0" w:evenVBand="0" w:oddHBand="0" w:evenHBand="0" w:firstRowFirstColumn="0" w:firstRowLastColumn="0" w:lastRowFirstColumn="0" w:lastRowLastColumn="0"/>
            <w:tcW w:w="2268" w:type="dxa"/>
          </w:tcPr>
          <w:p w14:paraId="3C6CA2E5" w14:textId="77777777" w:rsidR="006C3943" w:rsidRPr="00847199" w:rsidRDefault="006C3943" w:rsidP="006C3943">
            <w:pPr>
              <w:spacing w:after="0"/>
              <w:rPr>
                <w:b w:val="0"/>
              </w:rPr>
            </w:pPr>
            <w:r>
              <w:rPr>
                <w:b w:val="0"/>
              </w:rPr>
              <w:t>Warning letter</w:t>
            </w:r>
          </w:p>
        </w:tc>
        <w:tc>
          <w:tcPr>
            <w:tcW w:w="1701" w:type="dxa"/>
            <w:vAlign w:val="top"/>
          </w:tcPr>
          <w:p w14:paraId="2EB1F5E5"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8A368B">
              <w:t>0</w:t>
            </w:r>
          </w:p>
        </w:tc>
        <w:tc>
          <w:tcPr>
            <w:tcW w:w="1843" w:type="dxa"/>
            <w:vAlign w:val="top"/>
          </w:tcPr>
          <w:p w14:paraId="7C332FB3"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8A368B">
              <w:t>5</w:t>
            </w:r>
          </w:p>
        </w:tc>
        <w:tc>
          <w:tcPr>
            <w:tcW w:w="1843" w:type="dxa"/>
            <w:vAlign w:val="top"/>
          </w:tcPr>
          <w:p w14:paraId="52B9DA3E"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8A368B">
              <w:t>1</w:t>
            </w:r>
          </w:p>
        </w:tc>
        <w:tc>
          <w:tcPr>
            <w:tcW w:w="1417" w:type="dxa"/>
            <w:vAlign w:val="top"/>
          </w:tcPr>
          <w:p w14:paraId="3EF64BDF"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8A368B">
              <w:t>4</w:t>
            </w:r>
          </w:p>
        </w:tc>
      </w:tr>
      <w:tr w:rsidR="006C3943" w14:paraId="0FB964CE" w14:textId="77777777" w:rsidTr="006C3943">
        <w:tc>
          <w:tcPr>
            <w:cnfStyle w:val="001000000000" w:firstRow="0" w:lastRow="0" w:firstColumn="1" w:lastColumn="0" w:oddVBand="0" w:evenVBand="0" w:oddHBand="0" w:evenHBand="0" w:firstRowFirstColumn="0" w:firstRowLastColumn="0" w:lastRowFirstColumn="0" w:lastRowLastColumn="0"/>
            <w:tcW w:w="2268" w:type="dxa"/>
          </w:tcPr>
          <w:p w14:paraId="14E21C34" w14:textId="77777777" w:rsidR="006C3943" w:rsidRPr="00847199" w:rsidRDefault="006C3943" w:rsidP="006C3943">
            <w:pPr>
              <w:spacing w:after="0"/>
              <w:rPr>
                <w:b w:val="0"/>
              </w:rPr>
            </w:pPr>
            <w:r>
              <w:rPr>
                <w:b w:val="0"/>
              </w:rPr>
              <w:t>Infringement notice</w:t>
            </w:r>
          </w:p>
        </w:tc>
        <w:tc>
          <w:tcPr>
            <w:tcW w:w="1701" w:type="dxa"/>
            <w:vAlign w:val="top"/>
          </w:tcPr>
          <w:p w14:paraId="4160B708"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8A368B">
              <w:t>0</w:t>
            </w:r>
          </w:p>
        </w:tc>
        <w:tc>
          <w:tcPr>
            <w:tcW w:w="1843" w:type="dxa"/>
            <w:vAlign w:val="top"/>
          </w:tcPr>
          <w:p w14:paraId="365A73F7"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8A368B">
              <w:t>3</w:t>
            </w:r>
          </w:p>
        </w:tc>
        <w:tc>
          <w:tcPr>
            <w:tcW w:w="1843" w:type="dxa"/>
            <w:vAlign w:val="top"/>
          </w:tcPr>
          <w:p w14:paraId="471F9E33"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8A368B">
              <w:t>0</w:t>
            </w:r>
          </w:p>
        </w:tc>
        <w:tc>
          <w:tcPr>
            <w:tcW w:w="1417" w:type="dxa"/>
            <w:vAlign w:val="top"/>
          </w:tcPr>
          <w:p w14:paraId="2304F1B5"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8A368B">
              <w:t>4</w:t>
            </w:r>
          </w:p>
        </w:tc>
      </w:tr>
    </w:tbl>
    <w:p w14:paraId="565CE137" w14:textId="77777777" w:rsidR="0097221E" w:rsidRPr="00847199" w:rsidRDefault="000D14B8" w:rsidP="00122E4D">
      <w:pPr>
        <w:pStyle w:val="Heading2"/>
        <w:spacing w:before="0"/>
      </w:pPr>
      <w:bookmarkStart w:id="16" w:name="_Toc32933803"/>
      <w:r>
        <w:t>I</w:t>
      </w:r>
      <w:r w:rsidR="00E13099" w:rsidRPr="00215A3C">
        <w:t>mporter</w:t>
      </w:r>
      <w:bookmarkEnd w:id="16"/>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importer compliance and enforcement in previous years."/>
      </w:tblPr>
      <w:tblGrid>
        <w:gridCol w:w="1229"/>
        <w:gridCol w:w="999"/>
        <w:gridCol w:w="1369"/>
        <w:gridCol w:w="1273"/>
        <w:gridCol w:w="1369"/>
        <w:gridCol w:w="1312"/>
        <w:gridCol w:w="1475"/>
      </w:tblGrid>
      <w:tr w:rsidR="0097221E" w14:paraId="69EE127B" w14:textId="77777777" w:rsidTr="0097221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14:paraId="4438E587" w14:textId="77777777" w:rsidR="0097221E" w:rsidRDefault="0097221E" w:rsidP="0097221E">
            <w:pPr>
              <w:spacing w:after="0"/>
            </w:pPr>
            <w:r>
              <w:t>Year</w:t>
            </w:r>
          </w:p>
        </w:tc>
        <w:tc>
          <w:tcPr>
            <w:tcW w:w="999" w:type="dxa"/>
          </w:tcPr>
          <w:p w14:paraId="55CA511F"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14:paraId="4D96ED60"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14:paraId="321D50EB"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14:paraId="29B6276E"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14:paraId="4C137B8E"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14:paraId="2277D333"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9900F3" w14:paraId="2F9A79C4" w14:textId="77777777" w:rsidTr="006C3943">
        <w:tc>
          <w:tcPr>
            <w:cnfStyle w:val="001000000000" w:firstRow="0" w:lastRow="0" w:firstColumn="1" w:lastColumn="0" w:oddVBand="0" w:evenVBand="0" w:oddHBand="0" w:evenHBand="0" w:firstRowFirstColumn="0" w:firstRowLastColumn="0" w:lastRowFirstColumn="0" w:lastRowLastColumn="0"/>
            <w:tcW w:w="1229" w:type="dxa"/>
          </w:tcPr>
          <w:p w14:paraId="6D47F968" w14:textId="14C4BF7D" w:rsidR="009900F3" w:rsidRPr="00847199" w:rsidRDefault="009900F3" w:rsidP="009900F3">
            <w:pPr>
              <w:spacing w:after="0"/>
              <w:rPr>
                <w:b w:val="0"/>
              </w:rPr>
            </w:pPr>
            <w:r w:rsidRPr="00847199">
              <w:rPr>
                <w:b w:val="0"/>
              </w:rPr>
              <w:t>2016</w:t>
            </w:r>
            <w:r w:rsidR="00CE66EF">
              <w:rPr>
                <w:b w:val="0"/>
              </w:rPr>
              <w:t>–</w:t>
            </w:r>
            <w:r w:rsidRPr="00847199">
              <w:rPr>
                <w:b w:val="0"/>
              </w:rPr>
              <w:t>17</w:t>
            </w:r>
          </w:p>
        </w:tc>
        <w:tc>
          <w:tcPr>
            <w:tcW w:w="999" w:type="dxa"/>
            <w:vAlign w:val="top"/>
          </w:tcPr>
          <w:p w14:paraId="7D380D3A"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56</w:t>
            </w:r>
          </w:p>
        </w:tc>
        <w:tc>
          <w:tcPr>
            <w:tcW w:w="1369" w:type="dxa"/>
            <w:vAlign w:val="top"/>
          </w:tcPr>
          <w:p w14:paraId="6A607369"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24 (43%)</w:t>
            </w:r>
          </w:p>
        </w:tc>
        <w:tc>
          <w:tcPr>
            <w:tcW w:w="1273" w:type="dxa"/>
            <w:vAlign w:val="top"/>
          </w:tcPr>
          <w:p w14:paraId="11388167" w14:textId="77777777" w:rsidR="009900F3" w:rsidRPr="0017750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22</w:t>
            </w:r>
          </w:p>
        </w:tc>
        <w:tc>
          <w:tcPr>
            <w:tcW w:w="1369" w:type="dxa"/>
            <w:vAlign w:val="top"/>
          </w:tcPr>
          <w:p w14:paraId="3FC9025E" w14:textId="77777777" w:rsidR="009900F3" w:rsidRPr="0017750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5 (23%)</w:t>
            </w:r>
          </w:p>
        </w:tc>
        <w:tc>
          <w:tcPr>
            <w:tcW w:w="1312" w:type="dxa"/>
            <w:vAlign w:val="top"/>
          </w:tcPr>
          <w:p w14:paraId="1D6CA199" w14:textId="77777777" w:rsidR="009900F3" w:rsidRPr="0017750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8</w:t>
            </w:r>
          </w:p>
        </w:tc>
        <w:tc>
          <w:tcPr>
            <w:tcW w:w="1475" w:type="dxa"/>
          </w:tcPr>
          <w:p w14:paraId="6B802F10"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t>5 ($4500)</w:t>
            </w:r>
          </w:p>
        </w:tc>
      </w:tr>
      <w:tr w:rsidR="009900F3" w14:paraId="7997582C" w14:textId="77777777" w:rsidTr="006C3943">
        <w:tc>
          <w:tcPr>
            <w:cnfStyle w:val="001000000000" w:firstRow="0" w:lastRow="0" w:firstColumn="1" w:lastColumn="0" w:oddVBand="0" w:evenVBand="0" w:oddHBand="0" w:evenHBand="0" w:firstRowFirstColumn="0" w:firstRowLastColumn="0" w:lastRowFirstColumn="0" w:lastRowLastColumn="0"/>
            <w:tcW w:w="1229" w:type="dxa"/>
          </w:tcPr>
          <w:p w14:paraId="543E1EE8" w14:textId="5AF2C8E5" w:rsidR="009900F3" w:rsidRPr="00847199" w:rsidRDefault="009900F3" w:rsidP="009900F3">
            <w:pPr>
              <w:spacing w:after="0"/>
              <w:rPr>
                <w:b w:val="0"/>
              </w:rPr>
            </w:pPr>
            <w:r w:rsidRPr="00847199">
              <w:rPr>
                <w:b w:val="0"/>
              </w:rPr>
              <w:t>2017</w:t>
            </w:r>
            <w:r w:rsidR="00CE66EF">
              <w:rPr>
                <w:b w:val="0"/>
              </w:rPr>
              <w:t>–</w:t>
            </w:r>
            <w:r w:rsidRPr="00847199">
              <w:rPr>
                <w:b w:val="0"/>
              </w:rPr>
              <w:t>18</w:t>
            </w:r>
          </w:p>
        </w:tc>
        <w:tc>
          <w:tcPr>
            <w:tcW w:w="999" w:type="dxa"/>
            <w:vAlign w:val="top"/>
          </w:tcPr>
          <w:p w14:paraId="6E3487CA"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70</w:t>
            </w:r>
          </w:p>
        </w:tc>
        <w:tc>
          <w:tcPr>
            <w:tcW w:w="1369" w:type="dxa"/>
            <w:vAlign w:val="top"/>
          </w:tcPr>
          <w:p w14:paraId="704A4498"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33 (47%)</w:t>
            </w:r>
          </w:p>
        </w:tc>
        <w:tc>
          <w:tcPr>
            <w:tcW w:w="1273" w:type="dxa"/>
            <w:vAlign w:val="top"/>
          </w:tcPr>
          <w:p w14:paraId="6C3670EE"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20</w:t>
            </w:r>
          </w:p>
        </w:tc>
        <w:tc>
          <w:tcPr>
            <w:tcW w:w="1369" w:type="dxa"/>
            <w:vAlign w:val="top"/>
          </w:tcPr>
          <w:p w14:paraId="7F974215"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5 (25%)</w:t>
            </w:r>
          </w:p>
        </w:tc>
        <w:tc>
          <w:tcPr>
            <w:tcW w:w="1312" w:type="dxa"/>
            <w:vAlign w:val="top"/>
          </w:tcPr>
          <w:p w14:paraId="68CF27EC"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3</w:t>
            </w:r>
          </w:p>
        </w:tc>
        <w:tc>
          <w:tcPr>
            <w:tcW w:w="1475" w:type="dxa"/>
          </w:tcPr>
          <w:p w14:paraId="6E3B7228"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t>3 ($2850)</w:t>
            </w:r>
          </w:p>
        </w:tc>
      </w:tr>
      <w:tr w:rsidR="009900F3" w14:paraId="5CFFFB56" w14:textId="77777777" w:rsidTr="006C3943">
        <w:tc>
          <w:tcPr>
            <w:cnfStyle w:val="001000000000" w:firstRow="0" w:lastRow="0" w:firstColumn="1" w:lastColumn="0" w:oddVBand="0" w:evenVBand="0" w:oddHBand="0" w:evenHBand="0" w:firstRowFirstColumn="0" w:firstRowLastColumn="0" w:lastRowFirstColumn="0" w:lastRowLastColumn="0"/>
            <w:tcW w:w="1229" w:type="dxa"/>
          </w:tcPr>
          <w:p w14:paraId="3E1E82B3" w14:textId="2F11D2A8" w:rsidR="009900F3" w:rsidRPr="00847199" w:rsidRDefault="009900F3" w:rsidP="009900F3">
            <w:pPr>
              <w:spacing w:after="0"/>
              <w:rPr>
                <w:b w:val="0"/>
              </w:rPr>
            </w:pPr>
            <w:r>
              <w:rPr>
                <w:b w:val="0"/>
              </w:rPr>
              <w:t>2018</w:t>
            </w:r>
            <w:r w:rsidR="00CE66EF">
              <w:rPr>
                <w:b w:val="0"/>
              </w:rPr>
              <w:t>–</w:t>
            </w:r>
            <w:r>
              <w:rPr>
                <w:b w:val="0"/>
              </w:rPr>
              <w:t>19</w:t>
            </w:r>
          </w:p>
        </w:tc>
        <w:tc>
          <w:tcPr>
            <w:tcW w:w="999" w:type="dxa"/>
            <w:vAlign w:val="top"/>
          </w:tcPr>
          <w:p w14:paraId="3388EA77"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164</w:t>
            </w:r>
          </w:p>
        </w:tc>
        <w:tc>
          <w:tcPr>
            <w:tcW w:w="1369" w:type="dxa"/>
            <w:vAlign w:val="top"/>
          </w:tcPr>
          <w:p w14:paraId="26979E1D"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55 (34%)</w:t>
            </w:r>
          </w:p>
        </w:tc>
        <w:tc>
          <w:tcPr>
            <w:tcW w:w="1273" w:type="dxa"/>
            <w:vAlign w:val="top"/>
          </w:tcPr>
          <w:p w14:paraId="219991EF"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32</w:t>
            </w:r>
          </w:p>
        </w:tc>
        <w:tc>
          <w:tcPr>
            <w:tcW w:w="1369" w:type="dxa"/>
            <w:vAlign w:val="top"/>
          </w:tcPr>
          <w:p w14:paraId="1B8037AC"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7 (22%)</w:t>
            </w:r>
          </w:p>
        </w:tc>
        <w:tc>
          <w:tcPr>
            <w:tcW w:w="1312" w:type="dxa"/>
            <w:vAlign w:val="top"/>
          </w:tcPr>
          <w:p w14:paraId="20E47DA7"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8313D9">
              <w:t>12</w:t>
            </w:r>
          </w:p>
        </w:tc>
        <w:tc>
          <w:tcPr>
            <w:tcW w:w="1475" w:type="dxa"/>
          </w:tcPr>
          <w:p w14:paraId="78B54409" w14:textId="77777777" w:rsidR="009900F3" w:rsidRDefault="009900F3" w:rsidP="00247470">
            <w:pPr>
              <w:spacing w:after="0"/>
              <w:jc w:val="center"/>
              <w:cnfStyle w:val="000000000000" w:firstRow="0" w:lastRow="0" w:firstColumn="0" w:lastColumn="0" w:oddVBand="0" w:evenVBand="0" w:oddHBand="0" w:evenHBand="0" w:firstRowFirstColumn="0" w:firstRowLastColumn="0" w:lastRowFirstColumn="0" w:lastRowLastColumn="0"/>
            </w:pPr>
            <w:r>
              <w:t>4</w:t>
            </w:r>
            <w:r w:rsidR="00247470">
              <w:t xml:space="preserve"> ($4200)</w:t>
            </w:r>
          </w:p>
        </w:tc>
      </w:tr>
    </w:tbl>
    <w:p w14:paraId="635A0C00" w14:textId="59CB4C39" w:rsidR="00122E4D" w:rsidRPr="00A61312" w:rsidRDefault="00122E4D" w:rsidP="00122E4D">
      <w:r>
        <w:rPr>
          <w:rStyle w:val="Tabletitle"/>
        </w:rPr>
        <w:t>Breaches by enforcement action 201</w:t>
      </w:r>
      <w:r w:rsidR="006C3943">
        <w:rPr>
          <w:rStyle w:val="Tabletitle"/>
        </w:rPr>
        <w:t>8</w:t>
      </w:r>
      <w:r w:rsidR="00CE66EF">
        <w:rPr>
          <w:rStyle w:val="Tabletitle"/>
        </w:rPr>
        <w:t>–</w:t>
      </w:r>
      <w:r>
        <w:rPr>
          <w:rStyle w:val="Tabletitle"/>
        </w:rPr>
        <w:t>1</w:t>
      </w:r>
      <w:r w:rsidR="006C3943">
        <w:rPr>
          <w:rStyle w:val="Tabletitle"/>
        </w:rPr>
        <w:t>9</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122E4D" w14:paraId="22DCE819" w14:textId="77777777" w:rsidTr="005C07E7">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14:paraId="108B3C36" w14:textId="77777777" w:rsidR="00122E4D" w:rsidRDefault="00122E4D" w:rsidP="005C07E7">
            <w:pPr>
              <w:spacing w:after="0"/>
            </w:pPr>
            <w:r>
              <w:t>Enforcement action</w:t>
            </w:r>
          </w:p>
        </w:tc>
        <w:tc>
          <w:tcPr>
            <w:tcW w:w="1701" w:type="dxa"/>
          </w:tcPr>
          <w:p w14:paraId="48919FC9"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14:paraId="15ABB664"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14:paraId="7780E208"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14:paraId="266C4697"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6C3943" w14:paraId="744A6064" w14:textId="77777777" w:rsidTr="006C3943">
        <w:tc>
          <w:tcPr>
            <w:cnfStyle w:val="001000000000" w:firstRow="0" w:lastRow="0" w:firstColumn="1" w:lastColumn="0" w:oddVBand="0" w:evenVBand="0" w:oddHBand="0" w:evenHBand="0" w:firstRowFirstColumn="0" w:firstRowLastColumn="0" w:lastRowFirstColumn="0" w:lastRowLastColumn="0"/>
            <w:tcW w:w="2268" w:type="dxa"/>
          </w:tcPr>
          <w:p w14:paraId="0FC0C760" w14:textId="77777777" w:rsidR="006C3943" w:rsidRPr="00847199" w:rsidRDefault="006C3943" w:rsidP="006C3943">
            <w:pPr>
              <w:spacing w:after="0"/>
              <w:rPr>
                <w:b w:val="0"/>
              </w:rPr>
            </w:pPr>
            <w:r>
              <w:rPr>
                <w:b w:val="0"/>
              </w:rPr>
              <w:t>Warning letter</w:t>
            </w:r>
          </w:p>
        </w:tc>
        <w:tc>
          <w:tcPr>
            <w:tcW w:w="1701" w:type="dxa"/>
            <w:vAlign w:val="top"/>
          </w:tcPr>
          <w:p w14:paraId="71AD5B81"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AA56AD">
              <w:t>0</w:t>
            </w:r>
          </w:p>
        </w:tc>
        <w:tc>
          <w:tcPr>
            <w:tcW w:w="1843" w:type="dxa"/>
            <w:vAlign w:val="top"/>
          </w:tcPr>
          <w:p w14:paraId="229C5575"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AA56AD">
              <w:t>41</w:t>
            </w:r>
          </w:p>
        </w:tc>
        <w:tc>
          <w:tcPr>
            <w:tcW w:w="1843" w:type="dxa"/>
            <w:vAlign w:val="top"/>
          </w:tcPr>
          <w:p w14:paraId="62872B10"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AA56AD">
              <w:t>1</w:t>
            </w:r>
          </w:p>
        </w:tc>
        <w:tc>
          <w:tcPr>
            <w:tcW w:w="1417" w:type="dxa"/>
            <w:vAlign w:val="top"/>
          </w:tcPr>
          <w:p w14:paraId="768C028A"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AA56AD">
              <w:t>0</w:t>
            </w:r>
          </w:p>
        </w:tc>
      </w:tr>
      <w:tr w:rsidR="006C3943" w14:paraId="10FAA2B3" w14:textId="77777777" w:rsidTr="006C3943">
        <w:tc>
          <w:tcPr>
            <w:cnfStyle w:val="001000000000" w:firstRow="0" w:lastRow="0" w:firstColumn="1" w:lastColumn="0" w:oddVBand="0" w:evenVBand="0" w:oddHBand="0" w:evenHBand="0" w:firstRowFirstColumn="0" w:firstRowLastColumn="0" w:lastRowFirstColumn="0" w:lastRowLastColumn="0"/>
            <w:tcW w:w="2268" w:type="dxa"/>
          </w:tcPr>
          <w:p w14:paraId="6460CAB2" w14:textId="77777777" w:rsidR="006C3943" w:rsidRPr="00847199" w:rsidRDefault="006C3943" w:rsidP="006C3943">
            <w:pPr>
              <w:spacing w:after="0"/>
              <w:rPr>
                <w:b w:val="0"/>
              </w:rPr>
            </w:pPr>
            <w:r>
              <w:rPr>
                <w:b w:val="0"/>
              </w:rPr>
              <w:t>Infringement notice</w:t>
            </w:r>
          </w:p>
        </w:tc>
        <w:tc>
          <w:tcPr>
            <w:tcW w:w="1701" w:type="dxa"/>
            <w:vAlign w:val="top"/>
          </w:tcPr>
          <w:p w14:paraId="704CFDEE"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AA56AD">
              <w:t>0</w:t>
            </w:r>
          </w:p>
        </w:tc>
        <w:tc>
          <w:tcPr>
            <w:tcW w:w="1843" w:type="dxa"/>
            <w:vAlign w:val="top"/>
          </w:tcPr>
          <w:p w14:paraId="54B6898C"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AA56AD">
              <w:t>4</w:t>
            </w:r>
          </w:p>
        </w:tc>
        <w:tc>
          <w:tcPr>
            <w:tcW w:w="1843" w:type="dxa"/>
            <w:vAlign w:val="top"/>
          </w:tcPr>
          <w:p w14:paraId="79C7A3E3"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AA56AD">
              <w:t>0</w:t>
            </w:r>
          </w:p>
        </w:tc>
        <w:tc>
          <w:tcPr>
            <w:tcW w:w="1417" w:type="dxa"/>
            <w:vAlign w:val="top"/>
          </w:tcPr>
          <w:p w14:paraId="7AE7281C"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sidRPr="00AA56AD">
              <w:t>0</w:t>
            </w:r>
          </w:p>
        </w:tc>
      </w:tr>
    </w:tbl>
    <w:p w14:paraId="7A406F7C" w14:textId="77777777" w:rsidR="00D65C88" w:rsidRDefault="00D65C88" w:rsidP="004F4DBC"/>
    <w:p w14:paraId="1501ECAC" w14:textId="77777777" w:rsidR="00D65C88" w:rsidRDefault="00D65C88">
      <w:pPr>
        <w:spacing w:after="200"/>
        <w:rPr>
          <w:rFonts w:asciiTheme="majorHAnsi" w:eastAsiaTheme="majorEastAsia" w:hAnsiTheme="majorHAnsi" w:cstheme="majorBidi"/>
          <w:b/>
          <w:bCs/>
          <w:color w:val="A6192E" w:themeColor="accent1"/>
          <w:sz w:val="26"/>
          <w:szCs w:val="26"/>
        </w:rPr>
      </w:pPr>
      <w:r>
        <w:br w:type="page"/>
      </w:r>
    </w:p>
    <w:p w14:paraId="05E14972" w14:textId="77777777" w:rsidR="00247470" w:rsidRPr="00847199" w:rsidRDefault="00247470" w:rsidP="00247470">
      <w:pPr>
        <w:pStyle w:val="Heading2"/>
        <w:spacing w:before="0"/>
      </w:pPr>
      <w:bookmarkStart w:id="17" w:name="_Toc32933804"/>
      <w:r>
        <w:lastRenderedPageBreak/>
        <w:t>Seafood Retail</w:t>
      </w:r>
      <w:bookmarkEnd w:id="17"/>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seafood retail compliance and enforcement in previous years."/>
      </w:tblPr>
      <w:tblGrid>
        <w:gridCol w:w="1229"/>
        <w:gridCol w:w="999"/>
        <w:gridCol w:w="1369"/>
        <w:gridCol w:w="1273"/>
        <w:gridCol w:w="1369"/>
        <w:gridCol w:w="1312"/>
        <w:gridCol w:w="1475"/>
      </w:tblGrid>
      <w:tr w:rsidR="00247470" w14:paraId="7114A791" w14:textId="77777777" w:rsidTr="006648C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14:paraId="2ECB4E6A" w14:textId="77777777" w:rsidR="00247470" w:rsidRDefault="00247470" w:rsidP="006648C2">
            <w:pPr>
              <w:spacing w:after="0"/>
            </w:pPr>
            <w:r>
              <w:t>Year</w:t>
            </w:r>
          </w:p>
        </w:tc>
        <w:tc>
          <w:tcPr>
            <w:tcW w:w="999" w:type="dxa"/>
          </w:tcPr>
          <w:p w14:paraId="488C1498"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14:paraId="40FEEE20"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14:paraId="0F02127A"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14:paraId="5D8B856C"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14:paraId="4C8A556D"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14:paraId="71FC2497"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247470" w14:paraId="6CDF2453" w14:textId="77777777" w:rsidTr="00247470">
        <w:tc>
          <w:tcPr>
            <w:cnfStyle w:val="001000000000" w:firstRow="0" w:lastRow="0" w:firstColumn="1" w:lastColumn="0" w:oddVBand="0" w:evenVBand="0" w:oddHBand="0" w:evenHBand="0" w:firstRowFirstColumn="0" w:firstRowLastColumn="0" w:lastRowFirstColumn="0" w:lastRowLastColumn="0"/>
            <w:tcW w:w="1229" w:type="dxa"/>
          </w:tcPr>
          <w:p w14:paraId="406D697A" w14:textId="673814B3" w:rsidR="00247470" w:rsidRPr="00847199" w:rsidRDefault="00247470" w:rsidP="00247470">
            <w:pPr>
              <w:spacing w:after="0"/>
              <w:rPr>
                <w:b w:val="0"/>
              </w:rPr>
            </w:pPr>
            <w:r w:rsidRPr="00847199">
              <w:rPr>
                <w:b w:val="0"/>
              </w:rPr>
              <w:t>2016</w:t>
            </w:r>
            <w:r w:rsidR="00CE66EF">
              <w:rPr>
                <w:b w:val="0"/>
              </w:rPr>
              <w:t>–</w:t>
            </w:r>
            <w:r w:rsidRPr="00847199">
              <w:rPr>
                <w:b w:val="0"/>
              </w:rPr>
              <w:t>17</w:t>
            </w:r>
          </w:p>
        </w:tc>
        <w:tc>
          <w:tcPr>
            <w:tcW w:w="999" w:type="dxa"/>
            <w:vAlign w:val="top"/>
          </w:tcPr>
          <w:p w14:paraId="40743447"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185</w:t>
            </w:r>
          </w:p>
        </w:tc>
        <w:tc>
          <w:tcPr>
            <w:tcW w:w="1369" w:type="dxa"/>
            <w:vAlign w:val="top"/>
          </w:tcPr>
          <w:p w14:paraId="45066228"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72 (39%)</w:t>
            </w:r>
          </w:p>
        </w:tc>
        <w:tc>
          <w:tcPr>
            <w:tcW w:w="1273" w:type="dxa"/>
            <w:vAlign w:val="top"/>
          </w:tcPr>
          <w:p w14:paraId="20F0749F" w14:textId="77777777" w:rsidR="00247470" w:rsidRPr="00177503"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69</w:t>
            </w:r>
          </w:p>
        </w:tc>
        <w:tc>
          <w:tcPr>
            <w:tcW w:w="1369" w:type="dxa"/>
            <w:vAlign w:val="top"/>
          </w:tcPr>
          <w:p w14:paraId="43B6B44E" w14:textId="77777777" w:rsidR="00247470" w:rsidRPr="00177503"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15 (22%)</w:t>
            </w:r>
          </w:p>
        </w:tc>
        <w:tc>
          <w:tcPr>
            <w:tcW w:w="1312" w:type="dxa"/>
            <w:vAlign w:val="top"/>
          </w:tcPr>
          <w:p w14:paraId="532FE52F" w14:textId="77777777" w:rsidR="00247470" w:rsidRPr="00177503"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12</w:t>
            </w:r>
          </w:p>
        </w:tc>
        <w:tc>
          <w:tcPr>
            <w:tcW w:w="1475" w:type="dxa"/>
            <w:vAlign w:val="top"/>
          </w:tcPr>
          <w:p w14:paraId="6F781589"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w:t>
            </w:r>
            <w:r w:rsidR="007A42C5">
              <w:t xml:space="preserve"> ($900)</w:t>
            </w:r>
          </w:p>
        </w:tc>
      </w:tr>
      <w:tr w:rsidR="00247470" w14:paraId="762B66A2" w14:textId="77777777" w:rsidTr="00247470">
        <w:tc>
          <w:tcPr>
            <w:cnfStyle w:val="001000000000" w:firstRow="0" w:lastRow="0" w:firstColumn="1" w:lastColumn="0" w:oddVBand="0" w:evenVBand="0" w:oddHBand="0" w:evenHBand="0" w:firstRowFirstColumn="0" w:firstRowLastColumn="0" w:lastRowFirstColumn="0" w:lastRowLastColumn="0"/>
            <w:tcW w:w="1229" w:type="dxa"/>
          </w:tcPr>
          <w:p w14:paraId="47817239" w14:textId="6D7F09BD" w:rsidR="00247470" w:rsidRPr="00847199" w:rsidRDefault="00247470" w:rsidP="00247470">
            <w:pPr>
              <w:spacing w:after="0"/>
              <w:rPr>
                <w:b w:val="0"/>
              </w:rPr>
            </w:pPr>
            <w:r w:rsidRPr="00847199">
              <w:rPr>
                <w:b w:val="0"/>
              </w:rPr>
              <w:t>2017</w:t>
            </w:r>
            <w:r w:rsidR="00CE66EF">
              <w:rPr>
                <w:b w:val="0"/>
              </w:rPr>
              <w:t>–</w:t>
            </w:r>
            <w:r w:rsidRPr="00847199">
              <w:rPr>
                <w:b w:val="0"/>
              </w:rPr>
              <w:t>18</w:t>
            </w:r>
          </w:p>
        </w:tc>
        <w:tc>
          <w:tcPr>
            <w:tcW w:w="999" w:type="dxa"/>
            <w:vAlign w:val="top"/>
          </w:tcPr>
          <w:p w14:paraId="4C07C81A"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191</w:t>
            </w:r>
          </w:p>
        </w:tc>
        <w:tc>
          <w:tcPr>
            <w:tcW w:w="1369" w:type="dxa"/>
            <w:vAlign w:val="top"/>
          </w:tcPr>
          <w:p w14:paraId="61946DA7"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101 (53%)</w:t>
            </w:r>
          </w:p>
        </w:tc>
        <w:tc>
          <w:tcPr>
            <w:tcW w:w="1273" w:type="dxa"/>
            <w:vAlign w:val="top"/>
          </w:tcPr>
          <w:p w14:paraId="163F8234"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92</w:t>
            </w:r>
          </w:p>
        </w:tc>
        <w:tc>
          <w:tcPr>
            <w:tcW w:w="1369" w:type="dxa"/>
            <w:vAlign w:val="top"/>
          </w:tcPr>
          <w:p w14:paraId="1D72B2E6"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20 (22%)</w:t>
            </w:r>
          </w:p>
        </w:tc>
        <w:tc>
          <w:tcPr>
            <w:tcW w:w="1312" w:type="dxa"/>
            <w:vAlign w:val="top"/>
          </w:tcPr>
          <w:p w14:paraId="5445E943"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5</w:t>
            </w:r>
          </w:p>
        </w:tc>
        <w:tc>
          <w:tcPr>
            <w:tcW w:w="1475" w:type="dxa"/>
            <w:vAlign w:val="top"/>
          </w:tcPr>
          <w:p w14:paraId="191282AA"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0</w:t>
            </w:r>
          </w:p>
        </w:tc>
      </w:tr>
      <w:tr w:rsidR="00247470" w14:paraId="01F5E5FF" w14:textId="77777777" w:rsidTr="00247470">
        <w:tc>
          <w:tcPr>
            <w:cnfStyle w:val="001000000000" w:firstRow="0" w:lastRow="0" w:firstColumn="1" w:lastColumn="0" w:oddVBand="0" w:evenVBand="0" w:oddHBand="0" w:evenHBand="0" w:firstRowFirstColumn="0" w:firstRowLastColumn="0" w:lastRowFirstColumn="0" w:lastRowLastColumn="0"/>
            <w:tcW w:w="1229" w:type="dxa"/>
          </w:tcPr>
          <w:p w14:paraId="7A0D3B80" w14:textId="3DA59B62" w:rsidR="00247470" w:rsidRPr="00847199" w:rsidRDefault="00247470" w:rsidP="00247470">
            <w:pPr>
              <w:spacing w:after="0"/>
              <w:rPr>
                <w:b w:val="0"/>
              </w:rPr>
            </w:pPr>
            <w:r>
              <w:rPr>
                <w:b w:val="0"/>
              </w:rPr>
              <w:t>2018</w:t>
            </w:r>
            <w:r w:rsidR="00CE66EF">
              <w:rPr>
                <w:b w:val="0"/>
              </w:rPr>
              <w:t>–</w:t>
            </w:r>
            <w:r>
              <w:rPr>
                <w:b w:val="0"/>
              </w:rPr>
              <w:t>19</w:t>
            </w:r>
          </w:p>
        </w:tc>
        <w:tc>
          <w:tcPr>
            <w:tcW w:w="999" w:type="dxa"/>
            <w:vAlign w:val="top"/>
          </w:tcPr>
          <w:p w14:paraId="68B09801"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116</w:t>
            </w:r>
          </w:p>
        </w:tc>
        <w:tc>
          <w:tcPr>
            <w:tcW w:w="1369" w:type="dxa"/>
            <w:vAlign w:val="top"/>
          </w:tcPr>
          <w:p w14:paraId="59C45DF7"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53 (46%)</w:t>
            </w:r>
          </w:p>
        </w:tc>
        <w:tc>
          <w:tcPr>
            <w:tcW w:w="1273" w:type="dxa"/>
            <w:vAlign w:val="top"/>
          </w:tcPr>
          <w:p w14:paraId="5D55B361"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48</w:t>
            </w:r>
          </w:p>
        </w:tc>
        <w:tc>
          <w:tcPr>
            <w:tcW w:w="1369" w:type="dxa"/>
            <w:vAlign w:val="top"/>
          </w:tcPr>
          <w:p w14:paraId="3BCF8A99"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6 (13%)</w:t>
            </w:r>
          </w:p>
        </w:tc>
        <w:tc>
          <w:tcPr>
            <w:tcW w:w="1312" w:type="dxa"/>
            <w:vAlign w:val="top"/>
          </w:tcPr>
          <w:p w14:paraId="2404DAD0"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5</w:t>
            </w:r>
          </w:p>
        </w:tc>
        <w:tc>
          <w:tcPr>
            <w:tcW w:w="1475" w:type="dxa"/>
            <w:vAlign w:val="top"/>
          </w:tcPr>
          <w:p w14:paraId="694B1F1F" w14:textId="77777777"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w:t>
            </w:r>
            <w:r w:rsidR="007A42C5">
              <w:t xml:space="preserve"> ($1050)</w:t>
            </w:r>
          </w:p>
        </w:tc>
      </w:tr>
    </w:tbl>
    <w:p w14:paraId="5185132B" w14:textId="1546E508" w:rsidR="00247470" w:rsidRPr="00A61312" w:rsidRDefault="00247470" w:rsidP="00247470">
      <w:r>
        <w:rPr>
          <w:rStyle w:val="Tabletitle"/>
        </w:rPr>
        <w:t>Breaches by enforcement action 2018</w:t>
      </w:r>
      <w:r w:rsidR="00CE66EF">
        <w:rPr>
          <w:rStyle w:val="Tabletitle"/>
        </w:rPr>
        <w:t>–</w:t>
      </w:r>
      <w:r>
        <w:rPr>
          <w:rStyle w:val="Tabletitle"/>
        </w:rPr>
        <w:t>19</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247470" w14:paraId="7CCE9464" w14:textId="77777777" w:rsidTr="006648C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14:paraId="793D46EA" w14:textId="77777777" w:rsidR="00247470" w:rsidRDefault="00247470" w:rsidP="006648C2">
            <w:pPr>
              <w:spacing w:after="0"/>
            </w:pPr>
            <w:r>
              <w:t>Enforcement action</w:t>
            </w:r>
          </w:p>
        </w:tc>
        <w:tc>
          <w:tcPr>
            <w:tcW w:w="1701" w:type="dxa"/>
          </w:tcPr>
          <w:p w14:paraId="3ED67E3D"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14:paraId="45B5AE1F"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14:paraId="65E5AB6F"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14:paraId="36EEA8CD" w14:textId="77777777"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7A42C5" w14:paraId="302AA53A" w14:textId="77777777" w:rsidTr="006648C2">
        <w:tc>
          <w:tcPr>
            <w:cnfStyle w:val="001000000000" w:firstRow="0" w:lastRow="0" w:firstColumn="1" w:lastColumn="0" w:oddVBand="0" w:evenVBand="0" w:oddHBand="0" w:evenHBand="0" w:firstRowFirstColumn="0" w:firstRowLastColumn="0" w:lastRowFirstColumn="0" w:lastRowLastColumn="0"/>
            <w:tcW w:w="2268" w:type="dxa"/>
          </w:tcPr>
          <w:p w14:paraId="1C1FAAF4" w14:textId="77777777" w:rsidR="007A42C5" w:rsidRPr="00847199" w:rsidRDefault="007A42C5" w:rsidP="007A42C5">
            <w:pPr>
              <w:spacing w:after="0"/>
              <w:rPr>
                <w:b w:val="0"/>
              </w:rPr>
            </w:pPr>
            <w:r>
              <w:rPr>
                <w:b w:val="0"/>
              </w:rPr>
              <w:t>Warning letter</w:t>
            </w:r>
          </w:p>
        </w:tc>
        <w:tc>
          <w:tcPr>
            <w:tcW w:w="1701" w:type="dxa"/>
            <w:vAlign w:val="top"/>
          </w:tcPr>
          <w:p w14:paraId="05EE1867" w14:textId="77777777" w:rsidR="007A42C5" w:rsidRDefault="007A42C5" w:rsidP="007A42C5">
            <w:pPr>
              <w:spacing w:after="0"/>
              <w:jc w:val="center"/>
              <w:cnfStyle w:val="000000000000" w:firstRow="0" w:lastRow="0" w:firstColumn="0" w:lastColumn="0" w:oddVBand="0" w:evenVBand="0" w:oddHBand="0" w:evenHBand="0" w:firstRowFirstColumn="0" w:firstRowLastColumn="0" w:lastRowFirstColumn="0" w:lastRowLastColumn="0"/>
            </w:pPr>
            <w:r w:rsidRPr="002D5AA3">
              <w:t>0</w:t>
            </w:r>
          </w:p>
        </w:tc>
        <w:tc>
          <w:tcPr>
            <w:tcW w:w="1843" w:type="dxa"/>
            <w:vAlign w:val="top"/>
          </w:tcPr>
          <w:p w14:paraId="1A2ADF04" w14:textId="77777777" w:rsidR="007A42C5" w:rsidRDefault="007A42C5" w:rsidP="007A42C5">
            <w:pPr>
              <w:spacing w:after="0"/>
              <w:jc w:val="center"/>
              <w:cnfStyle w:val="000000000000" w:firstRow="0" w:lastRow="0" w:firstColumn="0" w:lastColumn="0" w:oddVBand="0" w:evenVBand="0" w:oddHBand="0" w:evenHBand="0" w:firstRowFirstColumn="0" w:firstRowLastColumn="0" w:lastRowFirstColumn="0" w:lastRowLastColumn="0"/>
            </w:pPr>
            <w:r w:rsidRPr="002D5AA3">
              <w:t>4</w:t>
            </w:r>
          </w:p>
        </w:tc>
        <w:tc>
          <w:tcPr>
            <w:tcW w:w="1843" w:type="dxa"/>
            <w:vAlign w:val="top"/>
          </w:tcPr>
          <w:p w14:paraId="79BA6DBF" w14:textId="77777777" w:rsidR="007A42C5" w:rsidRDefault="007A42C5" w:rsidP="007A42C5">
            <w:pPr>
              <w:spacing w:after="0"/>
              <w:jc w:val="center"/>
              <w:cnfStyle w:val="000000000000" w:firstRow="0" w:lastRow="0" w:firstColumn="0" w:lastColumn="0" w:oddVBand="0" w:evenVBand="0" w:oddHBand="0" w:evenHBand="0" w:firstRowFirstColumn="0" w:firstRowLastColumn="0" w:lastRowFirstColumn="0" w:lastRowLastColumn="0"/>
            </w:pPr>
            <w:r w:rsidRPr="002D5AA3">
              <w:t>0</w:t>
            </w:r>
          </w:p>
        </w:tc>
        <w:tc>
          <w:tcPr>
            <w:tcW w:w="1417" w:type="dxa"/>
            <w:vAlign w:val="top"/>
          </w:tcPr>
          <w:p w14:paraId="00113BAA" w14:textId="77777777" w:rsidR="007A42C5" w:rsidRDefault="007A42C5" w:rsidP="007A42C5">
            <w:pPr>
              <w:spacing w:after="0"/>
              <w:jc w:val="center"/>
              <w:cnfStyle w:val="000000000000" w:firstRow="0" w:lastRow="0" w:firstColumn="0" w:lastColumn="0" w:oddVBand="0" w:evenVBand="0" w:oddHBand="0" w:evenHBand="0" w:firstRowFirstColumn="0" w:firstRowLastColumn="0" w:lastRowFirstColumn="0" w:lastRowLastColumn="0"/>
            </w:pPr>
            <w:r w:rsidRPr="002D5AA3">
              <w:t>3</w:t>
            </w:r>
          </w:p>
        </w:tc>
      </w:tr>
      <w:tr w:rsidR="007A42C5" w14:paraId="657889FF" w14:textId="77777777" w:rsidTr="006648C2">
        <w:tc>
          <w:tcPr>
            <w:cnfStyle w:val="001000000000" w:firstRow="0" w:lastRow="0" w:firstColumn="1" w:lastColumn="0" w:oddVBand="0" w:evenVBand="0" w:oddHBand="0" w:evenHBand="0" w:firstRowFirstColumn="0" w:firstRowLastColumn="0" w:lastRowFirstColumn="0" w:lastRowLastColumn="0"/>
            <w:tcW w:w="2268" w:type="dxa"/>
          </w:tcPr>
          <w:p w14:paraId="6F116BF3" w14:textId="77777777" w:rsidR="007A42C5" w:rsidRPr="00847199" w:rsidRDefault="007A42C5" w:rsidP="007A42C5">
            <w:pPr>
              <w:spacing w:after="0"/>
              <w:rPr>
                <w:b w:val="0"/>
              </w:rPr>
            </w:pPr>
            <w:r>
              <w:rPr>
                <w:b w:val="0"/>
              </w:rPr>
              <w:t>Infringement notice</w:t>
            </w:r>
          </w:p>
        </w:tc>
        <w:tc>
          <w:tcPr>
            <w:tcW w:w="1701" w:type="dxa"/>
            <w:vAlign w:val="top"/>
          </w:tcPr>
          <w:p w14:paraId="0A673481" w14:textId="77777777" w:rsidR="007A42C5" w:rsidRDefault="007A42C5" w:rsidP="007A42C5">
            <w:pPr>
              <w:spacing w:after="0"/>
              <w:jc w:val="center"/>
              <w:cnfStyle w:val="000000000000" w:firstRow="0" w:lastRow="0" w:firstColumn="0" w:lastColumn="0" w:oddVBand="0" w:evenVBand="0" w:oddHBand="0" w:evenHBand="0" w:firstRowFirstColumn="0" w:firstRowLastColumn="0" w:lastRowFirstColumn="0" w:lastRowLastColumn="0"/>
            </w:pPr>
            <w:r w:rsidRPr="002D5AA3">
              <w:t>0</w:t>
            </w:r>
          </w:p>
        </w:tc>
        <w:tc>
          <w:tcPr>
            <w:tcW w:w="1843" w:type="dxa"/>
            <w:vAlign w:val="top"/>
          </w:tcPr>
          <w:p w14:paraId="3455E9A5" w14:textId="77777777" w:rsidR="007A42C5" w:rsidRDefault="007A42C5" w:rsidP="007A42C5">
            <w:pPr>
              <w:spacing w:after="0"/>
              <w:jc w:val="center"/>
              <w:cnfStyle w:val="000000000000" w:firstRow="0" w:lastRow="0" w:firstColumn="0" w:lastColumn="0" w:oddVBand="0" w:evenVBand="0" w:oddHBand="0" w:evenHBand="0" w:firstRowFirstColumn="0" w:firstRowLastColumn="0" w:lastRowFirstColumn="0" w:lastRowLastColumn="0"/>
            </w:pPr>
            <w:r w:rsidRPr="002D5AA3">
              <w:t>0</w:t>
            </w:r>
          </w:p>
        </w:tc>
        <w:tc>
          <w:tcPr>
            <w:tcW w:w="1843" w:type="dxa"/>
            <w:vAlign w:val="top"/>
          </w:tcPr>
          <w:p w14:paraId="5EF11BEE" w14:textId="77777777" w:rsidR="007A42C5" w:rsidRDefault="007A42C5" w:rsidP="007A42C5">
            <w:pPr>
              <w:spacing w:after="0"/>
              <w:jc w:val="center"/>
              <w:cnfStyle w:val="000000000000" w:firstRow="0" w:lastRow="0" w:firstColumn="0" w:lastColumn="0" w:oddVBand="0" w:evenVBand="0" w:oddHBand="0" w:evenHBand="0" w:firstRowFirstColumn="0" w:firstRowLastColumn="0" w:lastRowFirstColumn="0" w:lastRowLastColumn="0"/>
            </w:pPr>
            <w:r w:rsidRPr="002D5AA3">
              <w:t>0</w:t>
            </w:r>
          </w:p>
        </w:tc>
        <w:tc>
          <w:tcPr>
            <w:tcW w:w="1417" w:type="dxa"/>
            <w:vAlign w:val="top"/>
          </w:tcPr>
          <w:p w14:paraId="62C9741E" w14:textId="77777777" w:rsidR="007A42C5" w:rsidRDefault="007A42C5" w:rsidP="007A42C5">
            <w:pPr>
              <w:spacing w:after="0"/>
              <w:jc w:val="center"/>
              <w:cnfStyle w:val="000000000000" w:firstRow="0" w:lastRow="0" w:firstColumn="0" w:lastColumn="0" w:oddVBand="0" w:evenVBand="0" w:oddHBand="0" w:evenHBand="0" w:firstRowFirstColumn="0" w:firstRowLastColumn="0" w:lastRowFirstColumn="0" w:lastRowLastColumn="0"/>
            </w:pPr>
            <w:r w:rsidRPr="002D5AA3">
              <w:t>1</w:t>
            </w:r>
          </w:p>
        </w:tc>
      </w:tr>
    </w:tbl>
    <w:p w14:paraId="5C52F971" w14:textId="77777777" w:rsidR="0097221E" w:rsidRPr="00847199" w:rsidRDefault="00137AEC" w:rsidP="00122E4D">
      <w:pPr>
        <w:pStyle w:val="Heading2"/>
        <w:spacing w:before="0"/>
      </w:pPr>
      <w:bookmarkStart w:id="18" w:name="_Toc32933805"/>
      <w:r>
        <w:t>S</w:t>
      </w:r>
      <w:r w:rsidR="009900F3">
        <w:t xml:space="preserve">mall </w:t>
      </w:r>
      <w:r w:rsidR="00247470">
        <w:t>B</w:t>
      </w:r>
      <w:r w:rsidR="009900F3">
        <w:t>usiness (</w:t>
      </w:r>
      <w:r w:rsidR="00247470">
        <w:t>F</w:t>
      </w:r>
      <w:r w:rsidR="009900F3">
        <w:t>ood)</w:t>
      </w:r>
      <w:bookmarkEnd w:id="18"/>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small business compliance and enforcement in previous years."/>
      </w:tblPr>
      <w:tblGrid>
        <w:gridCol w:w="1229"/>
        <w:gridCol w:w="999"/>
        <w:gridCol w:w="1369"/>
        <w:gridCol w:w="1273"/>
        <w:gridCol w:w="1369"/>
        <w:gridCol w:w="1312"/>
        <w:gridCol w:w="1475"/>
      </w:tblGrid>
      <w:tr w:rsidR="0097221E" w14:paraId="5646D7C1" w14:textId="77777777" w:rsidTr="0097221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14:paraId="76383CEA" w14:textId="77777777" w:rsidR="0097221E" w:rsidRDefault="0097221E" w:rsidP="0097221E">
            <w:pPr>
              <w:spacing w:after="0"/>
            </w:pPr>
            <w:r>
              <w:t>Year</w:t>
            </w:r>
          </w:p>
        </w:tc>
        <w:tc>
          <w:tcPr>
            <w:tcW w:w="999" w:type="dxa"/>
          </w:tcPr>
          <w:p w14:paraId="6685C72E"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14:paraId="35371863"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14:paraId="1DAF5E4A"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14:paraId="6BC10BEE"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14:paraId="67F39B80"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14:paraId="07A16907" w14:textId="77777777" w:rsidR="0097221E" w:rsidRDefault="0097221E" w:rsidP="0097221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9900F3" w14:paraId="635F225A" w14:textId="77777777" w:rsidTr="006C3943">
        <w:tc>
          <w:tcPr>
            <w:cnfStyle w:val="001000000000" w:firstRow="0" w:lastRow="0" w:firstColumn="1" w:lastColumn="0" w:oddVBand="0" w:evenVBand="0" w:oddHBand="0" w:evenHBand="0" w:firstRowFirstColumn="0" w:firstRowLastColumn="0" w:lastRowFirstColumn="0" w:lastRowLastColumn="0"/>
            <w:tcW w:w="1229" w:type="dxa"/>
            <w:vAlign w:val="top"/>
          </w:tcPr>
          <w:p w14:paraId="76CFF960" w14:textId="5BCD22FF" w:rsidR="009900F3" w:rsidRPr="009900F3" w:rsidRDefault="009900F3" w:rsidP="009900F3">
            <w:pPr>
              <w:spacing w:after="0"/>
              <w:rPr>
                <w:b w:val="0"/>
              </w:rPr>
            </w:pPr>
            <w:r w:rsidRPr="006C3943">
              <w:rPr>
                <w:b w:val="0"/>
              </w:rPr>
              <w:t>2016</w:t>
            </w:r>
            <w:r w:rsidR="00CE66EF">
              <w:rPr>
                <w:b w:val="0"/>
              </w:rPr>
              <w:t>–</w:t>
            </w:r>
            <w:r w:rsidRPr="006C3943">
              <w:rPr>
                <w:b w:val="0"/>
              </w:rPr>
              <w:t>17</w:t>
            </w:r>
          </w:p>
        </w:tc>
        <w:tc>
          <w:tcPr>
            <w:tcW w:w="999" w:type="dxa"/>
            <w:vAlign w:val="top"/>
          </w:tcPr>
          <w:p w14:paraId="239ED827"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556</w:t>
            </w:r>
          </w:p>
        </w:tc>
        <w:tc>
          <w:tcPr>
            <w:tcW w:w="1369" w:type="dxa"/>
            <w:vAlign w:val="top"/>
          </w:tcPr>
          <w:p w14:paraId="1FD728CF"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206 (37%)</w:t>
            </w:r>
          </w:p>
        </w:tc>
        <w:tc>
          <w:tcPr>
            <w:tcW w:w="1273" w:type="dxa"/>
            <w:vAlign w:val="top"/>
          </w:tcPr>
          <w:p w14:paraId="1C456278" w14:textId="77777777" w:rsidR="009900F3" w:rsidRPr="0085285D"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204</w:t>
            </w:r>
          </w:p>
        </w:tc>
        <w:tc>
          <w:tcPr>
            <w:tcW w:w="1369" w:type="dxa"/>
            <w:vAlign w:val="top"/>
          </w:tcPr>
          <w:p w14:paraId="2CDF6432" w14:textId="77777777" w:rsidR="009900F3" w:rsidRPr="0085285D"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38 (19%)</w:t>
            </w:r>
          </w:p>
        </w:tc>
        <w:tc>
          <w:tcPr>
            <w:tcW w:w="1312" w:type="dxa"/>
            <w:vAlign w:val="top"/>
          </w:tcPr>
          <w:p w14:paraId="11139A66" w14:textId="77777777" w:rsidR="009900F3" w:rsidRPr="0085285D"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33</w:t>
            </w:r>
          </w:p>
        </w:tc>
        <w:tc>
          <w:tcPr>
            <w:tcW w:w="1475" w:type="dxa"/>
            <w:vAlign w:val="top"/>
          </w:tcPr>
          <w:p w14:paraId="3816F26D" w14:textId="77777777" w:rsidR="009900F3" w:rsidRPr="0085285D"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5</w:t>
            </w:r>
            <w:r w:rsidR="00247470">
              <w:t xml:space="preserve"> ($4500)</w:t>
            </w:r>
          </w:p>
        </w:tc>
      </w:tr>
      <w:tr w:rsidR="009900F3" w14:paraId="489CC0F4" w14:textId="77777777" w:rsidTr="006C3943">
        <w:tc>
          <w:tcPr>
            <w:cnfStyle w:val="001000000000" w:firstRow="0" w:lastRow="0" w:firstColumn="1" w:lastColumn="0" w:oddVBand="0" w:evenVBand="0" w:oddHBand="0" w:evenHBand="0" w:firstRowFirstColumn="0" w:firstRowLastColumn="0" w:lastRowFirstColumn="0" w:lastRowLastColumn="0"/>
            <w:tcW w:w="1229" w:type="dxa"/>
            <w:vAlign w:val="top"/>
          </w:tcPr>
          <w:p w14:paraId="53B5BFF8" w14:textId="67C4683A" w:rsidR="009900F3" w:rsidRPr="009900F3" w:rsidRDefault="009900F3" w:rsidP="009900F3">
            <w:pPr>
              <w:spacing w:after="0"/>
              <w:rPr>
                <w:b w:val="0"/>
              </w:rPr>
            </w:pPr>
            <w:r w:rsidRPr="006C3943">
              <w:rPr>
                <w:b w:val="0"/>
              </w:rPr>
              <w:t>2017</w:t>
            </w:r>
            <w:r w:rsidR="00CE66EF">
              <w:rPr>
                <w:b w:val="0"/>
              </w:rPr>
              <w:t>–</w:t>
            </w:r>
            <w:r w:rsidRPr="006C3943">
              <w:rPr>
                <w:b w:val="0"/>
              </w:rPr>
              <w:t>18</w:t>
            </w:r>
          </w:p>
        </w:tc>
        <w:tc>
          <w:tcPr>
            <w:tcW w:w="999" w:type="dxa"/>
            <w:vAlign w:val="top"/>
          </w:tcPr>
          <w:p w14:paraId="7E926ECC"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666</w:t>
            </w:r>
          </w:p>
        </w:tc>
        <w:tc>
          <w:tcPr>
            <w:tcW w:w="1369" w:type="dxa"/>
            <w:vAlign w:val="top"/>
          </w:tcPr>
          <w:p w14:paraId="52B182EB"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292 (44%)</w:t>
            </w:r>
          </w:p>
        </w:tc>
        <w:tc>
          <w:tcPr>
            <w:tcW w:w="1273" w:type="dxa"/>
            <w:vAlign w:val="top"/>
          </w:tcPr>
          <w:p w14:paraId="7EF8401E"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255</w:t>
            </w:r>
          </w:p>
        </w:tc>
        <w:tc>
          <w:tcPr>
            <w:tcW w:w="1369" w:type="dxa"/>
            <w:vAlign w:val="top"/>
          </w:tcPr>
          <w:p w14:paraId="14C0BB6F"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50 (20%)</w:t>
            </w:r>
          </w:p>
        </w:tc>
        <w:tc>
          <w:tcPr>
            <w:tcW w:w="1312" w:type="dxa"/>
            <w:vAlign w:val="top"/>
          </w:tcPr>
          <w:p w14:paraId="40E3409B"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37</w:t>
            </w:r>
          </w:p>
        </w:tc>
        <w:tc>
          <w:tcPr>
            <w:tcW w:w="1475" w:type="dxa"/>
            <w:vAlign w:val="top"/>
          </w:tcPr>
          <w:p w14:paraId="69324562"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2</w:t>
            </w:r>
            <w:r w:rsidR="00247470">
              <w:t xml:space="preserve"> ($1800)</w:t>
            </w:r>
          </w:p>
        </w:tc>
      </w:tr>
      <w:tr w:rsidR="009900F3" w14:paraId="05A5A194" w14:textId="77777777" w:rsidTr="006C3943">
        <w:tc>
          <w:tcPr>
            <w:cnfStyle w:val="001000000000" w:firstRow="0" w:lastRow="0" w:firstColumn="1" w:lastColumn="0" w:oddVBand="0" w:evenVBand="0" w:oddHBand="0" w:evenHBand="0" w:firstRowFirstColumn="0" w:firstRowLastColumn="0" w:lastRowFirstColumn="0" w:lastRowLastColumn="0"/>
            <w:tcW w:w="1229" w:type="dxa"/>
            <w:vAlign w:val="top"/>
          </w:tcPr>
          <w:p w14:paraId="40A33040" w14:textId="74DF5FDE" w:rsidR="009900F3" w:rsidRPr="009900F3" w:rsidRDefault="009900F3" w:rsidP="009900F3">
            <w:pPr>
              <w:spacing w:after="0"/>
              <w:rPr>
                <w:b w:val="0"/>
              </w:rPr>
            </w:pPr>
            <w:r w:rsidRPr="006C3943">
              <w:rPr>
                <w:b w:val="0"/>
              </w:rPr>
              <w:t>2018</w:t>
            </w:r>
            <w:r w:rsidR="00CE66EF">
              <w:rPr>
                <w:b w:val="0"/>
              </w:rPr>
              <w:t>–</w:t>
            </w:r>
            <w:r w:rsidRPr="006C3943">
              <w:rPr>
                <w:b w:val="0"/>
              </w:rPr>
              <w:t>19</w:t>
            </w:r>
          </w:p>
        </w:tc>
        <w:tc>
          <w:tcPr>
            <w:tcW w:w="999" w:type="dxa"/>
            <w:vAlign w:val="top"/>
          </w:tcPr>
          <w:p w14:paraId="4F7ED866"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286</w:t>
            </w:r>
          </w:p>
        </w:tc>
        <w:tc>
          <w:tcPr>
            <w:tcW w:w="1369" w:type="dxa"/>
            <w:vAlign w:val="top"/>
          </w:tcPr>
          <w:p w14:paraId="50409007"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88 (31%)</w:t>
            </w:r>
          </w:p>
        </w:tc>
        <w:tc>
          <w:tcPr>
            <w:tcW w:w="1273" w:type="dxa"/>
            <w:vAlign w:val="top"/>
          </w:tcPr>
          <w:p w14:paraId="57E2479D"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109</w:t>
            </w:r>
          </w:p>
        </w:tc>
        <w:tc>
          <w:tcPr>
            <w:tcW w:w="1369" w:type="dxa"/>
            <w:vAlign w:val="top"/>
          </w:tcPr>
          <w:p w14:paraId="1EE24188"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20 (18%)</w:t>
            </w:r>
          </w:p>
        </w:tc>
        <w:tc>
          <w:tcPr>
            <w:tcW w:w="1312" w:type="dxa"/>
            <w:vAlign w:val="top"/>
          </w:tcPr>
          <w:p w14:paraId="68F8BCAB"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6</w:t>
            </w:r>
          </w:p>
        </w:tc>
        <w:tc>
          <w:tcPr>
            <w:tcW w:w="1475" w:type="dxa"/>
            <w:vAlign w:val="top"/>
          </w:tcPr>
          <w:p w14:paraId="296AEA27" w14:textId="77777777" w:rsidR="009900F3" w:rsidRDefault="009900F3" w:rsidP="009900F3">
            <w:pPr>
              <w:spacing w:after="0"/>
              <w:jc w:val="center"/>
              <w:cnfStyle w:val="000000000000" w:firstRow="0" w:lastRow="0" w:firstColumn="0" w:lastColumn="0" w:oddVBand="0" w:evenVBand="0" w:oddHBand="0" w:evenHBand="0" w:firstRowFirstColumn="0" w:firstRowLastColumn="0" w:lastRowFirstColumn="0" w:lastRowLastColumn="0"/>
            </w:pPr>
            <w:r w:rsidRPr="003F716E">
              <w:t>3</w:t>
            </w:r>
            <w:r w:rsidR="00247470">
              <w:t xml:space="preserve"> ($3150)</w:t>
            </w:r>
          </w:p>
        </w:tc>
      </w:tr>
    </w:tbl>
    <w:p w14:paraId="3E346237" w14:textId="386DCFF2" w:rsidR="00122E4D" w:rsidRPr="00A61312" w:rsidRDefault="00122E4D" w:rsidP="00C1365E">
      <w:pPr>
        <w:keepNext/>
      </w:pPr>
      <w:r>
        <w:rPr>
          <w:rStyle w:val="Tabletitle"/>
        </w:rPr>
        <w:t>Breaches by enforcement action 201</w:t>
      </w:r>
      <w:r w:rsidR="006C3943">
        <w:rPr>
          <w:rStyle w:val="Tabletitle"/>
        </w:rPr>
        <w:t>8</w:t>
      </w:r>
      <w:r w:rsidR="00CE66EF">
        <w:rPr>
          <w:rStyle w:val="Tabletitle"/>
        </w:rPr>
        <w:t>–</w:t>
      </w:r>
      <w:r>
        <w:rPr>
          <w:rStyle w:val="Tabletitle"/>
        </w:rPr>
        <w:t>1</w:t>
      </w:r>
      <w:r w:rsidR="006C3943">
        <w:rPr>
          <w:rStyle w:val="Tabletitle"/>
        </w:rPr>
        <w:t>9</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122E4D" w14:paraId="2B9D04E5" w14:textId="77777777" w:rsidTr="005C07E7">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14:paraId="7AA89B56" w14:textId="77777777" w:rsidR="00122E4D" w:rsidRDefault="00122E4D" w:rsidP="005C07E7">
            <w:pPr>
              <w:spacing w:after="0"/>
            </w:pPr>
            <w:r>
              <w:t>Enforcement action</w:t>
            </w:r>
          </w:p>
        </w:tc>
        <w:tc>
          <w:tcPr>
            <w:tcW w:w="1701" w:type="dxa"/>
          </w:tcPr>
          <w:p w14:paraId="315C3DC3"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14:paraId="3ABA1DB5"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14:paraId="1112879E"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14:paraId="0EE96A3B" w14:textId="77777777" w:rsidR="00122E4D" w:rsidRDefault="00122E4D" w:rsidP="005C07E7">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6C3943" w14:paraId="78074A78" w14:textId="77777777" w:rsidTr="005C07E7">
        <w:tc>
          <w:tcPr>
            <w:cnfStyle w:val="001000000000" w:firstRow="0" w:lastRow="0" w:firstColumn="1" w:lastColumn="0" w:oddVBand="0" w:evenVBand="0" w:oddHBand="0" w:evenHBand="0" w:firstRowFirstColumn="0" w:firstRowLastColumn="0" w:lastRowFirstColumn="0" w:lastRowLastColumn="0"/>
            <w:tcW w:w="2268" w:type="dxa"/>
          </w:tcPr>
          <w:p w14:paraId="41D18628" w14:textId="77777777" w:rsidR="006C3943" w:rsidRPr="00847199" w:rsidRDefault="006C3943" w:rsidP="006C3943">
            <w:pPr>
              <w:spacing w:after="0"/>
              <w:rPr>
                <w:b w:val="0"/>
              </w:rPr>
            </w:pPr>
            <w:r>
              <w:rPr>
                <w:b w:val="0"/>
              </w:rPr>
              <w:t>Warning letter</w:t>
            </w:r>
          </w:p>
        </w:tc>
        <w:tc>
          <w:tcPr>
            <w:tcW w:w="1701" w:type="dxa"/>
          </w:tcPr>
          <w:p w14:paraId="1E147284"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rPr>
              <w:t>0</w:t>
            </w:r>
          </w:p>
        </w:tc>
        <w:tc>
          <w:tcPr>
            <w:tcW w:w="1843" w:type="dxa"/>
          </w:tcPr>
          <w:p w14:paraId="1179FE75"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rPr>
              <w:t>5</w:t>
            </w:r>
          </w:p>
        </w:tc>
        <w:tc>
          <w:tcPr>
            <w:tcW w:w="1843" w:type="dxa"/>
          </w:tcPr>
          <w:p w14:paraId="10239371"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rPr>
              <w:t>1</w:t>
            </w:r>
          </w:p>
        </w:tc>
        <w:tc>
          <w:tcPr>
            <w:tcW w:w="1417" w:type="dxa"/>
          </w:tcPr>
          <w:p w14:paraId="3FDC0DB9"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rPr>
              <w:t>2</w:t>
            </w:r>
          </w:p>
        </w:tc>
      </w:tr>
      <w:tr w:rsidR="006C3943" w14:paraId="527C498B" w14:textId="77777777" w:rsidTr="005C07E7">
        <w:tc>
          <w:tcPr>
            <w:cnfStyle w:val="001000000000" w:firstRow="0" w:lastRow="0" w:firstColumn="1" w:lastColumn="0" w:oddVBand="0" w:evenVBand="0" w:oddHBand="0" w:evenHBand="0" w:firstRowFirstColumn="0" w:firstRowLastColumn="0" w:lastRowFirstColumn="0" w:lastRowLastColumn="0"/>
            <w:tcW w:w="2268" w:type="dxa"/>
          </w:tcPr>
          <w:p w14:paraId="4AC0DCBF" w14:textId="77777777" w:rsidR="006C3943" w:rsidRPr="00847199" w:rsidRDefault="006C3943" w:rsidP="006C3943">
            <w:pPr>
              <w:spacing w:after="0"/>
              <w:rPr>
                <w:b w:val="0"/>
              </w:rPr>
            </w:pPr>
            <w:r>
              <w:rPr>
                <w:b w:val="0"/>
              </w:rPr>
              <w:t>Infringement notice</w:t>
            </w:r>
          </w:p>
        </w:tc>
        <w:tc>
          <w:tcPr>
            <w:tcW w:w="1701" w:type="dxa"/>
          </w:tcPr>
          <w:p w14:paraId="63E16EAA"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rPr>
              <w:t>1</w:t>
            </w:r>
          </w:p>
        </w:tc>
        <w:tc>
          <w:tcPr>
            <w:tcW w:w="1843" w:type="dxa"/>
          </w:tcPr>
          <w:p w14:paraId="5A5F6372"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rPr>
              <w:t>0</w:t>
            </w:r>
          </w:p>
        </w:tc>
        <w:tc>
          <w:tcPr>
            <w:tcW w:w="1843" w:type="dxa"/>
          </w:tcPr>
          <w:p w14:paraId="1876F7A4"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rPr>
              <w:t>0</w:t>
            </w:r>
          </w:p>
        </w:tc>
        <w:tc>
          <w:tcPr>
            <w:tcW w:w="1417" w:type="dxa"/>
          </w:tcPr>
          <w:p w14:paraId="2706FF49" w14:textId="77777777" w:rsidR="006C3943" w:rsidRDefault="006C3943" w:rsidP="006C3943">
            <w:pPr>
              <w:spacing w:after="0"/>
              <w:jc w:val="center"/>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rPr>
              <w:t>2</w:t>
            </w:r>
          </w:p>
        </w:tc>
      </w:tr>
    </w:tbl>
    <w:p w14:paraId="051E31EA" w14:textId="77777777" w:rsidR="003E4ABD" w:rsidRDefault="003E4ABD" w:rsidP="004F4DBC"/>
    <w:p w14:paraId="726D9E5E" w14:textId="77777777" w:rsidR="003E4ABD" w:rsidRDefault="003E4ABD">
      <w:pPr>
        <w:spacing w:after="200"/>
        <w:rPr>
          <w:rFonts w:asciiTheme="majorHAnsi" w:eastAsiaTheme="majorEastAsia" w:hAnsiTheme="majorHAnsi" w:cstheme="majorBidi"/>
          <w:b/>
          <w:bCs/>
          <w:color w:val="7C1222" w:themeColor="accent1" w:themeShade="BF"/>
          <w:sz w:val="28"/>
          <w:szCs w:val="28"/>
        </w:rPr>
      </w:pPr>
      <w:r>
        <w:br w:type="page"/>
      </w:r>
    </w:p>
    <w:p w14:paraId="72617D79" w14:textId="77777777" w:rsidR="00446350" w:rsidRDefault="00E13099" w:rsidP="00351596">
      <w:pPr>
        <w:pStyle w:val="Heading1"/>
      </w:pPr>
      <w:bookmarkStart w:id="19" w:name="_Toc32933806"/>
      <w:r>
        <w:lastRenderedPageBreak/>
        <w:t xml:space="preserve">Compliance by </w:t>
      </w:r>
      <w:r w:rsidR="005E5D33">
        <w:t>I</w:t>
      </w:r>
      <w:r>
        <w:t xml:space="preserve">nstrument </w:t>
      </w:r>
      <w:r w:rsidR="005E5D33">
        <w:t>T</w:t>
      </w:r>
      <w:r>
        <w:t>ype</w:t>
      </w:r>
      <w:bookmarkEnd w:id="19"/>
    </w:p>
    <w:p w14:paraId="21177894" w14:textId="67CF39F9" w:rsidR="00F80EF7" w:rsidRDefault="00F80EF7" w:rsidP="005B043E">
      <w:r>
        <w:t>As in previous years, in 201</w:t>
      </w:r>
      <w:r w:rsidR="00822A6D">
        <w:t>8</w:t>
      </w:r>
      <w:r w:rsidR="00CE66EF">
        <w:t>–</w:t>
      </w:r>
      <w:r>
        <w:t>1</w:t>
      </w:r>
      <w:r w:rsidR="00822A6D">
        <w:t>9</w:t>
      </w:r>
      <w:r>
        <w:t xml:space="preserve"> </w:t>
      </w:r>
      <w:r w:rsidR="009E50D0">
        <w:t xml:space="preserve">more than </w:t>
      </w:r>
      <w:r>
        <w:t>8</w:t>
      </w:r>
      <w:r w:rsidR="009E50D0">
        <w:t>0</w:t>
      </w:r>
      <w:r>
        <w:t xml:space="preserve"> per cent of instruments tested were found to be fully </w:t>
      </w:r>
      <w:r w:rsidR="005B043E">
        <w:t>compliant with legislative requirements</w:t>
      </w:r>
      <w:r w:rsidR="00CF4FD3">
        <w:t xml:space="preserve"> and only a relatively small proportion (2.</w:t>
      </w:r>
      <w:r w:rsidR="00822A6D">
        <w:t>4</w:t>
      </w:r>
      <w:r w:rsidR="00CF4FD3">
        <w:t xml:space="preserve"> per cent) were found to be inaccurate to consumer disadvantage</w:t>
      </w:r>
      <w:r w:rsidR="005B043E">
        <w:t xml:space="preserve">. </w:t>
      </w:r>
    </w:p>
    <w:p w14:paraId="1C7995B7" w14:textId="77777777" w:rsidR="00F80EF7" w:rsidRDefault="00F80EF7" w:rsidP="005B043E">
      <w:r>
        <w:t>An instrument was deemed non-compliant if one or more of the following was found:</w:t>
      </w:r>
    </w:p>
    <w:p w14:paraId="7F71600C" w14:textId="77777777" w:rsidR="00F80EF7" w:rsidRDefault="00F80EF7" w:rsidP="00F80EF7">
      <w:pPr>
        <w:pStyle w:val="ListParagraph"/>
        <w:numPr>
          <w:ilvl w:val="0"/>
          <w:numId w:val="19"/>
        </w:numPr>
      </w:pPr>
      <w:r>
        <w:t>not verified by an authorised servicing licensee</w:t>
      </w:r>
    </w:p>
    <w:p w14:paraId="3B7EB302" w14:textId="77777777" w:rsidR="00F80EF7" w:rsidRDefault="00F80EF7" w:rsidP="00F80EF7">
      <w:pPr>
        <w:pStyle w:val="ListParagraph"/>
        <w:numPr>
          <w:ilvl w:val="0"/>
          <w:numId w:val="19"/>
        </w:numPr>
      </w:pPr>
      <w:r>
        <w:t>failed to measure accurately</w:t>
      </w:r>
    </w:p>
    <w:p w14:paraId="06A616F1" w14:textId="77777777" w:rsidR="00F80EF7" w:rsidRDefault="00F80EF7" w:rsidP="00F80EF7">
      <w:pPr>
        <w:pStyle w:val="ListParagraph"/>
        <w:numPr>
          <w:ilvl w:val="0"/>
          <w:numId w:val="19"/>
        </w:numPr>
      </w:pPr>
      <w:proofErr w:type="gramStart"/>
      <w:r>
        <w:t>did</w:t>
      </w:r>
      <w:proofErr w:type="gramEnd"/>
      <w:r>
        <w:t xml:space="preserve"> not meet other standards necessary to comply with legislation, such as display issues; eccentricity; inadequate sealing; and data plate irregularities. </w:t>
      </w:r>
    </w:p>
    <w:p w14:paraId="2CCACC68" w14:textId="77777777" w:rsidR="00F875C8" w:rsidRPr="00847199" w:rsidRDefault="00F875C8" w:rsidP="00F875C8"/>
    <w:tbl>
      <w:tblPr>
        <w:tblStyle w:val="Style1"/>
        <w:tblpPr w:leftFromText="181" w:rightFromText="181" w:bottomFromText="425" w:vertAnchor="text" w:tblpY="1"/>
        <w:tblOverlap w:val="never"/>
        <w:tblW w:w="9214" w:type="dxa"/>
        <w:tblLayout w:type="fixed"/>
        <w:tblLook w:val="04A0" w:firstRow="1" w:lastRow="0" w:firstColumn="1" w:lastColumn="0" w:noHBand="0" w:noVBand="1"/>
        <w:tblDescription w:val="This table lists instrument compliance in previous years."/>
      </w:tblPr>
      <w:tblGrid>
        <w:gridCol w:w="1134"/>
        <w:gridCol w:w="1418"/>
        <w:gridCol w:w="1276"/>
        <w:gridCol w:w="992"/>
        <w:gridCol w:w="1276"/>
        <w:gridCol w:w="1701"/>
        <w:gridCol w:w="1417"/>
      </w:tblGrid>
      <w:tr w:rsidR="00F875C8" w14:paraId="3513649B" w14:textId="77777777" w:rsidTr="00CE66EF">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134" w:type="dxa"/>
          </w:tcPr>
          <w:p w14:paraId="7B1075BD" w14:textId="77777777" w:rsidR="00F875C8" w:rsidRDefault="00F875C8" w:rsidP="005C07E7">
            <w:pPr>
              <w:spacing w:after="0"/>
            </w:pPr>
            <w:r>
              <w:t>Year</w:t>
            </w:r>
          </w:p>
        </w:tc>
        <w:tc>
          <w:tcPr>
            <w:tcW w:w="1418" w:type="dxa"/>
          </w:tcPr>
          <w:p w14:paraId="4181CA32" w14:textId="30B17692" w:rsidR="00F875C8" w:rsidRDefault="00F875C8" w:rsidP="00CE66EF">
            <w:pPr>
              <w:spacing w:after="0"/>
              <w:jc w:val="center"/>
              <w:cnfStyle w:val="100000000000" w:firstRow="1" w:lastRow="0" w:firstColumn="0" w:lastColumn="0" w:oddVBand="0" w:evenVBand="0" w:oddHBand="0" w:evenHBand="0" w:firstRowFirstColumn="0" w:firstRowLastColumn="0" w:lastRowFirstColumn="0" w:lastRowLastColumn="0"/>
            </w:pPr>
            <w:r>
              <w:t>Instruments</w:t>
            </w:r>
            <w:r w:rsidR="00CE66EF">
              <w:t xml:space="preserve"> </w:t>
            </w:r>
            <w:r>
              <w:t>tested</w:t>
            </w:r>
          </w:p>
        </w:tc>
        <w:tc>
          <w:tcPr>
            <w:tcW w:w="1276" w:type="dxa"/>
          </w:tcPr>
          <w:p w14:paraId="2B36C7CB" w14:textId="77777777" w:rsidR="00F875C8" w:rsidRDefault="00F875C8" w:rsidP="00F875C8">
            <w:pPr>
              <w:spacing w:after="0"/>
              <w:jc w:val="center"/>
              <w:cnfStyle w:val="100000000000" w:firstRow="1" w:lastRow="0" w:firstColumn="0" w:lastColumn="0" w:oddVBand="0" w:evenVBand="0" w:oddHBand="0" w:evenHBand="0" w:firstRowFirstColumn="0" w:firstRowLastColumn="0" w:lastRowFirstColumn="0" w:lastRowLastColumn="0"/>
            </w:pPr>
            <w:r>
              <w:t>Compliant</w:t>
            </w:r>
          </w:p>
        </w:tc>
        <w:tc>
          <w:tcPr>
            <w:tcW w:w="992" w:type="dxa"/>
          </w:tcPr>
          <w:p w14:paraId="6F9B723D" w14:textId="77777777" w:rsidR="00F875C8" w:rsidRDefault="00F875C8" w:rsidP="00F875C8">
            <w:pPr>
              <w:spacing w:after="0"/>
              <w:jc w:val="center"/>
              <w:cnfStyle w:val="100000000000" w:firstRow="1" w:lastRow="0" w:firstColumn="0" w:lastColumn="0" w:oddVBand="0" w:evenVBand="0" w:oddHBand="0" w:evenHBand="0" w:firstRowFirstColumn="0" w:firstRowLastColumn="0" w:lastRowFirstColumn="0" w:lastRowLastColumn="0"/>
            </w:pPr>
            <w:r>
              <w:t>Not verified</w:t>
            </w:r>
          </w:p>
        </w:tc>
        <w:tc>
          <w:tcPr>
            <w:tcW w:w="1276" w:type="dxa"/>
          </w:tcPr>
          <w:p w14:paraId="397A708B" w14:textId="77777777" w:rsidR="00F875C8" w:rsidRDefault="00F875C8" w:rsidP="005C07E7">
            <w:pPr>
              <w:spacing w:after="0"/>
              <w:jc w:val="center"/>
              <w:cnfStyle w:val="100000000000" w:firstRow="1" w:lastRow="0" w:firstColumn="0" w:lastColumn="0" w:oddVBand="0" w:evenVBand="0" w:oddHBand="0" w:evenHBand="0" w:firstRowFirstColumn="0" w:firstRowLastColumn="0" w:lastRowFirstColumn="0" w:lastRowLastColumn="0"/>
            </w:pPr>
            <w:r>
              <w:t>Inaccurate</w:t>
            </w:r>
            <w:r>
              <w:br/>
              <w:t>(consumer advantage)</w:t>
            </w:r>
          </w:p>
        </w:tc>
        <w:tc>
          <w:tcPr>
            <w:tcW w:w="1701" w:type="dxa"/>
          </w:tcPr>
          <w:p w14:paraId="293C4B01" w14:textId="77777777" w:rsidR="00F875C8" w:rsidRDefault="00F875C8" w:rsidP="005C07E7">
            <w:pPr>
              <w:spacing w:after="0"/>
              <w:jc w:val="center"/>
              <w:cnfStyle w:val="100000000000" w:firstRow="1" w:lastRow="0" w:firstColumn="0" w:lastColumn="0" w:oddVBand="0" w:evenVBand="0" w:oddHBand="0" w:evenHBand="0" w:firstRowFirstColumn="0" w:firstRowLastColumn="0" w:lastRowFirstColumn="0" w:lastRowLastColumn="0"/>
            </w:pPr>
            <w:r>
              <w:t>Inaccurate</w:t>
            </w:r>
            <w:r>
              <w:br/>
              <w:t>(consumer disadvantage)</w:t>
            </w:r>
          </w:p>
        </w:tc>
        <w:tc>
          <w:tcPr>
            <w:tcW w:w="1417" w:type="dxa"/>
          </w:tcPr>
          <w:p w14:paraId="09163C49" w14:textId="77777777" w:rsidR="00F875C8" w:rsidRDefault="00F875C8" w:rsidP="00F875C8">
            <w:pPr>
              <w:spacing w:after="0"/>
              <w:jc w:val="center"/>
              <w:cnfStyle w:val="100000000000" w:firstRow="1" w:lastRow="0" w:firstColumn="0" w:lastColumn="0" w:oddVBand="0" w:evenVBand="0" w:oddHBand="0" w:evenHBand="0" w:firstRowFirstColumn="0" w:firstRowLastColumn="0" w:lastRowFirstColumn="0" w:lastRowLastColumn="0"/>
            </w:pPr>
            <w:r>
              <w:t>Other non-compliance</w:t>
            </w:r>
          </w:p>
        </w:tc>
      </w:tr>
      <w:tr w:rsidR="000D638B" w14:paraId="0F41EA87" w14:textId="77777777" w:rsidTr="00CE66EF">
        <w:tc>
          <w:tcPr>
            <w:cnfStyle w:val="001000000000" w:firstRow="0" w:lastRow="0" w:firstColumn="1" w:lastColumn="0" w:oddVBand="0" w:evenVBand="0" w:oddHBand="0" w:evenHBand="0" w:firstRowFirstColumn="0" w:firstRowLastColumn="0" w:lastRowFirstColumn="0" w:lastRowLastColumn="0"/>
            <w:tcW w:w="1134" w:type="dxa"/>
          </w:tcPr>
          <w:p w14:paraId="44076EF7" w14:textId="13EFF51A" w:rsidR="000D638B" w:rsidRPr="00A56B39" w:rsidRDefault="000D638B" w:rsidP="005C07E7">
            <w:pPr>
              <w:spacing w:after="0"/>
              <w:rPr>
                <w:b w:val="0"/>
              </w:rPr>
            </w:pPr>
            <w:r w:rsidRPr="00A56B39">
              <w:rPr>
                <w:b w:val="0"/>
              </w:rPr>
              <w:t>2015</w:t>
            </w:r>
            <w:r w:rsidR="00CE66EF">
              <w:rPr>
                <w:b w:val="0"/>
              </w:rPr>
              <w:t>–</w:t>
            </w:r>
            <w:r w:rsidRPr="00A56B39">
              <w:rPr>
                <w:b w:val="0"/>
              </w:rPr>
              <w:t>16</w:t>
            </w:r>
          </w:p>
        </w:tc>
        <w:tc>
          <w:tcPr>
            <w:tcW w:w="1418" w:type="dxa"/>
          </w:tcPr>
          <w:p w14:paraId="6C38DFB5" w14:textId="77777777" w:rsidR="000D638B" w:rsidRDefault="000D638B" w:rsidP="005C07E7">
            <w:pPr>
              <w:spacing w:after="0"/>
              <w:jc w:val="center"/>
              <w:cnfStyle w:val="000000000000" w:firstRow="0" w:lastRow="0" w:firstColumn="0" w:lastColumn="0" w:oddVBand="0" w:evenVBand="0" w:oddHBand="0" w:evenHBand="0" w:firstRowFirstColumn="0" w:firstRowLastColumn="0" w:lastRowFirstColumn="0" w:lastRowLastColumn="0"/>
            </w:pPr>
            <w:r>
              <w:t>15,240</w:t>
            </w:r>
          </w:p>
        </w:tc>
        <w:tc>
          <w:tcPr>
            <w:tcW w:w="1276" w:type="dxa"/>
          </w:tcPr>
          <w:p w14:paraId="5CEB04C2" w14:textId="77777777" w:rsidR="000D638B" w:rsidRDefault="000D638B" w:rsidP="00C447D7">
            <w:pPr>
              <w:spacing w:after="0"/>
              <w:jc w:val="center"/>
              <w:cnfStyle w:val="000000000000" w:firstRow="0" w:lastRow="0" w:firstColumn="0" w:lastColumn="0" w:oddVBand="0" w:evenVBand="0" w:oddHBand="0" w:evenHBand="0" w:firstRowFirstColumn="0" w:firstRowLastColumn="0" w:lastRowFirstColumn="0" w:lastRowLastColumn="0"/>
            </w:pPr>
            <w:r>
              <w:t>12,623 (82.8%)</w:t>
            </w:r>
          </w:p>
        </w:tc>
        <w:tc>
          <w:tcPr>
            <w:tcW w:w="992" w:type="dxa"/>
          </w:tcPr>
          <w:p w14:paraId="3F2276CB" w14:textId="77777777" w:rsidR="000D638B" w:rsidRDefault="009E50D0" w:rsidP="005C07E7">
            <w:pPr>
              <w:spacing w:after="0"/>
              <w:jc w:val="center"/>
              <w:cnfStyle w:val="000000000000" w:firstRow="0" w:lastRow="0" w:firstColumn="0" w:lastColumn="0" w:oddVBand="0" w:evenVBand="0" w:oddHBand="0" w:evenHBand="0" w:firstRowFirstColumn="0" w:firstRowLastColumn="0" w:lastRowFirstColumn="0" w:lastRowLastColumn="0"/>
            </w:pPr>
            <w:r>
              <w:t>587 (3.9%)</w:t>
            </w:r>
          </w:p>
        </w:tc>
        <w:tc>
          <w:tcPr>
            <w:tcW w:w="1276" w:type="dxa"/>
          </w:tcPr>
          <w:p w14:paraId="28342E4D" w14:textId="77777777" w:rsidR="000D638B" w:rsidRDefault="009E50D0" w:rsidP="005C07E7">
            <w:pPr>
              <w:spacing w:after="0"/>
              <w:jc w:val="center"/>
              <w:cnfStyle w:val="000000000000" w:firstRow="0" w:lastRow="0" w:firstColumn="0" w:lastColumn="0" w:oddVBand="0" w:evenVBand="0" w:oddHBand="0" w:evenHBand="0" w:firstRowFirstColumn="0" w:firstRowLastColumn="0" w:lastRowFirstColumn="0" w:lastRowLastColumn="0"/>
            </w:pPr>
            <w:r>
              <w:t>563 (3.7%)</w:t>
            </w:r>
          </w:p>
        </w:tc>
        <w:tc>
          <w:tcPr>
            <w:tcW w:w="1701" w:type="dxa"/>
          </w:tcPr>
          <w:p w14:paraId="74E110AB" w14:textId="77777777" w:rsidR="000D638B" w:rsidRDefault="009E50D0" w:rsidP="005C07E7">
            <w:pPr>
              <w:spacing w:after="0"/>
              <w:jc w:val="center"/>
              <w:cnfStyle w:val="000000000000" w:firstRow="0" w:lastRow="0" w:firstColumn="0" w:lastColumn="0" w:oddVBand="0" w:evenVBand="0" w:oddHBand="0" w:evenHBand="0" w:firstRowFirstColumn="0" w:firstRowLastColumn="0" w:lastRowFirstColumn="0" w:lastRowLastColumn="0"/>
            </w:pPr>
            <w:r>
              <w:t>261 (1.7%)</w:t>
            </w:r>
          </w:p>
        </w:tc>
        <w:tc>
          <w:tcPr>
            <w:tcW w:w="1417" w:type="dxa"/>
          </w:tcPr>
          <w:p w14:paraId="79496202" w14:textId="77777777" w:rsidR="000D638B" w:rsidRDefault="009E50D0" w:rsidP="005C07E7">
            <w:pPr>
              <w:spacing w:after="0"/>
              <w:jc w:val="center"/>
              <w:cnfStyle w:val="000000000000" w:firstRow="0" w:lastRow="0" w:firstColumn="0" w:lastColumn="0" w:oddVBand="0" w:evenVBand="0" w:oddHBand="0" w:evenHBand="0" w:firstRowFirstColumn="0" w:firstRowLastColumn="0" w:lastRowFirstColumn="0" w:lastRowLastColumn="0"/>
            </w:pPr>
            <w:r>
              <w:t>1206 (8</w:t>
            </w:r>
            <w:r w:rsidR="002F67CA">
              <w:t>.0</w:t>
            </w:r>
            <w:r>
              <w:t>%)</w:t>
            </w:r>
          </w:p>
        </w:tc>
      </w:tr>
      <w:tr w:rsidR="00F875C8" w14:paraId="17A18307" w14:textId="77777777" w:rsidTr="00CE66EF">
        <w:tc>
          <w:tcPr>
            <w:cnfStyle w:val="001000000000" w:firstRow="0" w:lastRow="0" w:firstColumn="1" w:lastColumn="0" w:oddVBand="0" w:evenVBand="0" w:oddHBand="0" w:evenHBand="0" w:firstRowFirstColumn="0" w:firstRowLastColumn="0" w:lastRowFirstColumn="0" w:lastRowLastColumn="0"/>
            <w:tcW w:w="1134" w:type="dxa"/>
          </w:tcPr>
          <w:p w14:paraId="6ECF03FF" w14:textId="779AB2A5" w:rsidR="00F875C8" w:rsidRPr="00847199" w:rsidRDefault="00F875C8" w:rsidP="005C07E7">
            <w:pPr>
              <w:spacing w:after="0"/>
              <w:rPr>
                <w:b w:val="0"/>
              </w:rPr>
            </w:pPr>
            <w:r w:rsidRPr="00847199">
              <w:rPr>
                <w:b w:val="0"/>
              </w:rPr>
              <w:t>2016</w:t>
            </w:r>
            <w:r w:rsidR="00CE66EF">
              <w:rPr>
                <w:b w:val="0"/>
              </w:rPr>
              <w:t>–</w:t>
            </w:r>
            <w:r w:rsidRPr="00847199">
              <w:rPr>
                <w:b w:val="0"/>
              </w:rPr>
              <w:t>17</w:t>
            </w:r>
          </w:p>
        </w:tc>
        <w:tc>
          <w:tcPr>
            <w:tcW w:w="1418" w:type="dxa"/>
          </w:tcPr>
          <w:p w14:paraId="16D94E5E" w14:textId="77777777" w:rsidR="00F875C8" w:rsidRDefault="00C447D7" w:rsidP="005C07E7">
            <w:pPr>
              <w:spacing w:after="0"/>
              <w:jc w:val="center"/>
              <w:cnfStyle w:val="000000000000" w:firstRow="0" w:lastRow="0" w:firstColumn="0" w:lastColumn="0" w:oddVBand="0" w:evenVBand="0" w:oddHBand="0" w:evenHBand="0" w:firstRowFirstColumn="0" w:firstRowLastColumn="0" w:lastRowFirstColumn="0" w:lastRowLastColumn="0"/>
            </w:pPr>
            <w:r>
              <w:t>17,093</w:t>
            </w:r>
          </w:p>
        </w:tc>
        <w:tc>
          <w:tcPr>
            <w:tcW w:w="1276" w:type="dxa"/>
          </w:tcPr>
          <w:p w14:paraId="29A02206" w14:textId="77777777" w:rsidR="00F875C8" w:rsidRDefault="00C447D7" w:rsidP="00C447D7">
            <w:pPr>
              <w:spacing w:after="0"/>
              <w:jc w:val="center"/>
              <w:cnfStyle w:val="000000000000" w:firstRow="0" w:lastRow="0" w:firstColumn="0" w:lastColumn="0" w:oddVBand="0" w:evenVBand="0" w:oddHBand="0" w:evenHBand="0" w:firstRowFirstColumn="0" w:firstRowLastColumn="0" w:lastRowFirstColumn="0" w:lastRowLastColumn="0"/>
            </w:pPr>
            <w:r>
              <w:t>14,664</w:t>
            </w:r>
            <w:r w:rsidR="00F875C8">
              <w:t xml:space="preserve"> (</w:t>
            </w:r>
            <w:r>
              <w:t>85.8</w:t>
            </w:r>
            <w:r w:rsidR="00F875C8">
              <w:t>%)</w:t>
            </w:r>
          </w:p>
        </w:tc>
        <w:tc>
          <w:tcPr>
            <w:tcW w:w="992" w:type="dxa"/>
          </w:tcPr>
          <w:p w14:paraId="7F460AA8" w14:textId="77777777" w:rsidR="00F875C8" w:rsidRDefault="00C447D7" w:rsidP="005C07E7">
            <w:pPr>
              <w:spacing w:after="0"/>
              <w:jc w:val="center"/>
              <w:cnfStyle w:val="000000000000" w:firstRow="0" w:lastRow="0" w:firstColumn="0" w:lastColumn="0" w:oddVBand="0" w:evenVBand="0" w:oddHBand="0" w:evenHBand="0" w:firstRowFirstColumn="0" w:firstRowLastColumn="0" w:lastRowFirstColumn="0" w:lastRowLastColumn="0"/>
            </w:pPr>
            <w:r>
              <w:t>829</w:t>
            </w:r>
            <w:r w:rsidR="004158CE">
              <w:t xml:space="preserve"> (4.8%)</w:t>
            </w:r>
          </w:p>
        </w:tc>
        <w:tc>
          <w:tcPr>
            <w:tcW w:w="1276" w:type="dxa"/>
          </w:tcPr>
          <w:p w14:paraId="3D13BE00" w14:textId="77777777" w:rsidR="00F875C8" w:rsidRDefault="004158CE" w:rsidP="005C07E7">
            <w:pPr>
              <w:spacing w:after="0"/>
              <w:jc w:val="center"/>
              <w:cnfStyle w:val="000000000000" w:firstRow="0" w:lastRow="0" w:firstColumn="0" w:lastColumn="0" w:oddVBand="0" w:evenVBand="0" w:oddHBand="0" w:evenHBand="0" w:firstRowFirstColumn="0" w:firstRowLastColumn="0" w:lastRowFirstColumn="0" w:lastRowLastColumn="0"/>
            </w:pPr>
            <w:r>
              <w:t>571 (3.3%)</w:t>
            </w:r>
          </w:p>
        </w:tc>
        <w:tc>
          <w:tcPr>
            <w:tcW w:w="1701" w:type="dxa"/>
          </w:tcPr>
          <w:p w14:paraId="396CE04A" w14:textId="77777777" w:rsidR="00F875C8" w:rsidRDefault="004158CE" w:rsidP="005C07E7">
            <w:pPr>
              <w:spacing w:after="0"/>
              <w:jc w:val="center"/>
              <w:cnfStyle w:val="000000000000" w:firstRow="0" w:lastRow="0" w:firstColumn="0" w:lastColumn="0" w:oddVBand="0" w:evenVBand="0" w:oddHBand="0" w:evenHBand="0" w:firstRowFirstColumn="0" w:firstRowLastColumn="0" w:lastRowFirstColumn="0" w:lastRowLastColumn="0"/>
            </w:pPr>
            <w:r>
              <w:t>309 (1.8%)</w:t>
            </w:r>
          </w:p>
        </w:tc>
        <w:tc>
          <w:tcPr>
            <w:tcW w:w="1417" w:type="dxa"/>
          </w:tcPr>
          <w:p w14:paraId="20E54C01" w14:textId="77777777" w:rsidR="00F875C8" w:rsidRDefault="00715C7E" w:rsidP="005C07E7">
            <w:pPr>
              <w:spacing w:after="0"/>
              <w:jc w:val="center"/>
              <w:cnfStyle w:val="000000000000" w:firstRow="0" w:lastRow="0" w:firstColumn="0" w:lastColumn="0" w:oddVBand="0" w:evenVBand="0" w:oddHBand="0" w:evenHBand="0" w:firstRowFirstColumn="0" w:firstRowLastColumn="0" w:lastRowFirstColumn="0" w:lastRowLastColumn="0"/>
            </w:pPr>
            <w:r>
              <w:t>720 (4.3</w:t>
            </w:r>
            <w:r w:rsidR="004158CE">
              <w:t>%)</w:t>
            </w:r>
          </w:p>
        </w:tc>
      </w:tr>
      <w:tr w:rsidR="00F875C8" w14:paraId="46A0450F" w14:textId="77777777" w:rsidTr="00CE66EF">
        <w:tc>
          <w:tcPr>
            <w:cnfStyle w:val="001000000000" w:firstRow="0" w:lastRow="0" w:firstColumn="1" w:lastColumn="0" w:oddVBand="0" w:evenVBand="0" w:oddHBand="0" w:evenHBand="0" w:firstRowFirstColumn="0" w:firstRowLastColumn="0" w:lastRowFirstColumn="0" w:lastRowLastColumn="0"/>
            <w:tcW w:w="1134" w:type="dxa"/>
          </w:tcPr>
          <w:p w14:paraId="2A2C7405" w14:textId="04C459BC" w:rsidR="00F875C8" w:rsidRPr="00847199" w:rsidRDefault="00F875C8" w:rsidP="005C07E7">
            <w:pPr>
              <w:spacing w:after="0"/>
              <w:rPr>
                <w:b w:val="0"/>
              </w:rPr>
            </w:pPr>
            <w:r w:rsidRPr="00847199">
              <w:rPr>
                <w:b w:val="0"/>
              </w:rPr>
              <w:t>2017</w:t>
            </w:r>
            <w:r w:rsidR="00CE66EF">
              <w:rPr>
                <w:b w:val="0"/>
              </w:rPr>
              <w:t>–</w:t>
            </w:r>
            <w:r w:rsidRPr="00847199">
              <w:rPr>
                <w:b w:val="0"/>
              </w:rPr>
              <w:t>18</w:t>
            </w:r>
          </w:p>
        </w:tc>
        <w:tc>
          <w:tcPr>
            <w:tcW w:w="1418" w:type="dxa"/>
          </w:tcPr>
          <w:p w14:paraId="066B9A71" w14:textId="77777777" w:rsidR="00F875C8" w:rsidRDefault="00F875C8" w:rsidP="005C07E7">
            <w:pPr>
              <w:spacing w:after="0"/>
              <w:jc w:val="center"/>
              <w:cnfStyle w:val="000000000000" w:firstRow="0" w:lastRow="0" w:firstColumn="0" w:lastColumn="0" w:oddVBand="0" w:evenVBand="0" w:oddHBand="0" w:evenHBand="0" w:firstRowFirstColumn="0" w:firstRowLastColumn="0" w:lastRowFirstColumn="0" w:lastRowLastColumn="0"/>
            </w:pPr>
            <w:r>
              <w:t>14,906</w:t>
            </w:r>
          </w:p>
        </w:tc>
        <w:tc>
          <w:tcPr>
            <w:tcW w:w="1276" w:type="dxa"/>
          </w:tcPr>
          <w:p w14:paraId="6910A47C" w14:textId="77777777" w:rsidR="00F875C8" w:rsidRDefault="00715C7E" w:rsidP="00F875C8">
            <w:pPr>
              <w:spacing w:after="0"/>
              <w:jc w:val="center"/>
              <w:cnfStyle w:val="000000000000" w:firstRow="0" w:lastRow="0" w:firstColumn="0" w:lastColumn="0" w:oddVBand="0" w:evenVBand="0" w:oddHBand="0" w:evenHBand="0" w:firstRowFirstColumn="0" w:firstRowLastColumn="0" w:lastRowFirstColumn="0" w:lastRowLastColumn="0"/>
            </w:pPr>
            <w:r>
              <w:t>12,605 (84.6</w:t>
            </w:r>
            <w:r w:rsidR="00F875C8">
              <w:t>%)</w:t>
            </w:r>
          </w:p>
        </w:tc>
        <w:tc>
          <w:tcPr>
            <w:tcW w:w="992" w:type="dxa"/>
          </w:tcPr>
          <w:p w14:paraId="3E83152B" w14:textId="77777777" w:rsidR="00F875C8" w:rsidRDefault="00F875C8" w:rsidP="005C07E7">
            <w:pPr>
              <w:spacing w:after="0"/>
              <w:jc w:val="center"/>
              <w:cnfStyle w:val="000000000000" w:firstRow="0" w:lastRow="0" w:firstColumn="0" w:lastColumn="0" w:oddVBand="0" w:evenVBand="0" w:oddHBand="0" w:evenHBand="0" w:firstRowFirstColumn="0" w:firstRowLastColumn="0" w:lastRowFirstColumn="0" w:lastRowLastColumn="0"/>
            </w:pPr>
            <w:r>
              <w:t>872 (5.9%)</w:t>
            </w:r>
          </w:p>
        </w:tc>
        <w:tc>
          <w:tcPr>
            <w:tcW w:w="1276" w:type="dxa"/>
          </w:tcPr>
          <w:p w14:paraId="45CFF095" w14:textId="77777777" w:rsidR="00F875C8" w:rsidRDefault="00F875C8" w:rsidP="00F875C8">
            <w:pPr>
              <w:spacing w:after="0"/>
              <w:jc w:val="center"/>
              <w:cnfStyle w:val="000000000000" w:firstRow="0" w:lastRow="0" w:firstColumn="0" w:lastColumn="0" w:oddVBand="0" w:evenVBand="0" w:oddHBand="0" w:evenHBand="0" w:firstRowFirstColumn="0" w:firstRowLastColumn="0" w:lastRowFirstColumn="0" w:lastRowLastColumn="0"/>
            </w:pPr>
            <w:r>
              <w:t>557 (3.7%)</w:t>
            </w:r>
          </w:p>
        </w:tc>
        <w:tc>
          <w:tcPr>
            <w:tcW w:w="1701" w:type="dxa"/>
          </w:tcPr>
          <w:p w14:paraId="554D556D" w14:textId="77777777" w:rsidR="00F875C8" w:rsidRDefault="00F875C8" w:rsidP="005C07E7">
            <w:pPr>
              <w:spacing w:after="0"/>
              <w:jc w:val="center"/>
              <w:cnfStyle w:val="000000000000" w:firstRow="0" w:lastRow="0" w:firstColumn="0" w:lastColumn="0" w:oddVBand="0" w:evenVBand="0" w:oddHBand="0" w:evenHBand="0" w:firstRowFirstColumn="0" w:firstRowLastColumn="0" w:lastRowFirstColumn="0" w:lastRowLastColumn="0"/>
            </w:pPr>
            <w:r>
              <w:t>339 (2.3%)</w:t>
            </w:r>
          </w:p>
        </w:tc>
        <w:tc>
          <w:tcPr>
            <w:tcW w:w="1417" w:type="dxa"/>
          </w:tcPr>
          <w:p w14:paraId="12D31383" w14:textId="77777777" w:rsidR="00F875C8" w:rsidRDefault="00F875C8" w:rsidP="00F875C8">
            <w:pPr>
              <w:spacing w:after="0"/>
              <w:jc w:val="center"/>
              <w:cnfStyle w:val="000000000000" w:firstRow="0" w:lastRow="0" w:firstColumn="0" w:lastColumn="0" w:oddVBand="0" w:evenVBand="0" w:oddHBand="0" w:evenHBand="0" w:firstRowFirstColumn="0" w:firstRowLastColumn="0" w:lastRowFirstColumn="0" w:lastRowLastColumn="0"/>
            </w:pPr>
            <w:r>
              <w:t>533</w:t>
            </w:r>
            <w:r w:rsidR="004158CE">
              <w:t xml:space="preserve"> </w:t>
            </w:r>
            <w:r w:rsidR="00715C7E">
              <w:t>(3.5</w:t>
            </w:r>
            <w:r>
              <w:t>%)</w:t>
            </w:r>
          </w:p>
        </w:tc>
      </w:tr>
      <w:tr w:rsidR="00822A6D" w14:paraId="44807D06" w14:textId="77777777" w:rsidTr="00CE66EF">
        <w:tc>
          <w:tcPr>
            <w:cnfStyle w:val="001000000000" w:firstRow="0" w:lastRow="0" w:firstColumn="1" w:lastColumn="0" w:oddVBand="0" w:evenVBand="0" w:oddHBand="0" w:evenHBand="0" w:firstRowFirstColumn="0" w:firstRowLastColumn="0" w:lastRowFirstColumn="0" w:lastRowLastColumn="0"/>
            <w:tcW w:w="1134" w:type="dxa"/>
          </w:tcPr>
          <w:p w14:paraId="0D861A55" w14:textId="7BB32316" w:rsidR="00822A6D" w:rsidRPr="00847199" w:rsidRDefault="00822A6D" w:rsidP="005C07E7">
            <w:pPr>
              <w:spacing w:after="0"/>
              <w:rPr>
                <w:b w:val="0"/>
              </w:rPr>
            </w:pPr>
            <w:r>
              <w:rPr>
                <w:b w:val="0"/>
              </w:rPr>
              <w:t>2018</w:t>
            </w:r>
            <w:r w:rsidR="00CE66EF">
              <w:rPr>
                <w:b w:val="0"/>
              </w:rPr>
              <w:t>–</w:t>
            </w:r>
            <w:r>
              <w:rPr>
                <w:b w:val="0"/>
              </w:rPr>
              <w:t>19</w:t>
            </w:r>
          </w:p>
        </w:tc>
        <w:tc>
          <w:tcPr>
            <w:tcW w:w="1418" w:type="dxa"/>
          </w:tcPr>
          <w:p w14:paraId="6CACE619" w14:textId="77777777" w:rsidR="00822A6D" w:rsidRDefault="00822A6D" w:rsidP="005C07E7">
            <w:pPr>
              <w:spacing w:after="0"/>
              <w:jc w:val="center"/>
              <w:cnfStyle w:val="000000000000" w:firstRow="0" w:lastRow="0" w:firstColumn="0" w:lastColumn="0" w:oddVBand="0" w:evenVBand="0" w:oddHBand="0" w:evenHBand="0" w:firstRowFirstColumn="0" w:firstRowLastColumn="0" w:lastRowFirstColumn="0" w:lastRowLastColumn="0"/>
            </w:pPr>
            <w:r>
              <w:t>15,887</w:t>
            </w:r>
          </w:p>
        </w:tc>
        <w:tc>
          <w:tcPr>
            <w:tcW w:w="1276" w:type="dxa"/>
          </w:tcPr>
          <w:p w14:paraId="40044844" w14:textId="77777777" w:rsidR="00822A6D" w:rsidRDefault="00822A6D" w:rsidP="00F875C8">
            <w:pPr>
              <w:spacing w:after="0"/>
              <w:jc w:val="center"/>
              <w:cnfStyle w:val="000000000000" w:firstRow="0" w:lastRow="0" w:firstColumn="0" w:lastColumn="0" w:oddVBand="0" w:evenVBand="0" w:oddHBand="0" w:evenHBand="0" w:firstRowFirstColumn="0" w:firstRowLastColumn="0" w:lastRowFirstColumn="0" w:lastRowLastColumn="0"/>
            </w:pPr>
            <w:r>
              <w:t>13,184 (83</w:t>
            </w:r>
            <w:r w:rsidR="0094724B">
              <w:t>.0</w:t>
            </w:r>
            <w:r>
              <w:t>%)</w:t>
            </w:r>
          </w:p>
        </w:tc>
        <w:tc>
          <w:tcPr>
            <w:tcW w:w="992" w:type="dxa"/>
          </w:tcPr>
          <w:p w14:paraId="7F5523DA" w14:textId="77777777" w:rsidR="00822A6D" w:rsidRDefault="00822A6D" w:rsidP="005C07E7">
            <w:pPr>
              <w:spacing w:after="0"/>
              <w:jc w:val="center"/>
              <w:cnfStyle w:val="000000000000" w:firstRow="0" w:lastRow="0" w:firstColumn="0" w:lastColumn="0" w:oddVBand="0" w:evenVBand="0" w:oddHBand="0" w:evenHBand="0" w:firstRowFirstColumn="0" w:firstRowLastColumn="0" w:lastRowFirstColumn="0" w:lastRowLastColumn="0"/>
            </w:pPr>
            <w:r>
              <w:t>611 (3.9%)</w:t>
            </w:r>
          </w:p>
        </w:tc>
        <w:tc>
          <w:tcPr>
            <w:tcW w:w="1276" w:type="dxa"/>
          </w:tcPr>
          <w:p w14:paraId="004D6985" w14:textId="77777777" w:rsidR="00822A6D" w:rsidRDefault="00822A6D" w:rsidP="00F875C8">
            <w:pPr>
              <w:spacing w:after="0"/>
              <w:jc w:val="center"/>
              <w:cnfStyle w:val="000000000000" w:firstRow="0" w:lastRow="0" w:firstColumn="0" w:lastColumn="0" w:oddVBand="0" w:evenVBand="0" w:oddHBand="0" w:evenHBand="0" w:firstRowFirstColumn="0" w:firstRowLastColumn="0" w:lastRowFirstColumn="0" w:lastRowLastColumn="0"/>
            </w:pPr>
            <w:r>
              <w:t>1144 (7.2%)</w:t>
            </w:r>
          </w:p>
        </w:tc>
        <w:tc>
          <w:tcPr>
            <w:tcW w:w="1701" w:type="dxa"/>
          </w:tcPr>
          <w:p w14:paraId="34D5C897" w14:textId="77777777" w:rsidR="00822A6D" w:rsidRDefault="00822A6D" w:rsidP="005C07E7">
            <w:pPr>
              <w:spacing w:after="0"/>
              <w:jc w:val="center"/>
              <w:cnfStyle w:val="000000000000" w:firstRow="0" w:lastRow="0" w:firstColumn="0" w:lastColumn="0" w:oddVBand="0" w:evenVBand="0" w:oddHBand="0" w:evenHBand="0" w:firstRowFirstColumn="0" w:firstRowLastColumn="0" w:lastRowFirstColumn="0" w:lastRowLastColumn="0"/>
            </w:pPr>
            <w:r>
              <w:t>385 (2.4%)</w:t>
            </w:r>
          </w:p>
        </w:tc>
        <w:tc>
          <w:tcPr>
            <w:tcW w:w="1417" w:type="dxa"/>
          </w:tcPr>
          <w:p w14:paraId="087D2852" w14:textId="77777777" w:rsidR="00822A6D" w:rsidRDefault="00822A6D" w:rsidP="00F875C8">
            <w:pPr>
              <w:spacing w:after="0"/>
              <w:jc w:val="center"/>
              <w:cnfStyle w:val="000000000000" w:firstRow="0" w:lastRow="0" w:firstColumn="0" w:lastColumn="0" w:oddVBand="0" w:evenVBand="0" w:oddHBand="0" w:evenHBand="0" w:firstRowFirstColumn="0" w:firstRowLastColumn="0" w:lastRowFirstColumn="0" w:lastRowLastColumn="0"/>
            </w:pPr>
            <w:r>
              <w:t>750 (4.7%)</w:t>
            </w:r>
          </w:p>
        </w:tc>
      </w:tr>
    </w:tbl>
    <w:p w14:paraId="1049219B" w14:textId="77777777" w:rsidR="003153BA" w:rsidRDefault="003153BA" w:rsidP="00AE4139">
      <w:r>
        <w:br w:type="page"/>
      </w:r>
    </w:p>
    <w:p w14:paraId="609AE34A" w14:textId="77777777" w:rsidR="00AE4139" w:rsidRDefault="00181182" w:rsidP="00AE4139">
      <w:r>
        <w:lastRenderedPageBreak/>
        <w:t>T</w:t>
      </w:r>
      <w:r w:rsidR="005B043E">
        <w:t>he instrument</w:t>
      </w:r>
      <w:r w:rsidR="00A36410">
        <w:t xml:space="preserve"> types with an above average proportion </w:t>
      </w:r>
      <w:r w:rsidR="00AE4139">
        <w:t>found</w:t>
      </w:r>
      <w:r>
        <w:t xml:space="preserve"> to be inaccurate to consumer</w:t>
      </w:r>
      <w:r w:rsidR="005B043E">
        <w:t xml:space="preserve"> </w:t>
      </w:r>
      <w:r w:rsidR="00AE4139">
        <w:t>disadvantage</w:t>
      </w:r>
      <w:r>
        <w:t xml:space="preserve"> </w:t>
      </w:r>
      <w:r w:rsidR="00AE4139">
        <w:t xml:space="preserve">has also been </w:t>
      </w:r>
      <w:r w:rsidR="00885CDB">
        <w:t xml:space="preserve">relatively </w:t>
      </w:r>
      <w:r w:rsidR="00AE4139">
        <w:t>consistent over recent years</w:t>
      </w:r>
      <w:r w:rsidR="00FF2409">
        <w:t>.</w:t>
      </w:r>
    </w:p>
    <w:tbl>
      <w:tblPr>
        <w:tblStyle w:val="Style1"/>
        <w:tblpPr w:leftFromText="181" w:rightFromText="181" w:bottomFromText="425" w:vertAnchor="text" w:tblpY="1"/>
        <w:tblOverlap w:val="never"/>
        <w:tblW w:w="8931" w:type="dxa"/>
        <w:tblLook w:val="04A0" w:firstRow="1" w:lastRow="0" w:firstColumn="1" w:lastColumn="0" w:noHBand="0" w:noVBand="1"/>
        <w:tblDescription w:val="This table lists instrument testing in previous years."/>
      </w:tblPr>
      <w:tblGrid>
        <w:gridCol w:w="2410"/>
        <w:gridCol w:w="1418"/>
        <w:gridCol w:w="2126"/>
        <w:gridCol w:w="2977"/>
      </w:tblGrid>
      <w:tr w:rsidR="00AE4139" w14:paraId="66DECA71" w14:textId="77777777" w:rsidTr="009D4A2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410" w:type="dxa"/>
          </w:tcPr>
          <w:p w14:paraId="310E7FA0" w14:textId="77777777" w:rsidR="00AE4139" w:rsidRDefault="00FF6EDB" w:rsidP="005C07E7">
            <w:pPr>
              <w:spacing w:after="0"/>
            </w:pPr>
            <w:r>
              <w:t>Instrument type</w:t>
            </w:r>
          </w:p>
        </w:tc>
        <w:tc>
          <w:tcPr>
            <w:tcW w:w="1418" w:type="dxa"/>
          </w:tcPr>
          <w:p w14:paraId="1442ECA0" w14:textId="77777777" w:rsidR="00AE4139" w:rsidRDefault="00FF6EDB" w:rsidP="005C07E7">
            <w:pPr>
              <w:spacing w:after="0"/>
              <w:jc w:val="center"/>
              <w:cnfStyle w:val="100000000000" w:firstRow="1" w:lastRow="0" w:firstColumn="0" w:lastColumn="0" w:oddVBand="0" w:evenVBand="0" w:oddHBand="0" w:evenHBand="0" w:firstRowFirstColumn="0" w:firstRowLastColumn="0" w:lastRowFirstColumn="0" w:lastRowLastColumn="0"/>
            </w:pPr>
            <w:r>
              <w:t>Year</w:t>
            </w:r>
          </w:p>
        </w:tc>
        <w:tc>
          <w:tcPr>
            <w:tcW w:w="2126" w:type="dxa"/>
          </w:tcPr>
          <w:p w14:paraId="667C853F" w14:textId="77777777" w:rsidR="00AE4139" w:rsidRDefault="00FF6EDB" w:rsidP="005C07E7">
            <w:pPr>
              <w:spacing w:after="0"/>
              <w:jc w:val="center"/>
              <w:cnfStyle w:val="100000000000" w:firstRow="1" w:lastRow="0" w:firstColumn="0" w:lastColumn="0" w:oddVBand="0" w:evenVBand="0" w:oddHBand="0" w:evenHBand="0" w:firstRowFirstColumn="0" w:firstRowLastColumn="0" w:lastRowFirstColumn="0" w:lastRowLastColumn="0"/>
            </w:pPr>
            <w:r>
              <w:t>Instruments tested</w:t>
            </w:r>
          </w:p>
        </w:tc>
        <w:tc>
          <w:tcPr>
            <w:tcW w:w="2977" w:type="dxa"/>
          </w:tcPr>
          <w:p w14:paraId="5210BAE5" w14:textId="77777777" w:rsidR="00AE4139" w:rsidRDefault="00AE4139" w:rsidP="005C07E7">
            <w:pPr>
              <w:spacing w:after="0"/>
              <w:jc w:val="center"/>
              <w:cnfStyle w:val="100000000000" w:firstRow="1" w:lastRow="0" w:firstColumn="0" w:lastColumn="0" w:oddVBand="0" w:evenVBand="0" w:oddHBand="0" w:evenHBand="0" w:firstRowFirstColumn="0" w:firstRowLastColumn="0" w:lastRowFirstColumn="0" w:lastRowLastColumn="0"/>
            </w:pPr>
            <w:r>
              <w:t>Inaccurate</w:t>
            </w:r>
            <w:r>
              <w:br/>
              <w:t>(consumer disadvantage)</w:t>
            </w:r>
          </w:p>
        </w:tc>
      </w:tr>
      <w:tr w:rsidR="003E4ABD" w14:paraId="4F539DAA"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val="restart"/>
          </w:tcPr>
          <w:p w14:paraId="0C09366F" w14:textId="77777777" w:rsidR="003E4ABD" w:rsidRDefault="003E4ABD" w:rsidP="00021168">
            <w:pPr>
              <w:spacing w:after="0"/>
              <w:rPr>
                <w:b w:val="0"/>
              </w:rPr>
            </w:pPr>
            <w:r>
              <w:rPr>
                <w:b w:val="0"/>
              </w:rPr>
              <w:t>Weighbridges</w:t>
            </w:r>
          </w:p>
        </w:tc>
        <w:tc>
          <w:tcPr>
            <w:tcW w:w="1418" w:type="dxa"/>
          </w:tcPr>
          <w:p w14:paraId="5879EA95" w14:textId="22560020" w:rsidR="003E4ABD" w:rsidRDefault="003E4ABD" w:rsidP="005C07E7">
            <w:pPr>
              <w:spacing w:after="0"/>
              <w:jc w:val="center"/>
              <w:cnfStyle w:val="000000000000" w:firstRow="0" w:lastRow="0" w:firstColumn="0" w:lastColumn="0" w:oddVBand="0" w:evenVBand="0" w:oddHBand="0" w:evenHBand="0" w:firstRowFirstColumn="0" w:firstRowLastColumn="0" w:lastRowFirstColumn="0" w:lastRowLastColumn="0"/>
            </w:pPr>
            <w:r>
              <w:t>2015</w:t>
            </w:r>
            <w:r w:rsidR="00CE66EF">
              <w:t>–</w:t>
            </w:r>
            <w:r>
              <w:t>16</w:t>
            </w:r>
          </w:p>
        </w:tc>
        <w:tc>
          <w:tcPr>
            <w:tcW w:w="2126" w:type="dxa"/>
          </w:tcPr>
          <w:p w14:paraId="5829410D" w14:textId="77777777" w:rsidR="003E4ABD" w:rsidRDefault="003E4ABD" w:rsidP="005C07E7">
            <w:pPr>
              <w:spacing w:after="0"/>
              <w:jc w:val="center"/>
              <w:cnfStyle w:val="000000000000" w:firstRow="0" w:lastRow="0" w:firstColumn="0" w:lastColumn="0" w:oddVBand="0" w:evenVBand="0" w:oddHBand="0" w:evenHBand="0" w:firstRowFirstColumn="0" w:firstRowLastColumn="0" w:lastRowFirstColumn="0" w:lastRowLastColumn="0"/>
            </w:pPr>
            <w:r>
              <w:t>960</w:t>
            </w:r>
          </w:p>
        </w:tc>
        <w:tc>
          <w:tcPr>
            <w:tcW w:w="2977" w:type="dxa"/>
          </w:tcPr>
          <w:p w14:paraId="41B17148"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52 (5.4%)</w:t>
            </w:r>
          </w:p>
        </w:tc>
      </w:tr>
      <w:tr w:rsidR="003E4ABD" w14:paraId="5914A737"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55D459AC" w14:textId="77777777" w:rsidR="003E4ABD" w:rsidRPr="00FF6EDB" w:rsidRDefault="003E4ABD" w:rsidP="005C07E7">
            <w:pPr>
              <w:spacing w:after="0"/>
            </w:pPr>
          </w:p>
        </w:tc>
        <w:tc>
          <w:tcPr>
            <w:tcW w:w="1418" w:type="dxa"/>
          </w:tcPr>
          <w:p w14:paraId="4E81104C" w14:textId="584F8C49" w:rsidR="003E4ABD" w:rsidRDefault="003E4ABD" w:rsidP="005C07E7">
            <w:pPr>
              <w:spacing w:after="0"/>
              <w:jc w:val="center"/>
              <w:cnfStyle w:val="000000000000" w:firstRow="0" w:lastRow="0" w:firstColumn="0" w:lastColumn="0" w:oddVBand="0" w:evenVBand="0" w:oddHBand="0" w:evenHBand="0" w:firstRowFirstColumn="0" w:firstRowLastColumn="0" w:lastRowFirstColumn="0" w:lastRowLastColumn="0"/>
            </w:pPr>
            <w:r>
              <w:t>2016</w:t>
            </w:r>
            <w:r w:rsidR="00CE66EF">
              <w:t>–</w:t>
            </w:r>
            <w:r>
              <w:t>17</w:t>
            </w:r>
          </w:p>
        </w:tc>
        <w:tc>
          <w:tcPr>
            <w:tcW w:w="2126" w:type="dxa"/>
          </w:tcPr>
          <w:p w14:paraId="485B1444" w14:textId="77777777" w:rsidR="003E4ABD" w:rsidRDefault="003E4ABD" w:rsidP="005C07E7">
            <w:pPr>
              <w:spacing w:after="0"/>
              <w:jc w:val="center"/>
              <w:cnfStyle w:val="000000000000" w:firstRow="0" w:lastRow="0" w:firstColumn="0" w:lastColumn="0" w:oddVBand="0" w:evenVBand="0" w:oddHBand="0" w:evenHBand="0" w:firstRowFirstColumn="0" w:firstRowLastColumn="0" w:lastRowFirstColumn="0" w:lastRowLastColumn="0"/>
            </w:pPr>
            <w:r>
              <w:t>1147</w:t>
            </w:r>
          </w:p>
        </w:tc>
        <w:tc>
          <w:tcPr>
            <w:tcW w:w="2977" w:type="dxa"/>
          </w:tcPr>
          <w:p w14:paraId="69255AAE"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94 (8.2%)</w:t>
            </w:r>
          </w:p>
        </w:tc>
      </w:tr>
      <w:tr w:rsidR="003E4ABD" w14:paraId="35A13CD8"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085FD94D" w14:textId="77777777" w:rsidR="003E4ABD" w:rsidRPr="00F80EF7" w:rsidRDefault="003E4ABD" w:rsidP="005C07E7">
            <w:pPr>
              <w:spacing w:after="0"/>
              <w:rPr>
                <w:b w:val="0"/>
              </w:rPr>
            </w:pPr>
          </w:p>
        </w:tc>
        <w:tc>
          <w:tcPr>
            <w:tcW w:w="1418" w:type="dxa"/>
          </w:tcPr>
          <w:p w14:paraId="60201D29" w14:textId="7EC5C35A" w:rsidR="003E4ABD" w:rsidRDefault="003E4ABD" w:rsidP="005C07E7">
            <w:pPr>
              <w:spacing w:after="0"/>
              <w:jc w:val="center"/>
              <w:cnfStyle w:val="000000000000" w:firstRow="0" w:lastRow="0" w:firstColumn="0" w:lastColumn="0" w:oddVBand="0" w:evenVBand="0" w:oddHBand="0" w:evenHBand="0" w:firstRowFirstColumn="0" w:firstRowLastColumn="0" w:lastRowFirstColumn="0" w:lastRowLastColumn="0"/>
            </w:pPr>
            <w:r>
              <w:t>2017</w:t>
            </w:r>
            <w:r w:rsidR="00CE66EF">
              <w:t>–</w:t>
            </w:r>
            <w:r>
              <w:t>18</w:t>
            </w:r>
          </w:p>
        </w:tc>
        <w:tc>
          <w:tcPr>
            <w:tcW w:w="2126" w:type="dxa"/>
          </w:tcPr>
          <w:p w14:paraId="4B0BA4F5" w14:textId="77777777" w:rsidR="003E4ABD" w:rsidRDefault="003E4ABD" w:rsidP="005C07E7">
            <w:pPr>
              <w:spacing w:after="0"/>
              <w:jc w:val="center"/>
              <w:cnfStyle w:val="000000000000" w:firstRow="0" w:lastRow="0" w:firstColumn="0" w:lastColumn="0" w:oddVBand="0" w:evenVBand="0" w:oddHBand="0" w:evenHBand="0" w:firstRowFirstColumn="0" w:firstRowLastColumn="0" w:lastRowFirstColumn="0" w:lastRowLastColumn="0"/>
            </w:pPr>
            <w:r>
              <w:t>965</w:t>
            </w:r>
          </w:p>
        </w:tc>
        <w:tc>
          <w:tcPr>
            <w:tcW w:w="2977" w:type="dxa"/>
          </w:tcPr>
          <w:p w14:paraId="18C41689" w14:textId="77777777" w:rsidR="003E4ABD" w:rsidRDefault="003E4ABD" w:rsidP="00DB550C">
            <w:pPr>
              <w:spacing w:after="0"/>
              <w:jc w:val="center"/>
              <w:cnfStyle w:val="000000000000" w:firstRow="0" w:lastRow="0" w:firstColumn="0" w:lastColumn="0" w:oddVBand="0" w:evenVBand="0" w:oddHBand="0" w:evenHBand="0" w:firstRowFirstColumn="0" w:firstRowLastColumn="0" w:lastRowFirstColumn="0" w:lastRowLastColumn="0"/>
            </w:pPr>
            <w:r>
              <w:t>61 (6.3%)</w:t>
            </w:r>
          </w:p>
        </w:tc>
      </w:tr>
      <w:tr w:rsidR="003E4ABD" w14:paraId="64A6C3D6"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05A7F15B" w14:textId="77777777" w:rsidR="003E4ABD" w:rsidRPr="00F80EF7" w:rsidRDefault="003E4ABD" w:rsidP="005C07E7">
            <w:pPr>
              <w:spacing w:after="0"/>
              <w:rPr>
                <w:b w:val="0"/>
              </w:rPr>
            </w:pPr>
          </w:p>
        </w:tc>
        <w:tc>
          <w:tcPr>
            <w:tcW w:w="1418" w:type="dxa"/>
          </w:tcPr>
          <w:p w14:paraId="16E2DD18" w14:textId="03E4570C" w:rsidR="003E4ABD" w:rsidRDefault="003E4ABD" w:rsidP="005C07E7">
            <w:pPr>
              <w:spacing w:after="0"/>
              <w:jc w:val="center"/>
              <w:cnfStyle w:val="000000000000" w:firstRow="0" w:lastRow="0" w:firstColumn="0" w:lastColumn="0" w:oddVBand="0" w:evenVBand="0" w:oddHBand="0" w:evenHBand="0" w:firstRowFirstColumn="0" w:firstRowLastColumn="0" w:lastRowFirstColumn="0" w:lastRowLastColumn="0"/>
            </w:pPr>
            <w:r>
              <w:t>2018</w:t>
            </w:r>
            <w:r w:rsidR="00CE66EF">
              <w:t>–</w:t>
            </w:r>
            <w:r>
              <w:t>19</w:t>
            </w:r>
          </w:p>
        </w:tc>
        <w:tc>
          <w:tcPr>
            <w:tcW w:w="2126" w:type="dxa"/>
          </w:tcPr>
          <w:p w14:paraId="18489B91" w14:textId="77777777" w:rsidR="003E4ABD" w:rsidRDefault="003E4ABD" w:rsidP="005C07E7">
            <w:pPr>
              <w:spacing w:after="0"/>
              <w:jc w:val="center"/>
              <w:cnfStyle w:val="000000000000" w:firstRow="0" w:lastRow="0" w:firstColumn="0" w:lastColumn="0" w:oddVBand="0" w:evenVBand="0" w:oddHBand="0" w:evenHBand="0" w:firstRowFirstColumn="0" w:firstRowLastColumn="0" w:lastRowFirstColumn="0" w:lastRowLastColumn="0"/>
            </w:pPr>
            <w:r>
              <w:t>614</w:t>
            </w:r>
          </w:p>
        </w:tc>
        <w:tc>
          <w:tcPr>
            <w:tcW w:w="2977" w:type="dxa"/>
          </w:tcPr>
          <w:p w14:paraId="3484C5D8" w14:textId="77777777" w:rsidR="003E4ABD" w:rsidRDefault="003E4ABD" w:rsidP="00DB550C">
            <w:pPr>
              <w:spacing w:after="0"/>
              <w:jc w:val="center"/>
              <w:cnfStyle w:val="000000000000" w:firstRow="0" w:lastRow="0" w:firstColumn="0" w:lastColumn="0" w:oddVBand="0" w:evenVBand="0" w:oddHBand="0" w:evenHBand="0" w:firstRowFirstColumn="0" w:firstRowLastColumn="0" w:lastRowFirstColumn="0" w:lastRowLastColumn="0"/>
            </w:pPr>
            <w:r>
              <w:t>42 (6.8%)</w:t>
            </w:r>
          </w:p>
        </w:tc>
      </w:tr>
      <w:tr w:rsidR="007B7320" w14:paraId="452342F9"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val="restart"/>
          </w:tcPr>
          <w:p w14:paraId="6CB3D6CF" w14:textId="77777777" w:rsidR="007B7320" w:rsidRDefault="007B7320" w:rsidP="007B7320">
            <w:pPr>
              <w:spacing w:after="0"/>
              <w:rPr>
                <w:b w:val="0"/>
              </w:rPr>
            </w:pPr>
            <w:r>
              <w:rPr>
                <w:b w:val="0"/>
              </w:rPr>
              <w:t>Fuel dispensers</w:t>
            </w:r>
            <w:r>
              <w:rPr>
                <w:b w:val="0"/>
              </w:rPr>
              <w:br/>
              <w:t>(petrol and diesel)</w:t>
            </w:r>
          </w:p>
        </w:tc>
        <w:tc>
          <w:tcPr>
            <w:tcW w:w="1418" w:type="dxa"/>
          </w:tcPr>
          <w:p w14:paraId="4A44BCE2" w14:textId="69EC2ADE"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2015–16</w:t>
            </w:r>
          </w:p>
        </w:tc>
        <w:tc>
          <w:tcPr>
            <w:tcW w:w="2126" w:type="dxa"/>
          </w:tcPr>
          <w:p w14:paraId="4A0F0357" w14:textId="530339AE"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2923</w:t>
            </w:r>
          </w:p>
        </w:tc>
        <w:tc>
          <w:tcPr>
            <w:tcW w:w="2977" w:type="dxa"/>
          </w:tcPr>
          <w:p w14:paraId="3D000742" w14:textId="371ED14F"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85 (2.9%)</w:t>
            </w:r>
          </w:p>
        </w:tc>
      </w:tr>
      <w:tr w:rsidR="007B7320" w14:paraId="36AEC18E"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74CD15AF" w14:textId="77777777" w:rsidR="007B7320" w:rsidRPr="00F80EF7" w:rsidRDefault="007B7320" w:rsidP="007B7320">
            <w:pPr>
              <w:spacing w:after="0"/>
              <w:rPr>
                <w:b w:val="0"/>
              </w:rPr>
            </w:pPr>
          </w:p>
        </w:tc>
        <w:tc>
          <w:tcPr>
            <w:tcW w:w="1418" w:type="dxa"/>
          </w:tcPr>
          <w:p w14:paraId="7AC5C27F" w14:textId="243579BE"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2016–17</w:t>
            </w:r>
          </w:p>
        </w:tc>
        <w:tc>
          <w:tcPr>
            <w:tcW w:w="2126" w:type="dxa"/>
          </w:tcPr>
          <w:p w14:paraId="0FC37FF2" w14:textId="58E8D142"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1260</w:t>
            </w:r>
          </w:p>
        </w:tc>
        <w:tc>
          <w:tcPr>
            <w:tcW w:w="2977" w:type="dxa"/>
          </w:tcPr>
          <w:p w14:paraId="5A10197D" w14:textId="12655811"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54 (4.3%)</w:t>
            </w:r>
          </w:p>
        </w:tc>
      </w:tr>
      <w:tr w:rsidR="007B7320" w14:paraId="2DD4BA08"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694422B3" w14:textId="77777777" w:rsidR="007B7320" w:rsidRPr="00F80EF7" w:rsidRDefault="007B7320" w:rsidP="007B7320">
            <w:pPr>
              <w:spacing w:after="0"/>
              <w:rPr>
                <w:b w:val="0"/>
              </w:rPr>
            </w:pPr>
          </w:p>
        </w:tc>
        <w:tc>
          <w:tcPr>
            <w:tcW w:w="1418" w:type="dxa"/>
          </w:tcPr>
          <w:p w14:paraId="75F41D1E" w14:textId="328C2180"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2017–18</w:t>
            </w:r>
          </w:p>
        </w:tc>
        <w:tc>
          <w:tcPr>
            <w:tcW w:w="2126" w:type="dxa"/>
          </w:tcPr>
          <w:p w14:paraId="310DFDE9" w14:textId="7572E49E"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1434</w:t>
            </w:r>
          </w:p>
        </w:tc>
        <w:tc>
          <w:tcPr>
            <w:tcW w:w="2977" w:type="dxa"/>
          </w:tcPr>
          <w:p w14:paraId="00D2B0C9" w14:textId="2265275F"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91 (6.3%)</w:t>
            </w:r>
          </w:p>
        </w:tc>
      </w:tr>
      <w:tr w:rsidR="007B7320" w14:paraId="0976A256"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54F1826C" w14:textId="77777777" w:rsidR="007B7320" w:rsidRPr="00F80EF7" w:rsidRDefault="007B7320" w:rsidP="007B7320">
            <w:pPr>
              <w:spacing w:after="0"/>
              <w:rPr>
                <w:b w:val="0"/>
              </w:rPr>
            </w:pPr>
          </w:p>
        </w:tc>
        <w:tc>
          <w:tcPr>
            <w:tcW w:w="1418" w:type="dxa"/>
          </w:tcPr>
          <w:p w14:paraId="50255372" w14:textId="44EDFD2C"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2018–19</w:t>
            </w:r>
          </w:p>
        </w:tc>
        <w:tc>
          <w:tcPr>
            <w:tcW w:w="2126" w:type="dxa"/>
          </w:tcPr>
          <w:p w14:paraId="42FF1547" w14:textId="0C5D9D56"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3883</w:t>
            </w:r>
          </w:p>
        </w:tc>
        <w:tc>
          <w:tcPr>
            <w:tcW w:w="2977" w:type="dxa"/>
          </w:tcPr>
          <w:p w14:paraId="4EE02EF7" w14:textId="3E584ECE"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211 (5.4%)</w:t>
            </w:r>
          </w:p>
        </w:tc>
      </w:tr>
      <w:tr w:rsidR="003E4ABD" w14:paraId="4A6F47BD"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val="restart"/>
          </w:tcPr>
          <w:p w14:paraId="273E603C" w14:textId="77777777" w:rsidR="003E4ABD" w:rsidRDefault="003E4ABD" w:rsidP="00021168">
            <w:pPr>
              <w:spacing w:after="0"/>
              <w:rPr>
                <w:b w:val="0"/>
              </w:rPr>
            </w:pPr>
            <w:r>
              <w:rPr>
                <w:b w:val="0"/>
              </w:rPr>
              <w:t>Weighing instruments</w:t>
            </w:r>
            <w:r>
              <w:rPr>
                <w:b w:val="0"/>
              </w:rPr>
              <w:br/>
              <w:t>(30 kg to 3 tonnes)</w:t>
            </w:r>
          </w:p>
        </w:tc>
        <w:tc>
          <w:tcPr>
            <w:tcW w:w="1418" w:type="dxa"/>
          </w:tcPr>
          <w:p w14:paraId="1EFEB0F8" w14:textId="79165A5F"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2015</w:t>
            </w:r>
            <w:r w:rsidR="00CE66EF">
              <w:t>–</w:t>
            </w:r>
            <w:r>
              <w:t>16</w:t>
            </w:r>
          </w:p>
        </w:tc>
        <w:tc>
          <w:tcPr>
            <w:tcW w:w="2126" w:type="dxa"/>
          </w:tcPr>
          <w:p w14:paraId="2BD7E566"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364</w:t>
            </w:r>
          </w:p>
        </w:tc>
        <w:tc>
          <w:tcPr>
            <w:tcW w:w="2977" w:type="dxa"/>
          </w:tcPr>
          <w:p w14:paraId="14884297"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16 (4.4%)</w:t>
            </w:r>
          </w:p>
        </w:tc>
      </w:tr>
      <w:tr w:rsidR="003E4ABD" w14:paraId="738CE5ED"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2A1FEFEF" w14:textId="77777777" w:rsidR="003E4ABD" w:rsidRPr="00F80EF7" w:rsidRDefault="003E4ABD" w:rsidP="00FF2409">
            <w:pPr>
              <w:spacing w:after="0"/>
              <w:rPr>
                <w:b w:val="0"/>
              </w:rPr>
            </w:pPr>
          </w:p>
        </w:tc>
        <w:tc>
          <w:tcPr>
            <w:tcW w:w="1418" w:type="dxa"/>
          </w:tcPr>
          <w:p w14:paraId="2644683C" w14:textId="6995E319"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2016</w:t>
            </w:r>
            <w:r w:rsidR="00CE66EF">
              <w:t>–</w:t>
            </w:r>
            <w:r>
              <w:t>17</w:t>
            </w:r>
          </w:p>
        </w:tc>
        <w:tc>
          <w:tcPr>
            <w:tcW w:w="2126" w:type="dxa"/>
          </w:tcPr>
          <w:p w14:paraId="295F996B"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475</w:t>
            </w:r>
          </w:p>
        </w:tc>
        <w:tc>
          <w:tcPr>
            <w:tcW w:w="2977" w:type="dxa"/>
          </w:tcPr>
          <w:p w14:paraId="538D6C9F"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23 (4.8%)</w:t>
            </w:r>
          </w:p>
        </w:tc>
      </w:tr>
      <w:tr w:rsidR="003E4ABD" w14:paraId="49093C41"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7F5DB0F3" w14:textId="77777777" w:rsidR="003E4ABD" w:rsidRPr="00F80EF7" w:rsidRDefault="003E4ABD" w:rsidP="00FF2409">
            <w:pPr>
              <w:spacing w:after="0"/>
              <w:rPr>
                <w:b w:val="0"/>
              </w:rPr>
            </w:pPr>
          </w:p>
        </w:tc>
        <w:tc>
          <w:tcPr>
            <w:tcW w:w="1418" w:type="dxa"/>
          </w:tcPr>
          <w:p w14:paraId="485A6438" w14:textId="36362833"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2017</w:t>
            </w:r>
            <w:r w:rsidR="00CE66EF">
              <w:t>–</w:t>
            </w:r>
            <w:r>
              <w:t>18</w:t>
            </w:r>
          </w:p>
        </w:tc>
        <w:tc>
          <w:tcPr>
            <w:tcW w:w="2126" w:type="dxa"/>
          </w:tcPr>
          <w:p w14:paraId="4EC3A19E"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346</w:t>
            </w:r>
          </w:p>
        </w:tc>
        <w:tc>
          <w:tcPr>
            <w:tcW w:w="2977" w:type="dxa"/>
          </w:tcPr>
          <w:p w14:paraId="421C0C1B"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18 (5.2%)</w:t>
            </w:r>
          </w:p>
        </w:tc>
      </w:tr>
      <w:tr w:rsidR="003E4ABD" w14:paraId="32A74ADE"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0259584B" w14:textId="77777777" w:rsidR="003E4ABD" w:rsidRPr="00F80EF7" w:rsidRDefault="003E4ABD" w:rsidP="00FF2409">
            <w:pPr>
              <w:spacing w:after="0"/>
              <w:rPr>
                <w:b w:val="0"/>
              </w:rPr>
            </w:pPr>
          </w:p>
        </w:tc>
        <w:tc>
          <w:tcPr>
            <w:tcW w:w="1418" w:type="dxa"/>
          </w:tcPr>
          <w:p w14:paraId="389CDE15" w14:textId="56B0F881"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2018</w:t>
            </w:r>
            <w:r w:rsidR="00CE66EF">
              <w:t>–</w:t>
            </w:r>
            <w:r>
              <w:t>19</w:t>
            </w:r>
          </w:p>
        </w:tc>
        <w:tc>
          <w:tcPr>
            <w:tcW w:w="2126" w:type="dxa"/>
          </w:tcPr>
          <w:p w14:paraId="7500A53E"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298</w:t>
            </w:r>
          </w:p>
        </w:tc>
        <w:tc>
          <w:tcPr>
            <w:tcW w:w="2977" w:type="dxa"/>
          </w:tcPr>
          <w:p w14:paraId="34D035A8"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13 (4.4%</w:t>
            </w:r>
            <w:r w:rsidR="005A14E3">
              <w:t>)</w:t>
            </w:r>
          </w:p>
        </w:tc>
      </w:tr>
      <w:tr w:rsidR="003E4ABD" w14:paraId="638DB6B6"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val="restart"/>
          </w:tcPr>
          <w:p w14:paraId="56F00282" w14:textId="77777777" w:rsidR="003E4ABD" w:rsidRDefault="003E4ABD" w:rsidP="00021168">
            <w:pPr>
              <w:spacing w:after="0"/>
              <w:rPr>
                <w:b w:val="0"/>
              </w:rPr>
            </w:pPr>
            <w:r>
              <w:rPr>
                <w:b w:val="0"/>
              </w:rPr>
              <w:t>Beverage dispensers</w:t>
            </w:r>
          </w:p>
        </w:tc>
        <w:tc>
          <w:tcPr>
            <w:tcW w:w="1418" w:type="dxa"/>
          </w:tcPr>
          <w:p w14:paraId="509D2997" w14:textId="5E3A4DBE"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2015</w:t>
            </w:r>
            <w:r w:rsidR="00CE66EF">
              <w:t>–</w:t>
            </w:r>
            <w:r>
              <w:t>16</w:t>
            </w:r>
          </w:p>
        </w:tc>
        <w:tc>
          <w:tcPr>
            <w:tcW w:w="2126" w:type="dxa"/>
          </w:tcPr>
          <w:p w14:paraId="38516311"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865</w:t>
            </w:r>
          </w:p>
        </w:tc>
        <w:tc>
          <w:tcPr>
            <w:tcW w:w="2977" w:type="dxa"/>
          </w:tcPr>
          <w:p w14:paraId="25525B85"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35 (4%)</w:t>
            </w:r>
          </w:p>
        </w:tc>
      </w:tr>
      <w:tr w:rsidR="003E4ABD" w14:paraId="21E6718D"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4EA74333" w14:textId="77777777" w:rsidR="003E4ABD" w:rsidRPr="00F80EF7" w:rsidRDefault="003E4ABD" w:rsidP="00FF2409">
            <w:pPr>
              <w:spacing w:after="0"/>
              <w:rPr>
                <w:b w:val="0"/>
              </w:rPr>
            </w:pPr>
          </w:p>
        </w:tc>
        <w:tc>
          <w:tcPr>
            <w:tcW w:w="1418" w:type="dxa"/>
          </w:tcPr>
          <w:p w14:paraId="01C9E8A1" w14:textId="7DC56CE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2016</w:t>
            </w:r>
            <w:r w:rsidR="00CE66EF">
              <w:t>–</w:t>
            </w:r>
            <w:r>
              <w:t>17</w:t>
            </w:r>
          </w:p>
        </w:tc>
        <w:tc>
          <w:tcPr>
            <w:tcW w:w="2126" w:type="dxa"/>
          </w:tcPr>
          <w:p w14:paraId="39EE0796"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945</w:t>
            </w:r>
          </w:p>
        </w:tc>
        <w:tc>
          <w:tcPr>
            <w:tcW w:w="2977" w:type="dxa"/>
          </w:tcPr>
          <w:p w14:paraId="7BA5C794"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62 (6.6%)</w:t>
            </w:r>
          </w:p>
        </w:tc>
      </w:tr>
      <w:tr w:rsidR="003E4ABD" w14:paraId="319432DD"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209F0092" w14:textId="77777777" w:rsidR="003E4ABD" w:rsidRPr="00F80EF7" w:rsidRDefault="003E4ABD" w:rsidP="00FF2409">
            <w:pPr>
              <w:spacing w:after="0"/>
              <w:rPr>
                <w:b w:val="0"/>
              </w:rPr>
            </w:pPr>
          </w:p>
        </w:tc>
        <w:tc>
          <w:tcPr>
            <w:tcW w:w="1418" w:type="dxa"/>
          </w:tcPr>
          <w:p w14:paraId="0EE5AC6C" w14:textId="19EFD5ED"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2017</w:t>
            </w:r>
            <w:r w:rsidR="00CE66EF">
              <w:t>–</w:t>
            </w:r>
            <w:r>
              <w:t>18</w:t>
            </w:r>
          </w:p>
        </w:tc>
        <w:tc>
          <w:tcPr>
            <w:tcW w:w="2126" w:type="dxa"/>
          </w:tcPr>
          <w:p w14:paraId="1C14545F"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1113</w:t>
            </w:r>
          </w:p>
        </w:tc>
        <w:tc>
          <w:tcPr>
            <w:tcW w:w="2977" w:type="dxa"/>
          </w:tcPr>
          <w:p w14:paraId="52F58FA3"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34 (3.1%)</w:t>
            </w:r>
          </w:p>
        </w:tc>
      </w:tr>
      <w:tr w:rsidR="003E4ABD" w14:paraId="7B62E4F2" w14:textId="77777777" w:rsidTr="009D4A22">
        <w:tc>
          <w:tcPr>
            <w:cnfStyle w:val="001000000000" w:firstRow="0" w:lastRow="0" w:firstColumn="1" w:lastColumn="0" w:oddVBand="0" w:evenVBand="0" w:oddHBand="0" w:evenHBand="0" w:firstRowFirstColumn="0" w:firstRowLastColumn="0" w:lastRowFirstColumn="0" w:lastRowLastColumn="0"/>
            <w:tcW w:w="2410" w:type="dxa"/>
            <w:vMerge/>
          </w:tcPr>
          <w:p w14:paraId="1D70092D" w14:textId="77777777" w:rsidR="003E4ABD" w:rsidRPr="00F80EF7" w:rsidRDefault="003E4ABD" w:rsidP="00FF2409">
            <w:pPr>
              <w:spacing w:after="0"/>
              <w:rPr>
                <w:b w:val="0"/>
              </w:rPr>
            </w:pPr>
          </w:p>
        </w:tc>
        <w:tc>
          <w:tcPr>
            <w:tcW w:w="1418" w:type="dxa"/>
          </w:tcPr>
          <w:p w14:paraId="6E1CC25C" w14:textId="20EEB041"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2018</w:t>
            </w:r>
            <w:r w:rsidR="00CE66EF">
              <w:t>–</w:t>
            </w:r>
            <w:r>
              <w:t>19</w:t>
            </w:r>
          </w:p>
        </w:tc>
        <w:tc>
          <w:tcPr>
            <w:tcW w:w="2126" w:type="dxa"/>
          </w:tcPr>
          <w:p w14:paraId="60593A68"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401</w:t>
            </w:r>
          </w:p>
        </w:tc>
        <w:tc>
          <w:tcPr>
            <w:tcW w:w="2977" w:type="dxa"/>
          </w:tcPr>
          <w:p w14:paraId="5A2292B4" w14:textId="77777777" w:rsidR="003E4ABD" w:rsidRDefault="003E4ABD" w:rsidP="00FF2409">
            <w:pPr>
              <w:spacing w:after="0"/>
              <w:jc w:val="center"/>
              <w:cnfStyle w:val="000000000000" w:firstRow="0" w:lastRow="0" w:firstColumn="0" w:lastColumn="0" w:oddVBand="0" w:evenVBand="0" w:oddHBand="0" w:evenHBand="0" w:firstRowFirstColumn="0" w:firstRowLastColumn="0" w:lastRowFirstColumn="0" w:lastRowLastColumn="0"/>
            </w:pPr>
            <w:r>
              <w:t>16 (4</w:t>
            </w:r>
            <w:r w:rsidR="002F67CA">
              <w:t>.0</w:t>
            </w:r>
            <w:r>
              <w:t>%)</w:t>
            </w:r>
          </w:p>
        </w:tc>
      </w:tr>
    </w:tbl>
    <w:p w14:paraId="1BF604CA" w14:textId="77777777" w:rsidR="00464EAD" w:rsidRDefault="00464EAD" w:rsidP="003A0F3F">
      <w:pPr>
        <w:pStyle w:val="Heading2"/>
        <w:rPr>
          <w:rStyle w:val="Tabletitle"/>
          <w:bCs w:val="0"/>
        </w:rPr>
      </w:pPr>
      <w:r>
        <w:rPr>
          <w:rStyle w:val="Tabletitle"/>
        </w:rPr>
        <w:br w:type="page"/>
      </w:r>
    </w:p>
    <w:p w14:paraId="48226A03" w14:textId="77777777" w:rsidR="00814D94" w:rsidRPr="003A0F3F" w:rsidRDefault="00464EAD" w:rsidP="003A0F3F">
      <w:pPr>
        <w:pStyle w:val="Heading2"/>
      </w:pPr>
      <w:bookmarkStart w:id="20" w:name="_Toc32933807"/>
      <w:r w:rsidRPr="003A0F3F">
        <w:rPr>
          <w:rStyle w:val="Tabletitle"/>
          <w:b/>
        </w:rPr>
        <w:lastRenderedPageBreak/>
        <w:t>Compliance</w:t>
      </w:r>
      <w:r w:rsidR="00814D94" w:rsidRPr="003A0F3F">
        <w:rPr>
          <w:rStyle w:val="Tabletitle"/>
          <w:b/>
        </w:rPr>
        <w:t xml:space="preserve"> of </w:t>
      </w:r>
      <w:r w:rsidR="005E5D33" w:rsidRPr="003A0F3F">
        <w:rPr>
          <w:rStyle w:val="Tabletitle"/>
          <w:b/>
        </w:rPr>
        <w:t>R</w:t>
      </w:r>
      <w:r w:rsidR="00814D94" w:rsidRPr="003A0F3F">
        <w:rPr>
          <w:rStyle w:val="Tabletitle"/>
          <w:b/>
        </w:rPr>
        <w:t xml:space="preserve">etail </w:t>
      </w:r>
      <w:r w:rsidR="005E5D33" w:rsidRPr="003A0F3F">
        <w:rPr>
          <w:rStyle w:val="Tabletitle"/>
          <w:b/>
        </w:rPr>
        <w:t>F</w:t>
      </w:r>
      <w:r w:rsidR="00814D94" w:rsidRPr="003A0F3F">
        <w:rPr>
          <w:rStyle w:val="Tabletitle"/>
          <w:b/>
        </w:rPr>
        <w:t xml:space="preserve">uel </w:t>
      </w:r>
      <w:r w:rsidR="005E5D33" w:rsidRPr="003A0F3F">
        <w:rPr>
          <w:rStyle w:val="Tabletitle"/>
          <w:b/>
        </w:rPr>
        <w:t>D</w:t>
      </w:r>
      <w:r w:rsidR="00814D94" w:rsidRPr="003A0F3F">
        <w:rPr>
          <w:rStyle w:val="Tabletitle"/>
          <w:b/>
        </w:rPr>
        <w:t>ispensers</w:t>
      </w:r>
      <w:bookmarkEnd w:id="20"/>
      <w:r w:rsidR="00814D94" w:rsidRPr="003A0F3F">
        <w:t xml:space="preserve"> </w:t>
      </w:r>
    </w:p>
    <w:p w14:paraId="6B49CA81" w14:textId="6CE83433" w:rsidR="00D65C88" w:rsidRDefault="006219FF" w:rsidP="005B043E">
      <w:r>
        <w:t>T</w:t>
      </w:r>
      <w:r w:rsidR="0000239B">
        <w:t xml:space="preserve">he proportion of retail liquid fuel (petrol and diesel) dispensers found to be inaccurate over </w:t>
      </w:r>
      <w:r>
        <w:t>recent</w:t>
      </w:r>
      <w:r w:rsidR="00BE7B9F">
        <w:t xml:space="preserve"> years has </w:t>
      </w:r>
      <w:r w:rsidR="00814D94">
        <w:t xml:space="preserve">remained </w:t>
      </w:r>
      <w:r w:rsidR="0000239B">
        <w:t xml:space="preserve">relatively steady at around </w:t>
      </w:r>
      <w:r w:rsidR="00773150">
        <w:t>8</w:t>
      </w:r>
      <w:r w:rsidR="0000239B">
        <w:t xml:space="preserve"> per cent</w:t>
      </w:r>
      <w:r w:rsidR="00391EA4">
        <w:t>. In 2018</w:t>
      </w:r>
      <w:r w:rsidR="00CE66EF">
        <w:t>–</w:t>
      </w:r>
      <w:r w:rsidR="00391EA4">
        <w:t>19, however, this increased to just under 9</w:t>
      </w:r>
      <w:r w:rsidR="00773150">
        <w:t>.5</w:t>
      </w:r>
      <w:r w:rsidR="00391EA4">
        <w:t xml:space="preserve"> per cent. </w:t>
      </w:r>
    </w:p>
    <w:p w14:paraId="08EAB9C4" w14:textId="0A6D7A4B" w:rsidR="0000239B" w:rsidRDefault="00773150" w:rsidP="005B043E">
      <w:r>
        <w:t>T</w:t>
      </w:r>
      <w:r w:rsidR="00391EA4">
        <w:t>his increase</w:t>
      </w:r>
      <w:r>
        <w:t>, however,</w:t>
      </w:r>
      <w:r w:rsidR="00391EA4">
        <w:t xml:space="preserve"> was driven by a doubling in the proportion of dispensers inaccurate to consumer advantage</w:t>
      </w:r>
      <w:r w:rsidR="0000239B">
        <w:t xml:space="preserve">, </w:t>
      </w:r>
      <w:r w:rsidR="00391EA4">
        <w:t xml:space="preserve">from </w:t>
      </w:r>
      <w:r>
        <w:t>2.2</w:t>
      </w:r>
      <w:r w:rsidR="00391EA4">
        <w:t xml:space="preserve"> per cent in 2017</w:t>
      </w:r>
      <w:r w:rsidR="00CE66EF">
        <w:t>–</w:t>
      </w:r>
      <w:r w:rsidR="00391EA4">
        <w:t xml:space="preserve">18 to </w:t>
      </w:r>
      <w:r>
        <w:t>4.0</w:t>
      </w:r>
      <w:r w:rsidR="00391EA4">
        <w:t xml:space="preserve"> per cent in 2018</w:t>
      </w:r>
      <w:r w:rsidR="00CE66EF">
        <w:t>–</w:t>
      </w:r>
      <w:r w:rsidR="00391EA4">
        <w:t xml:space="preserve">19. </w:t>
      </w:r>
      <w:r>
        <w:t xml:space="preserve">Over the same period the </w:t>
      </w:r>
      <w:r w:rsidR="00033463" w:rsidRPr="00033463">
        <w:t xml:space="preserve">proportion of dispensers inaccurate to consumer disadvantage </w:t>
      </w:r>
      <w:r>
        <w:t>actually fell</w:t>
      </w:r>
      <w:r w:rsidR="00CE2AE9">
        <w:t>, f</w:t>
      </w:r>
      <w:r w:rsidR="00C75032">
        <w:t xml:space="preserve">rom </w:t>
      </w:r>
      <w:r>
        <w:t>6.3</w:t>
      </w:r>
      <w:r w:rsidR="00C75032">
        <w:t xml:space="preserve"> percent in</w:t>
      </w:r>
      <w:r w:rsidR="00C21646">
        <w:t xml:space="preserve"> </w:t>
      </w:r>
      <w:r w:rsidR="00C75032">
        <w:t>2017</w:t>
      </w:r>
      <w:r w:rsidR="00CE66EF">
        <w:t>–</w:t>
      </w:r>
      <w:r w:rsidR="00C75032">
        <w:t>18 to 5.</w:t>
      </w:r>
      <w:r>
        <w:t>4</w:t>
      </w:r>
      <w:r w:rsidR="00C75032">
        <w:t xml:space="preserve"> per cent in 2018</w:t>
      </w:r>
      <w:r w:rsidR="00CE66EF">
        <w:t>–</w:t>
      </w:r>
      <w:r w:rsidR="00C75032">
        <w:t>19</w:t>
      </w:r>
      <w:r w:rsidR="00033463" w:rsidRPr="00033463">
        <w:t>.</w:t>
      </w:r>
    </w:p>
    <w:p w14:paraId="2FE55445" w14:textId="185FDF9D" w:rsidR="00F80EF7" w:rsidRDefault="00391EA4" w:rsidP="005B043E">
      <w:r>
        <w:t xml:space="preserve">NMI will be undertaking another concentrated national audit of retail fuel sites as part of its </w:t>
      </w:r>
      <w:hyperlink r:id="rId16" w:history="1">
        <w:r w:rsidR="00F80EF7" w:rsidRPr="006B39A3">
          <w:rPr>
            <w:rStyle w:val="Hyperlink"/>
          </w:rPr>
          <w:t>National Compliance Plan for 201</w:t>
        </w:r>
        <w:r>
          <w:rPr>
            <w:rStyle w:val="Hyperlink"/>
          </w:rPr>
          <w:t>9</w:t>
        </w:r>
        <w:r w:rsidR="00CE66EF">
          <w:rPr>
            <w:rStyle w:val="Hyperlink"/>
          </w:rPr>
          <w:t>–</w:t>
        </w:r>
        <w:r>
          <w:rPr>
            <w:rStyle w:val="Hyperlink"/>
          </w:rPr>
          <w:t>20</w:t>
        </w:r>
      </w:hyperlink>
      <w:r w:rsidR="00F80EF7">
        <w:rPr>
          <w:rStyle w:val="FootnoteReference"/>
        </w:rPr>
        <w:footnoteReference w:id="3"/>
      </w:r>
      <w:r w:rsidR="00F80EF7">
        <w:t>.</w:t>
      </w:r>
    </w:p>
    <w:tbl>
      <w:tblPr>
        <w:tblStyle w:val="Style1"/>
        <w:tblpPr w:leftFromText="181" w:rightFromText="181" w:bottomFromText="425" w:vertAnchor="text" w:tblpY="1"/>
        <w:tblOverlap w:val="never"/>
        <w:tblW w:w="8931" w:type="dxa"/>
        <w:tblLook w:val="04A0" w:firstRow="1" w:lastRow="0" w:firstColumn="1" w:lastColumn="0" w:noHBand="0" w:noVBand="1"/>
        <w:tblDescription w:val="This table lists fuel compliance and enforcement in previous years."/>
      </w:tblPr>
      <w:tblGrid>
        <w:gridCol w:w="1560"/>
        <w:gridCol w:w="2126"/>
        <w:gridCol w:w="2551"/>
        <w:gridCol w:w="2694"/>
      </w:tblGrid>
      <w:tr w:rsidR="0000239B" w14:paraId="7EA3015E" w14:textId="77777777" w:rsidTr="00D64016">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560" w:type="dxa"/>
          </w:tcPr>
          <w:p w14:paraId="0BDE9A29" w14:textId="77777777" w:rsidR="0000239B" w:rsidRDefault="0000239B" w:rsidP="0097221E">
            <w:pPr>
              <w:spacing w:after="0"/>
            </w:pPr>
            <w:r>
              <w:t>Year</w:t>
            </w:r>
          </w:p>
        </w:tc>
        <w:tc>
          <w:tcPr>
            <w:tcW w:w="2126" w:type="dxa"/>
          </w:tcPr>
          <w:p w14:paraId="75CCC81F" w14:textId="77777777" w:rsidR="0000239B" w:rsidRDefault="004171A2" w:rsidP="004171A2">
            <w:pPr>
              <w:spacing w:after="0"/>
              <w:jc w:val="center"/>
              <w:cnfStyle w:val="100000000000" w:firstRow="1" w:lastRow="0" w:firstColumn="0" w:lastColumn="0" w:oddVBand="0" w:evenVBand="0" w:oddHBand="0" w:evenHBand="0" w:firstRowFirstColumn="0" w:firstRowLastColumn="0" w:lastRowFirstColumn="0" w:lastRowLastColumn="0"/>
            </w:pPr>
            <w:r>
              <w:t>Petrol and diesel d</w:t>
            </w:r>
            <w:r w:rsidR="0000239B">
              <w:t>ispensers tested</w:t>
            </w:r>
          </w:p>
        </w:tc>
        <w:tc>
          <w:tcPr>
            <w:tcW w:w="2551" w:type="dxa"/>
          </w:tcPr>
          <w:p w14:paraId="4C263410" w14:textId="77777777" w:rsidR="0000239B" w:rsidRDefault="00F875C8" w:rsidP="00F875C8">
            <w:pPr>
              <w:spacing w:after="0"/>
              <w:jc w:val="center"/>
              <w:cnfStyle w:val="100000000000" w:firstRow="1" w:lastRow="0" w:firstColumn="0" w:lastColumn="0" w:oddVBand="0" w:evenVBand="0" w:oddHBand="0" w:evenHBand="0" w:firstRowFirstColumn="0" w:firstRowLastColumn="0" w:lastRowFirstColumn="0" w:lastRowLastColumn="0"/>
            </w:pPr>
            <w:r>
              <w:t>Inaccurate</w:t>
            </w:r>
            <w:r>
              <w:br/>
              <w:t>(</w:t>
            </w:r>
            <w:r w:rsidR="0000239B">
              <w:t>consumer advantage</w:t>
            </w:r>
            <w:r>
              <w:t>)</w:t>
            </w:r>
          </w:p>
        </w:tc>
        <w:tc>
          <w:tcPr>
            <w:tcW w:w="2694" w:type="dxa"/>
          </w:tcPr>
          <w:p w14:paraId="70A82BBE" w14:textId="77777777" w:rsidR="0000239B" w:rsidRDefault="0000239B" w:rsidP="00F875C8">
            <w:pPr>
              <w:spacing w:after="0"/>
              <w:jc w:val="center"/>
              <w:cnfStyle w:val="100000000000" w:firstRow="1" w:lastRow="0" w:firstColumn="0" w:lastColumn="0" w:oddVBand="0" w:evenVBand="0" w:oddHBand="0" w:evenHBand="0" w:firstRowFirstColumn="0" w:firstRowLastColumn="0" w:lastRowFirstColumn="0" w:lastRowLastColumn="0"/>
            </w:pPr>
            <w:r>
              <w:t>Inaccurate</w:t>
            </w:r>
            <w:r w:rsidR="00F875C8">
              <w:br/>
              <w:t>(</w:t>
            </w:r>
            <w:r>
              <w:t>consumer disadvantage</w:t>
            </w:r>
            <w:r w:rsidR="00F875C8">
              <w:t>)</w:t>
            </w:r>
          </w:p>
        </w:tc>
      </w:tr>
      <w:tr w:rsidR="0000239B" w14:paraId="60485190" w14:textId="77777777" w:rsidTr="00D64016">
        <w:tc>
          <w:tcPr>
            <w:cnfStyle w:val="001000000000" w:firstRow="0" w:lastRow="0" w:firstColumn="1" w:lastColumn="0" w:oddVBand="0" w:evenVBand="0" w:oddHBand="0" w:evenHBand="0" w:firstRowFirstColumn="0" w:firstRowLastColumn="0" w:lastRowFirstColumn="0" w:lastRowLastColumn="0"/>
            <w:tcW w:w="1560" w:type="dxa"/>
          </w:tcPr>
          <w:p w14:paraId="4E788256" w14:textId="31125989" w:rsidR="0000239B" w:rsidRPr="00F80EF7" w:rsidRDefault="0000239B" w:rsidP="0097221E">
            <w:pPr>
              <w:spacing w:after="0"/>
              <w:rPr>
                <w:b w:val="0"/>
              </w:rPr>
            </w:pPr>
            <w:r w:rsidRPr="00F80EF7">
              <w:rPr>
                <w:b w:val="0"/>
              </w:rPr>
              <w:t>2015</w:t>
            </w:r>
            <w:r w:rsidR="00CE66EF">
              <w:rPr>
                <w:b w:val="0"/>
              </w:rPr>
              <w:t>–</w:t>
            </w:r>
            <w:r w:rsidRPr="00F80EF7">
              <w:rPr>
                <w:b w:val="0"/>
              </w:rPr>
              <w:t>16</w:t>
            </w:r>
          </w:p>
        </w:tc>
        <w:tc>
          <w:tcPr>
            <w:tcW w:w="2126" w:type="dxa"/>
          </w:tcPr>
          <w:p w14:paraId="002CFB95" w14:textId="72E45628" w:rsidR="0000239B" w:rsidRDefault="0000239B" w:rsidP="003A0F3F">
            <w:pPr>
              <w:spacing w:after="0"/>
              <w:jc w:val="center"/>
              <w:cnfStyle w:val="000000000000" w:firstRow="0" w:lastRow="0" w:firstColumn="0" w:lastColumn="0" w:oddVBand="0" w:evenVBand="0" w:oddHBand="0" w:evenHBand="0" w:firstRowFirstColumn="0" w:firstRowLastColumn="0" w:lastRowFirstColumn="0" w:lastRowLastColumn="0"/>
            </w:pPr>
            <w:r>
              <w:t>292</w:t>
            </w:r>
            <w:r w:rsidR="003A0F3F">
              <w:t>3</w:t>
            </w:r>
          </w:p>
        </w:tc>
        <w:tc>
          <w:tcPr>
            <w:tcW w:w="2551" w:type="dxa"/>
          </w:tcPr>
          <w:p w14:paraId="58BC2A8A" w14:textId="72E151AF" w:rsidR="0000239B" w:rsidRDefault="0000239B" w:rsidP="00773150">
            <w:pPr>
              <w:spacing w:after="0"/>
              <w:jc w:val="center"/>
              <w:cnfStyle w:val="000000000000" w:firstRow="0" w:lastRow="0" w:firstColumn="0" w:lastColumn="0" w:oddVBand="0" w:evenVBand="0" w:oddHBand="0" w:evenHBand="0" w:firstRowFirstColumn="0" w:firstRowLastColumn="0" w:lastRowFirstColumn="0" w:lastRowLastColumn="0"/>
            </w:pPr>
            <w:r>
              <w:t>1</w:t>
            </w:r>
            <w:r w:rsidR="00773150">
              <w:t>40</w:t>
            </w:r>
            <w:r>
              <w:t xml:space="preserve"> (4</w:t>
            </w:r>
            <w:r w:rsidR="00D350A8">
              <w:t>.</w:t>
            </w:r>
            <w:r w:rsidR="00773150">
              <w:t>8</w:t>
            </w:r>
            <w:r>
              <w:t>%)</w:t>
            </w:r>
          </w:p>
        </w:tc>
        <w:tc>
          <w:tcPr>
            <w:tcW w:w="2694" w:type="dxa"/>
          </w:tcPr>
          <w:p w14:paraId="45B8DECE" w14:textId="0C6058E4" w:rsidR="0000239B" w:rsidRDefault="00773150" w:rsidP="00773150">
            <w:pPr>
              <w:spacing w:after="0"/>
              <w:jc w:val="center"/>
              <w:cnfStyle w:val="000000000000" w:firstRow="0" w:lastRow="0" w:firstColumn="0" w:lastColumn="0" w:oddVBand="0" w:evenVBand="0" w:oddHBand="0" w:evenHBand="0" w:firstRowFirstColumn="0" w:firstRowLastColumn="0" w:lastRowFirstColumn="0" w:lastRowLastColumn="0"/>
            </w:pPr>
            <w:r>
              <w:t>85</w:t>
            </w:r>
            <w:r w:rsidR="0000239B">
              <w:t xml:space="preserve"> (2.</w:t>
            </w:r>
            <w:r>
              <w:t>9</w:t>
            </w:r>
            <w:r w:rsidR="0000239B">
              <w:t>%)</w:t>
            </w:r>
          </w:p>
        </w:tc>
      </w:tr>
      <w:tr w:rsidR="0000239B" w14:paraId="6E93CA68" w14:textId="77777777" w:rsidTr="00D64016">
        <w:tc>
          <w:tcPr>
            <w:cnfStyle w:val="001000000000" w:firstRow="0" w:lastRow="0" w:firstColumn="1" w:lastColumn="0" w:oddVBand="0" w:evenVBand="0" w:oddHBand="0" w:evenHBand="0" w:firstRowFirstColumn="0" w:firstRowLastColumn="0" w:lastRowFirstColumn="0" w:lastRowLastColumn="0"/>
            <w:tcW w:w="1560" w:type="dxa"/>
          </w:tcPr>
          <w:p w14:paraId="516DDB27" w14:textId="2801ABE5" w:rsidR="0000239B" w:rsidRPr="00F80EF7" w:rsidRDefault="0000239B" w:rsidP="0097221E">
            <w:pPr>
              <w:spacing w:after="0"/>
              <w:rPr>
                <w:b w:val="0"/>
              </w:rPr>
            </w:pPr>
            <w:r w:rsidRPr="00F80EF7">
              <w:rPr>
                <w:b w:val="0"/>
              </w:rPr>
              <w:t>2016</w:t>
            </w:r>
            <w:r w:rsidR="00CE66EF">
              <w:rPr>
                <w:b w:val="0"/>
              </w:rPr>
              <w:t>–</w:t>
            </w:r>
            <w:r w:rsidRPr="00F80EF7">
              <w:rPr>
                <w:b w:val="0"/>
              </w:rPr>
              <w:t>17</w:t>
            </w:r>
          </w:p>
        </w:tc>
        <w:tc>
          <w:tcPr>
            <w:tcW w:w="2126" w:type="dxa"/>
          </w:tcPr>
          <w:p w14:paraId="7E7D38D6" w14:textId="7405F998" w:rsidR="0000239B" w:rsidRDefault="0000239B" w:rsidP="00773150">
            <w:pPr>
              <w:spacing w:after="0"/>
              <w:jc w:val="center"/>
              <w:cnfStyle w:val="000000000000" w:firstRow="0" w:lastRow="0" w:firstColumn="0" w:lastColumn="0" w:oddVBand="0" w:evenVBand="0" w:oddHBand="0" w:evenHBand="0" w:firstRowFirstColumn="0" w:firstRowLastColumn="0" w:lastRowFirstColumn="0" w:lastRowLastColumn="0"/>
            </w:pPr>
            <w:r>
              <w:t>1</w:t>
            </w:r>
            <w:r w:rsidR="00773150">
              <w:t>260</w:t>
            </w:r>
          </w:p>
        </w:tc>
        <w:tc>
          <w:tcPr>
            <w:tcW w:w="2551" w:type="dxa"/>
          </w:tcPr>
          <w:p w14:paraId="24FA697F" w14:textId="0FA76780" w:rsidR="0000239B" w:rsidRDefault="00814D94" w:rsidP="00773150">
            <w:pPr>
              <w:spacing w:after="0"/>
              <w:jc w:val="center"/>
              <w:cnfStyle w:val="000000000000" w:firstRow="0" w:lastRow="0" w:firstColumn="0" w:lastColumn="0" w:oddVBand="0" w:evenVBand="0" w:oddHBand="0" w:evenHBand="0" w:firstRowFirstColumn="0" w:firstRowLastColumn="0" w:lastRowFirstColumn="0" w:lastRowLastColumn="0"/>
            </w:pPr>
            <w:r>
              <w:t>51 (</w:t>
            </w:r>
            <w:r w:rsidR="00773150">
              <w:t>4.0</w:t>
            </w:r>
            <w:r>
              <w:t>%)</w:t>
            </w:r>
          </w:p>
        </w:tc>
        <w:tc>
          <w:tcPr>
            <w:tcW w:w="2694" w:type="dxa"/>
          </w:tcPr>
          <w:p w14:paraId="35ADFB70" w14:textId="6A1E1635" w:rsidR="0000239B" w:rsidRDefault="0000239B" w:rsidP="00773150">
            <w:pPr>
              <w:spacing w:after="0"/>
              <w:jc w:val="center"/>
              <w:cnfStyle w:val="000000000000" w:firstRow="0" w:lastRow="0" w:firstColumn="0" w:lastColumn="0" w:oddVBand="0" w:evenVBand="0" w:oddHBand="0" w:evenHBand="0" w:firstRowFirstColumn="0" w:firstRowLastColumn="0" w:lastRowFirstColumn="0" w:lastRowLastColumn="0"/>
            </w:pPr>
            <w:r>
              <w:t>54 (</w:t>
            </w:r>
            <w:r w:rsidR="00773150">
              <w:t>4.3</w:t>
            </w:r>
            <w:r>
              <w:t>%)</w:t>
            </w:r>
          </w:p>
        </w:tc>
      </w:tr>
      <w:tr w:rsidR="0000239B" w14:paraId="202F8F14" w14:textId="77777777" w:rsidTr="00D64016">
        <w:tc>
          <w:tcPr>
            <w:cnfStyle w:val="001000000000" w:firstRow="0" w:lastRow="0" w:firstColumn="1" w:lastColumn="0" w:oddVBand="0" w:evenVBand="0" w:oddHBand="0" w:evenHBand="0" w:firstRowFirstColumn="0" w:firstRowLastColumn="0" w:lastRowFirstColumn="0" w:lastRowLastColumn="0"/>
            <w:tcW w:w="1560" w:type="dxa"/>
          </w:tcPr>
          <w:p w14:paraId="36C8E600" w14:textId="632C42D6" w:rsidR="0000239B" w:rsidRPr="00F80EF7" w:rsidRDefault="0000239B" w:rsidP="0097221E">
            <w:pPr>
              <w:spacing w:after="0"/>
              <w:rPr>
                <w:b w:val="0"/>
              </w:rPr>
            </w:pPr>
            <w:r w:rsidRPr="00F80EF7">
              <w:rPr>
                <w:b w:val="0"/>
              </w:rPr>
              <w:t>2017</w:t>
            </w:r>
            <w:r w:rsidR="00CE66EF">
              <w:rPr>
                <w:b w:val="0"/>
              </w:rPr>
              <w:t>–</w:t>
            </w:r>
            <w:r w:rsidRPr="00F80EF7">
              <w:rPr>
                <w:b w:val="0"/>
              </w:rPr>
              <w:t>18</w:t>
            </w:r>
          </w:p>
        </w:tc>
        <w:tc>
          <w:tcPr>
            <w:tcW w:w="2126" w:type="dxa"/>
          </w:tcPr>
          <w:p w14:paraId="542C6F55" w14:textId="7DAB20B3" w:rsidR="0000239B" w:rsidRDefault="00773150" w:rsidP="0000239B">
            <w:pPr>
              <w:spacing w:after="0"/>
              <w:jc w:val="center"/>
              <w:cnfStyle w:val="000000000000" w:firstRow="0" w:lastRow="0" w:firstColumn="0" w:lastColumn="0" w:oddVBand="0" w:evenVBand="0" w:oddHBand="0" w:evenHBand="0" w:firstRowFirstColumn="0" w:firstRowLastColumn="0" w:lastRowFirstColumn="0" w:lastRowLastColumn="0"/>
            </w:pPr>
            <w:r>
              <w:t>1434</w:t>
            </w:r>
          </w:p>
        </w:tc>
        <w:tc>
          <w:tcPr>
            <w:tcW w:w="2551" w:type="dxa"/>
          </w:tcPr>
          <w:p w14:paraId="47B7E7D8" w14:textId="08A2ED3C" w:rsidR="0000239B" w:rsidRDefault="00773150" w:rsidP="00773150">
            <w:pPr>
              <w:spacing w:after="0"/>
              <w:jc w:val="center"/>
              <w:cnfStyle w:val="000000000000" w:firstRow="0" w:lastRow="0" w:firstColumn="0" w:lastColumn="0" w:oddVBand="0" w:evenVBand="0" w:oddHBand="0" w:evenHBand="0" w:firstRowFirstColumn="0" w:firstRowLastColumn="0" w:lastRowFirstColumn="0" w:lastRowLastColumn="0"/>
            </w:pPr>
            <w:r>
              <w:t>31</w:t>
            </w:r>
            <w:r w:rsidR="00814D94">
              <w:t xml:space="preserve"> (</w:t>
            </w:r>
            <w:r>
              <w:t>2.2</w:t>
            </w:r>
            <w:r w:rsidR="00814D94">
              <w:t>%)</w:t>
            </w:r>
          </w:p>
        </w:tc>
        <w:tc>
          <w:tcPr>
            <w:tcW w:w="2694" w:type="dxa"/>
          </w:tcPr>
          <w:p w14:paraId="75462CBF" w14:textId="5385ED87" w:rsidR="0000239B" w:rsidRDefault="00773150" w:rsidP="00773150">
            <w:pPr>
              <w:spacing w:after="0"/>
              <w:jc w:val="center"/>
              <w:cnfStyle w:val="000000000000" w:firstRow="0" w:lastRow="0" w:firstColumn="0" w:lastColumn="0" w:oddVBand="0" w:evenVBand="0" w:oddHBand="0" w:evenHBand="0" w:firstRowFirstColumn="0" w:firstRowLastColumn="0" w:lastRowFirstColumn="0" w:lastRowLastColumn="0"/>
            </w:pPr>
            <w:r>
              <w:t>91</w:t>
            </w:r>
            <w:r w:rsidR="0000239B">
              <w:t xml:space="preserve"> (</w:t>
            </w:r>
            <w:r>
              <w:t>6.3</w:t>
            </w:r>
            <w:r w:rsidR="0000239B">
              <w:t>%)</w:t>
            </w:r>
          </w:p>
        </w:tc>
      </w:tr>
      <w:tr w:rsidR="002344E8" w14:paraId="7C9E3E6B" w14:textId="77777777" w:rsidTr="00D64016">
        <w:tc>
          <w:tcPr>
            <w:cnfStyle w:val="001000000000" w:firstRow="0" w:lastRow="0" w:firstColumn="1" w:lastColumn="0" w:oddVBand="0" w:evenVBand="0" w:oddHBand="0" w:evenHBand="0" w:firstRowFirstColumn="0" w:firstRowLastColumn="0" w:lastRowFirstColumn="0" w:lastRowLastColumn="0"/>
            <w:tcW w:w="1560" w:type="dxa"/>
          </w:tcPr>
          <w:p w14:paraId="5B90B720" w14:textId="340CF2FF" w:rsidR="002344E8" w:rsidRPr="00F80EF7" w:rsidRDefault="002344E8" w:rsidP="0097221E">
            <w:pPr>
              <w:spacing w:after="0"/>
              <w:rPr>
                <w:b w:val="0"/>
              </w:rPr>
            </w:pPr>
            <w:r>
              <w:rPr>
                <w:b w:val="0"/>
              </w:rPr>
              <w:t>2018</w:t>
            </w:r>
            <w:r w:rsidR="00CE66EF">
              <w:rPr>
                <w:b w:val="0"/>
              </w:rPr>
              <w:t>–</w:t>
            </w:r>
            <w:r>
              <w:rPr>
                <w:b w:val="0"/>
              </w:rPr>
              <w:t>19</w:t>
            </w:r>
          </w:p>
        </w:tc>
        <w:tc>
          <w:tcPr>
            <w:tcW w:w="2126" w:type="dxa"/>
          </w:tcPr>
          <w:p w14:paraId="59CE1DB1" w14:textId="2958E599" w:rsidR="002344E8" w:rsidRDefault="00773150" w:rsidP="0000239B">
            <w:pPr>
              <w:spacing w:after="0"/>
              <w:jc w:val="center"/>
              <w:cnfStyle w:val="000000000000" w:firstRow="0" w:lastRow="0" w:firstColumn="0" w:lastColumn="0" w:oddVBand="0" w:evenVBand="0" w:oddHBand="0" w:evenHBand="0" w:firstRowFirstColumn="0" w:firstRowLastColumn="0" w:lastRowFirstColumn="0" w:lastRowLastColumn="0"/>
            </w:pPr>
            <w:r>
              <w:t>3883</w:t>
            </w:r>
          </w:p>
        </w:tc>
        <w:tc>
          <w:tcPr>
            <w:tcW w:w="2551" w:type="dxa"/>
          </w:tcPr>
          <w:p w14:paraId="5355EBB0" w14:textId="60397DC8" w:rsidR="002344E8" w:rsidRDefault="00773150" w:rsidP="00773150">
            <w:pPr>
              <w:spacing w:after="0"/>
              <w:jc w:val="center"/>
              <w:cnfStyle w:val="000000000000" w:firstRow="0" w:lastRow="0" w:firstColumn="0" w:lastColumn="0" w:oddVBand="0" w:evenVBand="0" w:oddHBand="0" w:evenHBand="0" w:firstRowFirstColumn="0" w:firstRowLastColumn="0" w:lastRowFirstColumn="0" w:lastRowLastColumn="0"/>
            </w:pPr>
            <w:r>
              <w:t>157</w:t>
            </w:r>
            <w:r w:rsidR="002344E8">
              <w:t xml:space="preserve"> (</w:t>
            </w:r>
            <w:r>
              <w:t>4.0</w:t>
            </w:r>
            <w:r w:rsidR="002344E8">
              <w:t>%)</w:t>
            </w:r>
          </w:p>
        </w:tc>
        <w:tc>
          <w:tcPr>
            <w:tcW w:w="2694" w:type="dxa"/>
          </w:tcPr>
          <w:p w14:paraId="223F975B" w14:textId="18F26A08" w:rsidR="002344E8" w:rsidRDefault="002344E8" w:rsidP="00773150">
            <w:pPr>
              <w:spacing w:after="0"/>
              <w:jc w:val="center"/>
              <w:cnfStyle w:val="000000000000" w:firstRow="0" w:lastRow="0" w:firstColumn="0" w:lastColumn="0" w:oddVBand="0" w:evenVBand="0" w:oddHBand="0" w:evenHBand="0" w:firstRowFirstColumn="0" w:firstRowLastColumn="0" w:lastRowFirstColumn="0" w:lastRowLastColumn="0"/>
            </w:pPr>
            <w:r>
              <w:t>211 (</w:t>
            </w:r>
            <w:r w:rsidR="00773150">
              <w:t>5.4</w:t>
            </w:r>
            <w:r>
              <w:t>%)</w:t>
            </w:r>
          </w:p>
        </w:tc>
      </w:tr>
    </w:tbl>
    <w:bookmarkEnd w:id="0"/>
    <w:p w14:paraId="13EF0344" w14:textId="30E5E555" w:rsidR="003A0F3F" w:rsidRDefault="003A0F3F" w:rsidP="003A0F3F">
      <w:r>
        <w:t xml:space="preserve">NB: The </w:t>
      </w:r>
      <w:r w:rsidR="00D3599E">
        <w:t xml:space="preserve">fuel </w:t>
      </w:r>
      <w:r>
        <w:t>accuracy data for 2015–16 to 2017–18, while still showing a clear doubling in the proportion of dispensers inaccurate to consumer disadvantage, has been revised from that previously reported because of:</w:t>
      </w:r>
    </w:p>
    <w:p w14:paraId="3F3F1536" w14:textId="77777777" w:rsidR="00D3599E" w:rsidRPr="00D3599E" w:rsidRDefault="00D3599E" w:rsidP="00D3599E">
      <w:pPr>
        <w:pStyle w:val="ListParagraph"/>
        <w:numPr>
          <w:ilvl w:val="0"/>
          <w:numId w:val="27"/>
        </w:numPr>
      </w:pPr>
      <w:r w:rsidRPr="00D3599E">
        <w:t>review of data for 2015-16, transferred when a new database was introduced mid-way through that year</w:t>
      </w:r>
    </w:p>
    <w:p w14:paraId="13C70484" w14:textId="77777777" w:rsidR="00D3599E" w:rsidRPr="00D3599E" w:rsidRDefault="00D3599E" w:rsidP="00D3599E">
      <w:pPr>
        <w:pStyle w:val="ListParagraph"/>
        <w:numPr>
          <w:ilvl w:val="0"/>
          <w:numId w:val="27"/>
        </w:numPr>
      </w:pPr>
      <w:proofErr w:type="gramStart"/>
      <w:r w:rsidRPr="00D3599E">
        <w:t>original</w:t>
      </w:r>
      <w:proofErr w:type="gramEnd"/>
      <w:r w:rsidRPr="00D3599E">
        <w:t xml:space="preserve"> data on total dispensers tested in each of 2016-17 and 2017-18 included compliance examinations of dispensers undertaken during trader audits where no accuracy testing occurred.</w:t>
      </w:r>
    </w:p>
    <w:p w14:paraId="5742683F" w14:textId="5504F50C" w:rsidR="003A0F3F" w:rsidRDefault="005B41B3" w:rsidP="00D3599E">
      <w:pPr>
        <w:pStyle w:val="Heading3"/>
      </w:pPr>
      <w:r>
        <w:t>Consumer complaints</w:t>
      </w:r>
    </w:p>
    <w:p w14:paraId="5DCD9032" w14:textId="7DF94951" w:rsidR="00910840" w:rsidRDefault="00DB550C" w:rsidP="00910840">
      <w:r>
        <w:t>C</w:t>
      </w:r>
      <w:r w:rsidR="00643251">
        <w:t>onsumer concern about this issue</w:t>
      </w:r>
      <w:r>
        <w:t xml:space="preserve"> is reflected in complaints to NMI about potential breaches of trade measurement law</w:t>
      </w:r>
      <w:r w:rsidR="003153BA">
        <w:t xml:space="preserve">, of which almost two thirds relate </w:t>
      </w:r>
      <w:r>
        <w:t>to short measure from fuel dispensers (liquid and gas). However</w:t>
      </w:r>
      <w:r w:rsidR="00643251">
        <w:t xml:space="preserve">, it has been a consistent trend over recent years that only a small proportion of </w:t>
      </w:r>
      <w:r>
        <w:t xml:space="preserve">those </w:t>
      </w:r>
      <w:r w:rsidR="00643251">
        <w:t>complaints are found to be justified when investigated.</w:t>
      </w:r>
      <w:r w:rsidR="007E74FB">
        <w:t xml:space="preserve"> </w:t>
      </w:r>
      <w:r w:rsidR="00D350A8">
        <w:t>Although still small, the proportion of justified complaints</w:t>
      </w:r>
      <w:r w:rsidR="007E74FB">
        <w:t xml:space="preserve"> </w:t>
      </w:r>
      <w:r w:rsidR="00D350A8">
        <w:t>doubled in 2018</w:t>
      </w:r>
      <w:r w:rsidR="00CE66EF">
        <w:t>–</w:t>
      </w:r>
      <w:r w:rsidR="00D350A8">
        <w:t>19 from the previous year.</w:t>
      </w:r>
    </w:p>
    <w:tbl>
      <w:tblPr>
        <w:tblStyle w:val="Style1"/>
        <w:tblpPr w:leftFromText="181" w:rightFromText="181" w:bottomFromText="425" w:vertAnchor="text" w:tblpY="1"/>
        <w:tblOverlap w:val="never"/>
        <w:tblW w:w="8931" w:type="dxa"/>
        <w:tblLook w:val="04A0" w:firstRow="1" w:lastRow="0" w:firstColumn="1" w:lastColumn="0" w:noHBand="0" w:noVBand="1"/>
        <w:tblDescription w:val="This table lists complaints in previous years."/>
      </w:tblPr>
      <w:tblGrid>
        <w:gridCol w:w="1560"/>
        <w:gridCol w:w="2126"/>
        <w:gridCol w:w="2551"/>
        <w:gridCol w:w="2694"/>
      </w:tblGrid>
      <w:tr w:rsidR="00910840" w14:paraId="06E4F7EF" w14:textId="77777777" w:rsidTr="00C340E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560" w:type="dxa"/>
          </w:tcPr>
          <w:p w14:paraId="3221BBC9" w14:textId="77777777" w:rsidR="00910840" w:rsidRDefault="00910840" w:rsidP="00C340E2">
            <w:pPr>
              <w:spacing w:after="0"/>
            </w:pPr>
            <w:r>
              <w:t>Year</w:t>
            </w:r>
          </w:p>
        </w:tc>
        <w:tc>
          <w:tcPr>
            <w:tcW w:w="2126" w:type="dxa"/>
          </w:tcPr>
          <w:p w14:paraId="532DDDE4" w14:textId="77777777" w:rsidR="00910840" w:rsidRDefault="00910840" w:rsidP="00910840">
            <w:pPr>
              <w:spacing w:after="0"/>
              <w:jc w:val="center"/>
              <w:cnfStyle w:val="100000000000" w:firstRow="1" w:lastRow="0" w:firstColumn="0" w:lastColumn="0" w:oddVBand="0" w:evenVBand="0" w:oddHBand="0" w:evenHBand="0" w:firstRowFirstColumn="0" w:firstRowLastColumn="0" w:lastRowFirstColumn="0" w:lastRowLastColumn="0"/>
            </w:pPr>
            <w:r>
              <w:t>Tot</w:t>
            </w:r>
            <w:bookmarkStart w:id="21" w:name="_GoBack"/>
            <w:bookmarkEnd w:id="21"/>
            <w:r>
              <w:t>al complaints received</w:t>
            </w:r>
          </w:p>
        </w:tc>
        <w:tc>
          <w:tcPr>
            <w:tcW w:w="2551" w:type="dxa"/>
          </w:tcPr>
          <w:p w14:paraId="21A665CC" w14:textId="77777777" w:rsidR="00910840" w:rsidRDefault="00910840" w:rsidP="00910840">
            <w:pPr>
              <w:spacing w:after="0"/>
              <w:jc w:val="center"/>
              <w:cnfStyle w:val="100000000000" w:firstRow="1" w:lastRow="0" w:firstColumn="0" w:lastColumn="0" w:oddVBand="0" w:evenVBand="0" w:oddHBand="0" w:evenHBand="0" w:firstRowFirstColumn="0" w:firstRowLastColumn="0" w:lastRowFirstColumn="0" w:lastRowLastColumn="0"/>
            </w:pPr>
            <w:r>
              <w:t>Fuel (liquid and gas) complaints</w:t>
            </w:r>
          </w:p>
        </w:tc>
        <w:tc>
          <w:tcPr>
            <w:tcW w:w="2694" w:type="dxa"/>
          </w:tcPr>
          <w:p w14:paraId="079C0127" w14:textId="77777777" w:rsidR="00910840" w:rsidRDefault="00910840" w:rsidP="00910840">
            <w:pPr>
              <w:spacing w:after="0"/>
              <w:jc w:val="center"/>
              <w:cnfStyle w:val="100000000000" w:firstRow="1" w:lastRow="0" w:firstColumn="0" w:lastColumn="0" w:oddVBand="0" w:evenVBand="0" w:oddHBand="0" w:evenHBand="0" w:firstRowFirstColumn="0" w:firstRowLastColumn="0" w:lastRowFirstColumn="0" w:lastRowLastColumn="0"/>
            </w:pPr>
            <w:r>
              <w:t>Fuel complaints justified</w:t>
            </w:r>
            <w:r>
              <w:br/>
              <w:t>(consumer disadvantage)</w:t>
            </w:r>
          </w:p>
        </w:tc>
      </w:tr>
      <w:tr w:rsidR="009E50D0" w14:paraId="10C3D2C0" w14:textId="77777777" w:rsidTr="00C340E2">
        <w:tc>
          <w:tcPr>
            <w:cnfStyle w:val="001000000000" w:firstRow="0" w:lastRow="0" w:firstColumn="1" w:lastColumn="0" w:oddVBand="0" w:evenVBand="0" w:oddHBand="0" w:evenHBand="0" w:firstRowFirstColumn="0" w:firstRowLastColumn="0" w:lastRowFirstColumn="0" w:lastRowLastColumn="0"/>
            <w:tcW w:w="1560" w:type="dxa"/>
          </w:tcPr>
          <w:p w14:paraId="1908393C" w14:textId="5F7E9BD0" w:rsidR="009E50D0" w:rsidRPr="00F80EF7" w:rsidRDefault="009E50D0" w:rsidP="00C340E2">
            <w:pPr>
              <w:spacing w:after="0"/>
              <w:rPr>
                <w:b w:val="0"/>
              </w:rPr>
            </w:pPr>
            <w:r>
              <w:rPr>
                <w:b w:val="0"/>
              </w:rPr>
              <w:t>2015</w:t>
            </w:r>
            <w:r w:rsidR="00CE66EF">
              <w:rPr>
                <w:b w:val="0"/>
              </w:rPr>
              <w:t>–</w:t>
            </w:r>
            <w:r>
              <w:rPr>
                <w:b w:val="0"/>
              </w:rPr>
              <w:t>16</w:t>
            </w:r>
          </w:p>
        </w:tc>
        <w:tc>
          <w:tcPr>
            <w:tcW w:w="2126" w:type="dxa"/>
          </w:tcPr>
          <w:p w14:paraId="6B88691E" w14:textId="77777777" w:rsidR="009E50D0" w:rsidRDefault="009E50D0" w:rsidP="00C340E2">
            <w:pPr>
              <w:spacing w:after="0"/>
              <w:jc w:val="center"/>
              <w:cnfStyle w:val="000000000000" w:firstRow="0" w:lastRow="0" w:firstColumn="0" w:lastColumn="0" w:oddVBand="0" w:evenVBand="0" w:oddHBand="0" w:evenHBand="0" w:firstRowFirstColumn="0" w:firstRowLastColumn="0" w:lastRowFirstColumn="0" w:lastRowLastColumn="0"/>
            </w:pPr>
            <w:r>
              <w:t>724</w:t>
            </w:r>
          </w:p>
        </w:tc>
        <w:tc>
          <w:tcPr>
            <w:tcW w:w="2551" w:type="dxa"/>
          </w:tcPr>
          <w:p w14:paraId="6B35982F" w14:textId="77777777" w:rsidR="009E50D0" w:rsidRDefault="009E50D0" w:rsidP="00910840">
            <w:pPr>
              <w:spacing w:after="0"/>
              <w:jc w:val="center"/>
              <w:cnfStyle w:val="000000000000" w:firstRow="0" w:lastRow="0" w:firstColumn="0" w:lastColumn="0" w:oddVBand="0" w:evenVBand="0" w:oddHBand="0" w:evenHBand="0" w:firstRowFirstColumn="0" w:firstRowLastColumn="0" w:lastRowFirstColumn="0" w:lastRowLastColumn="0"/>
            </w:pPr>
            <w:r>
              <w:t>459 (63%)</w:t>
            </w:r>
          </w:p>
        </w:tc>
        <w:tc>
          <w:tcPr>
            <w:tcW w:w="2694" w:type="dxa"/>
          </w:tcPr>
          <w:p w14:paraId="021C3FAF" w14:textId="77777777" w:rsidR="009E50D0" w:rsidRDefault="00F145EE" w:rsidP="00910840">
            <w:pPr>
              <w:spacing w:after="0"/>
              <w:jc w:val="center"/>
              <w:cnfStyle w:val="000000000000" w:firstRow="0" w:lastRow="0" w:firstColumn="0" w:lastColumn="0" w:oddVBand="0" w:evenVBand="0" w:oddHBand="0" w:evenHBand="0" w:firstRowFirstColumn="0" w:firstRowLastColumn="0" w:lastRowFirstColumn="0" w:lastRowLastColumn="0"/>
            </w:pPr>
            <w:r>
              <w:t>10 (2.2%)</w:t>
            </w:r>
          </w:p>
        </w:tc>
      </w:tr>
      <w:tr w:rsidR="00910840" w14:paraId="0828B3ED" w14:textId="77777777" w:rsidTr="00C340E2">
        <w:tc>
          <w:tcPr>
            <w:cnfStyle w:val="001000000000" w:firstRow="0" w:lastRow="0" w:firstColumn="1" w:lastColumn="0" w:oddVBand="0" w:evenVBand="0" w:oddHBand="0" w:evenHBand="0" w:firstRowFirstColumn="0" w:firstRowLastColumn="0" w:lastRowFirstColumn="0" w:lastRowLastColumn="0"/>
            <w:tcW w:w="1560" w:type="dxa"/>
          </w:tcPr>
          <w:p w14:paraId="4378CFBE" w14:textId="172C7047" w:rsidR="00910840" w:rsidRPr="00F80EF7" w:rsidRDefault="00910840" w:rsidP="00C340E2">
            <w:pPr>
              <w:spacing w:after="0"/>
              <w:rPr>
                <w:b w:val="0"/>
              </w:rPr>
            </w:pPr>
            <w:r w:rsidRPr="00F80EF7">
              <w:rPr>
                <w:b w:val="0"/>
              </w:rPr>
              <w:t>2016</w:t>
            </w:r>
            <w:r w:rsidR="00CE66EF">
              <w:rPr>
                <w:b w:val="0"/>
              </w:rPr>
              <w:t>–</w:t>
            </w:r>
            <w:r w:rsidRPr="00F80EF7">
              <w:rPr>
                <w:b w:val="0"/>
              </w:rPr>
              <w:t>17</w:t>
            </w:r>
          </w:p>
        </w:tc>
        <w:tc>
          <w:tcPr>
            <w:tcW w:w="2126" w:type="dxa"/>
          </w:tcPr>
          <w:p w14:paraId="0CC67B27" w14:textId="77777777" w:rsidR="00910840" w:rsidRDefault="00910840" w:rsidP="00C340E2">
            <w:pPr>
              <w:spacing w:after="0"/>
              <w:jc w:val="center"/>
              <w:cnfStyle w:val="000000000000" w:firstRow="0" w:lastRow="0" w:firstColumn="0" w:lastColumn="0" w:oddVBand="0" w:evenVBand="0" w:oddHBand="0" w:evenHBand="0" w:firstRowFirstColumn="0" w:firstRowLastColumn="0" w:lastRowFirstColumn="0" w:lastRowLastColumn="0"/>
            </w:pPr>
            <w:r>
              <w:t>672</w:t>
            </w:r>
          </w:p>
        </w:tc>
        <w:tc>
          <w:tcPr>
            <w:tcW w:w="2551" w:type="dxa"/>
          </w:tcPr>
          <w:p w14:paraId="356F3374" w14:textId="77777777" w:rsidR="00910840" w:rsidRDefault="00910840" w:rsidP="00910840">
            <w:pPr>
              <w:spacing w:after="0"/>
              <w:jc w:val="center"/>
              <w:cnfStyle w:val="000000000000" w:firstRow="0" w:lastRow="0" w:firstColumn="0" w:lastColumn="0" w:oddVBand="0" w:evenVBand="0" w:oddHBand="0" w:evenHBand="0" w:firstRowFirstColumn="0" w:firstRowLastColumn="0" w:lastRowFirstColumn="0" w:lastRowLastColumn="0"/>
            </w:pPr>
            <w:r>
              <w:t>411 (61%)</w:t>
            </w:r>
          </w:p>
        </w:tc>
        <w:tc>
          <w:tcPr>
            <w:tcW w:w="2694" w:type="dxa"/>
          </w:tcPr>
          <w:p w14:paraId="0615AA08" w14:textId="77777777" w:rsidR="00910840" w:rsidRDefault="00910840" w:rsidP="00910840">
            <w:pPr>
              <w:spacing w:after="0"/>
              <w:jc w:val="center"/>
              <w:cnfStyle w:val="000000000000" w:firstRow="0" w:lastRow="0" w:firstColumn="0" w:lastColumn="0" w:oddVBand="0" w:evenVBand="0" w:oddHBand="0" w:evenHBand="0" w:firstRowFirstColumn="0" w:firstRowLastColumn="0" w:lastRowFirstColumn="0" w:lastRowLastColumn="0"/>
            </w:pPr>
            <w:r>
              <w:t>18 (4.4%)</w:t>
            </w:r>
          </w:p>
        </w:tc>
      </w:tr>
      <w:tr w:rsidR="00910840" w14:paraId="28C80F53" w14:textId="77777777" w:rsidTr="00C340E2">
        <w:tc>
          <w:tcPr>
            <w:cnfStyle w:val="001000000000" w:firstRow="0" w:lastRow="0" w:firstColumn="1" w:lastColumn="0" w:oddVBand="0" w:evenVBand="0" w:oddHBand="0" w:evenHBand="0" w:firstRowFirstColumn="0" w:firstRowLastColumn="0" w:lastRowFirstColumn="0" w:lastRowLastColumn="0"/>
            <w:tcW w:w="1560" w:type="dxa"/>
          </w:tcPr>
          <w:p w14:paraId="1C8B355C" w14:textId="1EDC14FC" w:rsidR="00910840" w:rsidRPr="00F80EF7" w:rsidRDefault="00910840" w:rsidP="00C340E2">
            <w:pPr>
              <w:spacing w:after="0"/>
              <w:rPr>
                <w:b w:val="0"/>
              </w:rPr>
            </w:pPr>
            <w:r w:rsidRPr="00F80EF7">
              <w:rPr>
                <w:b w:val="0"/>
              </w:rPr>
              <w:t>2017</w:t>
            </w:r>
            <w:r w:rsidR="00CE66EF">
              <w:rPr>
                <w:b w:val="0"/>
              </w:rPr>
              <w:t>–</w:t>
            </w:r>
            <w:r w:rsidRPr="00F80EF7">
              <w:rPr>
                <w:b w:val="0"/>
              </w:rPr>
              <w:t>18</w:t>
            </w:r>
          </w:p>
        </w:tc>
        <w:tc>
          <w:tcPr>
            <w:tcW w:w="2126" w:type="dxa"/>
          </w:tcPr>
          <w:p w14:paraId="238ACEFC" w14:textId="77777777" w:rsidR="00910840" w:rsidRDefault="00910840" w:rsidP="00C340E2">
            <w:pPr>
              <w:spacing w:after="0"/>
              <w:jc w:val="center"/>
              <w:cnfStyle w:val="000000000000" w:firstRow="0" w:lastRow="0" w:firstColumn="0" w:lastColumn="0" w:oddVBand="0" w:evenVBand="0" w:oddHBand="0" w:evenHBand="0" w:firstRowFirstColumn="0" w:firstRowLastColumn="0" w:lastRowFirstColumn="0" w:lastRowLastColumn="0"/>
            </w:pPr>
            <w:r>
              <w:t>782</w:t>
            </w:r>
          </w:p>
        </w:tc>
        <w:tc>
          <w:tcPr>
            <w:tcW w:w="2551" w:type="dxa"/>
          </w:tcPr>
          <w:p w14:paraId="1F3354BE" w14:textId="77777777" w:rsidR="00910840" w:rsidRDefault="00910840" w:rsidP="00910840">
            <w:pPr>
              <w:spacing w:after="0"/>
              <w:jc w:val="center"/>
              <w:cnfStyle w:val="000000000000" w:firstRow="0" w:lastRow="0" w:firstColumn="0" w:lastColumn="0" w:oddVBand="0" w:evenVBand="0" w:oddHBand="0" w:evenHBand="0" w:firstRowFirstColumn="0" w:firstRowLastColumn="0" w:lastRowFirstColumn="0" w:lastRowLastColumn="0"/>
            </w:pPr>
            <w:r>
              <w:t>511 (65%)</w:t>
            </w:r>
          </w:p>
        </w:tc>
        <w:tc>
          <w:tcPr>
            <w:tcW w:w="2694" w:type="dxa"/>
          </w:tcPr>
          <w:p w14:paraId="0F46C389" w14:textId="77777777" w:rsidR="00910840" w:rsidRDefault="00910840" w:rsidP="00910840">
            <w:pPr>
              <w:spacing w:after="0"/>
              <w:jc w:val="center"/>
              <w:cnfStyle w:val="000000000000" w:firstRow="0" w:lastRow="0" w:firstColumn="0" w:lastColumn="0" w:oddVBand="0" w:evenVBand="0" w:oddHBand="0" w:evenHBand="0" w:firstRowFirstColumn="0" w:firstRowLastColumn="0" w:lastRowFirstColumn="0" w:lastRowLastColumn="0"/>
            </w:pPr>
            <w:r>
              <w:t>16 (3.1%)</w:t>
            </w:r>
          </w:p>
        </w:tc>
      </w:tr>
      <w:tr w:rsidR="002344E8" w14:paraId="6A38EBFA" w14:textId="77777777" w:rsidTr="00C340E2">
        <w:tc>
          <w:tcPr>
            <w:cnfStyle w:val="001000000000" w:firstRow="0" w:lastRow="0" w:firstColumn="1" w:lastColumn="0" w:oddVBand="0" w:evenVBand="0" w:oddHBand="0" w:evenHBand="0" w:firstRowFirstColumn="0" w:firstRowLastColumn="0" w:lastRowFirstColumn="0" w:lastRowLastColumn="0"/>
            <w:tcW w:w="1560" w:type="dxa"/>
          </w:tcPr>
          <w:p w14:paraId="1E00B19B" w14:textId="7C1DBC11" w:rsidR="002344E8" w:rsidRPr="00F80EF7" w:rsidRDefault="002344E8" w:rsidP="00C340E2">
            <w:pPr>
              <w:spacing w:after="0"/>
              <w:rPr>
                <w:b w:val="0"/>
              </w:rPr>
            </w:pPr>
            <w:r>
              <w:rPr>
                <w:b w:val="0"/>
              </w:rPr>
              <w:t>2018</w:t>
            </w:r>
            <w:r w:rsidR="00CE66EF">
              <w:rPr>
                <w:b w:val="0"/>
              </w:rPr>
              <w:t>–</w:t>
            </w:r>
            <w:r>
              <w:rPr>
                <w:b w:val="0"/>
              </w:rPr>
              <w:t>19</w:t>
            </w:r>
          </w:p>
        </w:tc>
        <w:tc>
          <w:tcPr>
            <w:tcW w:w="2126" w:type="dxa"/>
          </w:tcPr>
          <w:p w14:paraId="1BAA419B" w14:textId="77777777" w:rsidR="002344E8" w:rsidRDefault="002344E8" w:rsidP="00C340E2">
            <w:pPr>
              <w:spacing w:after="0"/>
              <w:jc w:val="center"/>
              <w:cnfStyle w:val="000000000000" w:firstRow="0" w:lastRow="0" w:firstColumn="0" w:lastColumn="0" w:oddVBand="0" w:evenVBand="0" w:oddHBand="0" w:evenHBand="0" w:firstRowFirstColumn="0" w:firstRowLastColumn="0" w:lastRowFirstColumn="0" w:lastRowLastColumn="0"/>
            </w:pPr>
            <w:r>
              <w:t>767</w:t>
            </w:r>
          </w:p>
        </w:tc>
        <w:tc>
          <w:tcPr>
            <w:tcW w:w="2551" w:type="dxa"/>
          </w:tcPr>
          <w:p w14:paraId="6DA396EC" w14:textId="77777777" w:rsidR="002344E8" w:rsidRDefault="002344E8" w:rsidP="00910840">
            <w:pPr>
              <w:spacing w:after="0"/>
              <w:jc w:val="center"/>
              <w:cnfStyle w:val="000000000000" w:firstRow="0" w:lastRow="0" w:firstColumn="0" w:lastColumn="0" w:oddVBand="0" w:evenVBand="0" w:oddHBand="0" w:evenHBand="0" w:firstRowFirstColumn="0" w:firstRowLastColumn="0" w:lastRowFirstColumn="0" w:lastRowLastColumn="0"/>
            </w:pPr>
            <w:r>
              <w:t>494 (64%)</w:t>
            </w:r>
          </w:p>
        </w:tc>
        <w:tc>
          <w:tcPr>
            <w:tcW w:w="2694" w:type="dxa"/>
          </w:tcPr>
          <w:p w14:paraId="37E1BDBE" w14:textId="77777777" w:rsidR="002344E8" w:rsidRDefault="002344E8" w:rsidP="00910840">
            <w:pPr>
              <w:spacing w:after="0"/>
              <w:jc w:val="center"/>
              <w:cnfStyle w:val="000000000000" w:firstRow="0" w:lastRow="0" w:firstColumn="0" w:lastColumn="0" w:oddVBand="0" w:evenVBand="0" w:oddHBand="0" w:evenHBand="0" w:firstRowFirstColumn="0" w:firstRowLastColumn="0" w:lastRowFirstColumn="0" w:lastRowLastColumn="0"/>
            </w:pPr>
            <w:r>
              <w:t>31 (6.3%)</w:t>
            </w:r>
          </w:p>
        </w:tc>
      </w:tr>
    </w:tbl>
    <w:p w14:paraId="3717C593" w14:textId="77777777" w:rsidR="00CE1390" w:rsidRDefault="00CE1390">
      <w:pPr>
        <w:spacing w:after="200"/>
        <w:rPr>
          <w:rFonts w:asciiTheme="majorHAnsi" w:eastAsiaTheme="majorEastAsia" w:hAnsiTheme="majorHAnsi" w:cstheme="majorBidi"/>
          <w:b/>
          <w:bCs/>
          <w:color w:val="7C1222" w:themeColor="accent1" w:themeShade="BF"/>
          <w:sz w:val="28"/>
          <w:szCs w:val="28"/>
        </w:rPr>
      </w:pPr>
      <w:r>
        <w:br w:type="page"/>
      </w:r>
    </w:p>
    <w:p w14:paraId="260363EF" w14:textId="77777777" w:rsidR="006B39A3" w:rsidRDefault="002C27B1" w:rsidP="002C27B1">
      <w:pPr>
        <w:pStyle w:val="Heading1"/>
      </w:pPr>
      <w:bookmarkStart w:id="22" w:name="_Toc32933808"/>
      <w:r>
        <w:lastRenderedPageBreak/>
        <w:t xml:space="preserve">Compliance of </w:t>
      </w:r>
      <w:r w:rsidR="005E5D33">
        <w:t>P</w:t>
      </w:r>
      <w:r>
        <w:t xml:space="preserve">ackaged </w:t>
      </w:r>
      <w:r w:rsidR="005E5D33">
        <w:t>G</w:t>
      </w:r>
      <w:r>
        <w:t>oods</w:t>
      </w:r>
      <w:bookmarkEnd w:id="22"/>
    </w:p>
    <w:p w14:paraId="6B1D7EE5" w14:textId="1BC4E50B" w:rsidR="002C27B1" w:rsidRPr="00BA54FF" w:rsidRDefault="002C27B1" w:rsidP="002C27B1">
      <w:r>
        <w:t>In 201</w:t>
      </w:r>
      <w:r w:rsidR="008D68DE">
        <w:t>8</w:t>
      </w:r>
      <w:r w:rsidR="00CE66EF">
        <w:t>–</w:t>
      </w:r>
      <w:r>
        <w:t>1</w:t>
      </w:r>
      <w:r w:rsidR="008D68DE">
        <w:t>9</w:t>
      </w:r>
      <w:r>
        <w:t>, t</w:t>
      </w:r>
      <w:r w:rsidRPr="00BA54FF">
        <w:t>rade me</w:t>
      </w:r>
      <w:r>
        <w:t xml:space="preserve">asurement inspectors examined </w:t>
      </w:r>
      <w:r w:rsidR="008D68DE" w:rsidRPr="00D350A8">
        <w:t>70</w:t>
      </w:r>
      <w:r w:rsidRPr="00D350A8">
        <w:t>,</w:t>
      </w:r>
      <w:r w:rsidR="008D68DE" w:rsidRPr="00D350A8">
        <w:t>183</w:t>
      </w:r>
      <w:r w:rsidR="008D68DE" w:rsidRPr="00BA54FF">
        <w:t xml:space="preserve"> </w:t>
      </w:r>
      <w:r w:rsidRPr="00BA54FF">
        <w:t>lines of</w:t>
      </w:r>
      <w:r>
        <w:t xml:space="preserve"> packaged goods (</w:t>
      </w:r>
      <w:r w:rsidR="008D68DE">
        <w:t>256</w:t>
      </w:r>
      <w:r>
        <w:t>,</w:t>
      </w:r>
      <w:r w:rsidR="008D68DE">
        <w:t>507</w:t>
      </w:r>
      <w:r>
        <w:t xml:space="preserve"> individual packages) </w:t>
      </w:r>
      <w:r w:rsidRPr="00BA54FF">
        <w:t xml:space="preserve">to check whether they: </w:t>
      </w:r>
    </w:p>
    <w:p w14:paraId="659A046F" w14:textId="77777777" w:rsidR="002C27B1" w:rsidRPr="00BA54FF" w:rsidRDefault="002C27B1" w:rsidP="002C27B1">
      <w:pPr>
        <w:pStyle w:val="ListParagraph"/>
        <w:numPr>
          <w:ilvl w:val="0"/>
          <w:numId w:val="27"/>
        </w:numPr>
      </w:pPr>
      <w:r w:rsidRPr="00BA54FF">
        <w:t>contained the correct amount (weight, volume or units) as displayed on the label</w:t>
      </w:r>
    </w:p>
    <w:p w14:paraId="60A9103B" w14:textId="77777777" w:rsidR="002C27B1" w:rsidRPr="00BA54FF" w:rsidRDefault="002C27B1" w:rsidP="002C27B1">
      <w:pPr>
        <w:pStyle w:val="ListParagraph"/>
        <w:numPr>
          <w:ilvl w:val="0"/>
          <w:numId w:val="27"/>
        </w:numPr>
      </w:pPr>
      <w:r w:rsidRPr="00BA54FF">
        <w:t xml:space="preserve">displayed sufficient measurement marking (e.g. weight, price per kilogram and total price for the article) in the correct format and position </w:t>
      </w:r>
    </w:p>
    <w:p w14:paraId="50E09594" w14:textId="77777777" w:rsidR="002C27B1" w:rsidRPr="00BA54FF" w:rsidRDefault="002C27B1" w:rsidP="002C27B1">
      <w:pPr>
        <w:pStyle w:val="ListParagraph"/>
        <w:numPr>
          <w:ilvl w:val="0"/>
          <w:numId w:val="27"/>
        </w:numPr>
      </w:pPr>
      <w:r w:rsidRPr="00BA54FF">
        <w:t>included correct packer identification (name and street address of packer if packed within Australia o</w:t>
      </w:r>
      <w:r>
        <w:t>r</w:t>
      </w:r>
      <w:r w:rsidRPr="00BA54FF">
        <w:t xml:space="preserve"> name and</w:t>
      </w:r>
      <w:r>
        <w:t xml:space="preserve"> address of importer or seller)</w:t>
      </w:r>
    </w:p>
    <w:p w14:paraId="52D7290E" w14:textId="77777777" w:rsidR="00D350A8" w:rsidRDefault="00D350A8" w:rsidP="005C07E7">
      <w:r>
        <w:t>M</w:t>
      </w:r>
      <w:r w:rsidRPr="00D350A8">
        <w:t xml:space="preserve">ost discrepancies </w:t>
      </w:r>
      <w:r>
        <w:t xml:space="preserve">detected in packaged goods are </w:t>
      </w:r>
      <w:r w:rsidRPr="00D350A8">
        <w:t>usually relatively small</w:t>
      </w:r>
      <w:r>
        <w:t xml:space="preserve"> and can be corrected following advice from a trade measurement inspector.</w:t>
      </w:r>
      <w:r w:rsidRPr="00D350A8">
        <w:t xml:space="preserve"> </w:t>
      </w:r>
    </w:p>
    <w:p w14:paraId="234ED335" w14:textId="77777777" w:rsidR="005C07E7" w:rsidRDefault="002A6829" w:rsidP="005C07E7">
      <w:r>
        <w:t>As shown in the table below, t</w:t>
      </w:r>
      <w:r w:rsidR="005C07E7">
        <w:t xml:space="preserve">he proportion of packaged goods lines found to have </w:t>
      </w:r>
      <w:r w:rsidR="007E4157">
        <w:t>short</w:t>
      </w:r>
      <w:r w:rsidR="005C07E7">
        <w:t xml:space="preserve"> measure or non-compliant measurement </w:t>
      </w:r>
      <w:r w:rsidR="00D350A8">
        <w:t xml:space="preserve">labelling </w:t>
      </w:r>
      <w:r w:rsidR="008D68DE">
        <w:t>fell by more than half compared with the previous year.</w:t>
      </w:r>
    </w:p>
    <w:tbl>
      <w:tblPr>
        <w:tblStyle w:val="Style1"/>
        <w:tblpPr w:leftFromText="181" w:rightFromText="181" w:bottomFromText="425" w:vertAnchor="text" w:tblpY="1"/>
        <w:tblOverlap w:val="never"/>
        <w:tblW w:w="8931" w:type="dxa"/>
        <w:tblLook w:val="04A0" w:firstRow="1" w:lastRow="0" w:firstColumn="1" w:lastColumn="0" w:noHBand="0" w:noVBand="1"/>
      </w:tblPr>
      <w:tblGrid>
        <w:gridCol w:w="1083"/>
        <w:gridCol w:w="2178"/>
        <w:gridCol w:w="1559"/>
        <w:gridCol w:w="1984"/>
        <w:gridCol w:w="2127"/>
      </w:tblGrid>
      <w:tr w:rsidR="005C07E7" w14:paraId="6DFC64A8" w14:textId="77777777" w:rsidTr="005C07E7">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083" w:type="dxa"/>
          </w:tcPr>
          <w:p w14:paraId="220958EB" w14:textId="77777777" w:rsidR="005C07E7" w:rsidRDefault="005C07E7" w:rsidP="005C07E7">
            <w:pPr>
              <w:spacing w:after="0"/>
            </w:pPr>
            <w:r>
              <w:t>Year</w:t>
            </w:r>
          </w:p>
        </w:tc>
        <w:tc>
          <w:tcPr>
            <w:tcW w:w="2178" w:type="dxa"/>
          </w:tcPr>
          <w:p w14:paraId="5BA4FFD8" w14:textId="77777777" w:rsidR="005C07E7" w:rsidRDefault="005C07E7" w:rsidP="005C07E7">
            <w:pPr>
              <w:spacing w:after="0"/>
              <w:jc w:val="center"/>
              <w:cnfStyle w:val="100000000000" w:firstRow="1" w:lastRow="0" w:firstColumn="0" w:lastColumn="0" w:oddVBand="0" w:evenVBand="0" w:oddHBand="0" w:evenHBand="0" w:firstRowFirstColumn="0" w:firstRowLastColumn="0" w:lastRowFirstColumn="0" w:lastRowLastColumn="0"/>
            </w:pPr>
            <w:r>
              <w:t>Packaged lines inspected</w:t>
            </w:r>
          </w:p>
        </w:tc>
        <w:tc>
          <w:tcPr>
            <w:tcW w:w="1559" w:type="dxa"/>
          </w:tcPr>
          <w:p w14:paraId="63F7DE74" w14:textId="77777777" w:rsidR="005C07E7" w:rsidRDefault="005C07E7" w:rsidP="005C07E7">
            <w:pPr>
              <w:spacing w:after="0"/>
              <w:jc w:val="center"/>
              <w:cnfStyle w:val="100000000000" w:firstRow="1" w:lastRow="0" w:firstColumn="0" w:lastColumn="0" w:oddVBand="0" w:evenVBand="0" w:oddHBand="0" w:evenHBand="0" w:firstRowFirstColumn="0" w:firstRowLastColumn="0" w:lastRowFirstColumn="0" w:lastRowLastColumn="0"/>
            </w:pPr>
            <w:r>
              <w:t>Individual packages</w:t>
            </w:r>
          </w:p>
        </w:tc>
        <w:tc>
          <w:tcPr>
            <w:tcW w:w="1984" w:type="dxa"/>
          </w:tcPr>
          <w:p w14:paraId="371DF1F1" w14:textId="77777777" w:rsidR="005C07E7" w:rsidRDefault="005C07E7" w:rsidP="00F62A1C">
            <w:pPr>
              <w:spacing w:after="0"/>
              <w:jc w:val="center"/>
              <w:cnfStyle w:val="100000000000" w:firstRow="1" w:lastRow="0" w:firstColumn="0" w:lastColumn="0" w:oddVBand="0" w:evenVBand="0" w:oddHBand="0" w:evenHBand="0" w:firstRowFirstColumn="0" w:firstRowLastColumn="0" w:lastRowFirstColumn="0" w:lastRowLastColumn="0"/>
            </w:pPr>
            <w:r>
              <w:t xml:space="preserve">Lines with </w:t>
            </w:r>
            <w:r w:rsidR="00F62A1C">
              <w:t xml:space="preserve">short </w:t>
            </w:r>
            <w:r>
              <w:t>measure</w:t>
            </w:r>
          </w:p>
        </w:tc>
        <w:tc>
          <w:tcPr>
            <w:tcW w:w="2127" w:type="dxa"/>
          </w:tcPr>
          <w:p w14:paraId="12D77050" w14:textId="77777777" w:rsidR="005C07E7" w:rsidRDefault="005C07E7" w:rsidP="005C07E7">
            <w:pPr>
              <w:spacing w:after="0"/>
              <w:jc w:val="center"/>
              <w:cnfStyle w:val="100000000000" w:firstRow="1" w:lastRow="0" w:firstColumn="0" w:lastColumn="0" w:oddVBand="0" w:evenVBand="0" w:oddHBand="0" w:evenHBand="0" w:firstRowFirstColumn="0" w:firstRowLastColumn="0" w:lastRowFirstColumn="0" w:lastRowLastColumn="0"/>
            </w:pPr>
            <w:r>
              <w:t>Lines with non-compliant labelling</w:t>
            </w:r>
          </w:p>
        </w:tc>
      </w:tr>
      <w:tr w:rsidR="005C07E7" w14:paraId="0FB0B597" w14:textId="77777777" w:rsidTr="005C07E7">
        <w:tc>
          <w:tcPr>
            <w:cnfStyle w:val="001000000000" w:firstRow="0" w:lastRow="0" w:firstColumn="1" w:lastColumn="0" w:oddVBand="0" w:evenVBand="0" w:oddHBand="0" w:evenHBand="0" w:firstRowFirstColumn="0" w:firstRowLastColumn="0" w:lastRowFirstColumn="0" w:lastRowLastColumn="0"/>
            <w:tcW w:w="1083" w:type="dxa"/>
          </w:tcPr>
          <w:p w14:paraId="06AE78B2" w14:textId="6B939D0D" w:rsidR="005C07E7" w:rsidRPr="00F80EF7" w:rsidRDefault="005C07E7" w:rsidP="005C07E7">
            <w:pPr>
              <w:spacing w:after="0"/>
              <w:rPr>
                <w:b w:val="0"/>
              </w:rPr>
            </w:pPr>
            <w:r w:rsidRPr="00F80EF7">
              <w:rPr>
                <w:b w:val="0"/>
              </w:rPr>
              <w:t>2015</w:t>
            </w:r>
            <w:r w:rsidR="00CE66EF">
              <w:rPr>
                <w:b w:val="0"/>
              </w:rPr>
              <w:t>–</w:t>
            </w:r>
            <w:r w:rsidRPr="00F80EF7">
              <w:rPr>
                <w:b w:val="0"/>
              </w:rPr>
              <w:t>16</w:t>
            </w:r>
          </w:p>
        </w:tc>
        <w:tc>
          <w:tcPr>
            <w:tcW w:w="2178" w:type="dxa"/>
          </w:tcPr>
          <w:p w14:paraId="6E58FB49" w14:textId="77777777" w:rsidR="005C07E7" w:rsidRDefault="005C07E7" w:rsidP="005C07E7">
            <w:pPr>
              <w:spacing w:after="0"/>
              <w:jc w:val="center"/>
              <w:cnfStyle w:val="000000000000" w:firstRow="0" w:lastRow="0" w:firstColumn="0" w:lastColumn="0" w:oddVBand="0" w:evenVBand="0" w:oddHBand="0" w:evenHBand="0" w:firstRowFirstColumn="0" w:firstRowLastColumn="0" w:lastRowFirstColumn="0" w:lastRowLastColumn="0"/>
            </w:pPr>
            <w:r>
              <w:t>80,163</w:t>
            </w:r>
          </w:p>
        </w:tc>
        <w:tc>
          <w:tcPr>
            <w:tcW w:w="1559" w:type="dxa"/>
          </w:tcPr>
          <w:p w14:paraId="66AD0951" w14:textId="77777777" w:rsidR="005C07E7" w:rsidRDefault="005C07E7" w:rsidP="005C07E7">
            <w:pPr>
              <w:spacing w:after="0"/>
              <w:jc w:val="center"/>
              <w:cnfStyle w:val="000000000000" w:firstRow="0" w:lastRow="0" w:firstColumn="0" w:lastColumn="0" w:oddVBand="0" w:evenVBand="0" w:oddHBand="0" w:evenHBand="0" w:firstRowFirstColumn="0" w:firstRowLastColumn="0" w:lastRowFirstColumn="0" w:lastRowLastColumn="0"/>
            </w:pPr>
            <w:r>
              <w:t>319,616</w:t>
            </w:r>
          </w:p>
        </w:tc>
        <w:tc>
          <w:tcPr>
            <w:tcW w:w="1984" w:type="dxa"/>
          </w:tcPr>
          <w:p w14:paraId="174B548D" w14:textId="77777777" w:rsidR="005C07E7" w:rsidRDefault="00E9265C" w:rsidP="00E9265C">
            <w:pPr>
              <w:spacing w:after="0"/>
              <w:jc w:val="center"/>
              <w:cnfStyle w:val="000000000000" w:firstRow="0" w:lastRow="0" w:firstColumn="0" w:lastColumn="0" w:oddVBand="0" w:evenVBand="0" w:oddHBand="0" w:evenHBand="0" w:firstRowFirstColumn="0" w:firstRowLastColumn="0" w:lastRowFirstColumn="0" w:lastRowLastColumn="0"/>
            </w:pPr>
            <w:r>
              <w:t>2155</w:t>
            </w:r>
            <w:r w:rsidR="005C07E7">
              <w:t xml:space="preserve"> (</w:t>
            </w:r>
            <w:r>
              <w:t>2.7</w:t>
            </w:r>
            <w:r w:rsidR="005C07E7">
              <w:t>%)</w:t>
            </w:r>
          </w:p>
        </w:tc>
        <w:tc>
          <w:tcPr>
            <w:tcW w:w="2127" w:type="dxa"/>
          </w:tcPr>
          <w:p w14:paraId="3FF75CD2" w14:textId="77777777" w:rsidR="005C07E7" w:rsidRDefault="00E9265C" w:rsidP="005C07E7">
            <w:pPr>
              <w:spacing w:after="0"/>
              <w:jc w:val="center"/>
              <w:cnfStyle w:val="000000000000" w:firstRow="0" w:lastRow="0" w:firstColumn="0" w:lastColumn="0" w:oddVBand="0" w:evenVBand="0" w:oddHBand="0" w:evenHBand="0" w:firstRowFirstColumn="0" w:firstRowLastColumn="0" w:lastRowFirstColumn="0" w:lastRowLastColumn="0"/>
            </w:pPr>
            <w:r>
              <w:t>1615</w:t>
            </w:r>
            <w:r w:rsidR="005C07E7">
              <w:t xml:space="preserve"> (2</w:t>
            </w:r>
            <w:r>
              <w:t>.0</w:t>
            </w:r>
            <w:r w:rsidR="005C07E7">
              <w:t>%)</w:t>
            </w:r>
          </w:p>
        </w:tc>
      </w:tr>
      <w:tr w:rsidR="005C07E7" w14:paraId="1277EEDB" w14:textId="77777777" w:rsidTr="005C07E7">
        <w:tc>
          <w:tcPr>
            <w:cnfStyle w:val="001000000000" w:firstRow="0" w:lastRow="0" w:firstColumn="1" w:lastColumn="0" w:oddVBand="0" w:evenVBand="0" w:oddHBand="0" w:evenHBand="0" w:firstRowFirstColumn="0" w:firstRowLastColumn="0" w:lastRowFirstColumn="0" w:lastRowLastColumn="0"/>
            <w:tcW w:w="1083" w:type="dxa"/>
          </w:tcPr>
          <w:p w14:paraId="09331868" w14:textId="18FCF58F" w:rsidR="005C07E7" w:rsidRPr="00F80EF7" w:rsidRDefault="005C07E7" w:rsidP="005C07E7">
            <w:pPr>
              <w:spacing w:after="0"/>
              <w:rPr>
                <w:b w:val="0"/>
              </w:rPr>
            </w:pPr>
            <w:r w:rsidRPr="00F80EF7">
              <w:rPr>
                <w:b w:val="0"/>
              </w:rPr>
              <w:t>2016</w:t>
            </w:r>
            <w:r w:rsidR="00CE66EF">
              <w:rPr>
                <w:b w:val="0"/>
              </w:rPr>
              <w:t>–</w:t>
            </w:r>
            <w:r w:rsidRPr="00F80EF7">
              <w:rPr>
                <w:b w:val="0"/>
              </w:rPr>
              <w:t>17</w:t>
            </w:r>
          </w:p>
        </w:tc>
        <w:tc>
          <w:tcPr>
            <w:tcW w:w="2178" w:type="dxa"/>
          </w:tcPr>
          <w:p w14:paraId="083C0A41" w14:textId="77777777" w:rsidR="005C07E7" w:rsidRDefault="005C07E7" w:rsidP="005C07E7">
            <w:pPr>
              <w:spacing w:after="0"/>
              <w:jc w:val="center"/>
              <w:cnfStyle w:val="000000000000" w:firstRow="0" w:lastRow="0" w:firstColumn="0" w:lastColumn="0" w:oddVBand="0" w:evenVBand="0" w:oddHBand="0" w:evenHBand="0" w:firstRowFirstColumn="0" w:firstRowLastColumn="0" w:lastRowFirstColumn="0" w:lastRowLastColumn="0"/>
            </w:pPr>
            <w:r>
              <w:t>87,964</w:t>
            </w:r>
          </w:p>
        </w:tc>
        <w:tc>
          <w:tcPr>
            <w:tcW w:w="1559" w:type="dxa"/>
          </w:tcPr>
          <w:p w14:paraId="02620322" w14:textId="77777777" w:rsidR="005C07E7" w:rsidRDefault="005C07E7" w:rsidP="005C07E7">
            <w:pPr>
              <w:spacing w:after="0"/>
              <w:jc w:val="center"/>
              <w:cnfStyle w:val="000000000000" w:firstRow="0" w:lastRow="0" w:firstColumn="0" w:lastColumn="0" w:oddVBand="0" w:evenVBand="0" w:oddHBand="0" w:evenHBand="0" w:firstRowFirstColumn="0" w:firstRowLastColumn="0" w:lastRowFirstColumn="0" w:lastRowLastColumn="0"/>
            </w:pPr>
            <w:r>
              <w:t>355,438</w:t>
            </w:r>
          </w:p>
        </w:tc>
        <w:tc>
          <w:tcPr>
            <w:tcW w:w="1984" w:type="dxa"/>
          </w:tcPr>
          <w:p w14:paraId="051EE694" w14:textId="77777777" w:rsidR="005C07E7" w:rsidRDefault="00E9265C" w:rsidP="00E9265C">
            <w:pPr>
              <w:spacing w:after="0"/>
              <w:jc w:val="center"/>
              <w:cnfStyle w:val="000000000000" w:firstRow="0" w:lastRow="0" w:firstColumn="0" w:lastColumn="0" w:oddVBand="0" w:evenVBand="0" w:oddHBand="0" w:evenHBand="0" w:firstRowFirstColumn="0" w:firstRowLastColumn="0" w:lastRowFirstColumn="0" w:lastRowLastColumn="0"/>
            </w:pPr>
            <w:r>
              <w:t>3111</w:t>
            </w:r>
            <w:r w:rsidR="005C07E7">
              <w:t xml:space="preserve"> (</w:t>
            </w:r>
            <w:r>
              <w:t>3.5</w:t>
            </w:r>
            <w:r w:rsidR="00D64016">
              <w:t>%</w:t>
            </w:r>
            <w:r w:rsidR="005C07E7">
              <w:t>)</w:t>
            </w:r>
          </w:p>
        </w:tc>
        <w:tc>
          <w:tcPr>
            <w:tcW w:w="2127" w:type="dxa"/>
          </w:tcPr>
          <w:p w14:paraId="0D806A3A" w14:textId="77777777" w:rsidR="005C07E7" w:rsidRDefault="00E9265C" w:rsidP="00E9265C">
            <w:pPr>
              <w:spacing w:after="0"/>
              <w:jc w:val="center"/>
              <w:cnfStyle w:val="000000000000" w:firstRow="0" w:lastRow="0" w:firstColumn="0" w:lastColumn="0" w:oddVBand="0" w:evenVBand="0" w:oddHBand="0" w:evenHBand="0" w:firstRowFirstColumn="0" w:firstRowLastColumn="0" w:lastRowFirstColumn="0" w:lastRowLastColumn="0"/>
            </w:pPr>
            <w:r>
              <w:t>4589</w:t>
            </w:r>
            <w:r w:rsidR="005C07E7">
              <w:t xml:space="preserve"> (</w:t>
            </w:r>
            <w:r>
              <w:t>5.2</w:t>
            </w:r>
            <w:r w:rsidR="005C07E7">
              <w:t>%)</w:t>
            </w:r>
          </w:p>
        </w:tc>
      </w:tr>
      <w:tr w:rsidR="005C07E7" w14:paraId="3C1C9889" w14:textId="77777777" w:rsidTr="005C07E7">
        <w:tc>
          <w:tcPr>
            <w:cnfStyle w:val="001000000000" w:firstRow="0" w:lastRow="0" w:firstColumn="1" w:lastColumn="0" w:oddVBand="0" w:evenVBand="0" w:oddHBand="0" w:evenHBand="0" w:firstRowFirstColumn="0" w:firstRowLastColumn="0" w:lastRowFirstColumn="0" w:lastRowLastColumn="0"/>
            <w:tcW w:w="1083" w:type="dxa"/>
          </w:tcPr>
          <w:p w14:paraId="1E131034" w14:textId="3B652FEA" w:rsidR="005C07E7" w:rsidRPr="00F80EF7" w:rsidRDefault="005C07E7" w:rsidP="005C07E7">
            <w:pPr>
              <w:spacing w:after="0"/>
              <w:rPr>
                <w:b w:val="0"/>
              </w:rPr>
            </w:pPr>
            <w:r w:rsidRPr="00F80EF7">
              <w:rPr>
                <w:b w:val="0"/>
              </w:rPr>
              <w:t>2017</w:t>
            </w:r>
            <w:r w:rsidR="00CE66EF">
              <w:rPr>
                <w:b w:val="0"/>
              </w:rPr>
              <w:t>–</w:t>
            </w:r>
            <w:r w:rsidRPr="00F80EF7">
              <w:rPr>
                <w:b w:val="0"/>
              </w:rPr>
              <w:t>18</w:t>
            </w:r>
          </w:p>
        </w:tc>
        <w:tc>
          <w:tcPr>
            <w:tcW w:w="2178" w:type="dxa"/>
          </w:tcPr>
          <w:p w14:paraId="5C616568" w14:textId="77777777" w:rsidR="005C07E7" w:rsidRDefault="005C07E7" w:rsidP="005C07E7">
            <w:pPr>
              <w:spacing w:after="0"/>
              <w:jc w:val="center"/>
              <w:cnfStyle w:val="000000000000" w:firstRow="0" w:lastRow="0" w:firstColumn="0" w:lastColumn="0" w:oddVBand="0" w:evenVBand="0" w:oddHBand="0" w:evenHBand="0" w:firstRowFirstColumn="0" w:firstRowLastColumn="0" w:lastRowFirstColumn="0" w:lastRowLastColumn="0"/>
            </w:pPr>
            <w:r>
              <w:t>71,733</w:t>
            </w:r>
          </w:p>
        </w:tc>
        <w:tc>
          <w:tcPr>
            <w:tcW w:w="1559" w:type="dxa"/>
          </w:tcPr>
          <w:p w14:paraId="1F7C260E" w14:textId="77777777" w:rsidR="005C07E7" w:rsidRDefault="005C07E7" w:rsidP="005C07E7">
            <w:pPr>
              <w:spacing w:after="0"/>
              <w:jc w:val="center"/>
              <w:cnfStyle w:val="000000000000" w:firstRow="0" w:lastRow="0" w:firstColumn="0" w:lastColumn="0" w:oddVBand="0" w:evenVBand="0" w:oddHBand="0" w:evenHBand="0" w:firstRowFirstColumn="0" w:firstRowLastColumn="0" w:lastRowFirstColumn="0" w:lastRowLastColumn="0"/>
            </w:pPr>
            <w:r>
              <w:t>271,243</w:t>
            </w:r>
          </w:p>
        </w:tc>
        <w:tc>
          <w:tcPr>
            <w:tcW w:w="1984" w:type="dxa"/>
          </w:tcPr>
          <w:p w14:paraId="78CCAC04" w14:textId="77777777" w:rsidR="005C07E7" w:rsidRDefault="00E9265C" w:rsidP="00E9265C">
            <w:pPr>
              <w:spacing w:after="0"/>
              <w:jc w:val="center"/>
              <w:cnfStyle w:val="000000000000" w:firstRow="0" w:lastRow="0" w:firstColumn="0" w:lastColumn="0" w:oddVBand="0" w:evenVBand="0" w:oddHBand="0" w:evenHBand="0" w:firstRowFirstColumn="0" w:firstRowLastColumn="0" w:lastRowFirstColumn="0" w:lastRowLastColumn="0"/>
            </w:pPr>
            <w:r>
              <w:t>3464</w:t>
            </w:r>
            <w:r w:rsidR="005C07E7">
              <w:t xml:space="preserve"> (</w:t>
            </w:r>
            <w:r>
              <w:t>4.8</w:t>
            </w:r>
            <w:r w:rsidR="00D64016">
              <w:t>%)</w:t>
            </w:r>
          </w:p>
        </w:tc>
        <w:tc>
          <w:tcPr>
            <w:tcW w:w="2127" w:type="dxa"/>
          </w:tcPr>
          <w:p w14:paraId="5EF019DA" w14:textId="77777777" w:rsidR="005C07E7" w:rsidRDefault="00E9265C" w:rsidP="00D64016">
            <w:pPr>
              <w:spacing w:after="0"/>
              <w:jc w:val="center"/>
              <w:cnfStyle w:val="000000000000" w:firstRow="0" w:lastRow="0" w:firstColumn="0" w:lastColumn="0" w:oddVBand="0" w:evenVBand="0" w:oddHBand="0" w:evenHBand="0" w:firstRowFirstColumn="0" w:firstRowLastColumn="0" w:lastRowFirstColumn="0" w:lastRowLastColumn="0"/>
            </w:pPr>
            <w:r>
              <w:t>3691</w:t>
            </w:r>
            <w:r w:rsidR="005C07E7">
              <w:t xml:space="preserve"> (</w:t>
            </w:r>
            <w:r w:rsidR="00D64016">
              <w:t>5</w:t>
            </w:r>
            <w:r>
              <w:t>.2</w:t>
            </w:r>
            <w:r w:rsidR="005C07E7">
              <w:t>%)</w:t>
            </w:r>
          </w:p>
        </w:tc>
      </w:tr>
      <w:tr w:rsidR="002344E8" w14:paraId="5CD63FE8" w14:textId="77777777" w:rsidTr="005C07E7">
        <w:tc>
          <w:tcPr>
            <w:cnfStyle w:val="001000000000" w:firstRow="0" w:lastRow="0" w:firstColumn="1" w:lastColumn="0" w:oddVBand="0" w:evenVBand="0" w:oddHBand="0" w:evenHBand="0" w:firstRowFirstColumn="0" w:firstRowLastColumn="0" w:lastRowFirstColumn="0" w:lastRowLastColumn="0"/>
            <w:tcW w:w="1083" w:type="dxa"/>
          </w:tcPr>
          <w:p w14:paraId="30149F87" w14:textId="33EBE9FE" w:rsidR="002344E8" w:rsidRPr="00F80EF7" w:rsidRDefault="002344E8" w:rsidP="005C07E7">
            <w:pPr>
              <w:spacing w:after="0"/>
              <w:rPr>
                <w:b w:val="0"/>
              </w:rPr>
            </w:pPr>
            <w:r>
              <w:rPr>
                <w:b w:val="0"/>
              </w:rPr>
              <w:t>2018</w:t>
            </w:r>
            <w:r w:rsidR="00CE66EF">
              <w:rPr>
                <w:b w:val="0"/>
              </w:rPr>
              <w:t>–</w:t>
            </w:r>
            <w:r>
              <w:rPr>
                <w:b w:val="0"/>
              </w:rPr>
              <w:t>19</w:t>
            </w:r>
          </w:p>
        </w:tc>
        <w:tc>
          <w:tcPr>
            <w:tcW w:w="2178" w:type="dxa"/>
          </w:tcPr>
          <w:p w14:paraId="2238DD21" w14:textId="77777777" w:rsidR="002344E8" w:rsidRDefault="0001377D" w:rsidP="005C07E7">
            <w:pPr>
              <w:spacing w:after="0"/>
              <w:jc w:val="center"/>
              <w:cnfStyle w:val="000000000000" w:firstRow="0" w:lastRow="0" w:firstColumn="0" w:lastColumn="0" w:oddVBand="0" w:evenVBand="0" w:oddHBand="0" w:evenHBand="0" w:firstRowFirstColumn="0" w:firstRowLastColumn="0" w:lastRowFirstColumn="0" w:lastRowLastColumn="0"/>
            </w:pPr>
            <w:r w:rsidRPr="00D350A8">
              <w:t>70,183</w:t>
            </w:r>
          </w:p>
        </w:tc>
        <w:tc>
          <w:tcPr>
            <w:tcW w:w="1559" w:type="dxa"/>
          </w:tcPr>
          <w:p w14:paraId="7A8801B8" w14:textId="77777777" w:rsidR="002344E8" w:rsidRDefault="0001377D" w:rsidP="005C07E7">
            <w:pPr>
              <w:spacing w:after="0"/>
              <w:jc w:val="center"/>
              <w:cnfStyle w:val="000000000000" w:firstRow="0" w:lastRow="0" w:firstColumn="0" w:lastColumn="0" w:oddVBand="0" w:evenVBand="0" w:oddHBand="0" w:evenHBand="0" w:firstRowFirstColumn="0" w:firstRowLastColumn="0" w:lastRowFirstColumn="0" w:lastRowLastColumn="0"/>
            </w:pPr>
            <w:r>
              <w:t>256,507</w:t>
            </w:r>
          </w:p>
        </w:tc>
        <w:tc>
          <w:tcPr>
            <w:tcW w:w="1984" w:type="dxa"/>
          </w:tcPr>
          <w:p w14:paraId="4EB6DBAA" w14:textId="77777777" w:rsidR="002344E8" w:rsidRDefault="0001377D" w:rsidP="00E9265C">
            <w:pPr>
              <w:spacing w:after="0"/>
              <w:jc w:val="center"/>
              <w:cnfStyle w:val="000000000000" w:firstRow="0" w:lastRow="0" w:firstColumn="0" w:lastColumn="0" w:oddVBand="0" w:evenVBand="0" w:oddHBand="0" w:evenHBand="0" w:firstRowFirstColumn="0" w:firstRowLastColumn="0" w:lastRowFirstColumn="0" w:lastRowLastColumn="0"/>
            </w:pPr>
            <w:r>
              <w:t>1621 (2.3%)</w:t>
            </w:r>
          </w:p>
        </w:tc>
        <w:tc>
          <w:tcPr>
            <w:tcW w:w="2127" w:type="dxa"/>
          </w:tcPr>
          <w:p w14:paraId="5815F148" w14:textId="77777777" w:rsidR="002344E8" w:rsidRDefault="0001377D" w:rsidP="00D64016">
            <w:pPr>
              <w:spacing w:after="0"/>
              <w:jc w:val="center"/>
              <w:cnfStyle w:val="000000000000" w:firstRow="0" w:lastRow="0" w:firstColumn="0" w:lastColumn="0" w:oddVBand="0" w:evenVBand="0" w:oddHBand="0" w:evenHBand="0" w:firstRowFirstColumn="0" w:firstRowLastColumn="0" w:lastRowFirstColumn="0" w:lastRowLastColumn="0"/>
            </w:pPr>
            <w:r>
              <w:t>1606 (2.3%)</w:t>
            </w:r>
          </w:p>
        </w:tc>
      </w:tr>
    </w:tbl>
    <w:p w14:paraId="225E7E93" w14:textId="77777777" w:rsidR="005C07E7" w:rsidRDefault="00AC4E4D" w:rsidP="00814D94">
      <w:r>
        <w:t>While m</w:t>
      </w:r>
      <w:r w:rsidR="004D4A82">
        <w:t xml:space="preserve">eat and seafood </w:t>
      </w:r>
      <w:r>
        <w:t>consistently appear</w:t>
      </w:r>
      <w:r w:rsidR="004D4A82">
        <w:t xml:space="preserve"> among the categories of packaged goods with the greatest proportion found to contain short measure</w:t>
      </w:r>
      <w:r>
        <w:t xml:space="preserve">, there </w:t>
      </w:r>
      <w:r w:rsidR="00CE1390">
        <w:t>has been</w:t>
      </w:r>
      <w:r>
        <w:t xml:space="preserve"> considerable variation among other categories</w:t>
      </w:r>
      <w:r w:rsidR="00CE1390">
        <w:t xml:space="preserve"> over recent years</w:t>
      </w:r>
      <w:r>
        <w:t>.</w:t>
      </w:r>
    </w:p>
    <w:p w14:paraId="1E2A9855" w14:textId="7C7C81C6" w:rsidR="004D4A82" w:rsidRPr="00D87BC8" w:rsidRDefault="00D45506" w:rsidP="004D4A82">
      <w:pPr>
        <w:rPr>
          <w:rStyle w:val="Tabletitle"/>
        </w:rPr>
      </w:pPr>
      <w:r>
        <w:rPr>
          <w:rStyle w:val="Tabletitle"/>
        </w:rPr>
        <w:t xml:space="preserve">Packaged goods </w:t>
      </w:r>
      <w:r w:rsidR="00062F7A">
        <w:rPr>
          <w:rStyle w:val="Tabletitle"/>
        </w:rPr>
        <w:t>short</w:t>
      </w:r>
      <w:r>
        <w:rPr>
          <w:rStyle w:val="Tabletitle"/>
        </w:rPr>
        <w:t xml:space="preserve"> measure 201</w:t>
      </w:r>
      <w:r w:rsidR="0001377D">
        <w:rPr>
          <w:rStyle w:val="Tabletitle"/>
        </w:rPr>
        <w:t>8</w:t>
      </w:r>
      <w:r w:rsidR="00CE66EF">
        <w:rPr>
          <w:rStyle w:val="Tabletitle"/>
        </w:rPr>
        <w:t>–</w:t>
      </w:r>
      <w:r>
        <w:rPr>
          <w:rStyle w:val="Tabletitle"/>
        </w:rPr>
        <w:t>1</w:t>
      </w:r>
      <w:r w:rsidR="0001377D">
        <w:rPr>
          <w:rStyle w:val="Tabletitle"/>
        </w:rPr>
        <w:t>9</w:t>
      </w:r>
    </w:p>
    <w:tbl>
      <w:tblPr>
        <w:tblStyle w:val="Style1"/>
        <w:tblpPr w:leftFromText="181" w:rightFromText="181" w:bottomFromText="425" w:vertAnchor="text" w:tblpY="1"/>
        <w:tblOverlap w:val="never"/>
        <w:tblW w:w="8931" w:type="dxa"/>
        <w:tblLook w:val="04A0" w:firstRow="1" w:lastRow="0" w:firstColumn="1" w:lastColumn="0" w:noHBand="0" w:noVBand="1"/>
      </w:tblPr>
      <w:tblGrid>
        <w:gridCol w:w="2694"/>
        <w:gridCol w:w="1926"/>
        <w:gridCol w:w="2311"/>
        <w:gridCol w:w="2000"/>
      </w:tblGrid>
      <w:tr w:rsidR="004C1342" w14:paraId="40504F06" w14:textId="77777777" w:rsidTr="00AC4E4D">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694" w:type="dxa"/>
          </w:tcPr>
          <w:p w14:paraId="6322C0EE" w14:textId="77777777" w:rsidR="004C1342" w:rsidRDefault="004C1342" w:rsidP="004C1342">
            <w:pPr>
              <w:spacing w:after="0"/>
            </w:pPr>
            <w:r>
              <w:t>Product type</w:t>
            </w:r>
          </w:p>
        </w:tc>
        <w:tc>
          <w:tcPr>
            <w:tcW w:w="1926" w:type="dxa"/>
          </w:tcPr>
          <w:p w14:paraId="47505250" w14:textId="77777777" w:rsidR="004C1342" w:rsidRDefault="004C1342" w:rsidP="004C1342">
            <w:pPr>
              <w:spacing w:after="0"/>
              <w:jc w:val="center"/>
              <w:cnfStyle w:val="100000000000" w:firstRow="1" w:lastRow="0" w:firstColumn="0" w:lastColumn="0" w:oddVBand="0" w:evenVBand="0" w:oddHBand="0" w:evenHBand="0" w:firstRowFirstColumn="0" w:firstRowLastColumn="0" w:lastRowFirstColumn="0" w:lastRowLastColumn="0"/>
            </w:pPr>
            <w:r>
              <w:t>Packaged lines inspected</w:t>
            </w:r>
          </w:p>
        </w:tc>
        <w:tc>
          <w:tcPr>
            <w:tcW w:w="2311" w:type="dxa"/>
          </w:tcPr>
          <w:p w14:paraId="6F729775" w14:textId="77777777" w:rsidR="004C1342" w:rsidRDefault="004C1342" w:rsidP="004C1342">
            <w:pPr>
              <w:spacing w:after="0"/>
              <w:jc w:val="center"/>
              <w:cnfStyle w:val="100000000000" w:firstRow="1" w:lastRow="0" w:firstColumn="0" w:lastColumn="0" w:oddVBand="0" w:evenVBand="0" w:oddHBand="0" w:evenHBand="0" w:firstRowFirstColumn="0" w:firstRowLastColumn="0" w:lastRowFirstColumn="0" w:lastRowLastColumn="0"/>
            </w:pPr>
            <w:r>
              <w:t>Individual packages</w:t>
            </w:r>
          </w:p>
        </w:tc>
        <w:tc>
          <w:tcPr>
            <w:tcW w:w="2000" w:type="dxa"/>
          </w:tcPr>
          <w:p w14:paraId="1A295FE3" w14:textId="77777777" w:rsidR="004C1342" w:rsidRDefault="004C1342" w:rsidP="00F62A1C">
            <w:pPr>
              <w:spacing w:after="0"/>
              <w:jc w:val="center"/>
              <w:cnfStyle w:val="100000000000" w:firstRow="1" w:lastRow="0" w:firstColumn="0" w:lastColumn="0" w:oddVBand="0" w:evenVBand="0" w:oddHBand="0" w:evenHBand="0" w:firstRowFirstColumn="0" w:firstRowLastColumn="0" w:lastRowFirstColumn="0" w:lastRowLastColumn="0"/>
            </w:pPr>
            <w:r>
              <w:t xml:space="preserve">Lines with </w:t>
            </w:r>
            <w:r w:rsidR="00F62A1C">
              <w:t xml:space="preserve">short </w:t>
            </w:r>
            <w:r>
              <w:t>measure</w:t>
            </w:r>
          </w:p>
        </w:tc>
      </w:tr>
      <w:tr w:rsidR="00260176" w14:paraId="5EC78D0B" w14:textId="77777777" w:rsidTr="00AC4E4D">
        <w:tc>
          <w:tcPr>
            <w:cnfStyle w:val="001000000000" w:firstRow="0" w:lastRow="0" w:firstColumn="1" w:lastColumn="0" w:oddVBand="0" w:evenVBand="0" w:oddHBand="0" w:evenHBand="0" w:firstRowFirstColumn="0" w:firstRowLastColumn="0" w:lastRowFirstColumn="0" w:lastRowLastColumn="0"/>
            <w:tcW w:w="2694" w:type="dxa"/>
          </w:tcPr>
          <w:p w14:paraId="63F45E90" w14:textId="77777777" w:rsidR="00260176" w:rsidRPr="00D45506" w:rsidRDefault="00260176" w:rsidP="00260176">
            <w:pPr>
              <w:spacing w:after="0"/>
              <w:rPr>
                <w:b w:val="0"/>
              </w:rPr>
            </w:pPr>
            <w:r>
              <w:rPr>
                <w:b w:val="0"/>
              </w:rPr>
              <w:t>Chemicals (industrial)</w:t>
            </w:r>
          </w:p>
        </w:tc>
        <w:tc>
          <w:tcPr>
            <w:tcW w:w="1926" w:type="dxa"/>
          </w:tcPr>
          <w:p w14:paraId="30DC9BCC" w14:textId="77777777" w:rsidR="00260176"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64</w:t>
            </w:r>
          </w:p>
        </w:tc>
        <w:tc>
          <w:tcPr>
            <w:tcW w:w="2311" w:type="dxa"/>
          </w:tcPr>
          <w:p w14:paraId="1A51A0A7" w14:textId="77777777" w:rsidR="00260176"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329</w:t>
            </w:r>
          </w:p>
        </w:tc>
        <w:tc>
          <w:tcPr>
            <w:tcW w:w="2000" w:type="dxa"/>
          </w:tcPr>
          <w:p w14:paraId="488CDB58" w14:textId="77777777" w:rsidR="00260176"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13 (20.3%)</w:t>
            </w:r>
          </w:p>
        </w:tc>
      </w:tr>
      <w:tr w:rsidR="00260176" w14:paraId="35576855" w14:textId="77777777" w:rsidTr="00AC4E4D">
        <w:tc>
          <w:tcPr>
            <w:cnfStyle w:val="001000000000" w:firstRow="0" w:lastRow="0" w:firstColumn="1" w:lastColumn="0" w:oddVBand="0" w:evenVBand="0" w:oddHBand="0" w:evenHBand="0" w:firstRowFirstColumn="0" w:firstRowLastColumn="0" w:lastRowFirstColumn="0" w:lastRowLastColumn="0"/>
            <w:tcW w:w="2694" w:type="dxa"/>
          </w:tcPr>
          <w:p w14:paraId="287AC32D" w14:textId="77777777" w:rsidR="00260176" w:rsidRDefault="00260176" w:rsidP="00260176">
            <w:pPr>
              <w:spacing w:after="0"/>
              <w:rPr>
                <w:b w:val="0"/>
              </w:rPr>
            </w:pPr>
            <w:r>
              <w:rPr>
                <w:b w:val="0"/>
              </w:rPr>
              <w:t>Chemicals (household)</w:t>
            </w:r>
          </w:p>
        </w:tc>
        <w:tc>
          <w:tcPr>
            <w:tcW w:w="1926" w:type="dxa"/>
          </w:tcPr>
          <w:p w14:paraId="089E6992" w14:textId="77777777" w:rsidR="00260176" w:rsidDel="00EE7B5A"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79</w:t>
            </w:r>
          </w:p>
        </w:tc>
        <w:tc>
          <w:tcPr>
            <w:tcW w:w="2311" w:type="dxa"/>
          </w:tcPr>
          <w:p w14:paraId="4044BFCF" w14:textId="77777777" w:rsidR="00260176" w:rsidDel="00EE7B5A"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360</w:t>
            </w:r>
          </w:p>
        </w:tc>
        <w:tc>
          <w:tcPr>
            <w:tcW w:w="2000" w:type="dxa"/>
          </w:tcPr>
          <w:p w14:paraId="287F43C3" w14:textId="77777777" w:rsidR="00260176" w:rsidDel="00EE7B5A"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14 (17.7%)</w:t>
            </w:r>
          </w:p>
        </w:tc>
      </w:tr>
      <w:tr w:rsidR="00260176" w14:paraId="4A3E48AA" w14:textId="77777777" w:rsidTr="00AC4E4D">
        <w:tc>
          <w:tcPr>
            <w:cnfStyle w:val="001000000000" w:firstRow="0" w:lastRow="0" w:firstColumn="1" w:lastColumn="0" w:oddVBand="0" w:evenVBand="0" w:oddHBand="0" w:evenHBand="0" w:firstRowFirstColumn="0" w:firstRowLastColumn="0" w:lastRowFirstColumn="0" w:lastRowLastColumn="0"/>
            <w:tcW w:w="2694" w:type="dxa"/>
          </w:tcPr>
          <w:p w14:paraId="754A4C35" w14:textId="77777777" w:rsidR="00260176" w:rsidRDefault="00260176" w:rsidP="00260176">
            <w:pPr>
              <w:spacing w:after="0"/>
              <w:rPr>
                <w:b w:val="0"/>
              </w:rPr>
            </w:pPr>
            <w:r>
              <w:rPr>
                <w:b w:val="0"/>
              </w:rPr>
              <w:t>Farm supplies</w:t>
            </w:r>
          </w:p>
        </w:tc>
        <w:tc>
          <w:tcPr>
            <w:tcW w:w="1926" w:type="dxa"/>
          </w:tcPr>
          <w:p w14:paraId="3E5A8A76" w14:textId="77777777" w:rsidR="00260176" w:rsidDel="00EE7B5A"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137</w:t>
            </w:r>
          </w:p>
        </w:tc>
        <w:tc>
          <w:tcPr>
            <w:tcW w:w="2311" w:type="dxa"/>
          </w:tcPr>
          <w:p w14:paraId="327E986D" w14:textId="77777777" w:rsidR="00260176" w:rsidDel="00EE7B5A"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577</w:t>
            </w:r>
          </w:p>
        </w:tc>
        <w:tc>
          <w:tcPr>
            <w:tcW w:w="2000" w:type="dxa"/>
          </w:tcPr>
          <w:p w14:paraId="3DAA52FB" w14:textId="77777777" w:rsidR="00260176" w:rsidDel="00EE7B5A" w:rsidRDefault="00260176" w:rsidP="00260176">
            <w:pPr>
              <w:spacing w:after="0"/>
              <w:jc w:val="center"/>
              <w:cnfStyle w:val="000000000000" w:firstRow="0" w:lastRow="0" w:firstColumn="0" w:lastColumn="0" w:oddVBand="0" w:evenVBand="0" w:oddHBand="0" w:evenHBand="0" w:firstRowFirstColumn="0" w:firstRowLastColumn="0" w:lastRowFirstColumn="0" w:lastRowLastColumn="0"/>
            </w:pPr>
            <w:r>
              <w:t>13 (9.5%)</w:t>
            </w:r>
          </w:p>
        </w:tc>
      </w:tr>
      <w:tr w:rsidR="00D45506" w14:paraId="61913804" w14:textId="77777777" w:rsidTr="00AC4E4D">
        <w:tc>
          <w:tcPr>
            <w:cnfStyle w:val="001000000000" w:firstRow="0" w:lastRow="0" w:firstColumn="1" w:lastColumn="0" w:oddVBand="0" w:evenVBand="0" w:oddHBand="0" w:evenHBand="0" w:firstRowFirstColumn="0" w:firstRowLastColumn="0" w:lastRowFirstColumn="0" w:lastRowLastColumn="0"/>
            <w:tcW w:w="2694" w:type="dxa"/>
          </w:tcPr>
          <w:p w14:paraId="527687A9" w14:textId="77777777" w:rsidR="00D45506" w:rsidRDefault="00D45506" w:rsidP="00D45506">
            <w:pPr>
              <w:spacing w:after="0"/>
              <w:rPr>
                <w:b w:val="0"/>
              </w:rPr>
            </w:pPr>
            <w:r>
              <w:rPr>
                <w:b w:val="0"/>
              </w:rPr>
              <w:t>Seafood (frozen)</w:t>
            </w:r>
          </w:p>
        </w:tc>
        <w:tc>
          <w:tcPr>
            <w:tcW w:w="1926" w:type="dxa"/>
          </w:tcPr>
          <w:p w14:paraId="283F396F" w14:textId="77777777" w:rsidR="00D45506" w:rsidRDefault="00EE7B5A" w:rsidP="004C1342">
            <w:pPr>
              <w:spacing w:after="0"/>
              <w:jc w:val="center"/>
              <w:cnfStyle w:val="000000000000" w:firstRow="0" w:lastRow="0" w:firstColumn="0" w:lastColumn="0" w:oddVBand="0" w:evenVBand="0" w:oddHBand="0" w:evenHBand="0" w:firstRowFirstColumn="0" w:firstRowLastColumn="0" w:lastRowFirstColumn="0" w:lastRowLastColumn="0"/>
            </w:pPr>
            <w:r>
              <w:t>982</w:t>
            </w:r>
          </w:p>
        </w:tc>
        <w:tc>
          <w:tcPr>
            <w:tcW w:w="2311" w:type="dxa"/>
          </w:tcPr>
          <w:p w14:paraId="1C8B2567" w14:textId="77777777" w:rsidR="00D45506" w:rsidRDefault="00EE7B5A" w:rsidP="004C1342">
            <w:pPr>
              <w:spacing w:after="0"/>
              <w:jc w:val="center"/>
              <w:cnfStyle w:val="000000000000" w:firstRow="0" w:lastRow="0" w:firstColumn="0" w:lastColumn="0" w:oddVBand="0" w:evenVBand="0" w:oddHBand="0" w:evenHBand="0" w:firstRowFirstColumn="0" w:firstRowLastColumn="0" w:lastRowFirstColumn="0" w:lastRowLastColumn="0"/>
            </w:pPr>
            <w:r>
              <w:t>4060</w:t>
            </w:r>
          </w:p>
        </w:tc>
        <w:tc>
          <w:tcPr>
            <w:tcW w:w="2000" w:type="dxa"/>
          </w:tcPr>
          <w:p w14:paraId="21269E3C" w14:textId="77777777" w:rsidR="00D45506" w:rsidRDefault="00EE7B5A" w:rsidP="00EE7B5A">
            <w:pPr>
              <w:spacing w:after="0"/>
              <w:jc w:val="center"/>
              <w:cnfStyle w:val="000000000000" w:firstRow="0" w:lastRow="0" w:firstColumn="0" w:lastColumn="0" w:oddVBand="0" w:evenVBand="0" w:oddHBand="0" w:evenHBand="0" w:firstRowFirstColumn="0" w:firstRowLastColumn="0" w:lastRowFirstColumn="0" w:lastRowLastColumn="0"/>
            </w:pPr>
            <w:r>
              <w:t xml:space="preserve">75 </w:t>
            </w:r>
            <w:r w:rsidR="00D45506">
              <w:t>(</w:t>
            </w:r>
            <w:r>
              <w:t>7.6</w:t>
            </w:r>
            <w:r w:rsidR="00D45506">
              <w:t>%)</w:t>
            </w:r>
          </w:p>
        </w:tc>
      </w:tr>
      <w:tr w:rsidR="001F518F" w14:paraId="6BEA1EEC" w14:textId="77777777" w:rsidTr="00AC4E4D">
        <w:tc>
          <w:tcPr>
            <w:cnfStyle w:val="001000000000" w:firstRow="0" w:lastRow="0" w:firstColumn="1" w:lastColumn="0" w:oddVBand="0" w:evenVBand="0" w:oddHBand="0" w:evenHBand="0" w:firstRowFirstColumn="0" w:firstRowLastColumn="0" w:lastRowFirstColumn="0" w:lastRowLastColumn="0"/>
            <w:tcW w:w="2694" w:type="dxa"/>
          </w:tcPr>
          <w:p w14:paraId="1B1ED197" w14:textId="77777777" w:rsidR="001F518F" w:rsidRDefault="001F518F" w:rsidP="00D45506">
            <w:pPr>
              <w:spacing w:after="0"/>
              <w:rPr>
                <w:b w:val="0"/>
              </w:rPr>
            </w:pPr>
            <w:r w:rsidRPr="001F518F">
              <w:rPr>
                <w:b w:val="0"/>
              </w:rPr>
              <w:t>Herbs/Spices/Seasoning</w:t>
            </w:r>
          </w:p>
        </w:tc>
        <w:tc>
          <w:tcPr>
            <w:tcW w:w="1926" w:type="dxa"/>
          </w:tcPr>
          <w:p w14:paraId="085B430F" w14:textId="77777777" w:rsidR="001F518F" w:rsidRDefault="001F518F" w:rsidP="004C1342">
            <w:pPr>
              <w:spacing w:after="0"/>
              <w:jc w:val="center"/>
              <w:cnfStyle w:val="000000000000" w:firstRow="0" w:lastRow="0" w:firstColumn="0" w:lastColumn="0" w:oddVBand="0" w:evenVBand="0" w:oddHBand="0" w:evenHBand="0" w:firstRowFirstColumn="0" w:firstRowLastColumn="0" w:lastRowFirstColumn="0" w:lastRowLastColumn="0"/>
            </w:pPr>
            <w:r>
              <w:t>1646</w:t>
            </w:r>
          </w:p>
        </w:tc>
        <w:tc>
          <w:tcPr>
            <w:tcW w:w="2311" w:type="dxa"/>
          </w:tcPr>
          <w:p w14:paraId="30284894" w14:textId="77777777" w:rsidR="001F518F" w:rsidRDefault="001F518F" w:rsidP="004C1342">
            <w:pPr>
              <w:spacing w:after="0"/>
              <w:jc w:val="center"/>
              <w:cnfStyle w:val="000000000000" w:firstRow="0" w:lastRow="0" w:firstColumn="0" w:lastColumn="0" w:oddVBand="0" w:evenVBand="0" w:oddHBand="0" w:evenHBand="0" w:firstRowFirstColumn="0" w:firstRowLastColumn="0" w:lastRowFirstColumn="0" w:lastRowLastColumn="0"/>
            </w:pPr>
            <w:r>
              <w:t>6380</w:t>
            </w:r>
          </w:p>
        </w:tc>
        <w:tc>
          <w:tcPr>
            <w:tcW w:w="2000" w:type="dxa"/>
          </w:tcPr>
          <w:p w14:paraId="14751D1A" w14:textId="77777777" w:rsidR="001F518F" w:rsidRDefault="001F518F" w:rsidP="00EE7B5A">
            <w:pPr>
              <w:spacing w:after="0"/>
              <w:jc w:val="center"/>
              <w:cnfStyle w:val="000000000000" w:firstRow="0" w:lastRow="0" w:firstColumn="0" w:lastColumn="0" w:oddVBand="0" w:evenVBand="0" w:oddHBand="0" w:evenHBand="0" w:firstRowFirstColumn="0" w:firstRowLastColumn="0" w:lastRowFirstColumn="0" w:lastRowLastColumn="0"/>
            </w:pPr>
            <w:r>
              <w:t>114 (7%)</w:t>
            </w:r>
          </w:p>
        </w:tc>
      </w:tr>
      <w:tr w:rsidR="00D45506" w14:paraId="670CD8A3" w14:textId="77777777" w:rsidTr="00AC4E4D">
        <w:tc>
          <w:tcPr>
            <w:cnfStyle w:val="001000000000" w:firstRow="0" w:lastRow="0" w:firstColumn="1" w:lastColumn="0" w:oddVBand="0" w:evenVBand="0" w:oddHBand="0" w:evenHBand="0" w:firstRowFirstColumn="0" w:firstRowLastColumn="0" w:lastRowFirstColumn="0" w:lastRowLastColumn="0"/>
            <w:tcW w:w="2694" w:type="dxa"/>
          </w:tcPr>
          <w:p w14:paraId="0FB13195" w14:textId="77777777" w:rsidR="00D45506" w:rsidRDefault="00D45506" w:rsidP="00D45506">
            <w:pPr>
              <w:spacing w:after="0"/>
              <w:rPr>
                <w:b w:val="0"/>
              </w:rPr>
            </w:pPr>
            <w:r>
              <w:rPr>
                <w:b w:val="0"/>
              </w:rPr>
              <w:t>Meat (processed)</w:t>
            </w:r>
          </w:p>
        </w:tc>
        <w:tc>
          <w:tcPr>
            <w:tcW w:w="1926" w:type="dxa"/>
          </w:tcPr>
          <w:p w14:paraId="1BC7DFB2" w14:textId="77777777" w:rsidR="00D45506" w:rsidRDefault="00EE7B5A" w:rsidP="004C1342">
            <w:pPr>
              <w:spacing w:after="0"/>
              <w:jc w:val="center"/>
              <w:cnfStyle w:val="000000000000" w:firstRow="0" w:lastRow="0" w:firstColumn="0" w:lastColumn="0" w:oddVBand="0" w:evenVBand="0" w:oddHBand="0" w:evenHBand="0" w:firstRowFirstColumn="0" w:firstRowLastColumn="0" w:lastRowFirstColumn="0" w:lastRowLastColumn="0"/>
            </w:pPr>
            <w:r>
              <w:t>2266</w:t>
            </w:r>
          </w:p>
        </w:tc>
        <w:tc>
          <w:tcPr>
            <w:tcW w:w="2311" w:type="dxa"/>
          </w:tcPr>
          <w:p w14:paraId="5DDD7CD7" w14:textId="77777777" w:rsidR="00D45506" w:rsidRDefault="00EE7B5A" w:rsidP="004C1342">
            <w:pPr>
              <w:spacing w:after="0"/>
              <w:jc w:val="center"/>
              <w:cnfStyle w:val="000000000000" w:firstRow="0" w:lastRow="0" w:firstColumn="0" w:lastColumn="0" w:oddVBand="0" w:evenVBand="0" w:oddHBand="0" w:evenHBand="0" w:firstRowFirstColumn="0" w:firstRowLastColumn="0" w:lastRowFirstColumn="0" w:lastRowLastColumn="0"/>
            </w:pPr>
            <w:r>
              <w:t>8941</w:t>
            </w:r>
          </w:p>
        </w:tc>
        <w:tc>
          <w:tcPr>
            <w:tcW w:w="2000" w:type="dxa"/>
          </w:tcPr>
          <w:p w14:paraId="150B2165" w14:textId="77777777" w:rsidR="00D45506" w:rsidRDefault="00EE7B5A" w:rsidP="00EE7B5A">
            <w:pPr>
              <w:spacing w:after="0"/>
              <w:jc w:val="center"/>
              <w:cnfStyle w:val="000000000000" w:firstRow="0" w:lastRow="0" w:firstColumn="0" w:lastColumn="0" w:oddVBand="0" w:evenVBand="0" w:oddHBand="0" w:evenHBand="0" w:firstRowFirstColumn="0" w:firstRowLastColumn="0" w:lastRowFirstColumn="0" w:lastRowLastColumn="0"/>
            </w:pPr>
            <w:r>
              <w:t xml:space="preserve">153 </w:t>
            </w:r>
            <w:r w:rsidR="00D45506">
              <w:t>(</w:t>
            </w:r>
            <w:r>
              <w:t>6.8</w:t>
            </w:r>
            <w:r w:rsidR="00D45506">
              <w:t>%)</w:t>
            </w:r>
          </w:p>
        </w:tc>
      </w:tr>
      <w:tr w:rsidR="00D45506" w14:paraId="233EEFC4" w14:textId="77777777" w:rsidTr="00AC4E4D">
        <w:tc>
          <w:tcPr>
            <w:cnfStyle w:val="001000000000" w:firstRow="0" w:lastRow="0" w:firstColumn="1" w:lastColumn="0" w:oddVBand="0" w:evenVBand="0" w:oddHBand="0" w:evenHBand="0" w:firstRowFirstColumn="0" w:firstRowLastColumn="0" w:lastRowFirstColumn="0" w:lastRowLastColumn="0"/>
            <w:tcW w:w="2694" w:type="dxa"/>
          </w:tcPr>
          <w:p w14:paraId="72DFC0D9" w14:textId="77777777" w:rsidR="00D45506" w:rsidRDefault="00AC4E4D" w:rsidP="00D45506">
            <w:pPr>
              <w:spacing w:after="0"/>
              <w:rPr>
                <w:b w:val="0"/>
              </w:rPr>
            </w:pPr>
            <w:r>
              <w:rPr>
                <w:b w:val="0"/>
              </w:rPr>
              <w:t>Meat (fresh)</w:t>
            </w:r>
          </w:p>
        </w:tc>
        <w:tc>
          <w:tcPr>
            <w:tcW w:w="1926" w:type="dxa"/>
          </w:tcPr>
          <w:p w14:paraId="0CF64AA8" w14:textId="77777777" w:rsidR="00D45506" w:rsidRDefault="002F67CA" w:rsidP="004C1342">
            <w:pPr>
              <w:spacing w:after="0"/>
              <w:jc w:val="center"/>
              <w:cnfStyle w:val="000000000000" w:firstRow="0" w:lastRow="0" w:firstColumn="0" w:lastColumn="0" w:oddVBand="0" w:evenVBand="0" w:oddHBand="0" w:evenHBand="0" w:firstRowFirstColumn="0" w:firstRowLastColumn="0" w:lastRowFirstColumn="0" w:lastRowLastColumn="0"/>
            </w:pPr>
            <w:r>
              <w:t>13,957</w:t>
            </w:r>
          </w:p>
        </w:tc>
        <w:tc>
          <w:tcPr>
            <w:tcW w:w="2311" w:type="dxa"/>
          </w:tcPr>
          <w:p w14:paraId="5F9AD264" w14:textId="77777777" w:rsidR="00D45506" w:rsidRDefault="002F67CA" w:rsidP="004C1342">
            <w:pPr>
              <w:spacing w:after="0"/>
              <w:jc w:val="center"/>
              <w:cnfStyle w:val="000000000000" w:firstRow="0" w:lastRow="0" w:firstColumn="0" w:lastColumn="0" w:oddVBand="0" w:evenVBand="0" w:oddHBand="0" w:evenHBand="0" w:firstRowFirstColumn="0" w:firstRowLastColumn="0" w:lastRowFirstColumn="0" w:lastRowLastColumn="0"/>
            </w:pPr>
            <w:r>
              <w:t>48,537</w:t>
            </w:r>
          </w:p>
        </w:tc>
        <w:tc>
          <w:tcPr>
            <w:tcW w:w="2000" w:type="dxa"/>
          </w:tcPr>
          <w:p w14:paraId="51862B7B" w14:textId="77777777" w:rsidR="00D45506" w:rsidRDefault="002F67CA" w:rsidP="002F67CA">
            <w:pPr>
              <w:spacing w:after="0"/>
              <w:jc w:val="center"/>
              <w:cnfStyle w:val="000000000000" w:firstRow="0" w:lastRow="0" w:firstColumn="0" w:lastColumn="0" w:oddVBand="0" w:evenVBand="0" w:oddHBand="0" w:evenHBand="0" w:firstRowFirstColumn="0" w:firstRowLastColumn="0" w:lastRowFirstColumn="0" w:lastRowLastColumn="0"/>
            </w:pPr>
            <w:r>
              <w:t xml:space="preserve">459 </w:t>
            </w:r>
            <w:r w:rsidR="00AC4E4D">
              <w:t>(</w:t>
            </w:r>
            <w:r>
              <w:t>3.3</w:t>
            </w:r>
            <w:r w:rsidR="00AC4E4D">
              <w:t>%)</w:t>
            </w:r>
          </w:p>
        </w:tc>
      </w:tr>
      <w:tr w:rsidR="00AC4E4D" w14:paraId="2FA373C5" w14:textId="77777777" w:rsidTr="00AC4E4D">
        <w:tc>
          <w:tcPr>
            <w:cnfStyle w:val="001000000000" w:firstRow="0" w:lastRow="0" w:firstColumn="1" w:lastColumn="0" w:oddVBand="0" w:evenVBand="0" w:oddHBand="0" w:evenHBand="0" w:firstRowFirstColumn="0" w:firstRowLastColumn="0" w:lastRowFirstColumn="0" w:lastRowLastColumn="0"/>
            <w:tcW w:w="2694" w:type="dxa"/>
          </w:tcPr>
          <w:p w14:paraId="40810320" w14:textId="77777777" w:rsidR="00AC4E4D" w:rsidRDefault="00AC4E4D" w:rsidP="00D45506">
            <w:pPr>
              <w:spacing w:after="0"/>
              <w:rPr>
                <w:b w:val="0"/>
              </w:rPr>
            </w:pPr>
            <w:r>
              <w:rPr>
                <w:b w:val="0"/>
              </w:rPr>
              <w:t>Seafood (fresh)</w:t>
            </w:r>
          </w:p>
        </w:tc>
        <w:tc>
          <w:tcPr>
            <w:tcW w:w="1926" w:type="dxa"/>
          </w:tcPr>
          <w:p w14:paraId="3061C30F" w14:textId="77777777" w:rsidR="00AC4E4D" w:rsidRDefault="002F67CA" w:rsidP="004C1342">
            <w:pPr>
              <w:spacing w:after="0"/>
              <w:jc w:val="center"/>
              <w:cnfStyle w:val="000000000000" w:firstRow="0" w:lastRow="0" w:firstColumn="0" w:lastColumn="0" w:oddVBand="0" w:evenVBand="0" w:oddHBand="0" w:evenHBand="0" w:firstRowFirstColumn="0" w:firstRowLastColumn="0" w:lastRowFirstColumn="0" w:lastRowLastColumn="0"/>
            </w:pPr>
            <w:r>
              <w:t>575</w:t>
            </w:r>
          </w:p>
        </w:tc>
        <w:tc>
          <w:tcPr>
            <w:tcW w:w="2311" w:type="dxa"/>
          </w:tcPr>
          <w:p w14:paraId="3184E786" w14:textId="77777777" w:rsidR="00AC4E4D" w:rsidRDefault="002F67CA" w:rsidP="004C1342">
            <w:pPr>
              <w:spacing w:after="0"/>
              <w:jc w:val="center"/>
              <w:cnfStyle w:val="000000000000" w:firstRow="0" w:lastRow="0" w:firstColumn="0" w:lastColumn="0" w:oddVBand="0" w:evenVBand="0" w:oddHBand="0" w:evenHBand="0" w:firstRowFirstColumn="0" w:firstRowLastColumn="0" w:lastRowFirstColumn="0" w:lastRowLastColumn="0"/>
            </w:pPr>
            <w:r>
              <w:t>1877</w:t>
            </w:r>
          </w:p>
        </w:tc>
        <w:tc>
          <w:tcPr>
            <w:tcW w:w="2000" w:type="dxa"/>
          </w:tcPr>
          <w:p w14:paraId="52B2C7AF" w14:textId="77777777" w:rsidR="00AC4E4D" w:rsidRDefault="002F67CA" w:rsidP="002F67CA">
            <w:pPr>
              <w:spacing w:after="0"/>
              <w:jc w:val="center"/>
              <w:cnfStyle w:val="000000000000" w:firstRow="0" w:lastRow="0" w:firstColumn="0" w:lastColumn="0" w:oddVBand="0" w:evenVBand="0" w:oddHBand="0" w:evenHBand="0" w:firstRowFirstColumn="0" w:firstRowLastColumn="0" w:lastRowFirstColumn="0" w:lastRowLastColumn="0"/>
            </w:pPr>
            <w:r>
              <w:t xml:space="preserve">17 </w:t>
            </w:r>
            <w:r w:rsidR="00AC4E4D">
              <w:t>(</w:t>
            </w:r>
            <w:r>
              <w:t>3.0</w:t>
            </w:r>
            <w:r w:rsidR="00AC4E4D">
              <w:t>%)</w:t>
            </w:r>
          </w:p>
        </w:tc>
      </w:tr>
    </w:tbl>
    <w:p w14:paraId="2C9D1553" w14:textId="77777777" w:rsidR="00A222E8" w:rsidRDefault="00A222E8" w:rsidP="00CE1390"/>
    <w:sectPr w:rsidR="00A222E8" w:rsidSect="00585806">
      <w:headerReference w:type="default"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9D81A" w14:textId="77777777" w:rsidR="004F4DBC" w:rsidRDefault="004F4DBC" w:rsidP="00B526AB">
      <w:pPr>
        <w:spacing w:after="0" w:line="240" w:lineRule="auto"/>
      </w:pPr>
      <w:r>
        <w:separator/>
      </w:r>
    </w:p>
  </w:endnote>
  <w:endnote w:type="continuationSeparator" w:id="0">
    <w:p w14:paraId="016D7077" w14:textId="77777777" w:rsidR="004F4DBC" w:rsidRDefault="004F4DBC" w:rsidP="00B5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AA9B3" w14:textId="77777777" w:rsidR="004F4DBC" w:rsidRDefault="004F4DBC">
    <w:pPr>
      <w:pStyle w:val="Footer"/>
    </w:pPr>
    <w:r>
      <w:rPr>
        <w:noProof/>
        <w:lang w:eastAsia="en-AU"/>
      </w:rPr>
      <w:drawing>
        <wp:anchor distT="0" distB="0" distL="114300" distR="114300" simplePos="0" relativeHeight="251657728" behindDoc="1" locked="0" layoutInCell="1" allowOverlap="1" wp14:anchorId="52E3A0D0" wp14:editId="019D2016">
          <wp:simplePos x="0" y="0"/>
          <wp:positionH relativeFrom="column">
            <wp:posOffset>-911860</wp:posOffset>
          </wp:positionH>
          <wp:positionV relativeFrom="paragraph">
            <wp:posOffset>67310</wp:posOffset>
          </wp:positionV>
          <wp:extent cx="7560000" cy="521064"/>
          <wp:effectExtent l="0" t="0" r="0" b="12700"/>
          <wp:wrapNone/>
          <wp:docPr id="4" name="Picture 4" descr="Report footer with URL" title="measurem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al_Word_footer_MAS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2106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BB39" w14:textId="77777777" w:rsidR="004F4DBC" w:rsidRDefault="004F4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01F6D" w14:textId="77777777" w:rsidR="004F4DBC" w:rsidRDefault="004F4DBC" w:rsidP="00B526AB">
      <w:pPr>
        <w:spacing w:after="0" w:line="240" w:lineRule="auto"/>
      </w:pPr>
      <w:r>
        <w:separator/>
      </w:r>
    </w:p>
  </w:footnote>
  <w:footnote w:type="continuationSeparator" w:id="0">
    <w:p w14:paraId="5523572F" w14:textId="77777777" w:rsidR="004F4DBC" w:rsidRDefault="004F4DBC" w:rsidP="00B526AB">
      <w:pPr>
        <w:spacing w:after="0" w:line="240" w:lineRule="auto"/>
      </w:pPr>
      <w:r>
        <w:continuationSeparator/>
      </w:r>
    </w:p>
  </w:footnote>
  <w:footnote w:id="1">
    <w:p w14:paraId="03E49B47" w14:textId="77777777" w:rsidR="004F4DBC" w:rsidRDefault="004F4DBC" w:rsidP="00B7796E">
      <w:pPr>
        <w:pStyle w:val="FootnoteText"/>
      </w:pPr>
      <w:r>
        <w:rPr>
          <w:rStyle w:val="FootnoteReference"/>
        </w:rPr>
        <w:footnoteRef/>
      </w:r>
      <w:r>
        <w:t xml:space="preserve"> </w:t>
      </w:r>
      <w:r w:rsidRPr="004121D4">
        <w:t>Birch, J (2003) ‘Benefit of Legal Metrology for the Economy and Society’, International Committee of Legal Metrology</w:t>
      </w:r>
      <w:r>
        <w:t>.</w:t>
      </w:r>
    </w:p>
  </w:footnote>
  <w:footnote w:id="2">
    <w:p w14:paraId="74259782" w14:textId="77777777" w:rsidR="004F4DBC" w:rsidRDefault="004F4DBC">
      <w:pPr>
        <w:pStyle w:val="FootnoteText"/>
      </w:pPr>
      <w:r>
        <w:rPr>
          <w:rStyle w:val="FootnoteReference"/>
        </w:rPr>
        <w:footnoteRef/>
      </w:r>
      <w:r>
        <w:t xml:space="preserve"> </w:t>
      </w:r>
      <w:r w:rsidRPr="00AB40CF">
        <w:rPr>
          <w:rStyle w:val="Hyperlink"/>
        </w:rPr>
        <w:t>https://www.industry.gov.au/data-and-publications/national-measurement-institute-national-compliance-plan</w:t>
      </w:r>
    </w:p>
  </w:footnote>
  <w:footnote w:id="3">
    <w:p w14:paraId="61323BB6" w14:textId="77777777" w:rsidR="004F4DBC" w:rsidRDefault="004F4DBC" w:rsidP="00F80EF7">
      <w:pPr>
        <w:pStyle w:val="FootnoteText"/>
      </w:pPr>
      <w:r>
        <w:rPr>
          <w:rStyle w:val="FootnoteReference"/>
        </w:rPr>
        <w:footnoteRef/>
      </w:r>
      <w:r>
        <w:t xml:space="preserve"> </w:t>
      </w:r>
      <w:r w:rsidRPr="00AB40CF">
        <w:rPr>
          <w:rStyle w:val="Hyperlink"/>
        </w:rPr>
        <w:t>https://www.industry.gov.au/data-and-publications/national-measurement-institute-national-compliance-plan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61C0" w14:textId="77777777" w:rsidR="004F4DBC" w:rsidRDefault="004F4DBC">
    <w:pPr>
      <w:pStyle w:val="Header"/>
    </w:pPr>
    <w:r>
      <w:rPr>
        <w:noProof/>
        <w:lang w:eastAsia="en-AU"/>
      </w:rPr>
      <w:drawing>
        <wp:anchor distT="0" distB="0" distL="114300" distR="114300" simplePos="0" relativeHeight="251656704" behindDoc="1" locked="0" layoutInCell="1" allowOverlap="1" wp14:anchorId="2C176BB7" wp14:editId="1305F237">
          <wp:simplePos x="0" y="0"/>
          <wp:positionH relativeFrom="page">
            <wp:posOffset>0</wp:posOffset>
          </wp:positionH>
          <wp:positionV relativeFrom="page">
            <wp:posOffset>1557196</wp:posOffset>
          </wp:positionV>
          <wp:extent cx="7558405" cy="9129980"/>
          <wp:effectExtent l="0" t="0" r="4445" b="0"/>
          <wp:wrapNone/>
          <wp:docPr id="2" name="Picture 2" descr="Report cover page with footer URL" title="Australian Government | National Measurement Institute | measurem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al_Word_update_slide_frontpage.jpg"/>
                  <pic:cNvPicPr/>
                </pic:nvPicPr>
                <pic:blipFill rotWithShape="1">
                  <a:blip r:embed="rId1">
                    <a:extLst>
                      <a:ext uri="{28A0092B-C50C-407E-A947-70E740481C1C}">
                        <a14:useLocalDpi xmlns:a14="http://schemas.microsoft.com/office/drawing/2010/main" val="0"/>
                      </a:ext>
                    </a:extLst>
                  </a:blip>
                  <a:srcRect t="14571"/>
                  <a:stretch/>
                </pic:blipFill>
                <pic:spPr bwMode="auto">
                  <a:xfrm>
                    <a:off x="0" y="0"/>
                    <a:ext cx="7558766" cy="913041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FD0C" w14:textId="18355E90" w:rsidR="004F4DBC" w:rsidRDefault="004F4DBC">
    <w:pPr>
      <w:pStyle w:val="Header"/>
      <w:jc w:val="right"/>
    </w:pPr>
    <w:sdt>
      <w:sdtPr>
        <w:id w:val="12133114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26CDF">
          <w:rPr>
            <w:noProof/>
          </w:rPr>
          <w:t>7</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C5F51" w14:textId="77777777" w:rsidR="004F4DBC" w:rsidRDefault="004F4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3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CD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82E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EF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56CB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745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89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05DB2"/>
    <w:lvl w:ilvl="0">
      <w:start w:val="1"/>
      <w:numFmt w:val="bullet"/>
      <w:pStyle w:val="ListBullet2"/>
      <w:lvlText w:val=""/>
      <w:lvlJc w:val="left"/>
      <w:pPr>
        <w:ind w:left="644" w:hanging="360"/>
      </w:pPr>
      <w:rPr>
        <w:rFonts w:ascii="Symbol" w:hAnsi="Symbol" w:hint="default"/>
        <w:b/>
        <w:i w:val="0"/>
        <w:color w:val="A6192E" w:themeColor="accent1"/>
      </w:rPr>
    </w:lvl>
  </w:abstractNum>
  <w:abstractNum w:abstractNumId="8" w15:restartNumberingAfterBreak="0">
    <w:nsid w:val="FFFFFF88"/>
    <w:multiLevelType w:val="singleLevel"/>
    <w:tmpl w:val="9350D2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1A1AA8"/>
    <w:lvl w:ilvl="0">
      <w:start w:val="1"/>
      <w:numFmt w:val="bullet"/>
      <w:pStyle w:val="ListBullet"/>
      <w:lvlText w:val=""/>
      <w:lvlJc w:val="left"/>
      <w:pPr>
        <w:ind w:left="360" w:hanging="360"/>
      </w:pPr>
      <w:rPr>
        <w:rFonts w:ascii="Symbol" w:hAnsi="Symbol" w:hint="default"/>
        <w:color w:val="A6192E" w:themeColor="accent1"/>
      </w:rPr>
    </w:lvl>
  </w:abstractNum>
  <w:abstractNum w:abstractNumId="10" w15:restartNumberingAfterBreak="0">
    <w:nsid w:val="001B4253"/>
    <w:multiLevelType w:val="hybridMultilevel"/>
    <w:tmpl w:val="74F20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CD32E2"/>
    <w:multiLevelType w:val="hybridMultilevel"/>
    <w:tmpl w:val="A3AC6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157C6F"/>
    <w:multiLevelType w:val="hybridMultilevel"/>
    <w:tmpl w:val="21D8B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2CC0631"/>
    <w:multiLevelType w:val="hybridMultilevel"/>
    <w:tmpl w:val="56243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523307"/>
    <w:multiLevelType w:val="hybridMultilevel"/>
    <w:tmpl w:val="C2BEA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6F6421A"/>
    <w:multiLevelType w:val="hybridMultilevel"/>
    <w:tmpl w:val="302A0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472B9C"/>
    <w:multiLevelType w:val="hybridMultilevel"/>
    <w:tmpl w:val="8410D9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36171"/>
    <w:multiLevelType w:val="hybridMultilevel"/>
    <w:tmpl w:val="FDA66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F6AD9"/>
    <w:multiLevelType w:val="hybridMultilevel"/>
    <w:tmpl w:val="C180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584CD9"/>
    <w:multiLevelType w:val="hybridMultilevel"/>
    <w:tmpl w:val="B18A98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E56F4A"/>
    <w:multiLevelType w:val="hybridMultilevel"/>
    <w:tmpl w:val="87C4E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4E393A"/>
    <w:multiLevelType w:val="hybridMultilevel"/>
    <w:tmpl w:val="42D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39532B"/>
    <w:multiLevelType w:val="hybridMultilevel"/>
    <w:tmpl w:val="A2B0D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D86982"/>
    <w:multiLevelType w:val="hybridMultilevel"/>
    <w:tmpl w:val="CE729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363D89"/>
    <w:multiLevelType w:val="hybridMultilevel"/>
    <w:tmpl w:val="FE883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E312D1"/>
    <w:multiLevelType w:val="hybridMultilevel"/>
    <w:tmpl w:val="2B18B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14A52"/>
    <w:multiLevelType w:val="hybridMultilevel"/>
    <w:tmpl w:val="CE4E3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C5CC3"/>
    <w:multiLevelType w:val="hybridMultilevel"/>
    <w:tmpl w:val="ED8E1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AB642F"/>
    <w:multiLevelType w:val="hybridMultilevel"/>
    <w:tmpl w:val="52109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A57FAC"/>
    <w:multiLevelType w:val="hybridMultilevel"/>
    <w:tmpl w:val="39B402A6"/>
    <w:lvl w:ilvl="0" w:tplc="5A642538">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A4488F"/>
    <w:multiLevelType w:val="hybridMultilevel"/>
    <w:tmpl w:val="3BEACC1C"/>
    <w:lvl w:ilvl="0" w:tplc="5F48D692">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E525E3"/>
    <w:multiLevelType w:val="hybridMultilevel"/>
    <w:tmpl w:val="3B22D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D5ADC"/>
    <w:multiLevelType w:val="hybridMultilevel"/>
    <w:tmpl w:val="06CE7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36FE3"/>
    <w:multiLevelType w:val="hybridMultilevel"/>
    <w:tmpl w:val="4844E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5E2FFD"/>
    <w:multiLevelType w:val="hybridMultilevel"/>
    <w:tmpl w:val="9524F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29213C"/>
    <w:multiLevelType w:val="hybridMultilevel"/>
    <w:tmpl w:val="5C9A1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C353F6"/>
    <w:multiLevelType w:val="hybridMultilevel"/>
    <w:tmpl w:val="82D0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2"/>
  </w:num>
  <w:num w:numId="13">
    <w:abstractNumId w:val="15"/>
  </w:num>
  <w:num w:numId="14">
    <w:abstractNumId w:val="26"/>
  </w:num>
  <w:num w:numId="15">
    <w:abstractNumId w:val="10"/>
  </w:num>
  <w:num w:numId="16">
    <w:abstractNumId w:val="36"/>
  </w:num>
  <w:num w:numId="17">
    <w:abstractNumId w:val="34"/>
  </w:num>
  <w:num w:numId="18">
    <w:abstractNumId w:val="29"/>
  </w:num>
  <w:num w:numId="19">
    <w:abstractNumId w:val="11"/>
  </w:num>
  <w:num w:numId="20">
    <w:abstractNumId w:val="30"/>
  </w:num>
  <w:num w:numId="21">
    <w:abstractNumId w:val="23"/>
  </w:num>
  <w:num w:numId="22">
    <w:abstractNumId w:val="27"/>
  </w:num>
  <w:num w:numId="23">
    <w:abstractNumId w:val="20"/>
  </w:num>
  <w:num w:numId="24">
    <w:abstractNumId w:val="14"/>
  </w:num>
  <w:num w:numId="25">
    <w:abstractNumId w:val="19"/>
  </w:num>
  <w:num w:numId="26">
    <w:abstractNumId w:val="16"/>
  </w:num>
  <w:num w:numId="27">
    <w:abstractNumId w:val="17"/>
  </w:num>
  <w:num w:numId="28">
    <w:abstractNumId w:val="12"/>
  </w:num>
  <w:num w:numId="29">
    <w:abstractNumId w:val="35"/>
  </w:num>
  <w:num w:numId="30">
    <w:abstractNumId w:val="24"/>
  </w:num>
  <w:num w:numId="31">
    <w:abstractNumId w:val="18"/>
  </w:num>
  <w:num w:numId="32">
    <w:abstractNumId w:val="31"/>
  </w:num>
  <w:num w:numId="33">
    <w:abstractNumId w:val="28"/>
  </w:num>
  <w:num w:numId="34">
    <w:abstractNumId w:val="25"/>
  </w:num>
  <w:num w:numId="35">
    <w:abstractNumId w:val="13"/>
  </w:num>
  <w:num w:numId="36">
    <w:abstractNumId w:val="3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60"/>
    <w:rsid w:val="0000239B"/>
    <w:rsid w:val="0001377D"/>
    <w:rsid w:val="00021168"/>
    <w:rsid w:val="000333FC"/>
    <w:rsid w:val="00033463"/>
    <w:rsid w:val="00045DCA"/>
    <w:rsid w:val="00062F7A"/>
    <w:rsid w:val="00064ABF"/>
    <w:rsid w:val="00064C16"/>
    <w:rsid w:val="00065915"/>
    <w:rsid w:val="0007063A"/>
    <w:rsid w:val="00076D10"/>
    <w:rsid w:val="00091355"/>
    <w:rsid w:val="00093ED9"/>
    <w:rsid w:val="000B1D9D"/>
    <w:rsid w:val="000B32F4"/>
    <w:rsid w:val="000B45A5"/>
    <w:rsid w:val="000D14B8"/>
    <w:rsid w:val="000D2B10"/>
    <w:rsid w:val="000D638B"/>
    <w:rsid w:val="00100E15"/>
    <w:rsid w:val="0010125A"/>
    <w:rsid w:val="00122E4D"/>
    <w:rsid w:val="001239C1"/>
    <w:rsid w:val="0012511B"/>
    <w:rsid w:val="00137AEC"/>
    <w:rsid w:val="00140516"/>
    <w:rsid w:val="001530DB"/>
    <w:rsid w:val="00157862"/>
    <w:rsid w:val="00163B54"/>
    <w:rsid w:val="00163C4F"/>
    <w:rsid w:val="00177503"/>
    <w:rsid w:val="00181182"/>
    <w:rsid w:val="00190CF8"/>
    <w:rsid w:val="00193A7C"/>
    <w:rsid w:val="001965BB"/>
    <w:rsid w:val="001A25AE"/>
    <w:rsid w:val="001A2DC6"/>
    <w:rsid w:val="001C3620"/>
    <w:rsid w:val="001D383E"/>
    <w:rsid w:val="001E169D"/>
    <w:rsid w:val="001F31B2"/>
    <w:rsid w:val="001F518F"/>
    <w:rsid w:val="0022001F"/>
    <w:rsid w:val="00221E81"/>
    <w:rsid w:val="00225BE3"/>
    <w:rsid w:val="002300AC"/>
    <w:rsid w:val="002344E8"/>
    <w:rsid w:val="00244596"/>
    <w:rsid w:val="00244AF1"/>
    <w:rsid w:val="00247470"/>
    <w:rsid w:val="00253E40"/>
    <w:rsid w:val="00260176"/>
    <w:rsid w:val="0026060B"/>
    <w:rsid w:val="00260B01"/>
    <w:rsid w:val="00263E00"/>
    <w:rsid w:val="00271DC2"/>
    <w:rsid w:val="002767F6"/>
    <w:rsid w:val="00293294"/>
    <w:rsid w:val="002A6829"/>
    <w:rsid w:val="002A69F4"/>
    <w:rsid w:val="002B52A5"/>
    <w:rsid w:val="002B57BF"/>
    <w:rsid w:val="002B70F7"/>
    <w:rsid w:val="002C27B1"/>
    <w:rsid w:val="002C717D"/>
    <w:rsid w:val="002D3954"/>
    <w:rsid w:val="002E14EA"/>
    <w:rsid w:val="002E201E"/>
    <w:rsid w:val="002F0E5F"/>
    <w:rsid w:val="002F5440"/>
    <w:rsid w:val="002F65AF"/>
    <w:rsid w:val="002F67CA"/>
    <w:rsid w:val="002F79D7"/>
    <w:rsid w:val="00304F04"/>
    <w:rsid w:val="00306686"/>
    <w:rsid w:val="003153BA"/>
    <w:rsid w:val="00321300"/>
    <w:rsid w:val="003221EB"/>
    <w:rsid w:val="003402E2"/>
    <w:rsid w:val="00345A88"/>
    <w:rsid w:val="003514B7"/>
    <w:rsid w:val="00351596"/>
    <w:rsid w:val="00352C04"/>
    <w:rsid w:val="0036193A"/>
    <w:rsid w:val="0038442D"/>
    <w:rsid w:val="00391EA4"/>
    <w:rsid w:val="00392CF9"/>
    <w:rsid w:val="003A0F3F"/>
    <w:rsid w:val="003B59A1"/>
    <w:rsid w:val="003D23F8"/>
    <w:rsid w:val="003D5F93"/>
    <w:rsid w:val="003E1610"/>
    <w:rsid w:val="003E4ABD"/>
    <w:rsid w:val="004016C7"/>
    <w:rsid w:val="00402E42"/>
    <w:rsid w:val="00406755"/>
    <w:rsid w:val="00407ECA"/>
    <w:rsid w:val="004111E9"/>
    <w:rsid w:val="004158CE"/>
    <w:rsid w:val="004171A2"/>
    <w:rsid w:val="00421B26"/>
    <w:rsid w:val="00434405"/>
    <w:rsid w:val="00436B60"/>
    <w:rsid w:val="00446350"/>
    <w:rsid w:val="00452BA6"/>
    <w:rsid w:val="00464EAD"/>
    <w:rsid w:val="004A1CC0"/>
    <w:rsid w:val="004A3232"/>
    <w:rsid w:val="004C1342"/>
    <w:rsid w:val="004C35F6"/>
    <w:rsid w:val="004C6F08"/>
    <w:rsid w:val="004D4A82"/>
    <w:rsid w:val="004E2B9A"/>
    <w:rsid w:val="004E3E57"/>
    <w:rsid w:val="004E41E2"/>
    <w:rsid w:val="004F4DBC"/>
    <w:rsid w:val="00503E6F"/>
    <w:rsid w:val="00511C0A"/>
    <w:rsid w:val="00511D06"/>
    <w:rsid w:val="00517BDA"/>
    <w:rsid w:val="00526F10"/>
    <w:rsid w:val="005411D9"/>
    <w:rsid w:val="005642F2"/>
    <w:rsid w:val="00564692"/>
    <w:rsid w:val="00564B3A"/>
    <w:rsid w:val="00573C5E"/>
    <w:rsid w:val="005836BC"/>
    <w:rsid w:val="00585806"/>
    <w:rsid w:val="00591D94"/>
    <w:rsid w:val="005A14E3"/>
    <w:rsid w:val="005A24BD"/>
    <w:rsid w:val="005A43D0"/>
    <w:rsid w:val="005A7670"/>
    <w:rsid w:val="005B043E"/>
    <w:rsid w:val="005B1040"/>
    <w:rsid w:val="005B41B3"/>
    <w:rsid w:val="005B6110"/>
    <w:rsid w:val="005C07E7"/>
    <w:rsid w:val="005C5E5B"/>
    <w:rsid w:val="005D0228"/>
    <w:rsid w:val="005D0A20"/>
    <w:rsid w:val="005E5D33"/>
    <w:rsid w:val="005F1934"/>
    <w:rsid w:val="00601CBD"/>
    <w:rsid w:val="00602C92"/>
    <w:rsid w:val="00603AF2"/>
    <w:rsid w:val="00606F86"/>
    <w:rsid w:val="006111D0"/>
    <w:rsid w:val="00616A56"/>
    <w:rsid w:val="006219FF"/>
    <w:rsid w:val="00626CDF"/>
    <w:rsid w:val="006320A5"/>
    <w:rsid w:val="0063634A"/>
    <w:rsid w:val="00637E1F"/>
    <w:rsid w:val="00643251"/>
    <w:rsid w:val="00645ADE"/>
    <w:rsid w:val="00651836"/>
    <w:rsid w:val="0065247C"/>
    <w:rsid w:val="006648C2"/>
    <w:rsid w:val="00666E9A"/>
    <w:rsid w:val="0067103F"/>
    <w:rsid w:val="00676F37"/>
    <w:rsid w:val="006846F6"/>
    <w:rsid w:val="0068579B"/>
    <w:rsid w:val="00686B3A"/>
    <w:rsid w:val="006875C2"/>
    <w:rsid w:val="006A779D"/>
    <w:rsid w:val="006B1A1B"/>
    <w:rsid w:val="006B39A3"/>
    <w:rsid w:val="006C1CC6"/>
    <w:rsid w:val="006C2852"/>
    <w:rsid w:val="006C3943"/>
    <w:rsid w:val="0071448F"/>
    <w:rsid w:val="00715C7E"/>
    <w:rsid w:val="00723B30"/>
    <w:rsid w:val="00731962"/>
    <w:rsid w:val="007359BD"/>
    <w:rsid w:val="007525A7"/>
    <w:rsid w:val="00754739"/>
    <w:rsid w:val="0075581A"/>
    <w:rsid w:val="00773150"/>
    <w:rsid w:val="00786B60"/>
    <w:rsid w:val="007A3071"/>
    <w:rsid w:val="007A42C5"/>
    <w:rsid w:val="007B38D9"/>
    <w:rsid w:val="007B71D2"/>
    <w:rsid w:val="007B7320"/>
    <w:rsid w:val="007C0C30"/>
    <w:rsid w:val="007E4157"/>
    <w:rsid w:val="007E6974"/>
    <w:rsid w:val="007E74FB"/>
    <w:rsid w:val="007F182C"/>
    <w:rsid w:val="007F6FF3"/>
    <w:rsid w:val="00814D94"/>
    <w:rsid w:val="00822068"/>
    <w:rsid w:val="008228BD"/>
    <w:rsid w:val="00822A6D"/>
    <w:rsid w:val="0084125E"/>
    <w:rsid w:val="00841920"/>
    <w:rsid w:val="008458C3"/>
    <w:rsid w:val="00847199"/>
    <w:rsid w:val="00850038"/>
    <w:rsid w:val="0085285D"/>
    <w:rsid w:val="00885CDB"/>
    <w:rsid w:val="0088639D"/>
    <w:rsid w:val="008935C0"/>
    <w:rsid w:val="00895940"/>
    <w:rsid w:val="00895FE1"/>
    <w:rsid w:val="00897D27"/>
    <w:rsid w:val="008A2BF4"/>
    <w:rsid w:val="008B1B8D"/>
    <w:rsid w:val="008B3226"/>
    <w:rsid w:val="008B6C95"/>
    <w:rsid w:val="008C0D68"/>
    <w:rsid w:val="008D3236"/>
    <w:rsid w:val="008D5C49"/>
    <w:rsid w:val="008D68DE"/>
    <w:rsid w:val="008E2840"/>
    <w:rsid w:val="008F21E7"/>
    <w:rsid w:val="00900BD6"/>
    <w:rsid w:val="00910840"/>
    <w:rsid w:val="00925F00"/>
    <w:rsid w:val="009271E9"/>
    <w:rsid w:val="0094010C"/>
    <w:rsid w:val="0094716F"/>
    <w:rsid w:val="0094724B"/>
    <w:rsid w:val="00956813"/>
    <w:rsid w:val="00963C63"/>
    <w:rsid w:val="0097221E"/>
    <w:rsid w:val="00975726"/>
    <w:rsid w:val="009814DC"/>
    <w:rsid w:val="00983216"/>
    <w:rsid w:val="009900F3"/>
    <w:rsid w:val="00990166"/>
    <w:rsid w:val="00991FDD"/>
    <w:rsid w:val="009A0EF0"/>
    <w:rsid w:val="009B0EC8"/>
    <w:rsid w:val="009B10FD"/>
    <w:rsid w:val="009B2426"/>
    <w:rsid w:val="009B35E0"/>
    <w:rsid w:val="009B6442"/>
    <w:rsid w:val="009C51D0"/>
    <w:rsid w:val="009D42B4"/>
    <w:rsid w:val="009D4A22"/>
    <w:rsid w:val="009D5579"/>
    <w:rsid w:val="009D7BB6"/>
    <w:rsid w:val="009E50D0"/>
    <w:rsid w:val="009E61EB"/>
    <w:rsid w:val="00A15E82"/>
    <w:rsid w:val="00A2010D"/>
    <w:rsid w:val="00A222E8"/>
    <w:rsid w:val="00A3151B"/>
    <w:rsid w:val="00A36410"/>
    <w:rsid w:val="00A51E16"/>
    <w:rsid w:val="00A5461C"/>
    <w:rsid w:val="00A56B39"/>
    <w:rsid w:val="00A61312"/>
    <w:rsid w:val="00A62CFE"/>
    <w:rsid w:val="00A66E5D"/>
    <w:rsid w:val="00A84300"/>
    <w:rsid w:val="00A85BA1"/>
    <w:rsid w:val="00A863FE"/>
    <w:rsid w:val="00A97596"/>
    <w:rsid w:val="00AA2AFF"/>
    <w:rsid w:val="00AA79A5"/>
    <w:rsid w:val="00AB2475"/>
    <w:rsid w:val="00AB40CF"/>
    <w:rsid w:val="00AB441B"/>
    <w:rsid w:val="00AB74AC"/>
    <w:rsid w:val="00AC4E4D"/>
    <w:rsid w:val="00AE0F7F"/>
    <w:rsid w:val="00AE4139"/>
    <w:rsid w:val="00AF45C9"/>
    <w:rsid w:val="00B0011E"/>
    <w:rsid w:val="00B148E2"/>
    <w:rsid w:val="00B526AB"/>
    <w:rsid w:val="00B7796E"/>
    <w:rsid w:val="00B83001"/>
    <w:rsid w:val="00B8338D"/>
    <w:rsid w:val="00B979BC"/>
    <w:rsid w:val="00BD079F"/>
    <w:rsid w:val="00BE7B9F"/>
    <w:rsid w:val="00C0236B"/>
    <w:rsid w:val="00C03DEA"/>
    <w:rsid w:val="00C1365E"/>
    <w:rsid w:val="00C21646"/>
    <w:rsid w:val="00C340E2"/>
    <w:rsid w:val="00C447D7"/>
    <w:rsid w:val="00C476C0"/>
    <w:rsid w:val="00C609F2"/>
    <w:rsid w:val="00C75032"/>
    <w:rsid w:val="00C82E31"/>
    <w:rsid w:val="00C956F8"/>
    <w:rsid w:val="00CA558B"/>
    <w:rsid w:val="00CA7ACE"/>
    <w:rsid w:val="00CB13A2"/>
    <w:rsid w:val="00CB2680"/>
    <w:rsid w:val="00CB5313"/>
    <w:rsid w:val="00CC2DCE"/>
    <w:rsid w:val="00CC7875"/>
    <w:rsid w:val="00CE1390"/>
    <w:rsid w:val="00CE2AE9"/>
    <w:rsid w:val="00CE66EF"/>
    <w:rsid w:val="00CF4FD3"/>
    <w:rsid w:val="00D20481"/>
    <w:rsid w:val="00D22E59"/>
    <w:rsid w:val="00D350A8"/>
    <w:rsid w:val="00D3599E"/>
    <w:rsid w:val="00D45506"/>
    <w:rsid w:val="00D57C05"/>
    <w:rsid w:val="00D63157"/>
    <w:rsid w:val="00D63288"/>
    <w:rsid w:val="00D64016"/>
    <w:rsid w:val="00D65C88"/>
    <w:rsid w:val="00D85222"/>
    <w:rsid w:val="00D87BC8"/>
    <w:rsid w:val="00D94563"/>
    <w:rsid w:val="00D971C0"/>
    <w:rsid w:val="00DA6D27"/>
    <w:rsid w:val="00DB1020"/>
    <w:rsid w:val="00DB28FE"/>
    <w:rsid w:val="00DB550C"/>
    <w:rsid w:val="00DF410E"/>
    <w:rsid w:val="00DF6101"/>
    <w:rsid w:val="00DF6A23"/>
    <w:rsid w:val="00E13099"/>
    <w:rsid w:val="00E37B0D"/>
    <w:rsid w:val="00E5348D"/>
    <w:rsid w:val="00E62912"/>
    <w:rsid w:val="00E72774"/>
    <w:rsid w:val="00E9265C"/>
    <w:rsid w:val="00EA41C3"/>
    <w:rsid w:val="00EB0D46"/>
    <w:rsid w:val="00ED17D8"/>
    <w:rsid w:val="00EE0A6F"/>
    <w:rsid w:val="00EE5D2A"/>
    <w:rsid w:val="00EE7B5A"/>
    <w:rsid w:val="00EF6BC7"/>
    <w:rsid w:val="00F11C75"/>
    <w:rsid w:val="00F145EE"/>
    <w:rsid w:val="00F25F29"/>
    <w:rsid w:val="00F26B9F"/>
    <w:rsid w:val="00F37457"/>
    <w:rsid w:val="00F4213B"/>
    <w:rsid w:val="00F4574E"/>
    <w:rsid w:val="00F61752"/>
    <w:rsid w:val="00F61B71"/>
    <w:rsid w:val="00F62A1C"/>
    <w:rsid w:val="00F6597E"/>
    <w:rsid w:val="00F77132"/>
    <w:rsid w:val="00F80E5A"/>
    <w:rsid w:val="00F80EF7"/>
    <w:rsid w:val="00F80F50"/>
    <w:rsid w:val="00F875C8"/>
    <w:rsid w:val="00F94218"/>
    <w:rsid w:val="00FA12B3"/>
    <w:rsid w:val="00FA1E94"/>
    <w:rsid w:val="00FA2015"/>
    <w:rsid w:val="00FB0317"/>
    <w:rsid w:val="00FB5EE6"/>
    <w:rsid w:val="00FB77C0"/>
    <w:rsid w:val="00FC70DE"/>
    <w:rsid w:val="00FD3A4B"/>
    <w:rsid w:val="00FD5DE8"/>
    <w:rsid w:val="00FF2409"/>
    <w:rsid w:val="00FF5F77"/>
    <w:rsid w:val="00FF6E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51AD16E"/>
  <w15:docId w15:val="{0CA4F72C-3462-4538-B195-FD20B42A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40"/>
    <w:pPr>
      <w:spacing w:after="120"/>
    </w:pPr>
    <w:rPr>
      <w:sz w:val="20"/>
    </w:rPr>
  </w:style>
  <w:style w:type="paragraph" w:styleId="Heading1">
    <w:name w:val="heading 1"/>
    <w:basedOn w:val="Normal"/>
    <w:next w:val="Normal"/>
    <w:link w:val="Heading1Char"/>
    <w:uiPriority w:val="9"/>
    <w:qFormat/>
    <w:rsid w:val="00975726"/>
    <w:pPr>
      <w:keepNext/>
      <w:keepLines/>
      <w:spacing w:before="480" w:after="0"/>
      <w:outlineLvl w:val="0"/>
    </w:pPr>
    <w:rPr>
      <w:rFonts w:asciiTheme="majorHAnsi" w:eastAsiaTheme="majorEastAsia" w:hAnsiTheme="majorHAnsi" w:cstheme="majorBidi"/>
      <w:b/>
      <w:bCs/>
      <w:color w:val="7C1222" w:themeColor="accent1" w:themeShade="BF"/>
      <w:sz w:val="28"/>
      <w:szCs w:val="28"/>
    </w:rPr>
  </w:style>
  <w:style w:type="paragraph" w:styleId="Heading2">
    <w:name w:val="heading 2"/>
    <w:basedOn w:val="Normal"/>
    <w:next w:val="Normal"/>
    <w:link w:val="Heading2Char"/>
    <w:uiPriority w:val="9"/>
    <w:unhideWhenUsed/>
    <w:qFormat/>
    <w:rsid w:val="00975726"/>
    <w:pPr>
      <w:keepNext/>
      <w:keepLines/>
      <w:spacing w:before="200" w:after="0"/>
      <w:outlineLvl w:val="1"/>
    </w:pPr>
    <w:rPr>
      <w:rFonts w:asciiTheme="majorHAnsi" w:eastAsiaTheme="majorEastAsia" w:hAnsiTheme="majorHAnsi" w:cstheme="majorBidi"/>
      <w:b/>
      <w:bCs/>
      <w:color w:val="A6192E" w:themeColor="accent1"/>
      <w:sz w:val="26"/>
      <w:szCs w:val="26"/>
    </w:rPr>
  </w:style>
  <w:style w:type="paragraph" w:styleId="Heading3">
    <w:name w:val="heading 3"/>
    <w:basedOn w:val="Normal"/>
    <w:next w:val="Normal"/>
    <w:link w:val="Heading3Char"/>
    <w:uiPriority w:val="9"/>
    <w:unhideWhenUsed/>
    <w:qFormat/>
    <w:rsid w:val="00822068"/>
    <w:pPr>
      <w:keepNext/>
      <w:keepLines/>
      <w:spacing w:before="200" w:after="0"/>
      <w:outlineLvl w:val="2"/>
    </w:pPr>
    <w:rPr>
      <w:rFonts w:asciiTheme="majorHAnsi" w:eastAsiaTheme="majorEastAsia" w:hAnsiTheme="majorHAnsi" w:cstheme="majorBidi"/>
      <w:b/>
      <w:bCs/>
      <w:color w:val="A6192E" w:themeColor="accent1"/>
    </w:rPr>
  </w:style>
  <w:style w:type="paragraph" w:styleId="Heading4">
    <w:name w:val="heading 4"/>
    <w:basedOn w:val="Normal"/>
    <w:next w:val="Normal"/>
    <w:link w:val="Heading4Char"/>
    <w:uiPriority w:val="9"/>
    <w:unhideWhenUsed/>
    <w:qFormat/>
    <w:rsid w:val="00822068"/>
    <w:pPr>
      <w:keepNext/>
      <w:keepLines/>
      <w:spacing w:before="200" w:after="0"/>
      <w:outlineLvl w:val="3"/>
    </w:pPr>
    <w:rPr>
      <w:rFonts w:asciiTheme="majorHAnsi" w:eastAsiaTheme="majorEastAsia" w:hAnsiTheme="majorHAnsi" w:cstheme="majorBidi"/>
      <w:b/>
      <w:bCs/>
      <w:i/>
      <w:iCs/>
      <w:color w:val="A6192E" w:themeColor="accent1"/>
    </w:rPr>
  </w:style>
  <w:style w:type="paragraph" w:styleId="Heading5">
    <w:name w:val="heading 5"/>
    <w:basedOn w:val="Normal"/>
    <w:next w:val="Normal"/>
    <w:link w:val="Heading5Char"/>
    <w:uiPriority w:val="9"/>
    <w:unhideWhenUsed/>
    <w:qFormat/>
    <w:rsid w:val="00822068"/>
    <w:pPr>
      <w:keepNext/>
      <w:keepLines/>
      <w:spacing w:before="200" w:after="0"/>
      <w:outlineLvl w:val="4"/>
    </w:pPr>
    <w:rPr>
      <w:rFonts w:asciiTheme="majorHAnsi" w:eastAsiaTheme="majorEastAsia" w:hAnsiTheme="majorHAnsi" w:cstheme="majorBidi"/>
      <w:color w:val="520C1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726"/>
    <w:pPr>
      <w:spacing w:after="0" w:line="240" w:lineRule="auto"/>
    </w:pPr>
  </w:style>
  <w:style w:type="character" w:customStyle="1" w:styleId="Heading1Char">
    <w:name w:val="Heading 1 Char"/>
    <w:basedOn w:val="DefaultParagraphFont"/>
    <w:link w:val="Heading1"/>
    <w:uiPriority w:val="9"/>
    <w:rsid w:val="00975726"/>
    <w:rPr>
      <w:rFonts w:asciiTheme="majorHAnsi" w:eastAsiaTheme="majorEastAsia" w:hAnsiTheme="majorHAnsi" w:cstheme="majorBidi"/>
      <w:b/>
      <w:bCs/>
      <w:color w:val="7C1222" w:themeColor="accent1" w:themeShade="BF"/>
      <w:sz w:val="28"/>
      <w:szCs w:val="28"/>
    </w:rPr>
  </w:style>
  <w:style w:type="character" w:customStyle="1" w:styleId="Heading2Char">
    <w:name w:val="Heading 2 Char"/>
    <w:basedOn w:val="DefaultParagraphFont"/>
    <w:link w:val="Heading2"/>
    <w:uiPriority w:val="9"/>
    <w:rsid w:val="00975726"/>
    <w:rPr>
      <w:rFonts w:asciiTheme="majorHAnsi" w:eastAsiaTheme="majorEastAsia" w:hAnsiTheme="majorHAnsi" w:cstheme="majorBidi"/>
      <w:b/>
      <w:bCs/>
      <w:color w:val="A6192E" w:themeColor="accent1"/>
      <w:sz w:val="26"/>
      <w:szCs w:val="26"/>
    </w:rPr>
  </w:style>
  <w:style w:type="paragraph" w:styleId="Title">
    <w:name w:val="Title"/>
    <w:basedOn w:val="Normal"/>
    <w:next w:val="Normal"/>
    <w:link w:val="TitleChar"/>
    <w:uiPriority w:val="10"/>
    <w:qFormat/>
    <w:rsid w:val="00EF6BC7"/>
    <w:pPr>
      <w:spacing w:before="8880" w:after="480" w:line="240" w:lineRule="auto"/>
      <w:contextualSpacing/>
    </w:pPr>
    <w:rPr>
      <w:rFonts w:asciiTheme="majorHAnsi" w:eastAsiaTheme="majorEastAsia" w:hAnsiTheme="majorHAnsi" w:cstheme="majorBidi"/>
      <w:b/>
      <w:color w:val="2C2C2D" w:themeColor="text2" w:themeShade="80"/>
      <w:spacing w:val="5"/>
      <w:kern w:val="28"/>
      <w:sz w:val="64"/>
      <w:szCs w:val="52"/>
    </w:rPr>
  </w:style>
  <w:style w:type="character" w:customStyle="1" w:styleId="TitleChar">
    <w:name w:val="Title Char"/>
    <w:basedOn w:val="DefaultParagraphFont"/>
    <w:link w:val="Title"/>
    <w:uiPriority w:val="10"/>
    <w:rsid w:val="00EF6BC7"/>
    <w:rPr>
      <w:rFonts w:asciiTheme="majorHAnsi" w:eastAsiaTheme="majorEastAsia" w:hAnsiTheme="majorHAnsi" w:cstheme="majorBidi"/>
      <w:b/>
      <w:color w:val="2C2C2D" w:themeColor="text2" w:themeShade="80"/>
      <w:spacing w:val="5"/>
      <w:kern w:val="28"/>
      <w:sz w:val="64"/>
      <w:szCs w:val="52"/>
    </w:rPr>
  </w:style>
  <w:style w:type="paragraph" w:styleId="Subtitle">
    <w:name w:val="Subtitle"/>
    <w:basedOn w:val="Normal"/>
    <w:next w:val="Normal"/>
    <w:link w:val="SubtitleChar"/>
    <w:uiPriority w:val="11"/>
    <w:qFormat/>
    <w:rsid w:val="005F1934"/>
    <w:pPr>
      <w:numPr>
        <w:ilvl w:val="1"/>
      </w:numPr>
    </w:pPr>
    <w:rPr>
      <w:rFonts w:asciiTheme="majorHAnsi" w:eastAsiaTheme="majorEastAsia" w:hAnsiTheme="majorHAnsi" w:cstheme="majorBidi"/>
      <w:iCs/>
      <w:color w:val="939598" w:themeColor="background2"/>
      <w:spacing w:val="15"/>
      <w:sz w:val="40"/>
      <w:szCs w:val="24"/>
    </w:rPr>
  </w:style>
  <w:style w:type="character" w:customStyle="1" w:styleId="SubtitleChar">
    <w:name w:val="Subtitle Char"/>
    <w:basedOn w:val="DefaultParagraphFont"/>
    <w:link w:val="Subtitle"/>
    <w:uiPriority w:val="11"/>
    <w:rsid w:val="005F1934"/>
    <w:rPr>
      <w:rFonts w:asciiTheme="majorHAnsi" w:eastAsiaTheme="majorEastAsia" w:hAnsiTheme="majorHAnsi" w:cstheme="majorBidi"/>
      <w:iCs/>
      <w:color w:val="939598" w:themeColor="background2"/>
      <w:spacing w:val="15"/>
      <w:sz w:val="40"/>
      <w:szCs w:val="24"/>
    </w:rPr>
  </w:style>
  <w:style w:type="character" w:styleId="Emphasis">
    <w:name w:val="Emphasis"/>
    <w:basedOn w:val="DefaultParagraphFont"/>
    <w:uiPriority w:val="20"/>
    <w:qFormat/>
    <w:rsid w:val="00975726"/>
    <w:rPr>
      <w:i/>
      <w:iCs/>
    </w:rPr>
  </w:style>
  <w:style w:type="character" w:styleId="Strong">
    <w:name w:val="Strong"/>
    <w:basedOn w:val="DefaultParagraphFont"/>
    <w:uiPriority w:val="22"/>
    <w:qFormat/>
    <w:rsid w:val="00975726"/>
    <w:rPr>
      <w:b/>
      <w:bCs/>
    </w:rPr>
  </w:style>
  <w:style w:type="character" w:styleId="Hyperlink">
    <w:name w:val="Hyperlink"/>
    <w:basedOn w:val="DefaultParagraphFont"/>
    <w:uiPriority w:val="99"/>
    <w:unhideWhenUsed/>
    <w:rsid w:val="00822068"/>
    <w:rPr>
      <w:color w:val="005677" w:themeColor="hyperlink"/>
      <w:u w:val="single"/>
    </w:rPr>
  </w:style>
  <w:style w:type="character" w:customStyle="1" w:styleId="Heading3Char">
    <w:name w:val="Heading 3 Char"/>
    <w:basedOn w:val="DefaultParagraphFont"/>
    <w:link w:val="Heading3"/>
    <w:uiPriority w:val="9"/>
    <w:rsid w:val="00822068"/>
    <w:rPr>
      <w:rFonts w:asciiTheme="majorHAnsi" w:eastAsiaTheme="majorEastAsia" w:hAnsiTheme="majorHAnsi" w:cstheme="majorBidi"/>
      <w:b/>
      <w:bCs/>
      <w:color w:val="A6192E" w:themeColor="accent1"/>
      <w:sz w:val="20"/>
    </w:rPr>
  </w:style>
  <w:style w:type="character" w:customStyle="1" w:styleId="Heading4Char">
    <w:name w:val="Heading 4 Char"/>
    <w:basedOn w:val="DefaultParagraphFont"/>
    <w:link w:val="Heading4"/>
    <w:uiPriority w:val="9"/>
    <w:rsid w:val="00822068"/>
    <w:rPr>
      <w:rFonts w:asciiTheme="majorHAnsi" w:eastAsiaTheme="majorEastAsia" w:hAnsiTheme="majorHAnsi" w:cstheme="majorBidi"/>
      <w:b/>
      <w:bCs/>
      <w:i/>
      <w:iCs/>
      <w:color w:val="A6192E" w:themeColor="accent1"/>
      <w:sz w:val="20"/>
    </w:rPr>
  </w:style>
  <w:style w:type="character" w:customStyle="1" w:styleId="Heading5Char">
    <w:name w:val="Heading 5 Char"/>
    <w:basedOn w:val="DefaultParagraphFont"/>
    <w:link w:val="Heading5"/>
    <w:uiPriority w:val="9"/>
    <w:rsid w:val="00822068"/>
    <w:rPr>
      <w:rFonts w:asciiTheme="majorHAnsi" w:eastAsiaTheme="majorEastAsia" w:hAnsiTheme="majorHAnsi" w:cstheme="majorBidi"/>
      <w:color w:val="520C16" w:themeColor="accent1" w:themeShade="7F"/>
      <w:sz w:val="20"/>
    </w:rPr>
  </w:style>
  <w:style w:type="table" w:styleId="TableGrid">
    <w:name w:val="Table Grid"/>
    <w:basedOn w:val="TableNormal"/>
    <w:uiPriority w:val="59"/>
    <w:rsid w:val="0082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22068"/>
    <w:pPr>
      <w:spacing w:after="0" w:line="240" w:lineRule="auto"/>
    </w:pPr>
    <w:tblPr>
      <w:tblStyleRowBandSize w:val="1"/>
      <w:tblStyleColBandSize w:val="1"/>
      <w:tblBorders>
        <w:top w:val="single" w:sz="8" w:space="0" w:color="A6192E" w:themeColor="accent1"/>
        <w:left w:val="single" w:sz="8" w:space="0" w:color="A6192E" w:themeColor="accent1"/>
        <w:bottom w:val="single" w:sz="8" w:space="0" w:color="A6192E" w:themeColor="accent1"/>
        <w:right w:val="single" w:sz="8" w:space="0" w:color="A6192E" w:themeColor="accent1"/>
      </w:tblBorders>
    </w:tblPr>
    <w:tblStylePr w:type="firstRow">
      <w:pPr>
        <w:spacing w:before="0" w:after="0" w:line="240" w:lineRule="auto"/>
      </w:pPr>
      <w:rPr>
        <w:b/>
        <w:bCs/>
        <w:color w:val="FFFFFF" w:themeColor="background1"/>
      </w:rPr>
      <w:tblPr/>
      <w:tcPr>
        <w:shd w:val="clear" w:color="auto" w:fill="A6192E" w:themeFill="accent1"/>
      </w:tcPr>
    </w:tblStylePr>
    <w:tblStylePr w:type="lastRow">
      <w:pPr>
        <w:spacing w:before="0" w:after="0" w:line="240" w:lineRule="auto"/>
      </w:pPr>
      <w:rPr>
        <w:b/>
        <w:bCs/>
      </w:rPr>
      <w:tblPr/>
      <w:tcPr>
        <w:tcBorders>
          <w:top w:val="double" w:sz="6" w:space="0" w:color="A6192E" w:themeColor="accent1"/>
          <w:left w:val="single" w:sz="8" w:space="0" w:color="A6192E" w:themeColor="accent1"/>
          <w:bottom w:val="single" w:sz="8" w:space="0" w:color="A6192E" w:themeColor="accent1"/>
          <w:right w:val="single" w:sz="8" w:space="0" w:color="A6192E" w:themeColor="accent1"/>
        </w:tcBorders>
      </w:tcPr>
    </w:tblStylePr>
    <w:tblStylePr w:type="firstCol">
      <w:rPr>
        <w:b/>
        <w:bCs/>
      </w:rPr>
    </w:tblStylePr>
    <w:tblStylePr w:type="lastCol">
      <w:rPr>
        <w:b/>
        <w:bCs/>
      </w:rPr>
    </w:tblStylePr>
    <w:tblStylePr w:type="band1Vert">
      <w:tblPr/>
      <w:tcPr>
        <w:tcBorders>
          <w:top w:val="single" w:sz="8" w:space="0" w:color="A6192E" w:themeColor="accent1"/>
          <w:left w:val="single" w:sz="8" w:space="0" w:color="A6192E" w:themeColor="accent1"/>
          <w:bottom w:val="single" w:sz="8" w:space="0" w:color="A6192E" w:themeColor="accent1"/>
          <w:right w:val="single" w:sz="8" w:space="0" w:color="A6192E" w:themeColor="accent1"/>
        </w:tcBorders>
      </w:tcPr>
    </w:tblStylePr>
    <w:tblStylePr w:type="band1Horz">
      <w:tblPr/>
      <w:tcPr>
        <w:tcBorders>
          <w:top w:val="single" w:sz="8" w:space="0" w:color="A6192E" w:themeColor="accent1"/>
          <w:left w:val="single" w:sz="8" w:space="0" w:color="A6192E" w:themeColor="accent1"/>
          <w:bottom w:val="single" w:sz="8" w:space="0" w:color="A6192E" w:themeColor="accent1"/>
          <w:right w:val="single" w:sz="8" w:space="0" w:color="A6192E" w:themeColor="accent1"/>
        </w:tcBorders>
      </w:tcPr>
    </w:tblStylePr>
  </w:style>
  <w:style w:type="table" w:styleId="LightList-Accent2">
    <w:name w:val="Light List Accent 2"/>
    <w:basedOn w:val="TableNormal"/>
    <w:uiPriority w:val="61"/>
    <w:rsid w:val="00822068"/>
    <w:pPr>
      <w:spacing w:after="0" w:line="240" w:lineRule="auto"/>
    </w:pPr>
    <w:tblPr>
      <w:tblStyleRowBandSize w:val="1"/>
      <w:tblStyleColBandSize w:val="1"/>
      <w:tblBorders>
        <w:top w:val="single" w:sz="8" w:space="0" w:color="572D2D" w:themeColor="accent2"/>
        <w:left w:val="single" w:sz="8" w:space="0" w:color="572D2D" w:themeColor="accent2"/>
        <w:bottom w:val="single" w:sz="8" w:space="0" w:color="572D2D" w:themeColor="accent2"/>
        <w:right w:val="single" w:sz="8" w:space="0" w:color="572D2D" w:themeColor="accent2"/>
      </w:tblBorders>
    </w:tblPr>
    <w:tblStylePr w:type="firstRow">
      <w:pPr>
        <w:spacing w:before="0" w:after="0" w:line="240" w:lineRule="auto"/>
      </w:pPr>
      <w:rPr>
        <w:b/>
        <w:bCs/>
        <w:color w:val="FFFFFF" w:themeColor="background1"/>
      </w:rPr>
      <w:tblPr/>
      <w:tcPr>
        <w:shd w:val="clear" w:color="auto" w:fill="572D2D" w:themeFill="accent2"/>
      </w:tcPr>
    </w:tblStylePr>
    <w:tblStylePr w:type="lastRow">
      <w:pPr>
        <w:spacing w:before="0" w:after="0" w:line="240" w:lineRule="auto"/>
      </w:pPr>
      <w:rPr>
        <w:b/>
        <w:bCs/>
      </w:rPr>
      <w:tblPr/>
      <w:tcPr>
        <w:tcBorders>
          <w:top w:val="double" w:sz="6" w:space="0" w:color="572D2D" w:themeColor="accent2"/>
          <w:left w:val="single" w:sz="8" w:space="0" w:color="572D2D" w:themeColor="accent2"/>
          <w:bottom w:val="single" w:sz="8" w:space="0" w:color="572D2D" w:themeColor="accent2"/>
          <w:right w:val="single" w:sz="8" w:space="0" w:color="572D2D" w:themeColor="accent2"/>
        </w:tcBorders>
      </w:tcPr>
    </w:tblStylePr>
    <w:tblStylePr w:type="firstCol">
      <w:rPr>
        <w:b/>
        <w:bCs/>
      </w:rPr>
    </w:tblStylePr>
    <w:tblStylePr w:type="lastCol">
      <w:rPr>
        <w:b/>
        <w:bCs/>
      </w:rPr>
    </w:tblStylePr>
    <w:tblStylePr w:type="band1Vert">
      <w:tblPr/>
      <w:tcPr>
        <w:tcBorders>
          <w:top w:val="single" w:sz="8" w:space="0" w:color="572D2D" w:themeColor="accent2"/>
          <w:left w:val="single" w:sz="8" w:space="0" w:color="572D2D" w:themeColor="accent2"/>
          <w:bottom w:val="single" w:sz="8" w:space="0" w:color="572D2D" w:themeColor="accent2"/>
          <w:right w:val="single" w:sz="8" w:space="0" w:color="572D2D" w:themeColor="accent2"/>
        </w:tcBorders>
      </w:tcPr>
    </w:tblStylePr>
    <w:tblStylePr w:type="band1Horz">
      <w:tblPr/>
      <w:tcPr>
        <w:tcBorders>
          <w:top w:val="single" w:sz="8" w:space="0" w:color="572D2D" w:themeColor="accent2"/>
          <w:left w:val="single" w:sz="8" w:space="0" w:color="572D2D" w:themeColor="accent2"/>
          <w:bottom w:val="single" w:sz="8" w:space="0" w:color="572D2D" w:themeColor="accent2"/>
          <w:right w:val="single" w:sz="8" w:space="0" w:color="572D2D" w:themeColor="accent2"/>
        </w:tcBorders>
      </w:tcPr>
    </w:tblStylePr>
  </w:style>
  <w:style w:type="table" w:styleId="LightList-Accent3">
    <w:name w:val="Light List Accent 3"/>
    <w:basedOn w:val="TableNormal"/>
    <w:uiPriority w:val="61"/>
    <w:rsid w:val="00822068"/>
    <w:pPr>
      <w:spacing w:after="0" w:line="240" w:lineRule="auto"/>
    </w:pPr>
    <w:tblPr>
      <w:tblStyleRowBandSize w:val="1"/>
      <w:tblStyleColBandSize w:val="1"/>
      <w:tblBorders>
        <w:top w:val="single" w:sz="8" w:space="0" w:color="71CC98" w:themeColor="accent3"/>
        <w:left w:val="single" w:sz="8" w:space="0" w:color="71CC98" w:themeColor="accent3"/>
        <w:bottom w:val="single" w:sz="8" w:space="0" w:color="71CC98" w:themeColor="accent3"/>
        <w:right w:val="single" w:sz="8" w:space="0" w:color="71CC98" w:themeColor="accent3"/>
      </w:tblBorders>
    </w:tblPr>
    <w:tblStylePr w:type="firstRow">
      <w:pPr>
        <w:spacing w:before="0" w:after="0" w:line="240" w:lineRule="auto"/>
      </w:pPr>
      <w:rPr>
        <w:b/>
        <w:bCs/>
        <w:color w:val="FFFFFF" w:themeColor="background1"/>
      </w:rPr>
      <w:tblPr/>
      <w:tcPr>
        <w:shd w:val="clear" w:color="auto" w:fill="71CC98" w:themeFill="accent3"/>
      </w:tcPr>
    </w:tblStylePr>
    <w:tblStylePr w:type="lastRow">
      <w:pPr>
        <w:spacing w:before="0" w:after="0" w:line="240" w:lineRule="auto"/>
      </w:pPr>
      <w:rPr>
        <w:b/>
        <w:bCs/>
      </w:rPr>
      <w:tblPr/>
      <w:tcPr>
        <w:tcBorders>
          <w:top w:val="double" w:sz="6" w:space="0" w:color="71CC98" w:themeColor="accent3"/>
          <w:left w:val="single" w:sz="8" w:space="0" w:color="71CC98" w:themeColor="accent3"/>
          <w:bottom w:val="single" w:sz="8" w:space="0" w:color="71CC98" w:themeColor="accent3"/>
          <w:right w:val="single" w:sz="8" w:space="0" w:color="71CC98" w:themeColor="accent3"/>
        </w:tcBorders>
      </w:tcPr>
    </w:tblStylePr>
    <w:tblStylePr w:type="firstCol">
      <w:rPr>
        <w:b/>
        <w:bCs/>
      </w:rPr>
    </w:tblStylePr>
    <w:tblStylePr w:type="lastCol">
      <w:rPr>
        <w:b/>
        <w:bCs/>
      </w:rPr>
    </w:tblStylePr>
    <w:tblStylePr w:type="band1Vert">
      <w:tblPr/>
      <w:tcPr>
        <w:tcBorders>
          <w:top w:val="single" w:sz="8" w:space="0" w:color="71CC98" w:themeColor="accent3"/>
          <w:left w:val="single" w:sz="8" w:space="0" w:color="71CC98" w:themeColor="accent3"/>
          <w:bottom w:val="single" w:sz="8" w:space="0" w:color="71CC98" w:themeColor="accent3"/>
          <w:right w:val="single" w:sz="8" w:space="0" w:color="71CC98" w:themeColor="accent3"/>
        </w:tcBorders>
      </w:tcPr>
    </w:tblStylePr>
    <w:tblStylePr w:type="band1Horz">
      <w:tblPr/>
      <w:tcPr>
        <w:tcBorders>
          <w:top w:val="single" w:sz="8" w:space="0" w:color="71CC98" w:themeColor="accent3"/>
          <w:left w:val="single" w:sz="8" w:space="0" w:color="71CC98" w:themeColor="accent3"/>
          <w:bottom w:val="single" w:sz="8" w:space="0" w:color="71CC98" w:themeColor="accent3"/>
          <w:right w:val="single" w:sz="8" w:space="0" w:color="71CC98" w:themeColor="accent3"/>
        </w:tcBorders>
      </w:tcPr>
    </w:tblStylePr>
  </w:style>
  <w:style w:type="table" w:styleId="LightList-Accent4">
    <w:name w:val="Light List Accent 4"/>
    <w:basedOn w:val="TableNormal"/>
    <w:uiPriority w:val="61"/>
    <w:rsid w:val="00822068"/>
    <w:pPr>
      <w:spacing w:after="0" w:line="240" w:lineRule="auto"/>
    </w:pPr>
    <w:tblPr>
      <w:tblStyleRowBandSize w:val="1"/>
      <w:tblStyleColBandSize w:val="1"/>
      <w:tblBorders>
        <w:top w:val="single" w:sz="8" w:space="0" w:color="B7B09C" w:themeColor="accent4"/>
        <w:left w:val="single" w:sz="8" w:space="0" w:color="B7B09C" w:themeColor="accent4"/>
        <w:bottom w:val="single" w:sz="8" w:space="0" w:color="B7B09C" w:themeColor="accent4"/>
        <w:right w:val="single" w:sz="8" w:space="0" w:color="B7B09C" w:themeColor="accent4"/>
      </w:tblBorders>
    </w:tblPr>
    <w:tblStylePr w:type="firstRow">
      <w:pPr>
        <w:spacing w:before="0" w:after="0" w:line="240" w:lineRule="auto"/>
      </w:pPr>
      <w:rPr>
        <w:b/>
        <w:bCs/>
        <w:color w:val="FFFFFF" w:themeColor="background1"/>
      </w:rPr>
      <w:tblPr/>
      <w:tcPr>
        <w:shd w:val="clear" w:color="auto" w:fill="B7B09C" w:themeFill="accent4"/>
      </w:tcPr>
    </w:tblStylePr>
    <w:tblStylePr w:type="lastRow">
      <w:pPr>
        <w:spacing w:before="0" w:after="0" w:line="240" w:lineRule="auto"/>
      </w:pPr>
      <w:rPr>
        <w:b/>
        <w:bCs/>
      </w:rPr>
      <w:tblPr/>
      <w:tcPr>
        <w:tcBorders>
          <w:top w:val="double" w:sz="6" w:space="0" w:color="B7B09C" w:themeColor="accent4"/>
          <w:left w:val="single" w:sz="8" w:space="0" w:color="B7B09C" w:themeColor="accent4"/>
          <w:bottom w:val="single" w:sz="8" w:space="0" w:color="B7B09C" w:themeColor="accent4"/>
          <w:right w:val="single" w:sz="8" w:space="0" w:color="B7B09C" w:themeColor="accent4"/>
        </w:tcBorders>
      </w:tcPr>
    </w:tblStylePr>
    <w:tblStylePr w:type="firstCol">
      <w:rPr>
        <w:b/>
        <w:bCs/>
      </w:rPr>
    </w:tblStylePr>
    <w:tblStylePr w:type="lastCol">
      <w:rPr>
        <w:b/>
        <w:bCs/>
      </w:rPr>
    </w:tblStylePr>
    <w:tblStylePr w:type="band1Vert">
      <w:tblPr/>
      <w:tcPr>
        <w:tcBorders>
          <w:top w:val="single" w:sz="8" w:space="0" w:color="B7B09C" w:themeColor="accent4"/>
          <w:left w:val="single" w:sz="8" w:space="0" w:color="B7B09C" w:themeColor="accent4"/>
          <w:bottom w:val="single" w:sz="8" w:space="0" w:color="B7B09C" w:themeColor="accent4"/>
          <w:right w:val="single" w:sz="8" w:space="0" w:color="B7B09C" w:themeColor="accent4"/>
        </w:tcBorders>
      </w:tcPr>
    </w:tblStylePr>
    <w:tblStylePr w:type="band1Horz">
      <w:tblPr/>
      <w:tcPr>
        <w:tcBorders>
          <w:top w:val="single" w:sz="8" w:space="0" w:color="B7B09C" w:themeColor="accent4"/>
          <w:left w:val="single" w:sz="8" w:space="0" w:color="B7B09C" w:themeColor="accent4"/>
          <w:bottom w:val="single" w:sz="8" w:space="0" w:color="B7B09C" w:themeColor="accent4"/>
          <w:right w:val="single" w:sz="8" w:space="0" w:color="B7B09C" w:themeColor="accent4"/>
        </w:tcBorders>
      </w:tcPr>
    </w:tblStylePr>
  </w:style>
  <w:style w:type="table" w:customStyle="1" w:styleId="Style1">
    <w:name w:val="Style1"/>
    <w:basedOn w:val="TableNormal"/>
    <w:uiPriority w:val="99"/>
    <w:rsid w:val="002E14EA"/>
    <w:pPr>
      <w:spacing w:after="0" w:line="240" w:lineRule="auto"/>
    </w:pPr>
    <w:rPr>
      <w:rFonts w:ascii="Arial" w:hAnsi="Arial"/>
      <w:color w:val="000000" w:themeColor="text1"/>
      <w:sz w:val="20"/>
    </w:rPr>
    <w:tblPr>
      <w:tblBorders>
        <w:bottom w:val="single" w:sz="2" w:space="0" w:color="A6192E" w:themeColor="accent1"/>
        <w:insideH w:val="single" w:sz="2" w:space="0" w:color="A6192E" w:themeColor="accent1"/>
      </w:tblBorders>
      <w:tblCellMar>
        <w:top w:w="85" w:type="dxa"/>
        <w:bottom w:w="85" w:type="dxa"/>
      </w:tblCellMar>
    </w:tblPr>
    <w:tcPr>
      <w:shd w:val="clear" w:color="auto" w:fill="auto"/>
      <w:vAlign w:val="center"/>
    </w:tcPr>
    <w:tblStylePr w:type="firstRow">
      <w:pPr>
        <w:jc w:val="left"/>
      </w:pPr>
      <w:rPr>
        <w:rFonts w:ascii="Arial" w:hAnsi="Arial"/>
        <w:b/>
        <w:color w:val="FFFFFF" w:themeColor="background1"/>
        <w:sz w:val="20"/>
      </w:rPr>
      <w:tblPr/>
      <w:tcPr>
        <w:shd w:val="clear" w:color="auto" w:fill="A6192E" w:themeFill="accent1"/>
      </w:tcPr>
    </w:tblStylePr>
    <w:tblStylePr w:type="lastRow">
      <w:pPr>
        <w:jc w:val="left"/>
      </w:pPr>
      <w:rPr>
        <w:rFonts w:ascii="Arial" w:hAnsi="Arial"/>
        <w:b/>
      </w:rPr>
    </w:tblStylePr>
    <w:tblStylePr w:type="firstCol">
      <w:rPr>
        <w:b/>
      </w:rPr>
    </w:tblStylePr>
  </w:style>
  <w:style w:type="paragraph" w:styleId="TOCHeading">
    <w:name w:val="TOC Heading"/>
    <w:basedOn w:val="Heading1"/>
    <w:next w:val="Normal"/>
    <w:uiPriority w:val="39"/>
    <w:unhideWhenUsed/>
    <w:qFormat/>
    <w:rsid w:val="00CB2680"/>
    <w:pPr>
      <w:spacing w:before="0" w:after="240"/>
      <w:outlineLvl w:val="9"/>
    </w:pPr>
    <w:rPr>
      <w:lang w:val="en-US" w:eastAsia="ja-JP"/>
    </w:rPr>
  </w:style>
  <w:style w:type="paragraph" w:styleId="TOC1">
    <w:name w:val="toc 1"/>
    <w:basedOn w:val="Normal"/>
    <w:next w:val="Normal"/>
    <w:autoRedefine/>
    <w:uiPriority w:val="39"/>
    <w:unhideWhenUsed/>
    <w:qFormat/>
    <w:rsid w:val="00163B54"/>
    <w:pPr>
      <w:spacing w:after="100"/>
    </w:pPr>
    <w:rPr>
      <w:sz w:val="24"/>
    </w:rPr>
  </w:style>
  <w:style w:type="paragraph" w:styleId="TOC2">
    <w:name w:val="toc 2"/>
    <w:basedOn w:val="Normal"/>
    <w:next w:val="Normal"/>
    <w:autoRedefine/>
    <w:uiPriority w:val="39"/>
    <w:unhideWhenUsed/>
    <w:qFormat/>
    <w:rsid w:val="00163B54"/>
    <w:pPr>
      <w:spacing w:after="100"/>
      <w:ind w:left="200"/>
    </w:pPr>
    <w:rPr>
      <w:color w:val="58595B" w:themeColor="text2"/>
    </w:rPr>
  </w:style>
  <w:style w:type="paragraph" w:styleId="TOC3">
    <w:name w:val="toc 3"/>
    <w:basedOn w:val="Normal"/>
    <w:next w:val="Normal"/>
    <w:autoRedefine/>
    <w:uiPriority w:val="39"/>
    <w:unhideWhenUsed/>
    <w:qFormat/>
    <w:rsid w:val="002E14EA"/>
    <w:pPr>
      <w:spacing w:after="100"/>
      <w:ind w:left="400"/>
    </w:pPr>
  </w:style>
  <w:style w:type="paragraph" w:styleId="BalloonText">
    <w:name w:val="Balloon Text"/>
    <w:basedOn w:val="Normal"/>
    <w:link w:val="BalloonTextChar"/>
    <w:uiPriority w:val="99"/>
    <w:semiHidden/>
    <w:unhideWhenUsed/>
    <w:rsid w:val="002E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4EA"/>
    <w:rPr>
      <w:rFonts w:ascii="Tahoma" w:hAnsi="Tahoma" w:cs="Tahoma"/>
      <w:sz w:val="16"/>
      <w:szCs w:val="16"/>
    </w:rPr>
  </w:style>
  <w:style w:type="paragraph" w:styleId="ListBullet">
    <w:name w:val="List Bullet"/>
    <w:basedOn w:val="Normal"/>
    <w:uiPriority w:val="99"/>
    <w:unhideWhenUsed/>
    <w:rsid w:val="009D7BB6"/>
    <w:pPr>
      <w:numPr>
        <w:numId w:val="1"/>
      </w:numPr>
      <w:ind w:left="284" w:hanging="284"/>
      <w:contextualSpacing/>
    </w:pPr>
  </w:style>
  <w:style w:type="paragraph" w:styleId="ListBullet2">
    <w:name w:val="List Bullet 2"/>
    <w:basedOn w:val="Normal"/>
    <w:uiPriority w:val="99"/>
    <w:unhideWhenUsed/>
    <w:rsid w:val="002F65AF"/>
    <w:pPr>
      <w:numPr>
        <w:numId w:val="2"/>
      </w:numPr>
      <w:contextualSpacing/>
    </w:pPr>
  </w:style>
  <w:style w:type="paragraph" w:styleId="Quote">
    <w:name w:val="Quote"/>
    <w:basedOn w:val="Normal"/>
    <w:next w:val="Normal"/>
    <w:link w:val="QuoteChar"/>
    <w:uiPriority w:val="29"/>
    <w:qFormat/>
    <w:rsid w:val="009D7BB6"/>
    <w:pPr>
      <w:pBdr>
        <w:top w:val="single" w:sz="4" w:space="1" w:color="71CC98" w:themeColor="accent3"/>
        <w:bottom w:val="single" w:sz="4" w:space="1" w:color="71CC98" w:themeColor="accent3"/>
      </w:pBdr>
      <w:spacing w:before="240" w:after="240"/>
    </w:pPr>
    <w:rPr>
      <w:i/>
      <w:iCs/>
      <w:color w:val="A6192E" w:themeColor="accent1"/>
      <w:sz w:val="24"/>
    </w:rPr>
  </w:style>
  <w:style w:type="character" w:customStyle="1" w:styleId="QuoteChar">
    <w:name w:val="Quote Char"/>
    <w:basedOn w:val="DefaultParagraphFont"/>
    <w:link w:val="Quote"/>
    <w:uiPriority w:val="29"/>
    <w:rsid w:val="009D7BB6"/>
    <w:rPr>
      <w:i/>
      <w:iCs/>
      <w:color w:val="A6192E" w:themeColor="accent1"/>
      <w:sz w:val="24"/>
    </w:rPr>
  </w:style>
  <w:style w:type="character" w:styleId="SubtleEmphasis">
    <w:name w:val="Subtle Emphasis"/>
    <w:basedOn w:val="DefaultParagraphFont"/>
    <w:uiPriority w:val="19"/>
    <w:rsid w:val="005D0228"/>
    <w:rPr>
      <w:i/>
      <w:iCs/>
      <w:color w:val="808080" w:themeColor="text1" w:themeTint="7F"/>
      <w:sz w:val="28"/>
    </w:rPr>
  </w:style>
  <w:style w:type="character" w:styleId="IntenseEmphasis">
    <w:name w:val="Intense Emphasis"/>
    <w:basedOn w:val="DefaultParagraphFont"/>
    <w:uiPriority w:val="21"/>
    <w:qFormat/>
    <w:rsid w:val="005D0228"/>
    <w:rPr>
      <w:b/>
      <w:bCs/>
      <w:i/>
      <w:iCs/>
      <w:color w:val="A6192E" w:themeColor="accent1"/>
    </w:rPr>
  </w:style>
  <w:style w:type="paragraph" w:styleId="Caption">
    <w:name w:val="caption"/>
    <w:basedOn w:val="Normal"/>
    <w:next w:val="Normal"/>
    <w:uiPriority w:val="35"/>
    <w:unhideWhenUsed/>
    <w:qFormat/>
    <w:rsid w:val="00B526AB"/>
    <w:pPr>
      <w:spacing w:after="360" w:line="240" w:lineRule="auto"/>
    </w:pPr>
    <w:rPr>
      <w:bCs/>
      <w:color w:val="A6192E" w:themeColor="accent1"/>
      <w:sz w:val="18"/>
      <w:szCs w:val="18"/>
    </w:rPr>
  </w:style>
  <w:style w:type="character" w:customStyle="1" w:styleId="Tabletitle">
    <w:name w:val="Table title"/>
    <w:basedOn w:val="DefaultParagraphFont"/>
    <w:uiPriority w:val="1"/>
    <w:qFormat/>
    <w:rsid w:val="00D87BC8"/>
    <w:rPr>
      <w:b/>
      <w:color w:val="A6192E" w:themeColor="accent1"/>
    </w:rPr>
  </w:style>
  <w:style w:type="character" w:customStyle="1" w:styleId="Figuretitle">
    <w:name w:val="Figure title"/>
    <w:basedOn w:val="Tabletitle"/>
    <w:uiPriority w:val="1"/>
    <w:qFormat/>
    <w:rsid w:val="00D87BC8"/>
    <w:rPr>
      <w:b/>
      <w:color w:val="A6192E" w:themeColor="accent1"/>
    </w:rPr>
  </w:style>
  <w:style w:type="paragraph" w:customStyle="1" w:styleId="Credit">
    <w:name w:val="Credit"/>
    <w:basedOn w:val="Caption"/>
    <w:qFormat/>
    <w:rsid w:val="00A51E16"/>
    <w:rPr>
      <w:color w:val="58595B" w:themeColor="text2"/>
    </w:rPr>
  </w:style>
  <w:style w:type="paragraph" w:styleId="EndnoteText">
    <w:name w:val="endnote text"/>
    <w:basedOn w:val="Normal"/>
    <w:link w:val="EndnoteTextChar"/>
    <w:uiPriority w:val="99"/>
    <w:semiHidden/>
    <w:unhideWhenUsed/>
    <w:rsid w:val="00B526AB"/>
    <w:pPr>
      <w:spacing w:after="0" w:line="240" w:lineRule="auto"/>
    </w:pPr>
    <w:rPr>
      <w:szCs w:val="20"/>
    </w:rPr>
  </w:style>
  <w:style w:type="character" w:customStyle="1" w:styleId="EndnoteTextChar">
    <w:name w:val="Endnote Text Char"/>
    <w:basedOn w:val="DefaultParagraphFont"/>
    <w:link w:val="EndnoteText"/>
    <w:uiPriority w:val="99"/>
    <w:semiHidden/>
    <w:rsid w:val="00B526AB"/>
    <w:rPr>
      <w:sz w:val="20"/>
      <w:szCs w:val="20"/>
    </w:rPr>
  </w:style>
  <w:style w:type="character" w:styleId="EndnoteReference">
    <w:name w:val="endnote reference"/>
    <w:basedOn w:val="DefaultParagraphFont"/>
    <w:uiPriority w:val="99"/>
    <w:semiHidden/>
    <w:unhideWhenUsed/>
    <w:rsid w:val="00B526AB"/>
    <w:rPr>
      <w:vertAlign w:val="superscript"/>
    </w:rPr>
  </w:style>
  <w:style w:type="paragraph" w:styleId="FootnoteText">
    <w:name w:val="footnote text"/>
    <w:basedOn w:val="Normal"/>
    <w:link w:val="FootnoteTextChar"/>
    <w:uiPriority w:val="99"/>
    <w:unhideWhenUsed/>
    <w:rsid w:val="00B526AB"/>
    <w:pPr>
      <w:spacing w:after="60" w:line="240" w:lineRule="auto"/>
    </w:pPr>
    <w:rPr>
      <w:sz w:val="16"/>
      <w:szCs w:val="20"/>
    </w:rPr>
  </w:style>
  <w:style w:type="character" w:customStyle="1" w:styleId="FootnoteTextChar">
    <w:name w:val="Footnote Text Char"/>
    <w:basedOn w:val="DefaultParagraphFont"/>
    <w:link w:val="FootnoteText"/>
    <w:uiPriority w:val="99"/>
    <w:rsid w:val="00B526AB"/>
    <w:rPr>
      <w:sz w:val="16"/>
      <w:szCs w:val="20"/>
    </w:rPr>
  </w:style>
  <w:style w:type="character" w:styleId="FootnoteReference">
    <w:name w:val="footnote reference"/>
    <w:basedOn w:val="DefaultParagraphFont"/>
    <w:uiPriority w:val="99"/>
    <w:semiHidden/>
    <w:unhideWhenUsed/>
    <w:rsid w:val="00B526AB"/>
    <w:rPr>
      <w:vertAlign w:val="superscript"/>
    </w:rPr>
  </w:style>
  <w:style w:type="paragraph" w:customStyle="1" w:styleId="Casestudy">
    <w:name w:val="Case study"/>
    <w:basedOn w:val="Normal"/>
    <w:qFormat/>
    <w:rsid w:val="00244596"/>
    <w:pPr>
      <w:pBdr>
        <w:top w:val="single" w:sz="4" w:space="4" w:color="572D2D" w:themeColor="accent2"/>
        <w:left w:val="single" w:sz="4" w:space="4" w:color="572D2D" w:themeColor="accent2"/>
        <w:bottom w:val="single" w:sz="4" w:space="4" w:color="572D2D" w:themeColor="accent2"/>
        <w:right w:val="single" w:sz="4" w:space="4" w:color="572D2D" w:themeColor="accent2"/>
      </w:pBdr>
      <w:shd w:val="clear" w:color="auto" w:fill="F1E5E5" w:themeFill="accent2" w:themeFillTint="1A"/>
      <w:ind w:left="113" w:right="113"/>
    </w:pPr>
  </w:style>
  <w:style w:type="paragraph" w:customStyle="1" w:styleId="Casestudytitle">
    <w:name w:val="Case study title"/>
    <w:basedOn w:val="Casestudy"/>
    <w:qFormat/>
    <w:rsid w:val="002D3954"/>
    <w:pPr>
      <w:spacing w:before="360"/>
    </w:pPr>
    <w:rPr>
      <w:color w:val="572D2D" w:themeColor="accent2"/>
      <w:sz w:val="28"/>
    </w:rPr>
  </w:style>
  <w:style w:type="paragraph" w:customStyle="1" w:styleId="Casestudysource">
    <w:name w:val="Case study source"/>
    <w:basedOn w:val="Casestudy"/>
    <w:qFormat/>
    <w:rsid w:val="00F25F29"/>
    <w:pPr>
      <w:spacing w:before="240" w:after="480"/>
    </w:pPr>
    <w:rPr>
      <w:color w:val="572D2D" w:themeColor="accent2"/>
      <w:sz w:val="16"/>
    </w:rPr>
  </w:style>
  <w:style w:type="paragraph" w:styleId="Header">
    <w:name w:val="header"/>
    <w:basedOn w:val="Normal"/>
    <w:link w:val="HeaderChar"/>
    <w:uiPriority w:val="99"/>
    <w:unhideWhenUsed/>
    <w:rsid w:val="00991F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1FDD"/>
    <w:rPr>
      <w:sz w:val="20"/>
    </w:rPr>
  </w:style>
  <w:style w:type="paragraph" w:styleId="Footer">
    <w:name w:val="footer"/>
    <w:basedOn w:val="Normal"/>
    <w:link w:val="FooterChar"/>
    <w:uiPriority w:val="99"/>
    <w:unhideWhenUsed/>
    <w:rsid w:val="00991F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1FDD"/>
    <w:rPr>
      <w:sz w:val="20"/>
    </w:rPr>
  </w:style>
  <w:style w:type="paragraph" w:styleId="ListParagraph">
    <w:name w:val="List Paragraph"/>
    <w:basedOn w:val="Normal"/>
    <w:uiPriority w:val="34"/>
    <w:qFormat/>
    <w:rsid w:val="00B7796E"/>
    <w:pPr>
      <w:ind w:left="720"/>
      <w:contextualSpacing/>
    </w:pPr>
  </w:style>
  <w:style w:type="character" w:styleId="CommentReference">
    <w:name w:val="annotation reference"/>
    <w:basedOn w:val="DefaultParagraphFont"/>
    <w:uiPriority w:val="99"/>
    <w:semiHidden/>
    <w:unhideWhenUsed/>
    <w:rsid w:val="00177503"/>
    <w:rPr>
      <w:sz w:val="16"/>
      <w:szCs w:val="16"/>
    </w:rPr>
  </w:style>
  <w:style w:type="paragraph" w:styleId="CommentText">
    <w:name w:val="annotation text"/>
    <w:basedOn w:val="Normal"/>
    <w:link w:val="CommentTextChar"/>
    <w:uiPriority w:val="99"/>
    <w:unhideWhenUsed/>
    <w:rsid w:val="00177503"/>
    <w:pPr>
      <w:spacing w:line="240" w:lineRule="auto"/>
    </w:pPr>
    <w:rPr>
      <w:szCs w:val="20"/>
    </w:rPr>
  </w:style>
  <w:style w:type="character" w:customStyle="1" w:styleId="CommentTextChar">
    <w:name w:val="Comment Text Char"/>
    <w:basedOn w:val="DefaultParagraphFont"/>
    <w:link w:val="CommentText"/>
    <w:uiPriority w:val="99"/>
    <w:rsid w:val="00177503"/>
    <w:rPr>
      <w:sz w:val="20"/>
      <w:szCs w:val="20"/>
    </w:rPr>
  </w:style>
  <w:style w:type="paragraph" w:styleId="CommentSubject">
    <w:name w:val="annotation subject"/>
    <w:basedOn w:val="CommentText"/>
    <w:next w:val="CommentText"/>
    <w:link w:val="CommentSubjectChar"/>
    <w:uiPriority w:val="99"/>
    <w:semiHidden/>
    <w:unhideWhenUsed/>
    <w:rsid w:val="00177503"/>
    <w:rPr>
      <w:b/>
      <w:bCs/>
    </w:rPr>
  </w:style>
  <w:style w:type="character" w:customStyle="1" w:styleId="CommentSubjectChar">
    <w:name w:val="Comment Subject Char"/>
    <w:basedOn w:val="CommentTextChar"/>
    <w:link w:val="CommentSubject"/>
    <w:uiPriority w:val="99"/>
    <w:semiHidden/>
    <w:rsid w:val="00177503"/>
    <w:rPr>
      <w:b/>
      <w:bCs/>
      <w:sz w:val="20"/>
      <w:szCs w:val="20"/>
    </w:rPr>
  </w:style>
  <w:style w:type="paragraph" w:styleId="Revision">
    <w:name w:val="Revision"/>
    <w:hidden/>
    <w:uiPriority w:val="99"/>
    <w:semiHidden/>
    <w:rsid w:val="008D5C49"/>
    <w:pPr>
      <w:spacing w:after="0" w:line="240" w:lineRule="auto"/>
    </w:pPr>
    <w:rPr>
      <w:sz w:val="20"/>
    </w:rPr>
  </w:style>
  <w:style w:type="character" w:styleId="FollowedHyperlink">
    <w:name w:val="FollowedHyperlink"/>
    <w:basedOn w:val="DefaultParagraphFont"/>
    <w:uiPriority w:val="99"/>
    <w:semiHidden/>
    <w:unhideWhenUsed/>
    <w:rsid w:val="00FA2015"/>
    <w:rPr>
      <w:color w:val="C973A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easurement.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ndustry.gov.au/data-and-publications/national-measurement-institute-national-compliance-pla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dustry.gov.au/data-and-publications/national-measurement-institute-national-compliance-plan"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6C0008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Science">
      <a:dk1>
        <a:sysClr val="windowText" lastClr="000000"/>
      </a:dk1>
      <a:lt1>
        <a:sysClr val="window" lastClr="FFFFFF"/>
      </a:lt1>
      <a:dk2>
        <a:srgbClr val="58595B"/>
      </a:dk2>
      <a:lt2>
        <a:srgbClr val="939598"/>
      </a:lt2>
      <a:accent1>
        <a:srgbClr val="A6192E"/>
      </a:accent1>
      <a:accent2>
        <a:srgbClr val="572D2D"/>
      </a:accent2>
      <a:accent3>
        <a:srgbClr val="71CC98"/>
      </a:accent3>
      <a:accent4>
        <a:srgbClr val="B7B09C"/>
      </a:accent4>
      <a:accent5>
        <a:srgbClr val="58595B"/>
      </a:accent5>
      <a:accent6>
        <a:srgbClr val="6D6E70"/>
      </a:accent6>
      <a:hlink>
        <a:srgbClr val="005677"/>
      </a:hlink>
      <a:folHlink>
        <a:srgbClr val="C973A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3537FC6FD94646A86461B35952B3B6" ma:contentTypeVersion="0" ma:contentTypeDescription="Create a new document." ma:contentTypeScope="" ma:versionID="983559623591219a4b403c2274f351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6561-863C-4F9F-9520-83330CD71F0E}">
  <ds:schemaRefs>
    <ds:schemaRef ds:uri="http://schemas.microsoft.com/sharepoint/v3/contenttype/forms"/>
  </ds:schemaRefs>
</ds:datastoreItem>
</file>

<file path=customXml/itemProps2.xml><?xml version="1.0" encoding="utf-8"?>
<ds:datastoreItem xmlns:ds="http://schemas.openxmlformats.org/officeDocument/2006/customXml" ds:itemID="{D9B08487-B632-4FBC-9D96-FEBE4DB1A5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3649E11-EA8A-4FB0-95F2-ED9D7A39A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37EE5C-A93D-4194-A424-460B697A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NMI Report cover template - no photo</vt:lpstr>
    </vt:vector>
  </TitlesOfParts>
  <Company>Australian Government | National Measurement Institute | measurement.gov.au</Company>
  <LinksUpToDate>false</LinksUpToDate>
  <CharactersWithSpaces>25305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NMI Report cover template - no photo</dc:title>
  <dc:creator>NMI</dc:creator>
  <cp:lastModifiedBy>Francis, Sophie</cp:lastModifiedBy>
  <cp:revision>3</cp:revision>
  <cp:lastPrinted>2020-03-02T23:14:00Z</cp:lastPrinted>
  <dcterms:created xsi:type="dcterms:W3CDTF">2020-03-02T23:41:00Z</dcterms:created>
  <dcterms:modified xsi:type="dcterms:W3CDTF">2020-03-02T23:52:00Z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0x010100013537FC6FD94646A86461B35952B3B6</vt:lpwstr>
  </property>
</Properties>
</file>