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B30B" w14:textId="3E7377F8" w:rsidR="00A2166B" w:rsidRPr="00EE6E37" w:rsidRDefault="00FA66E7" w:rsidP="003575D0">
      <w:pPr>
        <w:pStyle w:val="Title"/>
      </w:pPr>
      <w:bookmarkStart w:id="0" w:name="_Toc195425"/>
      <w:bookmarkEnd w:id="0"/>
      <w:r>
        <w:t>How to apply for an</w:t>
      </w:r>
      <w:r w:rsidR="007564F8">
        <w:br/>
      </w:r>
      <w:r>
        <w:t>anti-circumvention inquiry</w:t>
      </w:r>
      <w:r w:rsidR="001D62AB">
        <w:t xml:space="preserve"> </w:t>
      </w:r>
      <w:r w:rsidR="001D62AB" w:rsidRPr="009D58BB">
        <w:rPr>
          <w:sz w:val="36"/>
          <w:szCs w:val="36"/>
        </w:rPr>
        <w:t>(excluding avoidance of the intended effect of duty)</w:t>
      </w:r>
      <w:r>
        <w:t xml:space="preserve"> </w:t>
      </w:r>
    </w:p>
    <w:p w14:paraId="6C9A789E" w14:textId="44F9DD12" w:rsidR="00614638" w:rsidRPr="00614638" w:rsidRDefault="00FA66E7" w:rsidP="003575D0">
      <w:pPr>
        <w:pStyle w:val="Subtitle"/>
        <w:rPr>
          <w:lang w:val="en-US"/>
        </w:rPr>
      </w:pPr>
      <w:r>
        <w:rPr>
          <w:lang w:val="en-US"/>
        </w:rPr>
        <w:t xml:space="preserve">Instructions and guidelines for applicants </w:t>
      </w:r>
    </w:p>
    <w:p w14:paraId="1A010DB9" w14:textId="52990CCC" w:rsidR="00523095" w:rsidRDefault="00F6651F" w:rsidP="003575D0">
      <w:pPr>
        <w:pStyle w:val="Subtitle"/>
      </w:pPr>
      <w:r w:rsidRPr="00F6651F">
        <w:rPr>
          <w:lang w:val="en-US"/>
        </w:rPr>
        <w:t>March</w:t>
      </w:r>
      <w:r w:rsidR="00614638" w:rsidRPr="00F6651F">
        <w:rPr>
          <w:lang w:val="en-US"/>
        </w:rPr>
        <w:t xml:space="preserve"> 2020 </w:t>
      </w:r>
    </w:p>
    <w:p w14:paraId="35782A41" w14:textId="77777777" w:rsidR="00523095" w:rsidRDefault="00523095" w:rsidP="003575D0">
      <w:pPr>
        <w:pStyle w:val="Subtitle"/>
      </w:pPr>
    </w:p>
    <w:p w14:paraId="694D89E1" w14:textId="77777777" w:rsidR="00523095" w:rsidRDefault="00523095" w:rsidP="003575D0">
      <w:pPr>
        <w:pStyle w:val="Subtitle"/>
        <w:sectPr w:rsidR="00523095" w:rsidSect="0030076F">
          <w:headerReference w:type="default" r:id="rId11"/>
          <w:footerReference w:type="default" r:id="rId12"/>
          <w:headerReference w:type="first" r:id="rId13"/>
          <w:pgSz w:w="11906" w:h="16838"/>
          <w:pgMar w:top="1440" w:right="1440" w:bottom="1440" w:left="1440" w:header="708" w:footer="708" w:gutter="0"/>
          <w:cols w:space="708"/>
          <w:docGrid w:linePitch="360"/>
        </w:sectPr>
      </w:pPr>
    </w:p>
    <w:bookmarkStart w:id="1" w:name="_Toc195424" w:displacedByCustomXml="next"/>
    <w:bookmarkStart w:id="2" w:name="_Toc25067538" w:displacedByCustomXml="next"/>
    <w:bookmarkStart w:id="3" w:name="_Toc1297738153" w:displacedByCustomXml="next"/>
    <w:sdt>
      <w:sdtPr>
        <w:rPr>
          <w:rFonts w:eastAsiaTheme="minorHAnsi" w:cstheme="minorBidi"/>
          <w:color w:val="auto"/>
          <w:sz w:val="22"/>
          <w:szCs w:val="22"/>
        </w:rPr>
        <w:id w:val="639650699"/>
        <w:docPartObj>
          <w:docPartGallery w:val="Table of Contents"/>
          <w:docPartUnique/>
        </w:docPartObj>
      </w:sdtPr>
      <w:sdtContent>
        <w:p w14:paraId="1B7898DF" w14:textId="1552C2AB" w:rsidR="00EE6C16" w:rsidRDefault="00EE6C16" w:rsidP="003575D0">
          <w:pPr>
            <w:pStyle w:val="TOCHeading"/>
            <w:tabs>
              <w:tab w:val="left" w:pos="6181"/>
            </w:tabs>
          </w:pPr>
          <w:r>
            <w:t>Contents</w:t>
          </w:r>
          <w:bookmarkEnd w:id="2"/>
          <w:bookmarkEnd w:id="1"/>
          <w:r>
            <w:tab/>
          </w:r>
          <w:bookmarkEnd w:id="3"/>
        </w:p>
        <w:p w14:paraId="05227408" w14:textId="74507E3A" w:rsidR="00C80EC9" w:rsidRDefault="770C313B" w:rsidP="00754456">
          <w:pPr>
            <w:pStyle w:val="TOC1"/>
            <w:tabs>
              <w:tab w:val="right" w:leader="dot" w:pos="9015"/>
            </w:tabs>
            <w:rPr>
              <w:rStyle w:val="Hyperlink"/>
              <w:rFonts w:eastAsiaTheme="majorEastAsia" w:cstheme="majorBidi"/>
              <w:noProof/>
              <w:sz w:val="52"/>
              <w:szCs w:val="32"/>
              <w:lang w:eastAsia="en-AU"/>
            </w:rPr>
          </w:pPr>
          <w:r>
            <w:fldChar w:fldCharType="begin"/>
          </w:r>
          <w:r w:rsidR="00EE6C16">
            <w:instrText>TOC \o "1-3" \z \u \h</w:instrText>
          </w:r>
          <w:r>
            <w:fldChar w:fldCharType="separate"/>
          </w:r>
          <w:hyperlink w:anchor="_Toc1297738153">
            <w:r w:rsidRPr="770C313B">
              <w:rPr>
                <w:rStyle w:val="Hyperlink"/>
              </w:rPr>
              <w:t>Contents</w:t>
            </w:r>
            <w:r w:rsidR="00EE6C16">
              <w:tab/>
            </w:r>
            <w:r w:rsidR="00EE6C16">
              <w:fldChar w:fldCharType="begin"/>
            </w:r>
            <w:r w:rsidR="00EE6C16">
              <w:instrText>PAGEREF _Toc1297738153 \h</w:instrText>
            </w:r>
            <w:r w:rsidR="00EE6C16">
              <w:fldChar w:fldCharType="separate"/>
            </w:r>
            <w:r w:rsidRPr="770C313B">
              <w:rPr>
                <w:rStyle w:val="Hyperlink"/>
              </w:rPr>
              <w:t>1</w:t>
            </w:r>
            <w:r w:rsidR="00EE6C16">
              <w:fldChar w:fldCharType="end"/>
            </w:r>
          </w:hyperlink>
        </w:p>
        <w:p w14:paraId="15CA15C6" w14:textId="002DB61B" w:rsidR="00C80EC9" w:rsidRDefault="00000000" w:rsidP="00754456">
          <w:pPr>
            <w:pStyle w:val="TOC1"/>
            <w:tabs>
              <w:tab w:val="right" w:leader="dot" w:pos="9015"/>
            </w:tabs>
            <w:rPr>
              <w:rStyle w:val="Hyperlink"/>
              <w:noProof/>
              <w:lang w:eastAsia="en-AU"/>
            </w:rPr>
          </w:pPr>
          <w:hyperlink w:anchor="_Toc1629929672">
            <w:r w:rsidR="770C313B" w:rsidRPr="770C313B">
              <w:rPr>
                <w:rStyle w:val="Hyperlink"/>
              </w:rPr>
              <w:t>Purpose</w:t>
            </w:r>
            <w:r w:rsidR="00C80EC9">
              <w:tab/>
            </w:r>
            <w:r w:rsidR="00C80EC9">
              <w:fldChar w:fldCharType="begin"/>
            </w:r>
            <w:r w:rsidR="00C80EC9">
              <w:instrText>PAGEREF _Toc1629929672 \h</w:instrText>
            </w:r>
            <w:r w:rsidR="00C80EC9">
              <w:fldChar w:fldCharType="separate"/>
            </w:r>
            <w:r w:rsidR="770C313B" w:rsidRPr="770C313B">
              <w:rPr>
                <w:rStyle w:val="Hyperlink"/>
              </w:rPr>
              <w:t>2</w:t>
            </w:r>
            <w:r w:rsidR="00C80EC9">
              <w:fldChar w:fldCharType="end"/>
            </w:r>
          </w:hyperlink>
        </w:p>
        <w:p w14:paraId="04B20F9F" w14:textId="13BD9F5A" w:rsidR="00C80EC9" w:rsidRDefault="00000000" w:rsidP="00754456">
          <w:pPr>
            <w:pStyle w:val="TOC1"/>
            <w:tabs>
              <w:tab w:val="right" w:leader="dot" w:pos="9015"/>
            </w:tabs>
            <w:rPr>
              <w:rStyle w:val="Hyperlink"/>
              <w:noProof/>
              <w:lang w:eastAsia="en-AU"/>
            </w:rPr>
          </w:pPr>
          <w:hyperlink w:anchor="_Toc1361233802">
            <w:r w:rsidR="770C313B" w:rsidRPr="770C313B">
              <w:rPr>
                <w:rStyle w:val="Hyperlink"/>
              </w:rPr>
              <w:t>Introduction</w:t>
            </w:r>
            <w:r w:rsidR="00C80EC9">
              <w:tab/>
            </w:r>
            <w:r w:rsidR="00C80EC9">
              <w:fldChar w:fldCharType="begin"/>
            </w:r>
            <w:r w:rsidR="00C80EC9">
              <w:instrText>PAGEREF _Toc1361233802 \h</w:instrText>
            </w:r>
            <w:r w:rsidR="00C80EC9">
              <w:fldChar w:fldCharType="separate"/>
            </w:r>
            <w:r w:rsidR="770C313B" w:rsidRPr="770C313B">
              <w:rPr>
                <w:rStyle w:val="Hyperlink"/>
              </w:rPr>
              <w:t>2</w:t>
            </w:r>
            <w:r w:rsidR="00C80EC9">
              <w:fldChar w:fldCharType="end"/>
            </w:r>
          </w:hyperlink>
        </w:p>
        <w:p w14:paraId="3E0DED33" w14:textId="29F0958F" w:rsidR="00C80EC9" w:rsidRDefault="00000000" w:rsidP="00754456">
          <w:pPr>
            <w:pStyle w:val="TOC2"/>
            <w:tabs>
              <w:tab w:val="right" w:leader="dot" w:pos="9015"/>
            </w:tabs>
            <w:rPr>
              <w:rStyle w:val="Hyperlink"/>
              <w:noProof/>
              <w:lang w:eastAsia="en-AU"/>
            </w:rPr>
          </w:pPr>
          <w:hyperlink w:anchor="_Toc729111482">
            <w:r w:rsidR="770C313B" w:rsidRPr="770C313B">
              <w:rPr>
                <w:rStyle w:val="Hyperlink"/>
              </w:rPr>
              <w:t>What is a circumvention activity</w:t>
            </w:r>
            <w:r w:rsidR="00C80EC9">
              <w:tab/>
            </w:r>
            <w:r w:rsidR="00C80EC9">
              <w:fldChar w:fldCharType="begin"/>
            </w:r>
            <w:r w:rsidR="00C80EC9">
              <w:instrText>PAGEREF _Toc729111482 \h</w:instrText>
            </w:r>
            <w:r w:rsidR="00C80EC9">
              <w:fldChar w:fldCharType="separate"/>
            </w:r>
            <w:r w:rsidR="770C313B" w:rsidRPr="770C313B">
              <w:rPr>
                <w:rStyle w:val="Hyperlink"/>
              </w:rPr>
              <w:t>3</w:t>
            </w:r>
            <w:r w:rsidR="00C80EC9">
              <w:fldChar w:fldCharType="end"/>
            </w:r>
          </w:hyperlink>
        </w:p>
        <w:p w14:paraId="37519E56" w14:textId="3270C046" w:rsidR="00C80EC9" w:rsidRDefault="00000000" w:rsidP="00754456">
          <w:pPr>
            <w:pStyle w:val="TOC2"/>
            <w:tabs>
              <w:tab w:val="right" w:leader="dot" w:pos="9015"/>
            </w:tabs>
            <w:rPr>
              <w:rStyle w:val="Hyperlink"/>
              <w:noProof/>
              <w:lang w:eastAsia="en-AU"/>
            </w:rPr>
          </w:pPr>
          <w:hyperlink w:anchor="_Toc785551833">
            <w:r w:rsidR="770C313B" w:rsidRPr="770C313B">
              <w:rPr>
                <w:rStyle w:val="Hyperlink"/>
              </w:rPr>
              <w:t>What is not a circumvention activity</w:t>
            </w:r>
            <w:r w:rsidR="00C80EC9">
              <w:tab/>
            </w:r>
            <w:r w:rsidR="00C80EC9">
              <w:fldChar w:fldCharType="begin"/>
            </w:r>
            <w:r w:rsidR="00C80EC9">
              <w:instrText>PAGEREF _Toc785551833 \h</w:instrText>
            </w:r>
            <w:r w:rsidR="00C80EC9">
              <w:fldChar w:fldCharType="separate"/>
            </w:r>
            <w:r w:rsidR="770C313B" w:rsidRPr="770C313B">
              <w:rPr>
                <w:rStyle w:val="Hyperlink"/>
              </w:rPr>
              <w:t>4</w:t>
            </w:r>
            <w:r w:rsidR="00C80EC9">
              <w:fldChar w:fldCharType="end"/>
            </w:r>
          </w:hyperlink>
        </w:p>
        <w:p w14:paraId="513416CB" w14:textId="33641FFD" w:rsidR="00C80EC9" w:rsidRDefault="00000000" w:rsidP="00754456">
          <w:pPr>
            <w:pStyle w:val="TOC1"/>
            <w:tabs>
              <w:tab w:val="right" w:leader="dot" w:pos="9015"/>
            </w:tabs>
            <w:rPr>
              <w:rStyle w:val="Hyperlink"/>
              <w:noProof/>
              <w:lang w:eastAsia="en-AU"/>
            </w:rPr>
          </w:pPr>
          <w:hyperlink w:anchor="_Toc1097425630">
            <w:r w:rsidR="770C313B" w:rsidRPr="770C313B">
              <w:rPr>
                <w:rStyle w:val="Hyperlink"/>
              </w:rPr>
              <w:t>Who can apply</w:t>
            </w:r>
            <w:r w:rsidR="00C80EC9">
              <w:tab/>
            </w:r>
            <w:r w:rsidR="00C80EC9">
              <w:fldChar w:fldCharType="begin"/>
            </w:r>
            <w:r w:rsidR="00C80EC9">
              <w:instrText>PAGEREF _Toc1097425630 \h</w:instrText>
            </w:r>
            <w:r w:rsidR="00C80EC9">
              <w:fldChar w:fldCharType="separate"/>
            </w:r>
            <w:r w:rsidR="770C313B" w:rsidRPr="770C313B">
              <w:rPr>
                <w:rStyle w:val="Hyperlink"/>
              </w:rPr>
              <w:t>4</w:t>
            </w:r>
            <w:r w:rsidR="00C80EC9">
              <w:fldChar w:fldCharType="end"/>
            </w:r>
          </w:hyperlink>
        </w:p>
        <w:p w14:paraId="565B4382" w14:textId="7991BD15" w:rsidR="00C80EC9" w:rsidRDefault="00000000" w:rsidP="00754456">
          <w:pPr>
            <w:pStyle w:val="TOC1"/>
            <w:tabs>
              <w:tab w:val="right" w:leader="dot" w:pos="9015"/>
            </w:tabs>
            <w:rPr>
              <w:rStyle w:val="Hyperlink"/>
              <w:noProof/>
              <w:lang w:eastAsia="en-AU"/>
            </w:rPr>
          </w:pPr>
          <w:hyperlink w:anchor="_Toc462250231">
            <w:r w:rsidR="770C313B" w:rsidRPr="770C313B">
              <w:rPr>
                <w:rStyle w:val="Hyperlink"/>
              </w:rPr>
              <w:t>How to apply</w:t>
            </w:r>
            <w:r w:rsidR="00C80EC9">
              <w:tab/>
            </w:r>
            <w:r w:rsidR="00C80EC9">
              <w:fldChar w:fldCharType="begin"/>
            </w:r>
            <w:r w:rsidR="00C80EC9">
              <w:instrText>PAGEREF _Toc462250231 \h</w:instrText>
            </w:r>
            <w:r w:rsidR="00C80EC9">
              <w:fldChar w:fldCharType="separate"/>
            </w:r>
            <w:r w:rsidR="770C313B" w:rsidRPr="770C313B">
              <w:rPr>
                <w:rStyle w:val="Hyperlink"/>
              </w:rPr>
              <w:t>4</w:t>
            </w:r>
            <w:r w:rsidR="00C80EC9">
              <w:fldChar w:fldCharType="end"/>
            </w:r>
          </w:hyperlink>
        </w:p>
        <w:p w14:paraId="0639C34C" w14:textId="55D1BD6B" w:rsidR="00C80EC9" w:rsidRDefault="00000000" w:rsidP="00754456">
          <w:pPr>
            <w:pStyle w:val="TOC1"/>
            <w:tabs>
              <w:tab w:val="right" w:leader="dot" w:pos="9015"/>
            </w:tabs>
            <w:rPr>
              <w:rStyle w:val="Hyperlink"/>
              <w:noProof/>
              <w:lang w:eastAsia="en-AU"/>
            </w:rPr>
          </w:pPr>
          <w:hyperlink w:anchor="_Toc149111568">
            <w:r w:rsidR="770C313B" w:rsidRPr="770C313B">
              <w:rPr>
                <w:rStyle w:val="Hyperlink"/>
              </w:rPr>
              <w:t>Information required by the application form</w:t>
            </w:r>
            <w:r w:rsidR="00C80EC9">
              <w:tab/>
            </w:r>
            <w:r w:rsidR="00C80EC9">
              <w:fldChar w:fldCharType="begin"/>
            </w:r>
            <w:r w:rsidR="00C80EC9">
              <w:instrText>PAGEREF _Toc149111568 \h</w:instrText>
            </w:r>
            <w:r w:rsidR="00C80EC9">
              <w:fldChar w:fldCharType="separate"/>
            </w:r>
            <w:r w:rsidR="770C313B" w:rsidRPr="770C313B">
              <w:rPr>
                <w:rStyle w:val="Hyperlink"/>
              </w:rPr>
              <w:t>5</w:t>
            </w:r>
            <w:r w:rsidR="00C80EC9">
              <w:fldChar w:fldCharType="end"/>
            </w:r>
          </w:hyperlink>
        </w:p>
        <w:p w14:paraId="7105F1C1" w14:textId="6B3C202D" w:rsidR="00C80EC9" w:rsidRDefault="00000000" w:rsidP="00754456">
          <w:pPr>
            <w:pStyle w:val="TOC2"/>
            <w:tabs>
              <w:tab w:val="right" w:leader="dot" w:pos="9015"/>
            </w:tabs>
            <w:rPr>
              <w:rStyle w:val="Hyperlink"/>
              <w:noProof/>
              <w:lang w:eastAsia="en-AU"/>
            </w:rPr>
          </w:pPr>
          <w:hyperlink w:anchor="_Toc1933575798">
            <w:r w:rsidR="770C313B" w:rsidRPr="770C313B">
              <w:rPr>
                <w:rStyle w:val="Hyperlink"/>
              </w:rPr>
              <w:t>Supporting evidence</w:t>
            </w:r>
            <w:r w:rsidR="00C80EC9">
              <w:tab/>
            </w:r>
            <w:r w:rsidR="00C80EC9">
              <w:fldChar w:fldCharType="begin"/>
            </w:r>
            <w:r w:rsidR="00C80EC9">
              <w:instrText>PAGEREF _Toc1933575798 \h</w:instrText>
            </w:r>
            <w:r w:rsidR="00C80EC9">
              <w:fldChar w:fldCharType="separate"/>
            </w:r>
            <w:r w:rsidR="770C313B" w:rsidRPr="770C313B">
              <w:rPr>
                <w:rStyle w:val="Hyperlink"/>
              </w:rPr>
              <w:t>5</w:t>
            </w:r>
            <w:r w:rsidR="00C80EC9">
              <w:fldChar w:fldCharType="end"/>
            </w:r>
          </w:hyperlink>
        </w:p>
        <w:p w14:paraId="0C186D55" w14:textId="2FEFF773" w:rsidR="00C80EC9" w:rsidRDefault="00000000" w:rsidP="00754456">
          <w:pPr>
            <w:pStyle w:val="TOC2"/>
            <w:tabs>
              <w:tab w:val="right" w:leader="dot" w:pos="9015"/>
            </w:tabs>
            <w:rPr>
              <w:rStyle w:val="Hyperlink"/>
              <w:noProof/>
              <w:lang w:eastAsia="en-AU"/>
            </w:rPr>
          </w:pPr>
          <w:hyperlink w:anchor="_Toc1361514970">
            <w:r w:rsidR="770C313B" w:rsidRPr="770C313B">
              <w:rPr>
                <w:rStyle w:val="Hyperlink"/>
              </w:rPr>
              <w:t>Guidance to Question 6</w:t>
            </w:r>
            <w:r w:rsidR="00C80EC9">
              <w:tab/>
            </w:r>
            <w:r w:rsidR="00C80EC9">
              <w:fldChar w:fldCharType="begin"/>
            </w:r>
            <w:r w:rsidR="00C80EC9">
              <w:instrText>PAGEREF _Toc1361514970 \h</w:instrText>
            </w:r>
            <w:r w:rsidR="00C80EC9">
              <w:fldChar w:fldCharType="separate"/>
            </w:r>
            <w:r w:rsidR="770C313B" w:rsidRPr="770C313B">
              <w:rPr>
                <w:rStyle w:val="Hyperlink"/>
              </w:rPr>
              <w:t>5</w:t>
            </w:r>
            <w:r w:rsidR="00C80EC9">
              <w:fldChar w:fldCharType="end"/>
            </w:r>
          </w:hyperlink>
        </w:p>
        <w:p w14:paraId="2026FEDE" w14:textId="468170B8" w:rsidR="00C80EC9" w:rsidRDefault="00000000" w:rsidP="00754456">
          <w:pPr>
            <w:pStyle w:val="TOC2"/>
            <w:tabs>
              <w:tab w:val="right" w:leader="dot" w:pos="9015"/>
            </w:tabs>
            <w:rPr>
              <w:rStyle w:val="Hyperlink"/>
              <w:noProof/>
              <w:lang w:eastAsia="en-AU"/>
            </w:rPr>
          </w:pPr>
          <w:hyperlink w:anchor="_Toc1165988559">
            <w:r w:rsidR="770C313B" w:rsidRPr="770C313B">
              <w:rPr>
                <w:rStyle w:val="Hyperlink"/>
              </w:rPr>
              <w:t>Assembly of parts in Australia</w:t>
            </w:r>
            <w:r w:rsidR="00C80EC9">
              <w:tab/>
            </w:r>
            <w:r w:rsidR="00C80EC9">
              <w:fldChar w:fldCharType="begin"/>
            </w:r>
            <w:r w:rsidR="00C80EC9">
              <w:instrText>PAGEREF _Toc1165988559 \h</w:instrText>
            </w:r>
            <w:r w:rsidR="00C80EC9">
              <w:fldChar w:fldCharType="separate"/>
            </w:r>
            <w:r w:rsidR="770C313B" w:rsidRPr="770C313B">
              <w:rPr>
                <w:rStyle w:val="Hyperlink"/>
              </w:rPr>
              <w:t>6</w:t>
            </w:r>
            <w:r w:rsidR="00C80EC9">
              <w:fldChar w:fldCharType="end"/>
            </w:r>
          </w:hyperlink>
        </w:p>
        <w:p w14:paraId="130C4BD7" w14:textId="117B8EE1" w:rsidR="00C80EC9" w:rsidRDefault="00000000" w:rsidP="00754456">
          <w:pPr>
            <w:pStyle w:val="TOC3"/>
            <w:tabs>
              <w:tab w:val="right" w:leader="dot" w:pos="9015"/>
            </w:tabs>
            <w:rPr>
              <w:rStyle w:val="Hyperlink"/>
              <w:noProof/>
              <w:lang w:eastAsia="en-AU"/>
            </w:rPr>
          </w:pPr>
          <w:hyperlink w:anchor="_Toc1109572154">
            <w:r w:rsidR="770C313B" w:rsidRPr="770C313B">
              <w:rPr>
                <w:rStyle w:val="Hyperlink"/>
              </w:rPr>
              <w:t>Example 1 – Goods covered by notice are assembled chairs from Country A</w:t>
            </w:r>
            <w:r w:rsidR="00C80EC9">
              <w:tab/>
            </w:r>
            <w:r w:rsidR="00C80EC9">
              <w:fldChar w:fldCharType="begin"/>
            </w:r>
            <w:r w:rsidR="00C80EC9">
              <w:instrText>PAGEREF _Toc1109572154 \h</w:instrText>
            </w:r>
            <w:r w:rsidR="00C80EC9">
              <w:fldChar w:fldCharType="separate"/>
            </w:r>
            <w:r w:rsidR="770C313B" w:rsidRPr="770C313B">
              <w:rPr>
                <w:rStyle w:val="Hyperlink"/>
              </w:rPr>
              <w:t>6</w:t>
            </w:r>
            <w:r w:rsidR="00C80EC9">
              <w:fldChar w:fldCharType="end"/>
            </w:r>
          </w:hyperlink>
        </w:p>
        <w:p w14:paraId="59C62BA1" w14:textId="6DBF2473" w:rsidR="00C80EC9" w:rsidRDefault="00000000" w:rsidP="00754456">
          <w:pPr>
            <w:pStyle w:val="TOC2"/>
            <w:tabs>
              <w:tab w:val="right" w:leader="dot" w:pos="9015"/>
            </w:tabs>
            <w:rPr>
              <w:rStyle w:val="Hyperlink"/>
              <w:noProof/>
              <w:lang w:eastAsia="en-AU"/>
            </w:rPr>
          </w:pPr>
          <w:hyperlink w:anchor="_Toc496246177">
            <w:r w:rsidR="770C313B" w:rsidRPr="770C313B">
              <w:rPr>
                <w:rStyle w:val="Hyperlink"/>
              </w:rPr>
              <w:t>Assembly of parts in a third country</w:t>
            </w:r>
            <w:r w:rsidR="00C80EC9">
              <w:tab/>
            </w:r>
            <w:r w:rsidR="00C80EC9">
              <w:fldChar w:fldCharType="begin"/>
            </w:r>
            <w:r w:rsidR="00C80EC9">
              <w:instrText>PAGEREF _Toc496246177 \h</w:instrText>
            </w:r>
            <w:r w:rsidR="00C80EC9">
              <w:fldChar w:fldCharType="separate"/>
            </w:r>
            <w:r w:rsidR="770C313B" w:rsidRPr="770C313B">
              <w:rPr>
                <w:rStyle w:val="Hyperlink"/>
              </w:rPr>
              <w:t>7</w:t>
            </w:r>
            <w:r w:rsidR="00C80EC9">
              <w:fldChar w:fldCharType="end"/>
            </w:r>
          </w:hyperlink>
        </w:p>
        <w:p w14:paraId="2284A5FE" w14:textId="1F21032D" w:rsidR="00C80EC9" w:rsidRDefault="00000000" w:rsidP="00754456">
          <w:pPr>
            <w:pStyle w:val="TOC3"/>
            <w:tabs>
              <w:tab w:val="right" w:leader="dot" w:pos="9015"/>
            </w:tabs>
            <w:rPr>
              <w:rStyle w:val="Hyperlink"/>
              <w:noProof/>
              <w:lang w:eastAsia="en-AU"/>
            </w:rPr>
          </w:pPr>
          <w:hyperlink w:anchor="_Toc1506418421">
            <w:r w:rsidR="770C313B" w:rsidRPr="770C313B">
              <w:rPr>
                <w:rStyle w:val="Hyperlink"/>
              </w:rPr>
              <w:t>Example 2 – Goods covered by notice are assembled chairs from country A</w:t>
            </w:r>
            <w:r w:rsidR="00C80EC9">
              <w:tab/>
            </w:r>
            <w:r w:rsidR="00C80EC9">
              <w:fldChar w:fldCharType="begin"/>
            </w:r>
            <w:r w:rsidR="00C80EC9">
              <w:instrText>PAGEREF _Toc1506418421 \h</w:instrText>
            </w:r>
            <w:r w:rsidR="00C80EC9">
              <w:fldChar w:fldCharType="separate"/>
            </w:r>
            <w:r w:rsidR="770C313B" w:rsidRPr="770C313B">
              <w:rPr>
                <w:rStyle w:val="Hyperlink"/>
              </w:rPr>
              <w:t>8</w:t>
            </w:r>
            <w:r w:rsidR="00C80EC9">
              <w:fldChar w:fldCharType="end"/>
            </w:r>
          </w:hyperlink>
        </w:p>
        <w:p w14:paraId="55E0C755" w14:textId="22A63A1C" w:rsidR="00C80EC9" w:rsidRDefault="00000000" w:rsidP="00754456">
          <w:pPr>
            <w:pStyle w:val="TOC2"/>
            <w:tabs>
              <w:tab w:val="right" w:leader="dot" w:pos="9015"/>
            </w:tabs>
            <w:rPr>
              <w:rStyle w:val="Hyperlink"/>
              <w:noProof/>
              <w:lang w:eastAsia="en-AU"/>
            </w:rPr>
          </w:pPr>
          <w:hyperlink w:anchor="_Toc1489100143">
            <w:r w:rsidR="770C313B" w:rsidRPr="770C313B">
              <w:rPr>
                <w:rStyle w:val="Hyperlink"/>
              </w:rPr>
              <w:t>Export of goods through one or more third countries</w:t>
            </w:r>
            <w:r w:rsidR="00C80EC9">
              <w:tab/>
            </w:r>
            <w:r w:rsidR="00C80EC9">
              <w:fldChar w:fldCharType="begin"/>
            </w:r>
            <w:r w:rsidR="00C80EC9">
              <w:instrText>PAGEREF _Toc1489100143 \h</w:instrText>
            </w:r>
            <w:r w:rsidR="00C80EC9">
              <w:fldChar w:fldCharType="separate"/>
            </w:r>
            <w:r w:rsidR="770C313B" w:rsidRPr="770C313B">
              <w:rPr>
                <w:rStyle w:val="Hyperlink"/>
              </w:rPr>
              <w:t>8</w:t>
            </w:r>
            <w:r w:rsidR="00C80EC9">
              <w:fldChar w:fldCharType="end"/>
            </w:r>
          </w:hyperlink>
        </w:p>
        <w:p w14:paraId="2B4BDB5A" w14:textId="40B69FEF" w:rsidR="00C80EC9" w:rsidRDefault="00000000" w:rsidP="00754456">
          <w:pPr>
            <w:pStyle w:val="TOC3"/>
            <w:tabs>
              <w:tab w:val="right" w:leader="dot" w:pos="9015"/>
            </w:tabs>
            <w:rPr>
              <w:rStyle w:val="Hyperlink"/>
              <w:noProof/>
              <w:lang w:eastAsia="en-AU"/>
            </w:rPr>
          </w:pPr>
          <w:hyperlink w:anchor="_Toc1850498253">
            <w:r w:rsidR="770C313B" w:rsidRPr="770C313B">
              <w:rPr>
                <w:rStyle w:val="Hyperlink"/>
              </w:rPr>
              <w:t>Example 3 – Goods covered by notice are assembled chairs from country A</w:t>
            </w:r>
            <w:r w:rsidR="00C80EC9">
              <w:tab/>
            </w:r>
            <w:r w:rsidR="00C80EC9">
              <w:fldChar w:fldCharType="begin"/>
            </w:r>
            <w:r w:rsidR="00C80EC9">
              <w:instrText>PAGEREF _Toc1850498253 \h</w:instrText>
            </w:r>
            <w:r w:rsidR="00C80EC9">
              <w:fldChar w:fldCharType="separate"/>
            </w:r>
            <w:r w:rsidR="770C313B" w:rsidRPr="770C313B">
              <w:rPr>
                <w:rStyle w:val="Hyperlink"/>
              </w:rPr>
              <w:t>8</w:t>
            </w:r>
            <w:r w:rsidR="00C80EC9">
              <w:fldChar w:fldCharType="end"/>
            </w:r>
          </w:hyperlink>
        </w:p>
        <w:p w14:paraId="182ACC83" w14:textId="3D81FAB7" w:rsidR="00C80EC9" w:rsidRDefault="00000000" w:rsidP="00754456">
          <w:pPr>
            <w:pStyle w:val="TOC2"/>
            <w:tabs>
              <w:tab w:val="right" w:leader="dot" w:pos="9015"/>
            </w:tabs>
            <w:rPr>
              <w:rStyle w:val="Hyperlink"/>
              <w:noProof/>
              <w:lang w:eastAsia="en-AU"/>
            </w:rPr>
          </w:pPr>
          <w:hyperlink w:anchor="_Toc2053970766">
            <w:r w:rsidR="770C313B" w:rsidRPr="770C313B">
              <w:rPr>
                <w:rStyle w:val="Hyperlink"/>
              </w:rPr>
              <w:t>Arrangements between exporters</w:t>
            </w:r>
            <w:r w:rsidR="00C80EC9">
              <w:tab/>
            </w:r>
            <w:r w:rsidR="00C80EC9">
              <w:fldChar w:fldCharType="begin"/>
            </w:r>
            <w:r w:rsidR="00C80EC9">
              <w:instrText>PAGEREF _Toc2053970766 \h</w:instrText>
            </w:r>
            <w:r w:rsidR="00C80EC9">
              <w:fldChar w:fldCharType="separate"/>
            </w:r>
            <w:r w:rsidR="770C313B" w:rsidRPr="770C313B">
              <w:rPr>
                <w:rStyle w:val="Hyperlink"/>
              </w:rPr>
              <w:t>9</w:t>
            </w:r>
            <w:r w:rsidR="00C80EC9">
              <w:fldChar w:fldCharType="end"/>
            </w:r>
          </w:hyperlink>
        </w:p>
        <w:p w14:paraId="3CF475A3" w14:textId="5384C72C" w:rsidR="00C80EC9" w:rsidRDefault="00000000" w:rsidP="00754456">
          <w:pPr>
            <w:pStyle w:val="TOC3"/>
            <w:tabs>
              <w:tab w:val="right" w:leader="dot" w:pos="9015"/>
            </w:tabs>
            <w:rPr>
              <w:rStyle w:val="Hyperlink"/>
              <w:noProof/>
              <w:lang w:eastAsia="en-AU"/>
            </w:rPr>
          </w:pPr>
          <w:hyperlink w:anchor="_Toc1070422862">
            <w:r w:rsidR="770C313B" w:rsidRPr="770C313B">
              <w:rPr>
                <w:rStyle w:val="Hyperlink"/>
              </w:rPr>
              <w:t>Example 4 – Goods covered by notice are assembled chairs from Country A</w:t>
            </w:r>
            <w:r w:rsidR="00C80EC9">
              <w:tab/>
            </w:r>
            <w:r w:rsidR="00C80EC9">
              <w:fldChar w:fldCharType="begin"/>
            </w:r>
            <w:r w:rsidR="00C80EC9">
              <w:instrText>PAGEREF _Toc1070422862 \h</w:instrText>
            </w:r>
            <w:r w:rsidR="00C80EC9">
              <w:fldChar w:fldCharType="separate"/>
            </w:r>
            <w:r w:rsidR="770C313B" w:rsidRPr="770C313B">
              <w:rPr>
                <w:rStyle w:val="Hyperlink"/>
              </w:rPr>
              <w:t>10</w:t>
            </w:r>
            <w:r w:rsidR="00C80EC9">
              <w:fldChar w:fldCharType="end"/>
            </w:r>
          </w:hyperlink>
        </w:p>
        <w:p w14:paraId="0951C2F6" w14:textId="4C065315" w:rsidR="00C80EC9" w:rsidRDefault="00000000" w:rsidP="00754456">
          <w:pPr>
            <w:pStyle w:val="TOC2"/>
            <w:tabs>
              <w:tab w:val="right" w:leader="dot" w:pos="9015"/>
            </w:tabs>
            <w:rPr>
              <w:rStyle w:val="Hyperlink"/>
              <w:noProof/>
              <w:lang w:eastAsia="en-AU"/>
            </w:rPr>
          </w:pPr>
          <w:hyperlink w:anchor="_Toc512575198">
            <w:r w:rsidR="770C313B" w:rsidRPr="770C313B">
              <w:rPr>
                <w:rStyle w:val="Hyperlink"/>
              </w:rPr>
              <w:t>Slight modification of goods</w:t>
            </w:r>
            <w:r w:rsidR="00C80EC9">
              <w:tab/>
            </w:r>
            <w:r w:rsidR="00C80EC9">
              <w:fldChar w:fldCharType="begin"/>
            </w:r>
            <w:r w:rsidR="00C80EC9">
              <w:instrText>PAGEREF _Toc512575198 \h</w:instrText>
            </w:r>
            <w:r w:rsidR="00C80EC9">
              <w:fldChar w:fldCharType="separate"/>
            </w:r>
            <w:r w:rsidR="770C313B" w:rsidRPr="770C313B">
              <w:rPr>
                <w:rStyle w:val="Hyperlink"/>
              </w:rPr>
              <w:t>10</w:t>
            </w:r>
            <w:r w:rsidR="00C80EC9">
              <w:fldChar w:fldCharType="end"/>
            </w:r>
          </w:hyperlink>
        </w:p>
        <w:p w14:paraId="20B11B8E" w14:textId="175C439A" w:rsidR="00C80EC9" w:rsidRDefault="00000000" w:rsidP="00754456">
          <w:pPr>
            <w:pStyle w:val="TOC3"/>
            <w:tabs>
              <w:tab w:val="right" w:leader="dot" w:pos="9015"/>
            </w:tabs>
            <w:rPr>
              <w:rStyle w:val="Hyperlink"/>
              <w:noProof/>
              <w:lang w:eastAsia="en-AU"/>
            </w:rPr>
          </w:pPr>
          <w:hyperlink w:anchor="_Toc130218350">
            <w:r w:rsidR="770C313B" w:rsidRPr="770C313B">
              <w:rPr>
                <w:rStyle w:val="Hyperlink"/>
              </w:rPr>
              <w:t>Example 5 – Goods covered by notice are non-alloyed galvanised steel exported from Country A</w:t>
            </w:r>
            <w:r w:rsidR="00C80EC9">
              <w:tab/>
            </w:r>
            <w:r w:rsidR="00C80EC9">
              <w:fldChar w:fldCharType="begin"/>
            </w:r>
            <w:r w:rsidR="00C80EC9">
              <w:instrText>PAGEREF _Toc130218350 \h</w:instrText>
            </w:r>
            <w:r w:rsidR="00C80EC9">
              <w:fldChar w:fldCharType="separate"/>
            </w:r>
            <w:r w:rsidR="770C313B" w:rsidRPr="770C313B">
              <w:rPr>
                <w:rStyle w:val="Hyperlink"/>
              </w:rPr>
              <w:t>11</w:t>
            </w:r>
            <w:r w:rsidR="00C80EC9">
              <w:fldChar w:fldCharType="end"/>
            </w:r>
          </w:hyperlink>
        </w:p>
        <w:p w14:paraId="457AD54D" w14:textId="72D1E9B1" w:rsidR="00C80EC9" w:rsidRDefault="00000000" w:rsidP="00754456">
          <w:pPr>
            <w:pStyle w:val="TOC2"/>
            <w:tabs>
              <w:tab w:val="right" w:leader="dot" w:pos="9015"/>
            </w:tabs>
            <w:rPr>
              <w:rStyle w:val="Hyperlink"/>
              <w:noProof/>
              <w:lang w:eastAsia="en-AU"/>
            </w:rPr>
          </w:pPr>
          <w:hyperlink w:anchor="_Toc444043705">
            <w:r w:rsidR="770C313B" w:rsidRPr="770C313B">
              <w:rPr>
                <w:rStyle w:val="Hyperlink"/>
              </w:rPr>
              <w:t>Guidance to Question 7</w:t>
            </w:r>
            <w:r w:rsidR="00C80EC9">
              <w:tab/>
            </w:r>
            <w:r w:rsidR="00C80EC9">
              <w:fldChar w:fldCharType="begin"/>
            </w:r>
            <w:r w:rsidR="00C80EC9">
              <w:instrText>PAGEREF _Toc444043705 \h</w:instrText>
            </w:r>
            <w:r w:rsidR="00C80EC9">
              <w:fldChar w:fldCharType="separate"/>
            </w:r>
            <w:r w:rsidR="770C313B" w:rsidRPr="770C313B">
              <w:rPr>
                <w:rStyle w:val="Hyperlink"/>
              </w:rPr>
              <w:t>11</w:t>
            </w:r>
            <w:r w:rsidR="00C80EC9">
              <w:fldChar w:fldCharType="end"/>
            </w:r>
          </w:hyperlink>
        </w:p>
        <w:p w14:paraId="1455C617" w14:textId="2491025C" w:rsidR="00C80EC9" w:rsidRDefault="00000000" w:rsidP="00754456">
          <w:pPr>
            <w:pStyle w:val="TOC1"/>
            <w:tabs>
              <w:tab w:val="right" w:leader="dot" w:pos="9015"/>
            </w:tabs>
            <w:rPr>
              <w:rStyle w:val="Hyperlink"/>
              <w:noProof/>
              <w:lang w:eastAsia="en-AU"/>
            </w:rPr>
          </w:pPr>
          <w:hyperlink w:anchor="_Toc2040420194">
            <w:r w:rsidR="770C313B" w:rsidRPr="770C313B">
              <w:rPr>
                <w:rStyle w:val="Hyperlink"/>
              </w:rPr>
              <w:t>The inquiry process</w:t>
            </w:r>
            <w:r w:rsidR="00C80EC9">
              <w:tab/>
            </w:r>
            <w:r w:rsidR="00C80EC9">
              <w:fldChar w:fldCharType="begin"/>
            </w:r>
            <w:r w:rsidR="00C80EC9">
              <w:instrText>PAGEREF _Toc2040420194 \h</w:instrText>
            </w:r>
            <w:r w:rsidR="00C80EC9">
              <w:fldChar w:fldCharType="separate"/>
            </w:r>
            <w:r w:rsidR="770C313B" w:rsidRPr="770C313B">
              <w:rPr>
                <w:rStyle w:val="Hyperlink"/>
              </w:rPr>
              <w:t>12</w:t>
            </w:r>
            <w:r w:rsidR="00C80EC9">
              <w:fldChar w:fldCharType="end"/>
            </w:r>
          </w:hyperlink>
        </w:p>
        <w:p w14:paraId="399D0F09" w14:textId="7B84757B" w:rsidR="00C80EC9" w:rsidRDefault="00000000" w:rsidP="00754456">
          <w:pPr>
            <w:pStyle w:val="TOC2"/>
            <w:tabs>
              <w:tab w:val="right" w:leader="dot" w:pos="9015"/>
            </w:tabs>
            <w:rPr>
              <w:rStyle w:val="Hyperlink"/>
              <w:noProof/>
              <w:lang w:eastAsia="en-AU"/>
            </w:rPr>
          </w:pPr>
          <w:hyperlink w:anchor="_Toc68472945">
            <w:r w:rsidR="770C313B" w:rsidRPr="770C313B">
              <w:rPr>
                <w:rStyle w:val="Hyperlink"/>
              </w:rPr>
              <w:t>The Act</w:t>
            </w:r>
            <w:r w:rsidR="00C80EC9">
              <w:tab/>
            </w:r>
            <w:r w:rsidR="00C80EC9">
              <w:fldChar w:fldCharType="begin"/>
            </w:r>
            <w:r w:rsidR="00C80EC9">
              <w:instrText>PAGEREF _Toc68472945 \h</w:instrText>
            </w:r>
            <w:r w:rsidR="00C80EC9">
              <w:fldChar w:fldCharType="separate"/>
            </w:r>
            <w:r w:rsidR="770C313B" w:rsidRPr="770C313B">
              <w:rPr>
                <w:rStyle w:val="Hyperlink"/>
              </w:rPr>
              <w:t>12</w:t>
            </w:r>
            <w:r w:rsidR="00C80EC9">
              <w:fldChar w:fldCharType="end"/>
            </w:r>
          </w:hyperlink>
        </w:p>
        <w:p w14:paraId="5956AC54" w14:textId="69688BF5" w:rsidR="00C80EC9" w:rsidRDefault="00000000" w:rsidP="00754456">
          <w:pPr>
            <w:pStyle w:val="TOC2"/>
            <w:tabs>
              <w:tab w:val="right" w:leader="dot" w:pos="9015"/>
            </w:tabs>
            <w:rPr>
              <w:rStyle w:val="Hyperlink"/>
              <w:noProof/>
              <w:lang w:eastAsia="en-AU"/>
            </w:rPr>
          </w:pPr>
          <w:hyperlink w:anchor="_Toc1189876492">
            <w:r w:rsidR="770C313B" w:rsidRPr="770C313B">
              <w:rPr>
                <w:rStyle w:val="Hyperlink"/>
              </w:rPr>
              <w:t>Public record</w:t>
            </w:r>
            <w:r w:rsidR="00C80EC9">
              <w:tab/>
            </w:r>
            <w:r w:rsidR="00C80EC9">
              <w:fldChar w:fldCharType="begin"/>
            </w:r>
            <w:r w:rsidR="00C80EC9">
              <w:instrText>PAGEREF _Toc1189876492 \h</w:instrText>
            </w:r>
            <w:r w:rsidR="00C80EC9">
              <w:fldChar w:fldCharType="separate"/>
            </w:r>
            <w:r w:rsidR="770C313B" w:rsidRPr="770C313B">
              <w:rPr>
                <w:rStyle w:val="Hyperlink"/>
              </w:rPr>
              <w:t>12</w:t>
            </w:r>
            <w:r w:rsidR="00C80EC9">
              <w:fldChar w:fldCharType="end"/>
            </w:r>
          </w:hyperlink>
        </w:p>
        <w:p w14:paraId="6D1DE71B" w14:textId="5C29792B" w:rsidR="00C80EC9" w:rsidRDefault="00000000" w:rsidP="00754456">
          <w:pPr>
            <w:pStyle w:val="TOC2"/>
            <w:tabs>
              <w:tab w:val="right" w:leader="dot" w:pos="9015"/>
            </w:tabs>
            <w:rPr>
              <w:rStyle w:val="Hyperlink"/>
              <w:noProof/>
              <w:lang w:eastAsia="en-AU"/>
            </w:rPr>
          </w:pPr>
          <w:hyperlink w:anchor="_Toc1308154590">
            <w:r w:rsidR="770C313B" w:rsidRPr="770C313B">
              <w:rPr>
                <w:rStyle w:val="Hyperlink"/>
              </w:rPr>
              <w:t>Consideration of application</w:t>
            </w:r>
            <w:r w:rsidR="00C80EC9">
              <w:tab/>
            </w:r>
            <w:r w:rsidR="00C80EC9">
              <w:fldChar w:fldCharType="begin"/>
            </w:r>
            <w:r w:rsidR="00C80EC9">
              <w:instrText>PAGEREF _Toc1308154590 \h</w:instrText>
            </w:r>
            <w:r w:rsidR="00C80EC9">
              <w:fldChar w:fldCharType="separate"/>
            </w:r>
            <w:r w:rsidR="770C313B" w:rsidRPr="770C313B">
              <w:rPr>
                <w:rStyle w:val="Hyperlink"/>
              </w:rPr>
              <w:t>12</w:t>
            </w:r>
            <w:r w:rsidR="00C80EC9">
              <w:fldChar w:fldCharType="end"/>
            </w:r>
          </w:hyperlink>
        </w:p>
        <w:p w14:paraId="2F37F9C9" w14:textId="50941B37" w:rsidR="00C80EC9" w:rsidRDefault="00000000" w:rsidP="00754456">
          <w:pPr>
            <w:pStyle w:val="TOC2"/>
            <w:tabs>
              <w:tab w:val="right" w:leader="dot" w:pos="9015"/>
            </w:tabs>
            <w:rPr>
              <w:rStyle w:val="Hyperlink"/>
              <w:noProof/>
              <w:lang w:eastAsia="en-AU"/>
            </w:rPr>
          </w:pPr>
          <w:hyperlink w:anchor="_Toc585651543">
            <w:r w:rsidR="770C313B" w:rsidRPr="770C313B">
              <w:rPr>
                <w:rStyle w:val="Hyperlink"/>
              </w:rPr>
              <w:t>Submissions</w:t>
            </w:r>
            <w:r w:rsidR="00C80EC9">
              <w:tab/>
            </w:r>
            <w:r w:rsidR="00C80EC9">
              <w:fldChar w:fldCharType="begin"/>
            </w:r>
            <w:r w:rsidR="00C80EC9">
              <w:instrText>PAGEREF _Toc585651543 \h</w:instrText>
            </w:r>
            <w:r w:rsidR="00C80EC9">
              <w:fldChar w:fldCharType="separate"/>
            </w:r>
            <w:r w:rsidR="770C313B" w:rsidRPr="770C313B">
              <w:rPr>
                <w:rStyle w:val="Hyperlink"/>
              </w:rPr>
              <w:t>12</w:t>
            </w:r>
            <w:r w:rsidR="00C80EC9">
              <w:fldChar w:fldCharType="end"/>
            </w:r>
          </w:hyperlink>
        </w:p>
        <w:p w14:paraId="11765AFB" w14:textId="1DD76E91" w:rsidR="00C80EC9" w:rsidRDefault="00000000" w:rsidP="00754456">
          <w:pPr>
            <w:pStyle w:val="TOC2"/>
            <w:tabs>
              <w:tab w:val="right" w:leader="dot" w:pos="9015"/>
            </w:tabs>
            <w:rPr>
              <w:rStyle w:val="Hyperlink"/>
              <w:noProof/>
              <w:lang w:eastAsia="en-AU"/>
            </w:rPr>
          </w:pPr>
          <w:hyperlink w:anchor="_Toc270765164">
            <w:r w:rsidR="770C313B" w:rsidRPr="770C313B">
              <w:rPr>
                <w:rStyle w:val="Hyperlink"/>
              </w:rPr>
              <w:t>Verification of information</w:t>
            </w:r>
            <w:r w:rsidR="00C80EC9">
              <w:tab/>
            </w:r>
            <w:r w:rsidR="00C80EC9">
              <w:fldChar w:fldCharType="begin"/>
            </w:r>
            <w:r w:rsidR="00C80EC9">
              <w:instrText>PAGEREF _Toc270765164 \h</w:instrText>
            </w:r>
            <w:r w:rsidR="00C80EC9">
              <w:fldChar w:fldCharType="separate"/>
            </w:r>
            <w:r w:rsidR="770C313B" w:rsidRPr="770C313B">
              <w:rPr>
                <w:rStyle w:val="Hyperlink"/>
              </w:rPr>
              <w:t>12</w:t>
            </w:r>
            <w:r w:rsidR="00C80EC9">
              <w:fldChar w:fldCharType="end"/>
            </w:r>
          </w:hyperlink>
        </w:p>
        <w:p w14:paraId="048D0330" w14:textId="5F2A140C" w:rsidR="00C80EC9" w:rsidRDefault="00000000" w:rsidP="00754456">
          <w:pPr>
            <w:pStyle w:val="TOC2"/>
            <w:tabs>
              <w:tab w:val="right" w:leader="dot" w:pos="9015"/>
            </w:tabs>
            <w:rPr>
              <w:rStyle w:val="Hyperlink"/>
              <w:noProof/>
              <w:lang w:eastAsia="en-AU"/>
            </w:rPr>
          </w:pPr>
          <w:hyperlink w:anchor="_Toc96748664">
            <w:r w:rsidR="770C313B" w:rsidRPr="770C313B">
              <w:rPr>
                <w:rStyle w:val="Hyperlink"/>
              </w:rPr>
              <w:t>Termination</w:t>
            </w:r>
            <w:r w:rsidR="00C80EC9">
              <w:tab/>
            </w:r>
            <w:r w:rsidR="00C80EC9">
              <w:fldChar w:fldCharType="begin"/>
            </w:r>
            <w:r w:rsidR="00C80EC9">
              <w:instrText>PAGEREF _Toc96748664 \h</w:instrText>
            </w:r>
            <w:r w:rsidR="00C80EC9">
              <w:fldChar w:fldCharType="separate"/>
            </w:r>
            <w:r w:rsidR="770C313B" w:rsidRPr="770C313B">
              <w:rPr>
                <w:rStyle w:val="Hyperlink"/>
              </w:rPr>
              <w:t>13</w:t>
            </w:r>
            <w:r w:rsidR="00C80EC9">
              <w:fldChar w:fldCharType="end"/>
            </w:r>
          </w:hyperlink>
        </w:p>
        <w:p w14:paraId="5BA2C250" w14:textId="6A0A1C97" w:rsidR="770C313B" w:rsidRDefault="00000000" w:rsidP="00754456">
          <w:pPr>
            <w:pStyle w:val="TOC2"/>
            <w:tabs>
              <w:tab w:val="right" w:leader="dot" w:pos="9015"/>
            </w:tabs>
            <w:rPr>
              <w:rStyle w:val="Hyperlink"/>
            </w:rPr>
          </w:pPr>
          <w:hyperlink w:anchor="_Toc570848646">
            <w:r w:rsidR="770C313B" w:rsidRPr="770C313B">
              <w:rPr>
                <w:rStyle w:val="Hyperlink"/>
              </w:rPr>
              <w:t>Statement of essential facts</w:t>
            </w:r>
            <w:r w:rsidR="770C313B">
              <w:tab/>
            </w:r>
            <w:r w:rsidR="770C313B">
              <w:fldChar w:fldCharType="begin"/>
            </w:r>
            <w:r w:rsidR="770C313B">
              <w:instrText>PAGEREF _Toc570848646 \h</w:instrText>
            </w:r>
            <w:r w:rsidR="770C313B">
              <w:fldChar w:fldCharType="separate"/>
            </w:r>
            <w:r w:rsidR="770C313B" w:rsidRPr="770C313B">
              <w:rPr>
                <w:rStyle w:val="Hyperlink"/>
              </w:rPr>
              <w:t>13</w:t>
            </w:r>
            <w:r w:rsidR="770C313B">
              <w:fldChar w:fldCharType="end"/>
            </w:r>
          </w:hyperlink>
        </w:p>
        <w:p w14:paraId="0D6CBADA" w14:textId="063F275B" w:rsidR="770C313B" w:rsidRDefault="00000000" w:rsidP="00754456">
          <w:pPr>
            <w:pStyle w:val="TOC2"/>
            <w:tabs>
              <w:tab w:val="right" w:leader="dot" w:pos="9015"/>
            </w:tabs>
            <w:rPr>
              <w:rStyle w:val="Hyperlink"/>
            </w:rPr>
          </w:pPr>
          <w:hyperlink w:anchor="_Toc1733225784">
            <w:r w:rsidR="770C313B" w:rsidRPr="770C313B">
              <w:rPr>
                <w:rStyle w:val="Hyperlink"/>
              </w:rPr>
              <w:t>Report on anti-circumvention inquiry</w:t>
            </w:r>
            <w:r w:rsidR="770C313B">
              <w:tab/>
            </w:r>
            <w:r w:rsidR="770C313B">
              <w:fldChar w:fldCharType="begin"/>
            </w:r>
            <w:r w:rsidR="770C313B">
              <w:instrText>PAGEREF _Toc1733225784 \h</w:instrText>
            </w:r>
            <w:r w:rsidR="770C313B">
              <w:fldChar w:fldCharType="separate"/>
            </w:r>
            <w:r w:rsidR="770C313B" w:rsidRPr="770C313B">
              <w:rPr>
                <w:rStyle w:val="Hyperlink"/>
              </w:rPr>
              <w:t>13</w:t>
            </w:r>
            <w:r w:rsidR="770C313B">
              <w:fldChar w:fldCharType="end"/>
            </w:r>
          </w:hyperlink>
        </w:p>
        <w:p w14:paraId="5A47D8A7" w14:textId="5BB671CC" w:rsidR="770C313B" w:rsidRDefault="00000000" w:rsidP="00754456">
          <w:pPr>
            <w:pStyle w:val="TOC2"/>
            <w:tabs>
              <w:tab w:val="right" w:leader="dot" w:pos="9015"/>
            </w:tabs>
            <w:rPr>
              <w:rStyle w:val="Hyperlink"/>
            </w:rPr>
          </w:pPr>
          <w:hyperlink w:anchor="_Toc777610610">
            <w:r w:rsidR="770C313B" w:rsidRPr="770C313B">
              <w:rPr>
                <w:rStyle w:val="Hyperlink"/>
              </w:rPr>
              <w:t>Minister’s powers</w:t>
            </w:r>
            <w:r w:rsidR="770C313B">
              <w:tab/>
            </w:r>
            <w:r w:rsidR="770C313B">
              <w:fldChar w:fldCharType="begin"/>
            </w:r>
            <w:r w:rsidR="770C313B">
              <w:instrText>PAGEREF _Toc777610610 \h</w:instrText>
            </w:r>
            <w:r w:rsidR="770C313B">
              <w:fldChar w:fldCharType="separate"/>
            </w:r>
            <w:r w:rsidR="770C313B" w:rsidRPr="770C313B">
              <w:rPr>
                <w:rStyle w:val="Hyperlink"/>
              </w:rPr>
              <w:t>13</w:t>
            </w:r>
            <w:r w:rsidR="770C313B">
              <w:fldChar w:fldCharType="end"/>
            </w:r>
          </w:hyperlink>
        </w:p>
        <w:p w14:paraId="0CB10E4F" w14:textId="756667A3" w:rsidR="770C313B" w:rsidRDefault="00000000" w:rsidP="00754456">
          <w:pPr>
            <w:pStyle w:val="TOC1"/>
            <w:tabs>
              <w:tab w:val="right" w:leader="dot" w:pos="9015"/>
            </w:tabs>
            <w:rPr>
              <w:rStyle w:val="Hyperlink"/>
            </w:rPr>
          </w:pPr>
          <w:hyperlink w:anchor="_Toc637406622">
            <w:r w:rsidR="770C313B" w:rsidRPr="770C313B">
              <w:rPr>
                <w:rStyle w:val="Hyperlink"/>
              </w:rPr>
              <w:t>Rights of review</w:t>
            </w:r>
            <w:r w:rsidR="770C313B">
              <w:tab/>
            </w:r>
            <w:r w:rsidR="770C313B">
              <w:fldChar w:fldCharType="begin"/>
            </w:r>
            <w:r w:rsidR="770C313B">
              <w:instrText>PAGEREF _Toc637406622 \h</w:instrText>
            </w:r>
            <w:r w:rsidR="770C313B">
              <w:fldChar w:fldCharType="separate"/>
            </w:r>
            <w:r w:rsidR="770C313B" w:rsidRPr="770C313B">
              <w:rPr>
                <w:rStyle w:val="Hyperlink"/>
              </w:rPr>
              <w:t>13</w:t>
            </w:r>
            <w:r w:rsidR="770C313B">
              <w:fldChar w:fldCharType="end"/>
            </w:r>
          </w:hyperlink>
        </w:p>
        <w:p w14:paraId="67297C2A" w14:textId="1004C12A" w:rsidR="770C313B" w:rsidRDefault="00000000" w:rsidP="00754456">
          <w:pPr>
            <w:pStyle w:val="TOC1"/>
            <w:tabs>
              <w:tab w:val="right" w:leader="dot" w:pos="9015"/>
            </w:tabs>
            <w:rPr>
              <w:rStyle w:val="Hyperlink"/>
            </w:rPr>
          </w:pPr>
          <w:hyperlink w:anchor="_Toc1088637634">
            <w:r w:rsidR="770C313B" w:rsidRPr="770C313B">
              <w:rPr>
                <w:rStyle w:val="Hyperlink"/>
              </w:rPr>
              <w:t>Find out more</w:t>
            </w:r>
            <w:r w:rsidR="770C313B">
              <w:tab/>
            </w:r>
            <w:r w:rsidR="770C313B">
              <w:fldChar w:fldCharType="begin"/>
            </w:r>
            <w:r w:rsidR="770C313B">
              <w:instrText>PAGEREF _Toc1088637634 \h</w:instrText>
            </w:r>
            <w:r w:rsidR="770C313B">
              <w:fldChar w:fldCharType="separate"/>
            </w:r>
            <w:r w:rsidR="770C313B" w:rsidRPr="770C313B">
              <w:rPr>
                <w:rStyle w:val="Hyperlink"/>
              </w:rPr>
              <w:t>14</w:t>
            </w:r>
            <w:r w:rsidR="770C313B">
              <w:fldChar w:fldCharType="end"/>
            </w:r>
          </w:hyperlink>
          <w:r w:rsidR="770C313B">
            <w:fldChar w:fldCharType="end"/>
          </w:r>
        </w:p>
      </w:sdtContent>
    </w:sdt>
    <w:p w14:paraId="0A0F68C5" w14:textId="698EDC34" w:rsidR="007C3A58" w:rsidRPr="003E0D65" w:rsidRDefault="007C3A58" w:rsidP="003E0D65">
      <w:pPr>
        <w:rPr>
          <w:noProof/>
        </w:rPr>
      </w:pPr>
    </w:p>
    <w:p w14:paraId="6CABF6EF" w14:textId="7877E194" w:rsidR="00C80EC9" w:rsidRPr="00754456" w:rsidRDefault="27953FBC" w:rsidP="00754456">
      <w:pPr>
        <w:pStyle w:val="Heading4"/>
        <w:spacing w:before="200" w:after="80"/>
        <w:rPr>
          <w:rFonts w:eastAsia="Arial" w:cs="Arial"/>
          <w:color w:val="auto"/>
          <w:sz w:val="24"/>
          <w:szCs w:val="24"/>
          <w:lang w:val="en-US"/>
        </w:rPr>
      </w:pPr>
      <w:r w:rsidRPr="00754456">
        <w:rPr>
          <w:rFonts w:eastAsia="Arial" w:cs="Arial"/>
          <w:b/>
          <w:bCs/>
          <w:iCs w:val="0"/>
          <w:color w:val="auto"/>
          <w:sz w:val="24"/>
          <w:szCs w:val="24"/>
        </w:rPr>
        <w:t>Approval and version history</w:t>
      </w:r>
    </w:p>
    <w:p w14:paraId="6E119384" w14:textId="173FADCB" w:rsidR="00C80EC9" w:rsidRDefault="00C80EC9" w:rsidP="00754456">
      <w:pPr>
        <w:spacing w:before="120" w:after="120"/>
        <w:rPr>
          <w:rFonts w:eastAsia="Arial" w:cs="Arial"/>
          <w:color w:val="D13438"/>
          <w:sz w:val="20"/>
          <w:szCs w:val="20"/>
          <w:lang w:val="en-US"/>
        </w:rPr>
      </w:pPr>
    </w:p>
    <w:tbl>
      <w:tblPr>
        <w:tblW w:w="949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30"/>
        <w:gridCol w:w="1845"/>
        <w:gridCol w:w="1455"/>
        <w:gridCol w:w="4960"/>
      </w:tblGrid>
      <w:tr w:rsidR="00754456" w:rsidRPr="00754456" w14:paraId="0F0CE769" w14:textId="77777777" w:rsidTr="00170A92">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105" w:type="dxa"/>
              <w:bottom w:w="75" w:type="dxa"/>
              <w:right w:w="105" w:type="dxa"/>
            </w:tcMar>
          </w:tcPr>
          <w:p w14:paraId="0F59C3E9" w14:textId="29ACFFAF"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b/>
                <w:bCs/>
                <w:sz w:val="20"/>
                <w:szCs w:val="20"/>
              </w:rPr>
              <w:t>Version</w:t>
            </w:r>
          </w:p>
        </w:tc>
        <w:tc>
          <w:tcPr>
            <w:tcW w:w="184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C95B028" w14:textId="1DDC5E05"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b/>
                <w:bCs/>
                <w:sz w:val="20"/>
                <w:szCs w:val="20"/>
              </w:rPr>
              <w:t>Change</w:t>
            </w:r>
          </w:p>
        </w:tc>
        <w:tc>
          <w:tcPr>
            <w:tcW w:w="145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105" w:type="dxa"/>
              <w:bottom w:w="75" w:type="dxa"/>
              <w:right w:w="105" w:type="dxa"/>
            </w:tcMar>
          </w:tcPr>
          <w:p w14:paraId="45F88EDD" w14:textId="30D98E4A"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b/>
                <w:bCs/>
                <w:sz w:val="20"/>
                <w:szCs w:val="20"/>
              </w:rPr>
              <w:t>Date</w:t>
            </w:r>
          </w:p>
        </w:tc>
        <w:tc>
          <w:tcPr>
            <w:tcW w:w="49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7614DF4" w14:textId="57B91A97"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b/>
                <w:bCs/>
                <w:sz w:val="20"/>
                <w:szCs w:val="20"/>
              </w:rPr>
              <w:t>Approver</w:t>
            </w:r>
          </w:p>
        </w:tc>
      </w:tr>
      <w:tr w:rsidR="00754456" w:rsidRPr="00754456" w14:paraId="55681447" w14:textId="77777777" w:rsidTr="00170A92">
        <w:trPr>
          <w:trHeight w:val="585"/>
        </w:trPr>
        <w:tc>
          <w:tcPr>
            <w:tcW w:w="1230" w:type="dxa"/>
            <w:tcBorders>
              <w:top w:val="single" w:sz="6" w:space="0" w:color="auto"/>
              <w:left w:val="single" w:sz="6" w:space="0" w:color="auto"/>
              <w:bottom w:val="single" w:sz="6" w:space="0" w:color="auto"/>
              <w:right w:val="single" w:sz="6" w:space="0" w:color="auto"/>
            </w:tcBorders>
            <w:tcMar>
              <w:top w:w="75" w:type="dxa"/>
              <w:left w:w="105" w:type="dxa"/>
              <w:bottom w:w="75" w:type="dxa"/>
              <w:right w:w="105" w:type="dxa"/>
            </w:tcMar>
          </w:tcPr>
          <w:p w14:paraId="32611F19" w14:textId="04AABC2B"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1.0</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4C9544E3" w14:textId="6E1C8C38"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Original version</w:t>
            </w:r>
          </w:p>
        </w:tc>
        <w:tc>
          <w:tcPr>
            <w:tcW w:w="1455" w:type="dxa"/>
            <w:tcBorders>
              <w:top w:val="single" w:sz="6" w:space="0" w:color="auto"/>
              <w:left w:val="single" w:sz="6" w:space="0" w:color="auto"/>
              <w:bottom w:val="single" w:sz="6" w:space="0" w:color="auto"/>
              <w:right w:val="single" w:sz="6" w:space="0" w:color="auto"/>
            </w:tcBorders>
            <w:tcMar>
              <w:top w:w="75" w:type="dxa"/>
              <w:left w:w="105" w:type="dxa"/>
              <w:bottom w:w="75" w:type="dxa"/>
              <w:right w:w="105" w:type="dxa"/>
            </w:tcMar>
          </w:tcPr>
          <w:p w14:paraId="3FB85F33" w14:textId="3583995E"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March 2020</w:t>
            </w:r>
          </w:p>
        </w:tc>
        <w:tc>
          <w:tcPr>
            <w:tcW w:w="4960" w:type="dxa"/>
            <w:tcBorders>
              <w:top w:val="single" w:sz="6" w:space="0" w:color="auto"/>
              <w:left w:val="single" w:sz="6" w:space="0" w:color="auto"/>
              <w:bottom w:val="single" w:sz="6" w:space="0" w:color="auto"/>
              <w:right w:val="single" w:sz="6" w:space="0" w:color="auto"/>
            </w:tcBorders>
            <w:tcMar>
              <w:left w:w="105" w:type="dxa"/>
              <w:right w:w="105" w:type="dxa"/>
            </w:tcMar>
          </w:tcPr>
          <w:p w14:paraId="4D4853D7" w14:textId="4C3AE569"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Paul Sexton - General Manager Anti-Dumping Commission</w:t>
            </w:r>
          </w:p>
        </w:tc>
      </w:tr>
      <w:tr w:rsidR="00754456" w:rsidRPr="00754456" w14:paraId="7B871D43" w14:textId="77777777" w:rsidTr="00170A92">
        <w:trPr>
          <w:trHeight w:val="555"/>
        </w:trPr>
        <w:tc>
          <w:tcPr>
            <w:tcW w:w="1230" w:type="dxa"/>
            <w:tcBorders>
              <w:top w:val="single" w:sz="6" w:space="0" w:color="auto"/>
              <w:left w:val="single" w:sz="6" w:space="0" w:color="auto"/>
              <w:bottom w:val="single" w:sz="6" w:space="0" w:color="auto"/>
              <w:right w:val="single" w:sz="6" w:space="0" w:color="auto"/>
            </w:tcBorders>
            <w:tcMar>
              <w:top w:w="75" w:type="dxa"/>
              <w:left w:w="105" w:type="dxa"/>
              <w:bottom w:w="75" w:type="dxa"/>
              <w:right w:w="105" w:type="dxa"/>
            </w:tcMar>
          </w:tcPr>
          <w:p w14:paraId="065EFE94" w14:textId="1C6223F7"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1.1</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4BED778E" w14:textId="39E5724D"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Contact details updated</w:t>
            </w:r>
          </w:p>
        </w:tc>
        <w:tc>
          <w:tcPr>
            <w:tcW w:w="1455" w:type="dxa"/>
            <w:tcBorders>
              <w:top w:val="single" w:sz="6" w:space="0" w:color="auto"/>
              <w:left w:val="single" w:sz="6" w:space="0" w:color="auto"/>
              <w:bottom w:val="single" w:sz="6" w:space="0" w:color="auto"/>
              <w:right w:val="single" w:sz="6" w:space="0" w:color="auto"/>
            </w:tcBorders>
            <w:tcMar>
              <w:top w:w="75" w:type="dxa"/>
              <w:left w:w="105" w:type="dxa"/>
              <w:bottom w:w="75" w:type="dxa"/>
              <w:right w:w="105" w:type="dxa"/>
            </w:tcMar>
          </w:tcPr>
          <w:p w14:paraId="6C4AB3F4" w14:textId="2C720CEC"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October 2024</w:t>
            </w:r>
          </w:p>
        </w:tc>
        <w:tc>
          <w:tcPr>
            <w:tcW w:w="4960" w:type="dxa"/>
            <w:tcBorders>
              <w:top w:val="single" w:sz="6" w:space="0" w:color="auto"/>
              <w:left w:val="single" w:sz="6" w:space="0" w:color="auto"/>
              <w:bottom w:val="single" w:sz="6" w:space="0" w:color="auto"/>
              <w:right w:val="single" w:sz="6" w:space="0" w:color="auto"/>
            </w:tcBorders>
            <w:tcMar>
              <w:left w:w="105" w:type="dxa"/>
              <w:right w:w="105" w:type="dxa"/>
            </w:tcMar>
          </w:tcPr>
          <w:p w14:paraId="3A58C914" w14:textId="4840AA25" w:rsidR="7C769F47" w:rsidRPr="00754456" w:rsidRDefault="7C769F47" w:rsidP="00754456">
            <w:pPr>
              <w:tabs>
                <w:tab w:val="left" w:pos="720"/>
                <w:tab w:val="right" w:leader="dot" w:pos="10246"/>
              </w:tabs>
              <w:spacing w:before="120" w:after="120"/>
              <w:rPr>
                <w:rFonts w:eastAsia="Arial" w:cs="Arial"/>
                <w:sz w:val="20"/>
                <w:szCs w:val="20"/>
                <w:lang w:val="en-US"/>
              </w:rPr>
            </w:pPr>
            <w:r w:rsidRPr="00754456">
              <w:rPr>
                <w:rFonts w:eastAsia="Arial" w:cs="Arial"/>
                <w:sz w:val="20"/>
                <w:szCs w:val="20"/>
              </w:rPr>
              <w:t xml:space="preserve">Isolde </w:t>
            </w:r>
            <w:proofErr w:type="spellStart"/>
            <w:r w:rsidRPr="00754456">
              <w:rPr>
                <w:rFonts w:eastAsia="Arial" w:cs="Arial"/>
                <w:sz w:val="20"/>
                <w:szCs w:val="20"/>
              </w:rPr>
              <w:t>Lueckenhausen</w:t>
            </w:r>
            <w:proofErr w:type="spellEnd"/>
            <w:r w:rsidRPr="00754456">
              <w:rPr>
                <w:rFonts w:eastAsia="Arial" w:cs="Arial"/>
                <w:sz w:val="20"/>
                <w:szCs w:val="20"/>
              </w:rPr>
              <w:t xml:space="preserve"> – Acting Commissioner of the Anti-Dumping Commission</w:t>
            </w:r>
          </w:p>
        </w:tc>
      </w:tr>
    </w:tbl>
    <w:p w14:paraId="47ADF422" w14:textId="77777777" w:rsidR="00754456" w:rsidRDefault="00754456">
      <w:pPr>
        <w:spacing w:before="0" w:after="160" w:line="259" w:lineRule="auto"/>
        <w:rPr>
          <w:rFonts w:eastAsiaTheme="majorEastAsia" w:cstheme="majorBidi"/>
          <w:color w:val="00283E"/>
          <w:sz w:val="52"/>
          <w:szCs w:val="32"/>
        </w:rPr>
      </w:pPr>
      <w:bookmarkStart w:id="4" w:name="_Toc1629929672"/>
      <w:r>
        <w:br w:type="page"/>
      </w:r>
    </w:p>
    <w:p w14:paraId="7A6FCBC9" w14:textId="5E358EA3" w:rsidR="006720FE" w:rsidRDefault="006720FE" w:rsidP="007C3A58">
      <w:pPr>
        <w:pStyle w:val="Heading1"/>
        <w:tabs>
          <w:tab w:val="left" w:pos="7422"/>
        </w:tabs>
      </w:pPr>
      <w:r>
        <w:lastRenderedPageBreak/>
        <w:t>Purpose</w:t>
      </w:r>
      <w:r>
        <w:tab/>
      </w:r>
      <w:bookmarkEnd w:id="4"/>
    </w:p>
    <w:p w14:paraId="1DFB584C" w14:textId="08B12D4B" w:rsidR="00AA6CD7" w:rsidRDefault="006720FE" w:rsidP="00E21B04">
      <w:r>
        <w:t xml:space="preserve">This guide outlines the steps </w:t>
      </w:r>
      <w:r w:rsidR="00F250F0">
        <w:t xml:space="preserve">involved in </w:t>
      </w:r>
      <w:r>
        <w:t xml:space="preserve">applying </w:t>
      </w:r>
      <w:r w:rsidR="00115FAD">
        <w:t xml:space="preserve">to the </w:t>
      </w:r>
      <w:hyperlink r:id="rId14" w:history="1">
        <w:r w:rsidR="00115FAD" w:rsidRPr="003C441E">
          <w:rPr>
            <w:rStyle w:val="Hyperlink"/>
          </w:rPr>
          <w:t>Anti-Dumping Commission</w:t>
        </w:r>
      </w:hyperlink>
      <w:r w:rsidR="00115FAD">
        <w:t xml:space="preserve"> </w:t>
      </w:r>
      <w:r w:rsidR="00E36A49">
        <w:t>(</w:t>
      </w:r>
      <w:r w:rsidR="00E21B04">
        <w:t xml:space="preserve">the </w:t>
      </w:r>
      <w:r w:rsidR="00E36A49">
        <w:t xml:space="preserve">Commission) </w:t>
      </w:r>
      <w:r w:rsidR="00AA6CD7">
        <w:t xml:space="preserve">for </w:t>
      </w:r>
      <w:r w:rsidR="00AA6CD7" w:rsidRPr="00AA6CD7">
        <w:t xml:space="preserve">an anti-circumvention inquiry </w:t>
      </w:r>
      <w:r w:rsidR="00295C70">
        <w:t>(</w:t>
      </w:r>
      <w:r w:rsidR="005F3A68">
        <w:t>excluding</w:t>
      </w:r>
      <w:r w:rsidR="00295C70">
        <w:t xml:space="preserve"> </w:t>
      </w:r>
      <w:r w:rsidR="00AA6CD7" w:rsidRPr="00AA6CD7">
        <w:t>avoidance of the intended effect of duty</w:t>
      </w:r>
      <w:r w:rsidR="005F3A68">
        <w:t xml:space="preserve"> inquiries</w:t>
      </w:r>
      <w:r w:rsidR="00295C70">
        <w:t>)</w:t>
      </w:r>
      <w:r w:rsidR="00AA6CD7">
        <w:t>.</w:t>
      </w:r>
      <w:r w:rsidR="00AA6CD7" w:rsidRPr="00AA6CD7">
        <w:t xml:space="preserve"> </w:t>
      </w:r>
    </w:p>
    <w:p w14:paraId="4D0036BC" w14:textId="5D933737" w:rsidR="006720FE" w:rsidRDefault="006720FE" w:rsidP="003575D0">
      <w:pPr>
        <w:spacing w:after="0"/>
        <w:contextualSpacing/>
      </w:pPr>
      <w:r>
        <w:t>Specifically, this guide sets out:</w:t>
      </w:r>
    </w:p>
    <w:p w14:paraId="1E28D76C" w14:textId="1FDF2A37" w:rsidR="00001789" w:rsidRDefault="00820799" w:rsidP="003575D0">
      <w:pPr>
        <w:pStyle w:val="ListParagraph"/>
      </w:pPr>
      <w:r>
        <w:t>w</w:t>
      </w:r>
      <w:r w:rsidR="00001789">
        <w:t>h</w:t>
      </w:r>
      <w:r>
        <w:t xml:space="preserve">o can </w:t>
      </w:r>
      <w:proofErr w:type="gramStart"/>
      <w:r>
        <w:t>apply</w:t>
      </w:r>
      <w:proofErr w:type="gramEnd"/>
    </w:p>
    <w:p w14:paraId="119C0891" w14:textId="4F635566" w:rsidR="00523095" w:rsidRDefault="00820799" w:rsidP="003575D0">
      <w:pPr>
        <w:pStyle w:val="ListParagraph"/>
      </w:pPr>
      <w:r>
        <w:t>how to apply</w:t>
      </w:r>
    </w:p>
    <w:p w14:paraId="54FBFB9C" w14:textId="30D00698" w:rsidR="00523095" w:rsidRPr="00C616B8" w:rsidRDefault="00820799" w:rsidP="003575D0">
      <w:pPr>
        <w:pStyle w:val="ListParagraph"/>
      </w:pPr>
      <w:r>
        <w:t>i</w:t>
      </w:r>
      <w:r w:rsidR="00523095" w:rsidRPr="00C616B8">
        <w:t>nformation requir</w:t>
      </w:r>
      <w:r w:rsidR="00523095">
        <w:t xml:space="preserve">ed by the application </w:t>
      </w:r>
      <w:proofErr w:type="gramStart"/>
      <w:r w:rsidR="00523095">
        <w:t>form</w:t>
      </w:r>
      <w:proofErr w:type="gramEnd"/>
    </w:p>
    <w:p w14:paraId="3C0F8BBF" w14:textId="3799B535" w:rsidR="00523095" w:rsidRPr="00C616B8" w:rsidRDefault="00820799" w:rsidP="003575D0">
      <w:pPr>
        <w:pStyle w:val="ListParagraph"/>
      </w:pPr>
      <w:r>
        <w:t>t</w:t>
      </w:r>
      <w:r w:rsidR="00523095" w:rsidRPr="00C616B8">
        <w:t xml:space="preserve">he inquiry </w:t>
      </w:r>
      <w:proofErr w:type="gramStart"/>
      <w:r w:rsidR="00523095" w:rsidRPr="00C616B8">
        <w:t>process</w:t>
      </w:r>
      <w:proofErr w:type="gramEnd"/>
      <w:r w:rsidR="00523095" w:rsidRPr="00C616B8">
        <w:t xml:space="preserve"> </w:t>
      </w:r>
    </w:p>
    <w:p w14:paraId="21D3C731" w14:textId="09A16E76" w:rsidR="00E943A8" w:rsidRPr="00C616B8" w:rsidRDefault="00820799" w:rsidP="003575D0">
      <w:pPr>
        <w:pStyle w:val="ListParagraph"/>
      </w:pPr>
      <w:r>
        <w:t>w</w:t>
      </w:r>
      <w:r w:rsidR="00C616B8" w:rsidRPr="00C616B8">
        <w:t>here to find more information</w:t>
      </w:r>
      <w:r w:rsidR="00E943A8" w:rsidRPr="00C616B8">
        <w:t>.</w:t>
      </w:r>
    </w:p>
    <w:p w14:paraId="7D171C9D" w14:textId="43E9F429" w:rsidR="00BE3FD9" w:rsidRPr="00BE3FD9" w:rsidRDefault="00BE3FD9" w:rsidP="003575D0">
      <w:pPr>
        <w:spacing w:after="0"/>
        <w:contextualSpacing/>
      </w:pPr>
      <w:r w:rsidRPr="00BE3FD9">
        <w:t xml:space="preserve">Related policies and references include: </w:t>
      </w:r>
    </w:p>
    <w:p w14:paraId="7AB1C152" w14:textId="19495407" w:rsidR="00BE3FD9" w:rsidRPr="00BE3FD9" w:rsidRDefault="00000000" w:rsidP="003575D0">
      <w:pPr>
        <w:pStyle w:val="ListParagraph"/>
      </w:pPr>
      <w:hyperlink r:id="rId15" w:history="1">
        <w:r w:rsidR="00BE3FD9" w:rsidRPr="00D6140E">
          <w:rPr>
            <w:rStyle w:val="Hyperlink"/>
          </w:rPr>
          <w:t xml:space="preserve">How to apply for an anti-circumvention inquiry: avoidance of </w:t>
        </w:r>
        <w:r w:rsidR="007C3A58">
          <w:rPr>
            <w:rStyle w:val="Hyperlink"/>
          </w:rPr>
          <w:t xml:space="preserve">the </w:t>
        </w:r>
        <w:r w:rsidR="00BE3FD9" w:rsidRPr="00D6140E">
          <w:rPr>
            <w:rStyle w:val="Hyperlink"/>
          </w:rPr>
          <w:t>intended effect of duty</w:t>
        </w:r>
      </w:hyperlink>
      <w:r w:rsidR="00BE3FD9" w:rsidRPr="00BE3FD9">
        <w:t xml:space="preserve"> </w:t>
      </w:r>
    </w:p>
    <w:p w14:paraId="50470A9B" w14:textId="7E8D05CF" w:rsidR="00BE3FD9" w:rsidRPr="007D6662" w:rsidRDefault="00000000" w:rsidP="003575D0">
      <w:pPr>
        <w:pStyle w:val="ListParagraph"/>
      </w:pPr>
      <w:hyperlink r:id="rId16" w:history="1">
        <w:r w:rsidR="00BE3FD9" w:rsidRPr="00D6140E">
          <w:rPr>
            <w:rStyle w:val="Hyperlink"/>
          </w:rPr>
          <w:t>Dumping and Subsidy Manual</w:t>
        </w:r>
      </w:hyperlink>
      <w:r w:rsidR="00BE3FD9" w:rsidRPr="00BE3FD9">
        <w:t xml:space="preserve"> </w:t>
      </w:r>
    </w:p>
    <w:p w14:paraId="35098BB2" w14:textId="3CD55606" w:rsidR="0026077D" w:rsidRPr="0026077D" w:rsidRDefault="0026077D" w:rsidP="0013319D">
      <w:pPr>
        <w:pStyle w:val="Heading1"/>
      </w:pPr>
      <w:bookmarkStart w:id="5" w:name="_Toc195426"/>
      <w:bookmarkStart w:id="6" w:name="_Toc1361233802"/>
      <w:r>
        <w:t>Introduction</w:t>
      </w:r>
      <w:bookmarkEnd w:id="5"/>
      <w:bookmarkEnd w:id="6"/>
    </w:p>
    <w:p w14:paraId="3D174BF1" w14:textId="77777777" w:rsidR="00115FAD" w:rsidRDefault="00115FAD" w:rsidP="00CD7B27">
      <w:pPr>
        <w:tabs>
          <w:tab w:val="left" w:pos="1843"/>
        </w:tabs>
        <w:adjustRightInd w:val="0"/>
        <w:ind w:right="-151"/>
      </w:pPr>
      <w:bookmarkStart w:id="7" w:name="_Toc195427"/>
      <w:r w:rsidRPr="00001789">
        <w:t xml:space="preserve">Circumvention is a trade strategy used by exporters and/or importers of products </w:t>
      </w:r>
      <w:r>
        <w:t>to avoid either:</w:t>
      </w:r>
    </w:p>
    <w:p w14:paraId="41C93E2F" w14:textId="10235C9C" w:rsidR="00115FAD" w:rsidRPr="00B6012D" w:rsidRDefault="00115FAD" w:rsidP="00B6012D">
      <w:pPr>
        <w:pStyle w:val="ListParagraph"/>
        <w:numPr>
          <w:ilvl w:val="0"/>
          <w:numId w:val="33"/>
        </w:numPr>
      </w:pPr>
      <w:r w:rsidRPr="00B6012D">
        <w:t>the full payment of dumping and/or countervailing duties</w:t>
      </w:r>
      <w:r w:rsidR="00CD14E9" w:rsidRPr="00B6012D">
        <w:t xml:space="preserve">, </w:t>
      </w:r>
      <w:r w:rsidRPr="00B6012D">
        <w:t>or</w:t>
      </w:r>
    </w:p>
    <w:p w14:paraId="60635E8C" w14:textId="77777777" w:rsidR="00115FAD" w:rsidRPr="00B6012D" w:rsidRDefault="00115FAD" w:rsidP="00B6012D">
      <w:pPr>
        <w:pStyle w:val="ListParagraph"/>
        <w:numPr>
          <w:ilvl w:val="0"/>
          <w:numId w:val="33"/>
        </w:numPr>
      </w:pPr>
      <w:r w:rsidRPr="00B6012D">
        <w:t>the price effect of the dumping and/or countervailing duties in the Australian market.</w:t>
      </w:r>
    </w:p>
    <w:p w14:paraId="2D0600A4" w14:textId="77777777" w:rsidR="00115FAD" w:rsidRPr="003C3499" w:rsidRDefault="00115FAD" w:rsidP="00CD7B27">
      <w:pPr>
        <w:tabs>
          <w:tab w:val="left" w:pos="1843"/>
        </w:tabs>
        <w:adjustRightInd w:val="0"/>
        <w:spacing w:before="0"/>
        <w:ind w:right="-151"/>
        <w:rPr>
          <w:rFonts w:cs="Arial"/>
        </w:rPr>
      </w:pPr>
      <w:r w:rsidRPr="00001789">
        <w:t xml:space="preserve">Circumvention </w:t>
      </w:r>
      <w:r w:rsidRPr="003C3499">
        <w:rPr>
          <w:rFonts w:cs="Arial"/>
        </w:rPr>
        <w:t xml:space="preserve">activities take various forms and exploit different aspects of the </w:t>
      </w:r>
      <w:proofErr w:type="spellStart"/>
      <w:r w:rsidRPr="003C3499">
        <w:rPr>
          <w:rFonts w:cs="Arial"/>
        </w:rPr>
        <w:t>anti-dumping</w:t>
      </w:r>
      <w:proofErr w:type="spellEnd"/>
      <w:r w:rsidRPr="003C3499">
        <w:rPr>
          <w:rFonts w:cs="Arial"/>
        </w:rPr>
        <w:t xml:space="preserve"> system, but the outcome of these activities is that either:</w:t>
      </w:r>
    </w:p>
    <w:p w14:paraId="5A5370B6" w14:textId="1E9239E0" w:rsidR="00115FAD" w:rsidRPr="00B6012D" w:rsidRDefault="00115FAD" w:rsidP="00B6012D">
      <w:pPr>
        <w:pStyle w:val="ListParagraph"/>
        <w:numPr>
          <w:ilvl w:val="0"/>
          <w:numId w:val="34"/>
        </w:numPr>
      </w:pPr>
      <w:r w:rsidRPr="00B6012D">
        <w:t>the relevant goods do not attract the intended dumping and</w:t>
      </w:r>
      <w:r w:rsidR="00820799" w:rsidRPr="00B6012D">
        <w:t>/</w:t>
      </w:r>
      <w:r w:rsidRPr="00B6012D">
        <w:t>or countervailing duty</w:t>
      </w:r>
      <w:r w:rsidR="00820799" w:rsidRPr="00B6012D">
        <w:t>,</w:t>
      </w:r>
      <w:r w:rsidRPr="00B6012D">
        <w:t xml:space="preserve"> or</w:t>
      </w:r>
    </w:p>
    <w:p w14:paraId="4E17EDDA" w14:textId="579A0E03" w:rsidR="00115FAD" w:rsidRPr="00B6012D" w:rsidRDefault="00115FAD" w:rsidP="00B6012D">
      <w:pPr>
        <w:pStyle w:val="ListParagraph"/>
        <w:numPr>
          <w:ilvl w:val="0"/>
          <w:numId w:val="34"/>
        </w:numPr>
      </w:pPr>
      <w:r w:rsidRPr="00B6012D">
        <w:t xml:space="preserve">the relevant goods attract </w:t>
      </w:r>
      <w:r w:rsidR="00CD14E9" w:rsidRPr="00B6012D">
        <w:t>du</w:t>
      </w:r>
      <w:r w:rsidR="009D58BB" w:rsidRPr="00B6012D">
        <w:t xml:space="preserve">mping and/or countervailing </w:t>
      </w:r>
      <w:r w:rsidRPr="00B6012D">
        <w:t xml:space="preserve">duty, which is paid, but the payment of the duty does not have the intended price effect in the market (and therefore does not have the effect of removing the </w:t>
      </w:r>
      <w:r w:rsidR="00A11732">
        <w:t xml:space="preserve">material </w:t>
      </w:r>
      <w:r w:rsidRPr="00B6012D">
        <w:t xml:space="preserve">injury caused by dumped and/or subsidised prices). </w:t>
      </w:r>
    </w:p>
    <w:p w14:paraId="7AE958E1" w14:textId="5574A8A4" w:rsidR="0035621E" w:rsidRDefault="00115FAD" w:rsidP="003575D0">
      <w:r>
        <w:t xml:space="preserve">This guide outlines the steps involved in applying to the Commission for </w:t>
      </w:r>
      <w:r w:rsidRPr="00AA6CD7">
        <w:t>an anti</w:t>
      </w:r>
      <w:r w:rsidR="00820799">
        <w:noBreakHyphen/>
      </w:r>
      <w:r w:rsidRPr="00AA6CD7">
        <w:t>circumvention inquiry</w:t>
      </w:r>
      <w:r w:rsidR="000D051D">
        <w:t xml:space="preserve"> </w:t>
      </w:r>
      <w:r w:rsidR="004A4EB9">
        <w:t xml:space="preserve">where the goods do not attract </w:t>
      </w:r>
      <w:r w:rsidR="004A4EB9" w:rsidRPr="00B6012D">
        <w:t>the intended dumping and/or countervailing duty</w:t>
      </w:r>
      <w:r w:rsidR="004A4EB9">
        <w:t xml:space="preserve"> (</w:t>
      </w:r>
      <w:r w:rsidRPr="00187FCF">
        <w:t>point a</w:t>
      </w:r>
      <w:r>
        <w:t xml:space="preserve"> above</w:t>
      </w:r>
      <w:r w:rsidR="004A4EB9">
        <w:t>)</w:t>
      </w:r>
      <w:r>
        <w:t xml:space="preserve">. </w:t>
      </w:r>
    </w:p>
    <w:p w14:paraId="070CA814" w14:textId="30AF4072" w:rsidR="00115FAD" w:rsidRDefault="00115FAD" w:rsidP="003575D0">
      <w:r w:rsidRPr="00F86B5D">
        <w:lastRenderedPageBreak/>
        <w:t xml:space="preserve">For </w:t>
      </w:r>
      <w:r>
        <w:t xml:space="preserve">guidance on applying to the Commission for </w:t>
      </w:r>
      <w:r w:rsidRPr="00AA6CD7">
        <w:t>an anti-circumvention inquiry</w:t>
      </w:r>
      <w:r w:rsidRPr="00F86B5D">
        <w:t xml:space="preserve"> </w:t>
      </w:r>
      <w:r>
        <w:t xml:space="preserve">into </w:t>
      </w:r>
      <w:r w:rsidR="00991435">
        <w:t xml:space="preserve">the </w:t>
      </w:r>
      <w:r w:rsidR="00991435" w:rsidRPr="00AA6CD7">
        <w:t>avoidance of the intended effect of duty</w:t>
      </w:r>
      <w:r w:rsidRPr="00F86B5D">
        <w:t xml:space="preserve"> </w:t>
      </w:r>
      <w:r>
        <w:t>(</w:t>
      </w:r>
      <w:r w:rsidRPr="00187FCF">
        <w:t>point b</w:t>
      </w:r>
      <w:r>
        <w:t xml:space="preserve"> above)</w:t>
      </w:r>
      <w:r w:rsidRPr="00F86B5D">
        <w:t xml:space="preserve">, </w:t>
      </w:r>
      <w:r w:rsidR="00D6140E">
        <w:t xml:space="preserve">please refer to </w:t>
      </w:r>
      <w:r w:rsidRPr="00C31C4C">
        <w:rPr>
          <w:i/>
        </w:rPr>
        <w:t>‘</w:t>
      </w:r>
      <w:hyperlink r:id="rId17" w:history="1">
        <w:r w:rsidR="00820799" w:rsidRPr="00C31C4C">
          <w:rPr>
            <w:rStyle w:val="Hyperlink"/>
            <w:i/>
          </w:rPr>
          <w:t>How to apply for an anti</w:t>
        </w:r>
        <w:r w:rsidR="00820799" w:rsidRPr="00C31C4C">
          <w:rPr>
            <w:rStyle w:val="Hyperlink"/>
            <w:i/>
          </w:rPr>
          <w:noBreakHyphen/>
        </w:r>
        <w:r w:rsidRPr="00C31C4C">
          <w:rPr>
            <w:rStyle w:val="Hyperlink"/>
            <w:i/>
          </w:rPr>
          <w:t>circumvention inquiry: avoidance of the intended effect of duty</w:t>
        </w:r>
      </w:hyperlink>
      <w:r w:rsidRPr="00C31C4C">
        <w:rPr>
          <w:i/>
        </w:rPr>
        <w:t>’</w:t>
      </w:r>
      <w:r>
        <w:t>.</w:t>
      </w:r>
      <w:r w:rsidRPr="00BE3FD9">
        <w:t xml:space="preserve"> </w:t>
      </w:r>
    </w:p>
    <w:p w14:paraId="3A7AA0C3" w14:textId="30081BD7" w:rsidR="00001789" w:rsidRPr="002E03AA" w:rsidRDefault="00001789" w:rsidP="770C313B">
      <w:pPr>
        <w:pStyle w:val="Heading2"/>
        <w:rPr>
          <w:rFonts w:eastAsiaTheme="minorEastAsia" w:cstheme="minorBidi"/>
          <w:color w:val="1B9590" w:themeColor="accent3"/>
          <w:sz w:val="22"/>
          <w:szCs w:val="22"/>
        </w:rPr>
      </w:pPr>
      <w:bookmarkStart w:id="8" w:name="_Toc729111482"/>
      <w:r w:rsidRPr="770C313B">
        <w:rPr>
          <w:rFonts w:eastAsiaTheme="minorEastAsia" w:cstheme="minorBidi"/>
          <w:color w:val="1B9590" w:themeColor="accent3"/>
          <w:sz w:val="22"/>
          <w:szCs w:val="22"/>
        </w:rPr>
        <w:t>What is a</w:t>
      </w:r>
      <w:r w:rsidR="007D6662" w:rsidRPr="770C313B">
        <w:rPr>
          <w:rFonts w:eastAsiaTheme="minorEastAsia" w:cstheme="minorBidi"/>
          <w:color w:val="1B9590" w:themeColor="accent3"/>
          <w:sz w:val="22"/>
          <w:szCs w:val="22"/>
        </w:rPr>
        <w:t xml:space="preserve"> circumvention </w:t>
      </w:r>
      <w:proofErr w:type="gramStart"/>
      <w:r w:rsidR="007D6662" w:rsidRPr="770C313B">
        <w:rPr>
          <w:rFonts w:eastAsiaTheme="minorEastAsia" w:cstheme="minorBidi"/>
          <w:color w:val="1B9590" w:themeColor="accent3"/>
          <w:sz w:val="22"/>
          <w:szCs w:val="22"/>
        </w:rPr>
        <w:t>activity</w:t>
      </w:r>
      <w:bookmarkEnd w:id="8"/>
      <w:proofErr w:type="gramEnd"/>
    </w:p>
    <w:p w14:paraId="0D7635FB" w14:textId="62FBC59E" w:rsidR="00001789" w:rsidRPr="00DA144D" w:rsidRDefault="00001789" w:rsidP="003C441E">
      <w:pPr>
        <w:tabs>
          <w:tab w:val="left" w:pos="1843"/>
        </w:tabs>
        <w:adjustRightInd w:val="0"/>
        <w:spacing w:after="0"/>
        <w:ind w:right="-151"/>
        <w:rPr>
          <w:rFonts w:cs="Arial"/>
        </w:rPr>
      </w:pPr>
      <w:r w:rsidRPr="00DA144D">
        <w:rPr>
          <w:rFonts w:cs="Arial"/>
        </w:rPr>
        <w:t xml:space="preserve">Section 269ZDBB </w:t>
      </w:r>
      <w:r w:rsidRPr="00800163">
        <w:rPr>
          <w:rFonts w:cs="Arial"/>
        </w:rPr>
        <w:t xml:space="preserve">of the </w:t>
      </w:r>
      <w:hyperlink r:id="rId18" w:history="1">
        <w:r w:rsidRPr="003C441E">
          <w:rPr>
            <w:rStyle w:val="Hyperlink"/>
            <w:rFonts w:cs="Arial"/>
            <w:i/>
          </w:rPr>
          <w:t>Customs Act 1901</w:t>
        </w:r>
      </w:hyperlink>
      <w:r w:rsidR="00A11732">
        <w:rPr>
          <w:rStyle w:val="Hyperlink"/>
          <w:rFonts w:cs="Arial"/>
          <w:i/>
        </w:rPr>
        <w:t xml:space="preserve"> </w:t>
      </w:r>
      <w:r w:rsidR="00A11732">
        <w:rPr>
          <w:rStyle w:val="Hyperlink"/>
          <w:rFonts w:cs="Arial"/>
        </w:rPr>
        <w:t>(</w:t>
      </w:r>
      <w:proofErr w:type="spellStart"/>
      <w:r w:rsidR="00A11732">
        <w:rPr>
          <w:rStyle w:val="Hyperlink"/>
          <w:rFonts w:cs="Arial"/>
        </w:rPr>
        <w:t>Cth</w:t>
      </w:r>
      <w:proofErr w:type="spellEnd"/>
      <w:r w:rsidR="00A11732">
        <w:rPr>
          <w:rStyle w:val="Hyperlink"/>
          <w:rFonts w:cs="Arial"/>
        </w:rPr>
        <w:t>)</w:t>
      </w:r>
      <w:r w:rsidRPr="00800163">
        <w:rPr>
          <w:rFonts w:cs="Arial"/>
          <w:i/>
        </w:rPr>
        <w:t xml:space="preserve"> </w:t>
      </w:r>
      <w:r w:rsidRPr="00800163">
        <w:rPr>
          <w:rFonts w:cs="Arial"/>
        </w:rPr>
        <w:t xml:space="preserve">(the Act) </w:t>
      </w:r>
      <w:r w:rsidRPr="00DA144D">
        <w:rPr>
          <w:rFonts w:cs="Arial"/>
        </w:rPr>
        <w:t>sets out when circumvention activity, in relation to a notice</w:t>
      </w:r>
      <w:r w:rsidR="00A34CDD">
        <w:rPr>
          <w:rFonts w:cs="Arial"/>
        </w:rPr>
        <w:t xml:space="preserve"> </w:t>
      </w:r>
      <w:r w:rsidRPr="00DA144D">
        <w:rPr>
          <w:rFonts w:cs="Arial"/>
        </w:rPr>
        <w:t xml:space="preserve">published </w:t>
      </w:r>
      <w:r w:rsidR="0021510B">
        <w:rPr>
          <w:rFonts w:cs="Arial"/>
        </w:rPr>
        <w:t xml:space="preserve">following an investigation </w:t>
      </w:r>
      <w:r w:rsidRPr="00DA144D">
        <w:rPr>
          <w:rFonts w:cs="Arial"/>
        </w:rPr>
        <w:t>under section</w:t>
      </w:r>
      <w:r>
        <w:rPr>
          <w:rFonts w:cs="Arial"/>
        </w:rPr>
        <w:t>s</w:t>
      </w:r>
      <w:r w:rsidRPr="00DA144D">
        <w:rPr>
          <w:rFonts w:cs="Arial"/>
        </w:rPr>
        <w:t xml:space="preserve"> 269TG(2) or 269TJ(2)</w:t>
      </w:r>
      <w:r>
        <w:rPr>
          <w:rFonts w:cs="Arial"/>
        </w:rPr>
        <w:t xml:space="preserve"> of the Act</w:t>
      </w:r>
      <w:r w:rsidR="00CD14E9">
        <w:rPr>
          <w:rFonts w:cs="Arial"/>
        </w:rPr>
        <w:t>,</w:t>
      </w:r>
      <w:r w:rsidRPr="00DA144D">
        <w:rPr>
          <w:rFonts w:cs="Arial"/>
        </w:rPr>
        <w:t xml:space="preserve"> occurs.</w:t>
      </w:r>
      <w:r>
        <w:rPr>
          <w:rFonts w:cs="Arial"/>
        </w:rPr>
        <w:t xml:space="preserve"> </w:t>
      </w:r>
    </w:p>
    <w:p w14:paraId="0B018932" w14:textId="77777777" w:rsidR="00001789" w:rsidRPr="00DA144D" w:rsidRDefault="00001789" w:rsidP="003575D0">
      <w:pPr>
        <w:tabs>
          <w:tab w:val="left" w:pos="1843"/>
        </w:tabs>
        <w:adjustRightInd w:val="0"/>
        <w:spacing w:before="0" w:after="0"/>
        <w:ind w:right="-151"/>
        <w:rPr>
          <w:rFonts w:cs="Arial"/>
        </w:rPr>
      </w:pPr>
    </w:p>
    <w:p w14:paraId="54F900AE" w14:textId="37338933" w:rsidR="00001789" w:rsidRPr="00DA144D" w:rsidRDefault="00820799" w:rsidP="003575D0">
      <w:pPr>
        <w:tabs>
          <w:tab w:val="left" w:pos="1843"/>
        </w:tabs>
        <w:adjustRightInd w:val="0"/>
        <w:spacing w:before="0" w:after="0"/>
        <w:ind w:right="-153"/>
        <w:rPr>
          <w:rFonts w:cs="Arial"/>
        </w:rPr>
      </w:pPr>
      <w:r>
        <w:rPr>
          <w:rFonts w:cs="Arial"/>
        </w:rPr>
        <w:t>Prescribed c</w:t>
      </w:r>
      <w:r w:rsidR="00001789" w:rsidRPr="00DA144D">
        <w:rPr>
          <w:rFonts w:cs="Arial"/>
        </w:rPr>
        <w:t>ircumvention activities</w:t>
      </w:r>
      <w:r w:rsidR="00301D90">
        <w:rPr>
          <w:rFonts w:cs="Arial"/>
        </w:rPr>
        <w:t xml:space="preserve"> are</w:t>
      </w:r>
      <w:r w:rsidR="00001789" w:rsidRPr="00DA144D">
        <w:rPr>
          <w:rFonts w:cs="Arial"/>
        </w:rPr>
        <w:t>:</w:t>
      </w:r>
    </w:p>
    <w:p w14:paraId="6F9BF1EB" w14:textId="4F234C5B" w:rsidR="00001789" w:rsidRPr="00DA144D" w:rsidRDefault="00001789" w:rsidP="00EB2336">
      <w:pPr>
        <w:pStyle w:val="ListParagraph"/>
      </w:pPr>
      <w:r w:rsidRPr="00DA144D">
        <w:t>assembly of parts in Australia</w:t>
      </w:r>
    </w:p>
    <w:p w14:paraId="4C9CB4FD" w14:textId="76A64094" w:rsidR="00001789" w:rsidRPr="00DA144D" w:rsidRDefault="00001789" w:rsidP="00EB2336">
      <w:pPr>
        <w:pStyle w:val="ListParagraph"/>
      </w:pPr>
      <w:r w:rsidRPr="00DA144D">
        <w:t xml:space="preserve">assembly of parts in </w:t>
      </w:r>
      <w:r w:rsidR="0052318D">
        <w:t xml:space="preserve">a </w:t>
      </w:r>
      <w:r w:rsidRPr="00DA144D">
        <w:t>third country</w:t>
      </w:r>
    </w:p>
    <w:p w14:paraId="32D8280D" w14:textId="26910F1D" w:rsidR="00001789" w:rsidRPr="00DA144D" w:rsidRDefault="00001789" w:rsidP="00EB2336">
      <w:pPr>
        <w:pStyle w:val="ListParagraph"/>
      </w:pPr>
      <w:r w:rsidRPr="00DA144D">
        <w:t>export of goods through one or more third countries</w:t>
      </w:r>
    </w:p>
    <w:p w14:paraId="4FFECD18" w14:textId="71808307" w:rsidR="00301D90" w:rsidRDefault="00001789" w:rsidP="00EB2336">
      <w:pPr>
        <w:pStyle w:val="ListParagraph"/>
      </w:pPr>
      <w:r w:rsidRPr="00DA144D">
        <w:t>arrangements between exporters</w:t>
      </w:r>
    </w:p>
    <w:p w14:paraId="298541E8" w14:textId="162FD951" w:rsidR="00001789" w:rsidRPr="00DA144D" w:rsidRDefault="00301D90" w:rsidP="00EB2336">
      <w:pPr>
        <w:pStyle w:val="ListParagraph"/>
      </w:pPr>
      <w:r>
        <w:t xml:space="preserve">avoidance of </w:t>
      </w:r>
      <w:r w:rsidR="0052318D">
        <w:t xml:space="preserve">the </w:t>
      </w:r>
      <w:r>
        <w:t>intended effect of duty,</w:t>
      </w:r>
      <w:r w:rsidR="00001789" w:rsidRPr="00DA144D">
        <w:t xml:space="preserve"> and</w:t>
      </w:r>
    </w:p>
    <w:p w14:paraId="4FBD0492" w14:textId="4612294C" w:rsidR="00301D90" w:rsidRDefault="00301D90" w:rsidP="009D58BB">
      <w:pPr>
        <w:pStyle w:val="ListParagraph"/>
      </w:pPr>
      <w:r>
        <w:t>slight modification of goods</w:t>
      </w:r>
      <w:r w:rsidR="00820799">
        <w:t xml:space="preserve"> exported to Australia</w:t>
      </w:r>
      <w:r>
        <w:t>.</w:t>
      </w:r>
      <w:r w:rsidR="00E24927">
        <w:rPr>
          <w:rStyle w:val="FootnoteReference"/>
        </w:rPr>
        <w:footnoteReference w:id="2"/>
      </w:r>
    </w:p>
    <w:p w14:paraId="057A7911" w14:textId="34A12500" w:rsidR="00001789" w:rsidRDefault="003C075E" w:rsidP="003575D0">
      <w:pPr>
        <w:adjustRightInd w:val="0"/>
        <w:spacing w:before="0" w:after="0"/>
        <w:ind w:right="-151"/>
        <w:rPr>
          <w:rFonts w:cs="Arial"/>
        </w:rPr>
      </w:pPr>
      <w:r>
        <w:rPr>
          <w:rFonts w:cs="Arial"/>
        </w:rPr>
        <w:t xml:space="preserve">Greater detail on these activities </w:t>
      </w:r>
      <w:r w:rsidR="00301D90">
        <w:rPr>
          <w:rFonts w:cs="Arial"/>
        </w:rPr>
        <w:t xml:space="preserve">(excluding avoidance of </w:t>
      </w:r>
      <w:r w:rsidR="00CD14E9">
        <w:rPr>
          <w:rFonts w:cs="Arial"/>
        </w:rPr>
        <w:t xml:space="preserve">the </w:t>
      </w:r>
      <w:r w:rsidR="00301D90">
        <w:rPr>
          <w:rFonts w:cs="Arial"/>
        </w:rPr>
        <w:t xml:space="preserve">intended effect of duty) </w:t>
      </w:r>
      <w:r>
        <w:rPr>
          <w:rFonts w:cs="Arial"/>
        </w:rPr>
        <w:t xml:space="preserve">is in the </w:t>
      </w:r>
      <w:r w:rsidR="00DD7DC8">
        <w:rPr>
          <w:rFonts w:cs="Arial"/>
        </w:rPr>
        <w:t xml:space="preserve">‘information required by the application form’ section of </w:t>
      </w:r>
      <w:r w:rsidR="00001789">
        <w:rPr>
          <w:rFonts w:cs="Arial"/>
        </w:rPr>
        <w:t xml:space="preserve">these </w:t>
      </w:r>
      <w:r w:rsidR="002E2436">
        <w:rPr>
          <w:rFonts w:cs="Arial"/>
        </w:rPr>
        <w:t>g</w:t>
      </w:r>
      <w:r w:rsidR="00001789">
        <w:rPr>
          <w:rFonts w:cs="Arial"/>
        </w:rPr>
        <w:t>uidelines</w:t>
      </w:r>
      <w:r w:rsidR="00001789" w:rsidRPr="00DD7DC8">
        <w:rPr>
          <w:rFonts w:cs="Arial"/>
        </w:rPr>
        <w:t>.</w:t>
      </w:r>
    </w:p>
    <w:p w14:paraId="1DBFC9A4" w14:textId="77777777" w:rsidR="002E03AA" w:rsidRPr="007D6662" w:rsidRDefault="002E03AA" w:rsidP="003575D0">
      <w:pPr>
        <w:adjustRightInd w:val="0"/>
        <w:spacing w:before="0" w:after="0"/>
        <w:ind w:right="-151"/>
        <w:rPr>
          <w:rFonts w:cs="Arial"/>
        </w:rPr>
      </w:pPr>
    </w:p>
    <w:p w14:paraId="33C9ADDB" w14:textId="00457B74" w:rsidR="00001789" w:rsidRPr="002E03AA" w:rsidRDefault="00001789" w:rsidP="770C313B">
      <w:pPr>
        <w:pStyle w:val="Heading2"/>
        <w:rPr>
          <w:rFonts w:eastAsiaTheme="minorEastAsia" w:cstheme="minorBidi"/>
          <w:color w:val="1B9590" w:themeColor="accent3"/>
          <w:sz w:val="22"/>
          <w:szCs w:val="22"/>
        </w:rPr>
      </w:pPr>
      <w:bookmarkStart w:id="9" w:name="_Toc785551833"/>
      <w:r w:rsidRPr="770C313B">
        <w:rPr>
          <w:rFonts w:eastAsiaTheme="minorEastAsia" w:cstheme="minorBidi"/>
          <w:color w:val="1B9590" w:themeColor="accent3"/>
          <w:sz w:val="22"/>
          <w:szCs w:val="22"/>
        </w:rPr>
        <w:t xml:space="preserve">What is not a circumvention </w:t>
      </w:r>
      <w:proofErr w:type="gramStart"/>
      <w:r w:rsidRPr="770C313B">
        <w:rPr>
          <w:rFonts w:eastAsiaTheme="minorEastAsia" w:cstheme="minorBidi"/>
          <w:color w:val="1B9590" w:themeColor="accent3"/>
          <w:sz w:val="22"/>
          <w:szCs w:val="22"/>
        </w:rPr>
        <w:t>activity</w:t>
      </w:r>
      <w:bookmarkEnd w:id="9"/>
      <w:proofErr w:type="gramEnd"/>
    </w:p>
    <w:p w14:paraId="725FB55D" w14:textId="410B373D" w:rsidR="00001789" w:rsidRDefault="0035621E" w:rsidP="009900C2">
      <w:pPr>
        <w:adjustRightInd w:val="0"/>
        <w:spacing w:after="0"/>
        <w:ind w:right="-151"/>
        <w:rPr>
          <w:rFonts w:cs="Arial"/>
        </w:rPr>
      </w:pPr>
      <w:r>
        <w:rPr>
          <w:rFonts w:cs="Arial"/>
        </w:rPr>
        <w:t>Circumvention activities prescribed by the Act only relate to c</w:t>
      </w:r>
      <w:r w:rsidRPr="00EC6EAB">
        <w:rPr>
          <w:rFonts w:cs="Arial"/>
        </w:rPr>
        <w:t>ircumvention</w:t>
      </w:r>
      <w:r>
        <w:rPr>
          <w:rFonts w:cs="Arial"/>
        </w:rPr>
        <w:t xml:space="preserve"> activities to avoid a dumping or countervailing duty notice and are not </w:t>
      </w:r>
      <w:r w:rsidRPr="00EC6EAB">
        <w:rPr>
          <w:rFonts w:cs="Arial"/>
        </w:rPr>
        <w:t>illegal</w:t>
      </w:r>
      <w:r>
        <w:rPr>
          <w:rFonts w:cs="Arial"/>
        </w:rPr>
        <w:t xml:space="preserve"> or necessarily indicative of criminal behaviour</w:t>
      </w:r>
      <w:r w:rsidRPr="00D722E1">
        <w:rPr>
          <w:rFonts w:cs="Arial"/>
        </w:rPr>
        <w:t>.</w:t>
      </w:r>
      <w:r>
        <w:rPr>
          <w:rFonts w:cs="Arial"/>
        </w:rPr>
        <w:t xml:space="preserve"> </w:t>
      </w:r>
      <w:r w:rsidR="00272234">
        <w:rPr>
          <w:rFonts w:cs="Arial"/>
        </w:rPr>
        <w:t>The Commission would not generally consider the following to be circumvention activities a</w:t>
      </w:r>
      <w:r w:rsidR="00AA11F1">
        <w:rPr>
          <w:rFonts w:cs="Arial"/>
        </w:rPr>
        <w:t>s prescribed under the Act</w:t>
      </w:r>
      <w:r w:rsidR="0088289E">
        <w:rPr>
          <w:rFonts w:cs="Arial"/>
        </w:rPr>
        <w:t>:</w:t>
      </w:r>
    </w:p>
    <w:p w14:paraId="5CBD9D21" w14:textId="3A421E83" w:rsidR="00001789" w:rsidRDefault="00001789" w:rsidP="00EB2336">
      <w:pPr>
        <w:pStyle w:val="ListParagraph"/>
      </w:pPr>
      <w:r>
        <w:t xml:space="preserve">activities that relate to goods that are subject to a notice published under </w:t>
      </w:r>
      <w:r w:rsidRPr="00712986">
        <w:t>sections 269</w:t>
      </w:r>
      <w:proofErr w:type="gramStart"/>
      <w:r w:rsidRPr="00712986">
        <w:t>TG(</w:t>
      </w:r>
      <w:proofErr w:type="gramEnd"/>
      <w:r>
        <w:t>1) or 269TJ(1) of the Act;</w:t>
      </w:r>
      <w:r w:rsidR="00E24927" w:rsidRPr="00E24927">
        <w:rPr>
          <w:rStyle w:val="FootnoteReference"/>
          <w:rFonts w:cs="Arial"/>
        </w:rPr>
        <w:t xml:space="preserve"> </w:t>
      </w:r>
      <w:r w:rsidR="00E24927">
        <w:rPr>
          <w:rStyle w:val="FootnoteReference"/>
          <w:rFonts w:cs="Arial"/>
        </w:rPr>
        <w:footnoteReference w:id="3"/>
      </w:r>
      <w:r>
        <w:t xml:space="preserve"> and</w:t>
      </w:r>
    </w:p>
    <w:p w14:paraId="09546F3D" w14:textId="0EFA5F09" w:rsidR="00001789" w:rsidRPr="00EB2336" w:rsidRDefault="00001789" w:rsidP="00EB2336">
      <w:pPr>
        <w:pStyle w:val="ListParagraph"/>
      </w:pPr>
      <w:r>
        <w:t>goods that have not attracted the intended dumping or countervailing duty due to false and misleading statements provided by importers on Import Declarations (i.e. where incorrect country codes (and country of export), tariff classifications / statistical codes or exemption types are knowingly used by importers).</w:t>
      </w:r>
    </w:p>
    <w:p w14:paraId="073C26BE" w14:textId="484F811B" w:rsidR="00001789" w:rsidRPr="00CE031A" w:rsidRDefault="007B7069" w:rsidP="003575D0">
      <w:pPr>
        <w:widowControl w:val="0"/>
        <w:tabs>
          <w:tab w:val="left" w:pos="1843"/>
          <w:tab w:val="left" w:pos="8055"/>
        </w:tabs>
        <w:autoSpaceDE w:val="0"/>
        <w:autoSpaceDN w:val="0"/>
        <w:adjustRightInd w:val="0"/>
        <w:spacing w:before="0" w:after="0"/>
        <w:ind w:right="-151"/>
        <w:rPr>
          <w:rFonts w:cs="Arial"/>
        </w:rPr>
      </w:pPr>
      <w:r>
        <w:rPr>
          <w:rFonts w:cs="Arial"/>
        </w:rPr>
        <w:t xml:space="preserve">If you suspect these </w:t>
      </w:r>
      <w:r w:rsidR="005D5B50">
        <w:rPr>
          <w:rFonts w:cs="Arial"/>
        </w:rPr>
        <w:t>activities are occurring,</w:t>
      </w:r>
      <w:r>
        <w:rPr>
          <w:rFonts w:cs="Arial"/>
        </w:rPr>
        <w:t xml:space="preserve"> </w:t>
      </w:r>
      <w:r w:rsidR="00001789">
        <w:rPr>
          <w:rFonts w:cs="Arial"/>
        </w:rPr>
        <w:t xml:space="preserve">you may refer them to </w:t>
      </w:r>
      <w:r w:rsidR="00301D90">
        <w:rPr>
          <w:rFonts w:cs="Arial"/>
        </w:rPr>
        <w:t>the Australian Border Force</w:t>
      </w:r>
      <w:r w:rsidR="007F4CFC">
        <w:rPr>
          <w:rFonts w:cs="Arial"/>
        </w:rPr>
        <w:t xml:space="preserve"> (ABF)</w:t>
      </w:r>
      <w:r w:rsidR="00001789">
        <w:rPr>
          <w:rFonts w:cs="Arial"/>
        </w:rPr>
        <w:t xml:space="preserve">. </w:t>
      </w:r>
      <w:r w:rsidR="00AA11F1">
        <w:rPr>
          <w:rFonts w:cs="Arial"/>
        </w:rPr>
        <w:t xml:space="preserve">The </w:t>
      </w:r>
      <w:r w:rsidR="007F4CFC">
        <w:rPr>
          <w:rFonts w:cs="Arial"/>
        </w:rPr>
        <w:t xml:space="preserve">ABF </w:t>
      </w:r>
      <w:r w:rsidR="00AA11F1">
        <w:rPr>
          <w:rFonts w:cs="Arial"/>
        </w:rPr>
        <w:t>may subsequently investigate these activities</w:t>
      </w:r>
      <w:r w:rsidR="00001789">
        <w:rPr>
          <w:rFonts w:cs="Arial"/>
        </w:rPr>
        <w:t xml:space="preserve"> where they involve potential non</w:t>
      </w:r>
      <w:r w:rsidR="00ED3948">
        <w:rPr>
          <w:rFonts w:cs="Arial"/>
        </w:rPr>
        <w:noBreakHyphen/>
      </w:r>
      <w:r w:rsidR="00001789">
        <w:rPr>
          <w:rFonts w:cs="Arial"/>
        </w:rPr>
        <w:t>compliance with the Act.</w:t>
      </w:r>
    </w:p>
    <w:p w14:paraId="1C45A134" w14:textId="77777777" w:rsidR="00001789" w:rsidRPr="00001789" w:rsidRDefault="00001789" w:rsidP="003575D0">
      <w:pPr>
        <w:tabs>
          <w:tab w:val="left" w:pos="1843"/>
        </w:tabs>
        <w:adjustRightInd w:val="0"/>
        <w:spacing w:before="0" w:after="0"/>
        <w:ind w:right="-151"/>
      </w:pPr>
    </w:p>
    <w:p w14:paraId="3BBF2939" w14:textId="274C2FC8" w:rsidR="00D61761" w:rsidRDefault="00001789" w:rsidP="008F1B94">
      <w:pPr>
        <w:pStyle w:val="Heading1"/>
      </w:pPr>
      <w:bookmarkStart w:id="10" w:name="_Toc1097425630"/>
      <w:r>
        <w:lastRenderedPageBreak/>
        <w:t xml:space="preserve">Who can </w:t>
      </w:r>
      <w:proofErr w:type="gramStart"/>
      <w:r>
        <w:t>apply</w:t>
      </w:r>
      <w:bookmarkEnd w:id="10"/>
      <w:proofErr w:type="gramEnd"/>
      <w:r>
        <w:t xml:space="preserve"> </w:t>
      </w:r>
      <w:bookmarkEnd w:id="7"/>
    </w:p>
    <w:p w14:paraId="27B474AA" w14:textId="031BA6EC" w:rsidR="00001789" w:rsidRDefault="00001789" w:rsidP="00E21B04">
      <w:pPr>
        <w:tabs>
          <w:tab w:val="left" w:pos="1843"/>
        </w:tabs>
        <w:adjustRightInd w:val="0"/>
        <w:spacing w:after="0"/>
        <w:ind w:right="-151"/>
        <w:rPr>
          <w:rFonts w:cs="Arial"/>
        </w:rPr>
      </w:pPr>
      <w:r>
        <w:rPr>
          <w:rFonts w:cs="Arial"/>
        </w:rPr>
        <w:t xml:space="preserve">A person representing, or representing a portion of, the Australian industry producing like goods can make an application for an anti-circumvention inquiry. </w:t>
      </w:r>
      <w:bookmarkStart w:id="11" w:name="_Toc195428"/>
    </w:p>
    <w:p w14:paraId="6FB57804" w14:textId="174E6028" w:rsidR="0081214B" w:rsidRPr="0081214B" w:rsidRDefault="0098359C" w:rsidP="008F1B94">
      <w:pPr>
        <w:pStyle w:val="Heading1"/>
      </w:pPr>
      <w:bookmarkStart w:id="12" w:name="_Toc462250231"/>
      <w:r>
        <w:t>How to apply</w:t>
      </w:r>
      <w:bookmarkEnd w:id="12"/>
      <w:r>
        <w:t xml:space="preserve"> </w:t>
      </w:r>
    </w:p>
    <w:p w14:paraId="53828F42" w14:textId="415444AE" w:rsidR="002F3E48" w:rsidRDefault="0088569C" w:rsidP="002F3E48">
      <w:pPr>
        <w:tabs>
          <w:tab w:val="left" w:pos="1843"/>
        </w:tabs>
        <w:adjustRightInd w:val="0"/>
        <w:spacing w:after="0"/>
        <w:ind w:right="-151"/>
        <w:rPr>
          <w:rFonts w:cs="Arial"/>
          <w:color w:val="000000"/>
        </w:rPr>
      </w:pPr>
      <w:r>
        <w:rPr>
          <w:rFonts w:cs="Arial"/>
        </w:rPr>
        <w:t xml:space="preserve">You must use the approved application form </w:t>
      </w:r>
      <w:r w:rsidRPr="00DF704C">
        <w:t>(Form B1236</w:t>
      </w:r>
      <w:r>
        <w:t xml:space="preserve"> available on the Commission’s </w:t>
      </w:r>
      <w:hyperlink r:id="rId19" w:history="1">
        <w:r w:rsidRPr="0088569C">
          <w:rPr>
            <w:rStyle w:val="Hyperlink"/>
          </w:rPr>
          <w:t>website</w:t>
        </w:r>
      </w:hyperlink>
      <w:r w:rsidRPr="00DF704C">
        <w:t>)</w:t>
      </w:r>
      <w:r>
        <w:t xml:space="preserve">. </w:t>
      </w:r>
      <w:r w:rsidR="002F3E48">
        <w:t>You must lodge the application form</w:t>
      </w:r>
      <w:r w:rsidR="002F3E48">
        <w:rPr>
          <w:rFonts w:cs="Arial"/>
        </w:rPr>
        <w:t xml:space="preserve">, </w:t>
      </w:r>
      <w:r w:rsidR="002F3E48" w:rsidRPr="0081214B">
        <w:rPr>
          <w:rFonts w:cs="Arial"/>
          <w:color w:val="000000"/>
        </w:rPr>
        <w:t xml:space="preserve">together with the supporting evidence, in </w:t>
      </w:r>
      <w:r w:rsidR="002F3E48">
        <w:rPr>
          <w:rFonts w:cs="Arial"/>
          <w:color w:val="000000"/>
        </w:rPr>
        <w:t xml:space="preserve">an </w:t>
      </w:r>
      <w:r w:rsidR="002F3E48" w:rsidRPr="00094705">
        <w:t>approved manner</w:t>
      </w:r>
      <w:r w:rsidR="002F3E48">
        <w:t xml:space="preserve"> (by post, email or SIGBOX)</w:t>
      </w:r>
      <w:r w:rsidR="002F3E48">
        <w:rPr>
          <w:rFonts w:cs="Arial"/>
          <w:color w:val="000000"/>
        </w:rPr>
        <w:t xml:space="preserve">. </w:t>
      </w:r>
    </w:p>
    <w:p w14:paraId="52BEAE44" w14:textId="77777777" w:rsidR="002F3E48" w:rsidRDefault="002F3E48" w:rsidP="002F3E48">
      <w:pPr>
        <w:tabs>
          <w:tab w:val="left" w:pos="1843"/>
        </w:tabs>
        <w:adjustRightInd w:val="0"/>
        <w:spacing w:after="0"/>
        <w:ind w:right="-151"/>
      </w:pPr>
      <w:r>
        <w:t xml:space="preserve">The preferred method of lodging an application is to email </w:t>
      </w:r>
      <w:r w:rsidRPr="0026077D">
        <w:t>application</w:t>
      </w:r>
      <w:r>
        <w:t>s</w:t>
      </w:r>
      <w:r w:rsidRPr="0026077D">
        <w:t xml:space="preserve"> to </w:t>
      </w:r>
      <w:hyperlink r:id="rId20" w:history="1">
        <w:r w:rsidRPr="0026077D">
          <w:rPr>
            <w:rStyle w:val="Hyperlink"/>
            <w:lang w:val="en"/>
          </w:rPr>
          <w:t>clientsupport@adcommission.gov.au</w:t>
        </w:r>
      </w:hyperlink>
      <w:r>
        <w:rPr>
          <w:rStyle w:val="Hyperlink"/>
          <w:color w:val="auto"/>
          <w:u w:val="none"/>
          <w:lang w:val="en-US"/>
        </w:rPr>
        <w:t>. P</w:t>
      </w:r>
      <w:r w:rsidRPr="15CA69A9">
        <w:rPr>
          <w:rStyle w:val="Hyperlink"/>
          <w:color w:val="auto"/>
          <w:u w:val="none"/>
          <w:lang w:val="en-US"/>
        </w:rPr>
        <w:t xml:space="preserve">lease include all supporting evidence with your application. If file sizes are too large to email, please contact the </w:t>
      </w:r>
      <w:hyperlink r:id="rId21">
        <w:r w:rsidRPr="15CA69A9">
          <w:rPr>
            <w:rStyle w:val="Hyperlink"/>
            <w:lang w:val="en-US"/>
          </w:rPr>
          <w:t>Commission</w:t>
        </w:r>
      </w:hyperlink>
      <w:r w:rsidRPr="15CA69A9">
        <w:rPr>
          <w:rStyle w:val="Hyperlink"/>
          <w:color w:val="auto"/>
          <w:u w:val="none"/>
          <w:lang w:val="en-US"/>
        </w:rPr>
        <w:t xml:space="preserve"> to arrange access to SIGBOX, our secure online </w:t>
      </w:r>
      <w:proofErr w:type="spellStart"/>
      <w:r w:rsidRPr="15CA69A9">
        <w:rPr>
          <w:rStyle w:val="Hyperlink"/>
          <w:color w:val="auto"/>
          <w:u w:val="none"/>
          <w:lang w:val="en-US"/>
        </w:rPr>
        <w:t>lodgement</w:t>
      </w:r>
      <w:proofErr w:type="spellEnd"/>
      <w:r w:rsidRPr="15CA69A9">
        <w:rPr>
          <w:rStyle w:val="Hyperlink"/>
          <w:color w:val="auto"/>
          <w:u w:val="none"/>
          <w:lang w:val="en-US"/>
        </w:rPr>
        <w:t xml:space="preserve"> platform.</w:t>
      </w:r>
      <w:r>
        <w:rPr>
          <w:rStyle w:val="Hyperlink"/>
          <w:color w:val="auto"/>
          <w:u w:val="none"/>
          <w:lang w:val="en-US"/>
        </w:rPr>
        <w:t xml:space="preserve"> </w:t>
      </w:r>
      <w:r>
        <w:t>Alternatively, you can post completed a</w:t>
      </w:r>
      <w:r w:rsidRPr="0026077D">
        <w:t xml:space="preserve">pplications </w:t>
      </w:r>
      <w:r>
        <w:t xml:space="preserve">to the </w:t>
      </w:r>
      <w:r w:rsidRPr="0026077D">
        <w:t>Commission</w:t>
      </w:r>
      <w:r>
        <w:t xml:space="preserve">. Refer to </w:t>
      </w:r>
      <w:hyperlink r:id="rId22" w:history="1">
        <w:r w:rsidRPr="00A877B6">
          <w:rPr>
            <w:rStyle w:val="Hyperlink"/>
          </w:rPr>
          <w:t>contact</w:t>
        </w:r>
      </w:hyperlink>
      <w:r w:rsidRPr="0026077D">
        <w:t xml:space="preserve"> details.</w:t>
      </w:r>
      <w:r w:rsidRPr="00B728CE">
        <w:t xml:space="preserve"> </w:t>
      </w:r>
    </w:p>
    <w:p w14:paraId="2880BE9C" w14:textId="3D3D794B" w:rsidR="00ED3948" w:rsidRDefault="00ED3948" w:rsidP="00ED3948">
      <w:r>
        <w:t xml:space="preserve">You must </w:t>
      </w:r>
      <w:r w:rsidRPr="00820799">
        <w:t>provide a non-confidential version of the application, including supporting evidence.</w:t>
      </w:r>
    </w:p>
    <w:p w14:paraId="2F3367E3" w14:textId="26636595" w:rsidR="002E03AA" w:rsidRPr="00E21B04" w:rsidRDefault="002E03AA" w:rsidP="008F1B94">
      <w:pPr>
        <w:pStyle w:val="Heading1"/>
      </w:pPr>
      <w:bookmarkStart w:id="13" w:name="_Toc149111568"/>
      <w:r>
        <w:t xml:space="preserve">Information required by the application </w:t>
      </w:r>
      <w:proofErr w:type="gramStart"/>
      <w:r>
        <w:t>form</w:t>
      </w:r>
      <w:bookmarkEnd w:id="13"/>
      <w:proofErr w:type="gramEnd"/>
      <w:r>
        <w:t xml:space="preserve"> </w:t>
      </w:r>
    </w:p>
    <w:p w14:paraId="640FD678" w14:textId="1EF8DAFE" w:rsidR="00EB2336" w:rsidRDefault="0088569C" w:rsidP="00EB2336">
      <w:r>
        <w:t>A</w:t>
      </w:r>
      <w:r w:rsidR="00EB2336">
        <w:t>n application must include</w:t>
      </w:r>
      <w:r w:rsidR="006F753C">
        <w:t xml:space="preserve"> a description of</w:t>
      </w:r>
      <w:r w:rsidR="00F80998">
        <w:t xml:space="preserve"> the</w:t>
      </w:r>
      <w:r w:rsidR="00EB2336">
        <w:t>:</w:t>
      </w:r>
    </w:p>
    <w:p w14:paraId="4EA39B0A" w14:textId="748E8D00" w:rsidR="00EB2336" w:rsidRDefault="00EB2336" w:rsidP="00EB2336">
      <w:pPr>
        <w:pStyle w:val="ListParagraph"/>
      </w:pPr>
      <w:r>
        <w:t>kind of goods that are the sub</w:t>
      </w:r>
      <w:r w:rsidR="00C37AA0">
        <w:t xml:space="preserve">ject of the </w:t>
      </w:r>
      <w:proofErr w:type="gramStart"/>
      <w:r w:rsidR="00C37AA0">
        <w:t>notice</w:t>
      </w:r>
      <w:proofErr w:type="gramEnd"/>
      <w:r w:rsidR="00C37AA0">
        <w:t xml:space="preserve"> </w:t>
      </w:r>
    </w:p>
    <w:p w14:paraId="757F9DE7" w14:textId="3AB92A7E" w:rsidR="00EB2336" w:rsidRDefault="00EB2336" w:rsidP="00EB2336">
      <w:pPr>
        <w:pStyle w:val="ListParagraph"/>
      </w:pPr>
      <w:r w:rsidRPr="0085518D">
        <w:t>notice the subj</w:t>
      </w:r>
      <w:r w:rsidR="00C37AA0">
        <w:t xml:space="preserve">ect of the </w:t>
      </w:r>
      <w:proofErr w:type="gramStart"/>
      <w:r w:rsidR="00C37AA0">
        <w:t>application</w:t>
      </w:r>
      <w:proofErr w:type="gramEnd"/>
      <w:r w:rsidR="00C37AA0">
        <w:t xml:space="preserve"> </w:t>
      </w:r>
    </w:p>
    <w:p w14:paraId="28EFD65F" w14:textId="1BC42559" w:rsidR="00EB2336" w:rsidRDefault="00EB2336" w:rsidP="00C37AA0">
      <w:pPr>
        <w:pStyle w:val="ListParagraph"/>
      </w:pPr>
      <w:r>
        <w:t>circumvention activity/</w:t>
      </w:r>
      <w:proofErr w:type="spellStart"/>
      <w:r>
        <w:t>ies</w:t>
      </w:r>
      <w:proofErr w:type="spellEnd"/>
      <w:r>
        <w:t xml:space="preserve"> in relation to the notice that</w:t>
      </w:r>
      <w:r w:rsidR="00C37AA0">
        <w:t xml:space="preserve"> </w:t>
      </w:r>
      <w:r>
        <w:t>the applicant considers have occurred</w:t>
      </w:r>
      <w:r w:rsidR="001C508D">
        <w:t>,</w:t>
      </w:r>
      <w:r>
        <w:t xml:space="preserve"> and</w:t>
      </w:r>
    </w:p>
    <w:p w14:paraId="007ED969" w14:textId="4D0E4D08" w:rsidR="00EB2336" w:rsidRDefault="00EB2336" w:rsidP="00EB2336">
      <w:pPr>
        <w:pStyle w:val="ListParagraph"/>
      </w:pPr>
      <w:r w:rsidRPr="0085518D">
        <w:t xml:space="preserve">alterations to </w:t>
      </w:r>
      <w:proofErr w:type="gramStart"/>
      <w:r w:rsidRPr="0085518D">
        <w:t>the  notice</w:t>
      </w:r>
      <w:proofErr w:type="gramEnd"/>
      <w:r w:rsidRPr="0085518D">
        <w:t xml:space="preserve"> that the applicant considers should be made.</w:t>
      </w:r>
    </w:p>
    <w:p w14:paraId="1E9C0159" w14:textId="647305FF" w:rsidR="0009285F" w:rsidRPr="00E21B04" w:rsidRDefault="0009285F" w:rsidP="770C313B">
      <w:pPr>
        <w:pStyle w:val="Heading2"/>
        <w:spacing w:before="0" w:after="240"/>
        <w:rPr>
          <w:rFonts w:eastAsiaTheme="minorEastAsia" w:cstheme="minorBidi"/>
          <w:color w:val="1B9590" w:themeColor="accent3"/>
          <w:sz w:val="22"/>
          <w:szCs w:val="22"/>
        </w:rPr>
      </w:pPr>
      <w:bookmarkStart w:id="14" w:name="_Toc1933575798"/>
      <w:r w:rsidRPr="770C313B">
        <w:rPr>
          <w:rFonts w:eastAsiaTheme="minorEastAsia" w:cstheme="minorBidi"/>
          <w:color w:val="1B9590" w:themeColor="accent3"/>
          <w:sz w:val="22"/>
          <w:szCs w:val="22"/>
        </w:rPr>
        <w:t>Supporting evidence</w:t>
      </w:r>
      <w:bookmarkEnd w:id="14"/>
      <w:r w:rsidRPr="770C313B">
        <w:rPr>
          <w:rFonts w:eastAsiaTheme="minorEastAsia" w:cstheme="minorBidi"/>
          <w:color w:val="1B9590" w:themeColor="accent3"/>
          <w:sz w:val="22"/>
          <w:szCs w:val="22"/>
        </w:rPr>
        <w:t xml:space="preserve"> </w:t>
      </w:r>
    </w:p>
    <w:p w14:paraId="61EC7664" w14:textId="171DD6C0" w:rsidR="0009285F" w:rsidRDefault="0009285F" w:rsidP="00E21B04">
      <w:pPr>
        <w:adjustRightInd w:val="0"/>
        <w:spacing w:after="0"/>
        <w:ind w:right="-151"/>
        <w:rPr>
          <w:rFonts w:cs="Arial"/>
        </w:rPr>
      </w:pPr>
      <w:r w:rsidRPr="00816698">
        <w:rPr>
          <w:rFonts w:cs="Arial"/>
        </w:rPr>
        <w:t xml:space="preserve">If you are seeking </w:t>
      </w:r>
      <w:r>
        <w:rPr>
          <w:rFonts w:cs="Arial"/>
        </w:rPr>
        <w:t xml:space="preserve">an anti-circumvention inquiry based on one or more circumvention </w:t>
      </w:r>
      <w:proofErr w:type="gramStart"/>
      <w:r>
        <w:rPr>
          <w:rFonts w:cs="Arial"/>
        </w:rPr>
        <w:t>activities</w:t>
      </w:r>
      <w:proofErr w:type="gramEnd"/>
      <w:r>
        <w:rPr>
          <w:rFonts w:cs="Arial"/>
        </w:rPr>
        <w:t xml:space="preserve"> you </w:t>
      </w:r>
      <w:r w:rsidRPr="00816698">
        <w:rPr>
          <w:rFonts w:cs="Arial"/>
        </w:rPr>
        <w:t>must indicate</w:t>
      </w:r>
      <w:r>
        <w:rPr>
          <w:rFonts w:cs="Arial"/>
        </w:rPr>
        <w:t xml:space="preserve"> </w:t>
      </w:r>
      <w:r w:rsidRPr="00816698">
        <w:rPr>
          <w:rFonts w:cs="Arial"/>
        </w:rPr>
        <w:t>this intention in the application form by ticking the relevant box</w:t>
      </w:r>
      <w:r>
        <w:rPr>
          <w:rFonts w:cs="Arial"/>
        </w:rPr>
        <w:t>(</w:t>
      </w:r>
      <w:r w:rsidRPr="00816698">
        <w:rPr>
          <w:rFonts w:cs="Arial"/>
        </w:rPr>
        <w:t>es</w:t>
      </w:r>
      <w:r>
        <w:rPr>
          <w:rFonts w:cs="Arial"/>
        </w:rPr>
        <w:t>)</w:t>
      </w:r>
      <w:r w:rsidRPr="00816698">
        <w:rPr>
          <w:rFonts w:cs="Arial"/>
        </w:rPr>
        <w:t>.</w:t>
      </w:r>
    </w:p>
    <w:p w14:paraId="63301ADC" w14:textId="01577231" w:rsidR="00A7158C" w:rsidRPr="00670382" w:rsidRDefault="00A7158C" w:rsidP="00A7158C">
      <w:r w:rsidRPr="00670382">
        <w:t xml:space="preserve">The application form requires you to provide a statement setting out the reasons for alleging the circumvention activity is occurring, supported by relevant evidence. </w:t>
      </w:r>
      <w:r>
        <w:t xml:space="preserve">You should make </w:t>
      </w:r>
      <w:r w:rsidR="007913A9">
        <w:t xml:space="preserve">sure </w:t>
      </w:r>
      <w:r>
        <w:t>y</w:t>
      </w:r>
      <w:r w:rsidR="00FB128E">
        <w:t xml:space="preserve">our responses </w:t>
      </w:r>
      <w:r w:rsidR="00D02BF9">
        <w:t xml:space="preserve">are </w:t>
      </w:r>
      <w:r w:rsidR="00FB128E">
        <w:t>as accurate</w:t>
      </w:r>
      <w:r w:rsidRPr="00670382">
        <w:t xml:space="preserve"> and</w:t>
      </w:r>
      <w:r>
        <w:t xml:space="preserve"> as comprehensive as possible</w:t>
      </w:r>
      <w:r w:rsidRPr="00670382">
        <w:t xml:space="preserve">. </w:t>
      </w:r>
      <w:r>
        <w:t xml:space="preserve">Simply asserting </w:t>
      </w:r>
      <w:r w:rsidRPr="00670382">
        <w:t xml:space="preserve">that circumvention activity has occurred </w:t>
      </w:r>
      <w:r>
        <w:t xml:space="preserve">is </w:t>
      </w:r>
      <w:r w:rsidRPr="00670382">
        <w:t xml:space="preserve">not sufficient. </w:t>
      </w:r>
    </w:p>
    <w:p w14:paraId="3BC08372" w14:textId="22554570" w:rsidR="0009285F" w:rsidRPr="00742341" w:rsidRDefault="0009285F" w:rsidP="00A7158C">
      <w:pPr>
        <w:adjustRightInd w:val="0"/>
        <w:spacing w:before="0"/>
        <w:ind w:right="-153"/>
        <w:rPr>
          <w:rFonts w:cs="Arial"/>
        </w:rPr>
      </w:pPr>
      <w:r w:rsidRPr="00742341">
        <w:rPr>
          <w:rFonts w:cs="Arial"/>
        </w:rPr>
        <w:lastRenderedPageBreak/>
        <w:t xml:space="preserve">Relevant evidence </w:t>
      </w:r>
      <w:r>
        <w:rPr>
          <w:rFonts w:cs="Arial"/>
        </w:rPr>
        <w:t xml:space="preserve">is required to support your claims </w:t>
      </w:r>
      <w:r w:rsidRPr="00742341">
        <w:rPr>
          <w:rFonts w:cs="Arial"/>
        </w:rPr>
        <w:t xml:space="preserve">that </w:t>
      </w:r>
      <w:r>
        <w:rPr>
          <w:rFonts w:cs="Arial"/>
        </w:rPr>
        <w:t>one or more circumvention activities has occurred.</w:t>
      </w:r>
    </w:p>
    <w:p w14:paraId="1CB53663" w14:textId="77777777" w:rsidR="00447C8B" w:rsidRDefault="0009285F" w:rsidP="00B6012D">
      <w:pPr>
        <w:autoSpaceDE w:val="0"/>
        <w:autoSpaceDN w:val="0"/>
        <w:adjustRightInd w:val="0"/>
        <w:spacing w:before="0"/>
        <w:rPr>
          <w:rFonts w:cs="Arial"/>
        </w:rPr>
      </w:pPr>
      <w:r>
        <w:rPr>
          <w:rFonts w:cs="Arial"/>
        </w:rPr>
        <w:t>Relevant evidence may include market intelligence (</w:t>
      </w:r>
      <w:r w:rsidR="00D747C8">
        <w:rPr>
          <w:rFonts w:cs="Arial"/>
        </w:rPr>
        <w:t xml:space="preserve">not just </w:t>
      </w:r>
      <w:r>
        <w:rPr>
          <w:rFonts w:cs="Arial"/>
        </w:rPr>
        <w:t>assertions), commercial documentation (including sales negotiation evidence, quotes, invoices, manufacturing certificates, Bills of Lading) obtained from exporters and importers (an</w:t>
      </w:r>
      <w:r w:rsidR="00447C8B">
        <w:rPr>
          <w:rFonts w:cs="Arial"/>
        </w:rPr>
        <w:t>d assemblers).</w:t>
      </w:r>
    </w:p>
    <w:p w14:paraId="72977AAA" w14:textId="1A8CC035" w:rsidR="0009285F" w:rsidRPr="00AD0947" w:rsidRDefault="005B6A9F" w:rsidP="00B6012D">
      <w:pPr>
        <w:autoSpaceDE w:val="0"/>
        <w:autoSpaceDN w:val="0"/>
        <w:adjustRightInd w:val="0"/>
        <w:spacing w:before="0"/>
      </w:pPr>
      <w:r>
        <w:t>The Commissioner m</w:t>
      </w:r>
      <w:r w:rsidR="0093598A">
        <w:t>ust</w:t>
      </w:r>
      <w:r>
        <w:t xml:space="preserve"> reject y</w:t>
      </w:r>
      <w:r w:rsidRPr="00670382">
        <w:t xml:space="preserve">our application </w:t>
      </w:r>
      <w:r>
        <w:t>if</w:t>
      </w:r>
      <w:r w:rsidR="00575DC0">
        <w:t xml:space="preserve"> not satisfied that the application contains all the required information</w:t>
      </w:r>
      <w:r w:rsidR="0020357A">
        <w:t>, as outlined above,</w:t>
      </w:r>
      <w:r w:rsidR="00575DC0">
        <w:t xml:space="preserve"> </w:t>
      </w:r>
      <w:r w:rsidR="0020357A">
        <w:rPr>
          <w:rFonts w:cs="Arial"/>
          <w:lang w:eastAsia="en-AU"/>
        </w:rPr>
        <w:t>or</w:t>
      </w:r>
      <w:r w:rsidR="00575DC0">
        <w:rPr>
          <w:rFonts w:cs="Arial"/>
          <w:lang w:eastAsia="en-AU"/>
        </w:rPr>
        <w:t xml:space="preserve"> </w:t>
      </w:r>
      <w:r w:rsidR="003F0E32">
        <w:rPr>
          <w:rFonts w:cs="Arial"/>
          <w:lang w:eastAsia="en-AU"/>
        </w:rPr>
        <w:t xml:space="preserve">if </w:t>
      </w:r>
      <w:r>
        <w:rPr>
          <w:rFonts w:cs="Arial"/>
          <w:lang w:eastAsia="en-AU"/>
        </w:rPr>
        <w:t xml:space="preserve">there </w:t>
      </w:r>
      <w:r w:rsidR="003F0E32">
        <w:rPr>
          <w:rFonts w:cs="Arial"/>
          <w:lang w:eastAsia="en-AU"/>
        </w:rPr>
        <w:t xml:space="preserve">does not </w:t>
      </w:r>
      <w:r>
        <w:rPr>
          <w:rFonts w:cs="Arial"/>
          <w:lang w:eastAsia="en-AU"/>
        </w:rPr>
        <w:t>appear to be reasonable grounds for your assertions.</w:t>
      </w:r>
    </w:p>
    <w:p w14:paraId="5D98940C" w14:textId="77777777" w:rsidR="00972AAB" w:rsidRDefault="0009285F" w:rsidP="770C313B">
      <w:pPr>
        <w:pStyle w:val="Heading2"/>
        <w:spacing w:after="240"/>
        <w:rPr>
          <w:rFonts w:eastAsiaTheme="minorEastAsia" w:cstheme="minorBidi"/>
          <w:color w:val="1B9590" w:themeColor="accent3"/>
          <w:sz w:val="22"/>
          <w:szCs w:val="22"/>
        </w:rPr>
      </w:pPr>
      <w:bookmarkStart w:id="15" w:name="_Toc1361514970"/>
      <w:r w:rsidRPr="770C313B">
        <w:rPr>
          <w:rFonts w:eastAsiaTheme="minorEastAsia" w:cstheme="minorBidi"/>
          <w:color w:val="1B9590" w:themeColor="accent3"/>
          <w:sz w:val="22"/>
          <w:szCs w:val="22"/>
        </w:rPr>
        <w:t>Guidance to Question 6</w:t>
      </w:r>
      <w:bookmarkEnd w:id="15"/>
      <w:r w:rsidRPr="770C313B">
        <w:rPr>
          <w:rFonts w:eastAsiaTheme="minorEastAsia" w:cstheme="minorBidi"/>
          <w:color w:val="1B9590" w:themeColor="accent3"/>
          <w:sz w:val="22"/>
          <w:szCs w:val="22"/>
        </w:rPr>
        <w:t xml:space="preserve"> </w:t>
      </w:r>
    </w:p>
    <w:p w14:paraId="2FC71516" w14:textId="33CBD9A8" w:rsidR="0009285F" w:rsidRPr="00972AAB" w:rsidRDefault="000557BF" w:rsidP="003575D0">
      <w:r>
        <w:t>Question</w:t>
      </w:r>
      <w:r w:rsidR="00972AAB">
        <w:t xml:space="preserve"> 6 requires </w:t>
      </w:r>
      <w:r w:rsidR="0009285F" w:rsidRPr="00972AAB">
        <w:t>a description of the circumvention</w:t>
      </w:r>
      <w:r w:rsidR="00562F08">
        <w:t xml:space="preserve"> activities in relation to the </w:t>
      </w:r>
      <w:r w:rsidR="0009285F" w:rsidRPr="00972AAB">
        <w:t>notice that the applicant considers have occurred</w:t>
      </w:r>
      <w:r w:rsidR="00972AAB">
        <w:t>.</w:t>
      </w:r>
    </w:p>
    <w:p w14:paraId="6FD5E6BC" w14:textId="61784276" w:rsidR="0009285F" w:rsidRPr="00800163" w:rsidRDefault="0009285F" w:rsidP="00447C8B">
      <w:pPr>
        <w:adjustRightInd w:val="0"/>
        <w:spacing w:before="0"/>
        <w:ind w:right="-151"/>
        <w:rPr>
          <w:rFonts w:cs="Arial"/>
        </w:rPr>
      </w:pPr>
      <w:r>
        <w:rPr>
          <w:rFonts w:cs="Arial"/>
        </w:rPr>
        <w:t>The following sections examine each of the prescribed circumvention activities</w:t>
      </w:r>
      <w:r w:rsidR="00D02BF9">
        <w:rPr>
          <w:rFonts w:cs="Arial"/>
        </w:rPr>
        <w:t xml:space="preserve"> (excluding avoidance of the intended effect of duty)</w:t>
      </w:r>
      <w:r>
        <w:rPr>
          <w:rFonts w:cs="Arial"/>
        </w:rPr>
        <w:t>.</w:t>
      </w:r>
    </w:p>
    <w:p w14:paraId="697F10B1" w14:textId="77777777" w:rsidR="0009285F" w:rsidRPr="00C80EC9" w:rsidRDefault="0009285F" w:rsidP="770C313B">
      <w:pPr>
        <w:pStyle w:val="Heading2"/>
        <w:spacing w:after="240"/>
        <w:rPr>
          <w:rFonts w:eastAsiaTheme="minorEastAsia" w:cstheme="minorBidi"/>
          <w:color w:val="1B9590" w:themeColor="accent3"/>
          <w:sz w:val="22"/>
          <w:szCs w:val="22"/>
        </w:rPr>
      </w:pPr>
      <w:bookmarkStart w:id="16" w:name="_Toc1165988559"/>
      <w:r w:rsidRPr="770C313B">
        <w:rPr>
          <w:rFonts w:eastAsiaTheme="minorEastAsia" w:cstheme="minorBidi"/>
          <w:color w:val="1B9590" w:themeColor="accent3"/>
          <w:sz w:val="22"/>
          <w:szCs w:val="22"/>
        </w:rPr>
        <w:t>Assembly of parts in Australia</w:t>
      </w:r>
      <w:bookmarkEnd w:id="16"/>
      <w:r w:rsidRPr="770C313B">
        <w:rPr>
          <w:rFonts w:eastAsiaTheme="minorEastAsia" w:cstheme="minorBidi"/>
          <w:color w:val="1B9590" w:themeColor="accent3"/>
          <w:sz w:val="22"/>
          <w:szCs w:val="22"/>
        </w:rPr>
        <w:t xml:space="preserve"> </w:t>
      </w:r>
    </w:p>
    <w:p w14:paraId="6946EC4B" w14:textId="62FF2E76" w:rsidR="0009285F" w:rsidRPr="00B9711D" w:rsidRDefault="0009285F" w:rsidP="00B6012D">
      <w:r w:rsidRPr="00864C1F">
        <w:t>Circumvention activity in the form of ‘assembly of parts in Australia’ occurs if the following apply:</w:t>
      </w:r>
    </w:p>
    <w:p w14:paraId="60E3E3B8" w14:textId="77777777" w:rsidR="0009285F" w:rsidRPr="00B6012D" w:rsidRDefault="0009285F" w:rsidP="00B6012D">
      <w:pPr>
        <w:pStyle w:val="ListParagraph"/>
        <w:numPr>
          <w:ilvl w:val="0"/>
          <w:numId w:val="32"/>
        </w:numPr>
      </w:pPr>
      <w:r w:rsidRPr="00B6012D">
        <w:t xml:space="preserve">goods in the form of individual parts (the circumvention goods) are exported to </w:t>
      </w:r>
      <w:proofErr w:type="gramStart"/>
      <w:r w:rsidRPr="00B6012D">
        <w:t>Australia;</w:t>
      </w:r>
      <w:proofErr w:type="gramEnd"/>
    </w:p>
    <w:p w14:paraId="21A3E7F5" w14:textId="77777777" w:rsidR="0009285F" w:rsidRPr="00B6012D" w:rsidRDefault="0009285F" w:rsidP="00B6012D">
      <w:pPr>
        <w:pStyle w:val="ListParagraph"/>
        <w:numPr>
          <w:ilvl w:val="0"/>
          <w:numId w:val="32"/>
        </w:numPr>
      </w:pPr>
      <w:r w:rsidRPr="00B6012D">
        <w:t xml:space="preserve">those parts are manufactured in a foreign country in respect of which the notice </w:t>
      </w:r>
      <w:proofErr w:type="gramStart"/>
      <w:r w:rsidRPr="00B6012D">
        <w:t>applies;</w:t>
      </w:r>
      <w:proofErr w:type="gramEnd"/>
    </w:p>
    <w:p w14:paraId="28065AE0" w14:textId="77777777" w:rsidR="0009285F" w:rsidRPr="00B6012D" w:rsidRDefault="0009285F" w:rsidP="00B6012D">
      <w:pPr>
        <w:pStyle w:val="ListParagraph"/>
        <w:numPr>
          <w:ilvl w:val="0"/>
          <w:numId w:val="32"/>
        </w:numPr>
      </w:pPr>
      <w:r w:rsidRPr="00B6012D">
        <w:t xml:space="preserve">those parts are assembled in Australia, whether or not with other parts, to create goods (the assembled goods) that would be the subject of the notice if they were exported to Australia by an exporter in respect of which the notice </w:t>
      </w:r>
      <w:proofErr w:type="gramStart"/>
      <w:r w:rsidRPr="00B6012D">
        <w:t>applies;</w:t>
      </w:r>
      <w:proofErr w:type="gramEnd"/>
    </w:p>
    <w:p w14:paraId="16D9180C" w14:textId="77777777" w:rsidR="0009285F" w:rsidRPr="00B6012D" w:rsidRDefault="0009285F" w:rsidP="00B6012D">
      <w:pPr>
        <w:pStyle w:val="ListParagraph"/>
        <w:numPr>
          <w:ilvl w:val="0"/>
          <w:numId w:val="32"/>
        </w:numPr>
      </w:pPr>
      <w:r w:rsidRPr="00B6012D">
        <w:t xml:space="preserve">the total value of the parts manufactured in that foreign country is a significant proportion of the value of the assembled </w:t>
      </w:r>
      <w:proofErr w:type="gramStart"/>
      <w:r w:rsidRPr="00B6012D">
        <w:t>goods;</w:t>
      </w:r>
      <w:proofErr w:type="gramEnd"/>
    </w:p>
    <w:p w14:paraId="0D6DBF90" w14:textId="3888F3D8" w:rsidR="00447C8B" w:rsidRPr="00B6012D" w:rsidRDefault="0009285F" w:rsidP="00B6012D">
      <w:pPr>
        <w:pStyle w:val="ListParagraph"/>
        <w:numPr>
          <w:ilvl w:val="0"/>
          <w:numId w:val="32"/>
        </w:numPr>
      </w:pPr>
      <w:r w:rsidRPr="00B6012D">
        <w:t xml:space="preserve">section 8 or 10 of the </w:t>
      </w:r>
      <w:hyperlink r:id="rId23" w:history="1">
        <w:r w:rsidRPr="00B6012D">
          <w:rPr>
            <w:rStyle w:val="Hyperlink"/>
            <w:color w:val="auto"/>
            <w:u w:val="none"/>
          </w:rPr>
          <w:t>Dumping Duty Act</w:t>
        </w:r>
      </w:hyperlink>
      <w:r w:rsidRPr="00B6012D">
        <w:t>, as the case requires, does not apply to the export of the circumvention goods to Australia.</w:t>
      </w:r>
    </w:p>
    <w:p w14:paraId="6686391E" w14:textId="67AE142C" w:rsidR="00AD0947" w:rsidRDefault="0009285F" w:rsidP="00B6012D">
      <w:r w:rsidRPr="00447C8B">
        <w:t>This activity captures circumstances where parts representing a significant value of the assembled goods are manufactured in a country subject to the notice and exported to Australia as parts, which do not attract interim dumping or countervailing duty. The parts are then used in the manufacture of the assembled goods in Australia that would have been subject to interim dumping or countervailing duty had they been exported to Australia in the assembled state. The parts may be assembled in Australia with or without addition</w:t>
      </w:r>
      <w:r w:rsidR="00D02BF9" w:rsidRPr="00447C8B">
        <w:t>al</w:t>
      </w:r>
      <w:r w:rsidRPr="00447C8B">
        <w:t xml:space="preserve"> parts (regardless of whether these parts are sourced from Australia or other countries). Example 1 below illustrates this type of circumvention activity.</w:t>
      </w:r>
    </w:p>
    <w:p w14:paraId="44A25C61" w14:textId="65504D81" w:rsidR="0009285F" w:rsidRPr="005100D8" w:rsidRDefault="0009285F" w:rsidP="005100D8">
      <w:pPr>
        <w:pStyle w:val="Heading3"/>
        <w:rPr>
          <w:sz w:val="22"/>
          <w:szCs w:val="22"/>
        </w:rPr>
      </w:pPr>
      <w:bookmarkStart w:id="17" w:name="_Toc1109572154"/>
      <w:r w:rsidRPr="770C313B">
        <w:rPr>
          <w:sz w:val="22"/>
          <w:szCs w:val="22"/>
        </w:rPr>
        <w:lastRenderedPageBreak/>
        <w:t>Example 1 – Goods covered by notice are assembled chairs from Country A</w:t>
      </w:r>
      <w:bookmarkEnd w:id="17"/>
    </w:p>
    <w:p w14:paraId="0FA995FE" w14:textId="5D2DDE5C" w:rsidR="00447C8B" w:rsidRDefault="00441BD3" w:rsidP="00447C8B">
      <w:pPr>
        <w:adjustRightInd w:val="0"/>
        <w:spacing w:before="0"/>
        <w:ind w:right="-151"/>
        <w:rPr>
          <w:rFonts w:cs="Arial"/>
        </w:rPr>
      </w:pPr>
      <w:r>
        <w:rPr>
          <w:noProof/>
          <w:lang w:eastAsia="en-AU"/>
        </w:rPr>
        <w:drawing>
          <wp:inline distT="0" distB="0" distL="0" distR="0" wp14:anchorId="42DF2C4F" wp14:editId="370D9624">
            <wp:extent cx="5731510" cy="3261995"/>
            <wp:effectExtent l="0" t="0" r="2540" b="0"/>
            <wp:docPr id="38" name="Picture 38" descr="An exporter in country A manufactures  &#10;chair seats, back and legs and exports parts from Country A to Australia. An Australian importer imports parts from country A and manufactures them into assembled chairs using glue and screws" title="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261995"/>
                    </a:xfrm>
                    <a:prstGeom prst="rect">
                      <a:avLst/>
                    </a:prstGeom>
                  </pic:spPr>
                </pic:pic>
              </a:graphicData>
            </a:graphic>
          </wp:inline>
        </w:drawing>
      </w:r>
      <w:r w:rsidR="00531287">
        <w:rPr>
          <w:rFonts w:cs="Arial"/>
        </w:rPr>
        <w:t>T</w:t>
      </w:r>
      <w:r w:rsidR="0009285F">
        <w:rPr>
          <w:rFonts w:cs="Arial"/>
        </w:rPr>
        <w:t xml:space="preserve">he Australian importer may not be the assembler and may on-sell the imported parts to the Australian assembler. This type of activity </w:t>
      </w:r>
      <w:r w:rsidR="00E86E1C">
        <w:rPr>
          <w:rFonts w:cs="Arial"/>
        </w:rPr>
        <w:t xml:space="preserve">may </w:t>
      </w:r>
      <w:r w:rsidR="0009285F">
        <w:rPr>
          <w:rFonts w:cs="Arial"/>
        </w:rPr>
        <w:t>also be considered ‘assembly of parts in Australia’.</w:t>
      </w:r>
    </w:p>
    <w:p w14:paraId="0C8741D1" w14:textId="77EBF887" w:rsidR="0009285F" w:rsidRPr="00C80EC9" w:rsidRDefault="0009285F" w:rsidP="770C313B">
      <w:pPr>
        <w:pStyle w:val="Heading2"/>
        <w:spacing w:after="240"/>
        <w:rPr>
          <w:rFonts w:eastAsiaTheme="minorEastAsia" w:cstheme="minorBidi"/>
          <w:color w:val="1B9590" w:themeColor="accent3"/>
          <w:sz w:val="22"/>
          <w:szCs w:val="22"/>
        </w:rPr>
      </w:pPr>
      <w:bookmarkStart w:id="18" w:name="_Toc496246177"/>
      <w:r w:rsidRPr="770C313B">
        <w:rPr>
          <w:rFonts w:eastAsiaTheme="minorEastAsia" w:cstheme="minorBidi"/>
          <w:color w:val="1B9590" w:themeColor="accent3"/>
          <w:sz w:val="22"/>
          <w:szCs w:val="22"/>
        </w:rPr>
        <w:t>Assembly of parts in a third country</w:t>
      </w:r>
      <w:bookmarkEnd w:id="18"/>
      <w:r w:rsidRPr="770C313B">
        <w:rPr>
          <w:rFonts w:eastAsiaTheme="minorEastAsia" w:cstheme="minorBidi"/>
          <w:color w:val="1B9590" w:themeColor="accent3"/>
          <w:sz w:val="22"/>
          <w:szCs w:val="22"/>
        </w:rPr>
        <w:t xml:space="preserve"> </w:t>
      </w:r>
    </w:p>
    <w:p w14:paraId="349C68DB" w14:textId="7EBEBB7A" w:rsidR="0009285F" w:rsidRPr="00800163" w:rsidRDefault="0009285F" w:rsidP="003575D0">
      <w:pPr>
        <w:adjustRightInd w:val="0"/>
        <w:spacing w:before="0"/>
        <w:ind w:right="-153"/>
        <w:rPr>
          <w:rFonts w:cs="Arial"/>
        </w:rPr>
      </w:pPr>
      <w:r w:rsidRPr="00B9711D">
        <w:rPr>
          <w:rFonts w:cs="Arial"/>
        </w:rPr>
        <w:t xml:space="preserve">Circumvention activity in the form of ‘assembly of parts in </w:t>
      </w:r>
      <w:r w:rsidR="008020EA">
        <w:rPr>
          <w:rFonts w:cs="Arial"/>
        </w:rPr>
        <w:t xml:space="preserve">a </w:t>
      </w:r>
      <w:r>
        <w:rPr>
          <w:rFonts w:cs="Arial"/>
        </w:rPr>
        <w:t>third country</w:t>
      </w:r>
      <w:r w:rsidRPr="00B9711D">
        <w:rPr>
          <w:rFonts w:cs="Arial"/>
        </w:rPr>
        <w:t>’</w:t>
      </w:r>
      <w:r>
        <w:rPr>
          <w:rFonts w:cs="Arial"/>
        </w:rPr>
        <w:t xml:space="preserve"> occurs if the following apply:</w:t>
      </w:r>
    </w:p>
    <w:p w14:paraId="6F6F6D53" w14:textId="43B86522" w:rsidR="0009285F" w:rsidRPr="00D2171E" w:rsidRDefault="0009285F" w:rsidP="00B6012D">
      <w:pPr>
        <w:pStyle w:val="ListParagraph"/>
        <w:numPr>
          <w:ilvl w:val="0"/>
          <w:numId w:val="31"/>
        </w:numPr>
      </w:pPr>
      <w:r w:rsidRPr="00D2171E">
        <w:t xml:space="preserve">goods in the form of individual parts are manufactured in a foreign country (the original country) in respect of which the notice </w:t>
      </w:r>
      <w:proofErr w:type="gramStart"/>
      <w:r w:rsidRPr="00D2171E">
        <w:t>applies</w:t>
      </w:r>
      <w:proofErr w:type="gramEnd"/>
    </w:p>
    <w:p w14:paraId="20C20C34" w14:textId="140CB0E8" w:rsidR="0009285F" w:rsidRPr="00D2171E" w:rsidRDefault="0009285F" w:rsidP="00B6012D">
      <w:pPr>
        <w:pStyle w:val="ListParagraph"/>
        <w:numPr>
          <w:ilvl w:val="0"/>
          <w:numId w:val="31"/>
        </w:numPr>
      </w:pPr>
      <w:r w:rsidRPr="00D2171E">
        <w:t xml:space="preserve">those parts are assembled in a foreign country in respect of which the notice does not apply, whether or not with other parts, to create goods (the circumvention goods) that would be the subject of the notice if they were exported to Australia by an exporter in respect of which the notice </w:t>
      </w:r>
      <w:proofErr w:type="gramStart"/>
      <w:r w:rsidRPr="00D2171E">
        <w:t>applies</w:t>
      </w:r>
      <w:proofErr w:type="gramEnd"/>
    </w:p>
    <w:p w14:paraId="4F5AF4E4" w14:textId="45EB68CE" w:rsidR="0009285F" w:rsidRPr="00D2171E" w:rsidRDefault="0009285F" w:rsidP="00B6012D">
      <w:pPr>
        <w:pStyle w:val="ListParagraph"/>
        <w:numPr>
          <w:ilvl w:val="0"/>
          <w:numId w:val="31"/>
        </w:numPr>
      </w:pPr>
      <w:r w:rsidRPr="00D2171E">
        <w:t xml:space="preserve">the circumvention goods are exported to </w:t>
      </w:r>
      <w:proofErr w:type="gramStart"/>
      <w:r w:rsidRPr="00D2171E">
        <w:t>Australia</w:t>
      </w:r>
      <w:proofErr w:type="gramEnd"/>
    </w:p>
    <w:p w14:paraId="6F71AC09" w14:textId="73208D56" w:rsidR="0009285F" w:rsidRPr="00D2171E" w:rsidRDefault="0009285F" w:rsidP="00B6012D">
      <w:pPr>
        <w:pStyle w:val="ListParagraph"/>
        <w:numPr>
          <w:ilvl w:val="0"/>
          <w:numId w:val="31"/>
        </w:numPr>
      </w:pPr>
      <w:r w:rsidRPr="00D2171E">
        <w:t xml:space="preserve">the total value of the parts manufactured in the original country is a significant proportion of the customs value (within the meaning of section 159) of the circumvention </w:t>
      </w:r>
      <w:proofErr w:type="gramStart"/>
      <w:r w:rsidRPr="00D2171E">
        <w:t>goods</w:t>
      </w:r>
      <w:proofErr w:type="gramEnd"/>
    </w:p>
    <w:p w14:paraId="6F96343A" w14:textId="051DF98B" w:rsidR="00447C8B" w:rsidRPr="00655C85" w:rsidRDefault="0009285F" w:rsidP="00655C85">
      <w:pPr>
        <w:pStyle w:val="ListParagraph"/>
        <w:numPr>
          <w:ilvl w:val="0"/>
          <w:numId w:val="31"/>
        </w:numPr>
      </w:pPr>
      <w:r w:rsidRPr="00D2171E">
        <w:t xml:space="preserve">section 8 or 10 of the </w:t>
      </w:r>
      <w:hyperlink r:id="rId25" w:history="1">
        <w:r w:rsidRPr="00E34821">
          <w:rPr>
            <w:rStyle w:val="Hyperlink"/>
            <w:rFonts w:eastAsia="Calibri" w:cs="Arial"/>
          </w:rPr>
          <w:t>Dumping Duty Act</w:t>
        </w:r>
      </w:hyperlink>
      <w:r w:rsidRPr="00D2171E">
        <w:t>, as the case requires, does not apply to the export of the circumvention goods to Australia.</w:t>
      </w:r>
    </w:p>
    <w:p w14:paraId="6C891802" w14:textId="67E8354D" w:rsidR="0009285F" w:rsidRPr="00447C8B" w:rsidRDefault="0009285F" w:rsidP="00655C85">
      <w:pPr>
        <w:autoSpaceDE w:val="0"/>
        <w:autoSpaceDN w:val="0"/>
        <w:adjustRightInd w:val="0"/>
        <w:spacing w:before="0"/>
        <w:contextualSpacing/>
        <w:rPr>
          <w:rFonts w:eastAsia="Calibri" w:cs="Arial"/>
        </w:rPr>
      </w:pPr>
      <w:r w:rsidRPr="00447C8B">
        <w:rPr>
          <w:rFonts w:cs="Arial"/>
        </w:rPr>
        <w:t xml:space="preserve">This activity is similar to the ‘assembly of parts in Australia’ activity; </w:t>
      </w:r>
      <w:proofErr w:type="gramStart"/>
      <w:r w:rsidRPr="00447C8B">
        <w:rPr>
          <w:rFonts w:cs="Arial"/>
        </w:rPr>
        <w:t>however</w:t>
      </w:r>
      <w:proofErr w:type="gramEnd"/>
      <w:r w:rsidRPr="00447C8B">
        <w:rPr>
          <w:rFonts w:cs="Arial"/>
        </w:rPr>
        <w:t xml:space="preserve"> for this activity the assembly of the goods that would have been subject to the notice occurs in a third country. This third country is not subject to a dumping or countervailing duty notice. The goods are subsequently exported to Australia from the third country in their assembled state </w:t>
      </w:r>
      <w:r w:rsidRPr="00447C8B">
        <w:rPr>
          <w:rFonts w:cs="Arial"/>
        </w:rPr>
        <w:lastRenderedPageBreak/>
        <w:t>and do not attract interim dumping or countervailing duty. Example 2 below illustrates this type of circumvention activity.</w:t>
      </w:r>
    </w:p>
    <w:p w14:paraId="626AF4AB" w14:textId="77777777" w:rsidR="0009285F" w:rsidRDefault="0009285F" w:rsidP="003575D0">
      <w:pPr>
        <w:adjustRightInd w:val="0"/>
        <w:spacing w:before="0" w:after="0"/>
        <w:ind w:right="-151"/>
        <w:rPr>
          <w:rFonts w:cs="Arial"/>
        </w:rPr>
      </w:pPr>
    </w:p>
    <w:p w14:paraId="3C392C59" w14:textId="77777777" w:rsidR="0009285F" w:rsidRPr="005100D8" w:rsidRDefault="0009285F" w:rsidP="005100D8">
      <w:pPr>
        <w:pStyle w:val="Heading3"/>
        <w:rPr>
          <w:sz w:val="22"/>
          <w:szCs w:val="22"/>
        </w:rPr>
      </w:pPr>
      <w:bookmarkStart w:id="19" w:name="_Toc1506418421"/>
      <w:r w:rsidRPr="770C313B">
        <w:rPr>
          <w:sz w:val="22"/>
          <w:szCs w:val="22"/>
        </w:rPr>
        <w:t>Example 2 – Goods covered by notice are assembled chairs from country A</w:t>
      </w:r>
      <w:bookmarkEnd w:id="19"/>
    </w:p>
    <w:p w14:paraId="4D31B303" w14:textId="24378E30" w:rsidR="0009285F" w:rsidRDefault="00441BD3" w:rsidP="00DC0566">
      <w:pPr>
        <w:rPr>
          <w:rFonts w:cs="Arial"/>
        </w:rPr>
      </w:pPr>
      <w:r>
        <w:rPr>
          <w:noProof/>
          <w:lang w:eastAsia="en-AU"/>
        </w:rPr>
        <w:drawing>
          <wp:inline distT="0" distB="0" distL="0" distR="0" wp14:anchorId="20FCD310" wp14:editId="67147643">
            <wp:extent cx="5731510" cy="3324225"/>
            <wp:effectExtent l="0" t="0" r="2540" b="9525"/>
            <wp:docPr id="39" name="Picture 39" descr="An exporter in country A manufactures chair seats, backs and legs and exports the parts from country A to country B. An importer, assembler and exporter in country B imports the parts from country A and assembles them into chairs using glue and screws for export. An Australian importer imports the assembled chairs from country B" title="Example 2 Goods covered by notice are assembled chairs from count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324225"/>
                    </a:xfrm>
                    <a:prstGeom prst="rect">
                      <a:avLst/>
                    </a:prstGeom>
                  </pic:spPr>
                </pic:pic>
              </a:graphicData>
            </a:graphic>
          </wp:inline>
        </w:drawing>
      </w:r>
    </w:p>
    <w:p w14:paraId="421507A9" w14:textId="77777777" w:rsidR="0009285F" w:rsidRPr="00C80EC9" w:rsidRDefault="0009285F" w:rsidP="770C313B">
      <w:pPr>
        <w:pStyle w:val="Heading2"/>
        <w:spacing w:after="240"/>
        <w:rPr>
          <w:rFonts w:eastAsiaTheme="minorEastAsia" w:cstheme="minorBidi"/>
          <w:color w:val="1B9590" w:themeColor="accent3"/>
          <w:sz w:val="22"/>
          <w:szCs w:val="22"/>
        </w:rPr>
      </w:pPr>
      <w:bookmarkStart w:id="20" w:name="_Toc1489100143"/>
      <w:r w:rsidRPr="770C313B">
        <w:rPr>
          <w:rFonts w:eastAsiaTheme="minorEastAsia" w:cstheme="minorBidi"/>
          <w:color w:val="1B9590" w:themeColor="accent3"/>
          <w:sz w:val="22"/>
          <w:szCs w:val="22"/>
        </w:rPr>
        <w:t>Export of goods through one or more third countries</w:t>
      </w:r>
      <w:bookmarkEnd w:id="20"/>
      <w:r w:rsidRPr="770C313B">
        <w:rPr>
          <w:rFonts w:eastAsiaTheme="minorEastAsia" w:cstheme="minorBidi"/>
          <w:color w:val="1B9590" w:themeColor="accent3"/>
          <w:sz w:val="22"/>
          <w:szCs w:val="22"/>
        </w:rPr>
        <w:t xml:space="preserve"> </w:t>
      </w:r>
    </w:p>
    <w:p w14:paraId="42DCD827" w14:textId="77777777" w:rsidR="0009285F" w:rsidRPr="00B9711D" w:rsidRDefault="0009285F" w:rsidP="00447C8B">
      <w:pPr>
        <w:keepNext/>
        <w:keepLines/>
        <w:adjustRightInd w:val="0"/>
        <w:spacing w:before="0"/>
        <w:ind w:right="-153"/>
        <w:rPr>
          <w:rFonts w:cs="Arial"/>
        </w:rPr>
      </w:pPr>
      <w:r w:rsidRPr="00B96A08">
        <w:rPr>
          <w:rFonts w:cs="Arial"/>
        </w:rPr>
        <w:t>Circumvention activity in the form of ‘</w:t>
      </w:r>
      <w:r>
        <w:rPr>
          <w:rFonts w:cs="Arial"/>
        </w:rPr>
        <w:t>export of goods through one or more third countries</w:t>
      </w:r>
      <w:r w:rsidRPr="00B96A08">
        <w:rPr>
          <w:rFonts w:cs="Arial"/>
        </w:rPr>
        <w:t>’ occurs if the following apply:</w:t>
      </w:r>
    </w:p>
    <w:p w14:paraId="693E4A9D" w14:textId="02569C8F" w:rsidR="0009285F" w:rsidRPr="00D2171E" w:rsidRDefault="0009285F" w:rsidP="00CA7997">
      <w:pPr>
        <w:pStyle w:val="ListParagraph"/>
        <w:numPr>
          <w:ilvl w:val="0"/>
          <w:numId w:val="35"/>
        </w:numPr>
      </w:pPr>
      <w:r w:rsidRPr="00D2171E">
        <w:t>goods (the circumvention goods) are expor</w:t>
      </w:r>
      <w:r w:rsidR="00D2171E">
        <w:t xml:space="preserve">ted to Australia from a foreign </w:t>
      </w:r>
      <w:r w:rsidRPr="00D2171E">
        <w:t xml:space="preserve">country in respect of which the notice does not </w:t>
      </w:r>
      <w:proofErr w:type="gramStart"/>
      <w:r w:rsidRPr="00D2171E">
        <w:t>apply</w:t>
      </w:r>
      <w:proofErr w:type="gramEnd"/>
    </w:p>
    <w:p w14:paraId="15C15516" w14:textId="4FC0DA9D" w:rsidR="0009285F" w:rsidRPr="00D2171E" w:rsidRDefault="0009285F" w:rsidP="00CA7997">
      <w:pPr>
        <w:pStyle w:val="ListParagraph"/>
        <w:numPr>
          <w:ilvl w:val="0"/>
          <w:numId w:val="35"/>
        </w:numPr>
      </w:pPr>
      <w:r w:rsidRPr="00D2171E">
        <w:t xml:space="preserve">before that export, there were one or more other exports of the goods from a foreign country to another foreign </w:t>
      </w:r>
      <w:proofErr w:type="gramStart"/>
      <w:r w:rsidRPr="00D2171E">
        <w:t>country</w:t>
      </w:r>
      <w:proofErr w:type="gramEnd"/>
    </w:p>
    <w:p w14:paraId="34E9DD9F" w14:textId="348F8983" w:rsidR="0009285F" w:rsidRPr="00D2171E" w:rsidRDefault="0009285F" w:rsidP="00CA7997">
      <w:pPr>
        <w:pStyle w:val="ListParagraph"/>
        <w:numPr>
          <w:ilvl w:val="0"/>
          <w:numId w:val="35"/>
        </w:numPr>
      </w:pPr>
      <w:r w:rsidRPr="00D2171E">
        <w:t xml:space="preserve">the first of those other exports was from a foreign country in respect of which the notice </w:t>
      </w:r>
      <w:proofErr w:type="gramStart"/>
      <w:r w:rsidRPr="00D2171E">
        <w:t>applies</w:t>
      </w:r>
      <w:proofErr w:type="gramEnd"/>
    </w:p>
    <w:p w14:paraId="0AE7F22F" w14:textId="019B3438" w:rsidR="0009285F" w:rsidRPr="00D2171E" w:rsidRDefault="0009285F" w:rsidP="00CA7997">
      <w:pPr>
        <w:pStyle w:val="ListParagraph"/>
        <w:numPr>
          <w:ilvl w:val="0"/>
          <w:numId w:val="35"/>
        </w:numPr>
      </w:pPr>
      <w:r w:rsidRPr="00D2171E">
        <w:t xml:space="preserve">the circumvention goods would be the subject of the notice if they were exported to Australia by an exporter in respect of which the notice </w:t>
      </w:r>
      <w:proofErr w:type="gramStart"/>
      <w:r w:rsidRPr="00D2171E">
        <w:t>applies</w:t>
      </w:r>
      <w:proofErr w:type="gramEnd"/>
    </w:p>
    <w:p w14:paraId="41DE68A3" w14:textId="31DC18D6" w:rsidR="00447C8B" w:rsidRDefault="0009285F" w:rsidP="00CA7997">
      <w:pPr>
        <w:pStyle w:val="ListParagraph"/>
        <w:numPr>
          <w:ilvl w:val="0"/>
          <w:numId w:val="35"/>
        </w:numPr>
      </w:pPr>
      <w:r w:rsidRPr="00D2171E">
        <w:t xml:space="preserve">section 8 or 10 of the </w:t>
      </w:r>
      <w:hyperlink r:id="rId27" w:history="1">
        <w:r w:rsidRPr="00E34821">
          <w:rPr>
            <w:rStyle w:val="Hyperlink"/>
            <w:rFonts w:cs="Arial"/>
          </w:rPr>
          <w:t>Dumping Duty Act</w:t>
        </w:r>
      </w:hyperlink>
      <w:r w:rsidRPr="00D2171E">
        <w:t>, as the case requires, does not apply to the export of the ci</w:t>
      </w:r>
      <w:r w:rsidR="00447C8B">
        <w:t>rcumvention goods to Australia.</w:t>
      </w:r>
    </w:p>
    <w:p w14:paraId="7BB4E0CB" w14:textId="0C611C18" w:rsidR="0009285F" w:rsidRPr="002A4BB2" w:rsidRDefault="0009285F" w:rsidP="00447C8B">
      <w:pPr>
        <w:adjustRightInd w:val="0"/>
        <w:spacing w:before="0"/>
        <w:ind w:right="-151"/>
        <w:rPr>
          <w:rFonts w:cs="Arial"/>
        </w:rPr>
      </w:pPr>
      <w:r w:rsidRPr="002A4BB2">
        <w:rPr>
          <w:rFonts w:cs="Arial"/>
        </w:rPr>
        <w:t xml:space="preserve">This </w:t>
      </w:r>
      <w:r>
        <w:rPr>
          <w:rFonts w:cs="Arial"/>
        </w:rPr>
        <w:t xml:space="preserve">activity </w:t>
      </w:r>
      <w:r w:rsidRPr="002A4BB2">
        <w:rPr>
          <w:rFonts w:cs="Arial"/>
        </w:rPr>
        <w:t>covers circumstances where goods</w:t>
      </w:r>
      <w:r>
        <w:rPr>
          <w:rFonts w:cs="Arial"/>
        </w:rPr>
        <w:t xml:space="preserve"> </w:t>
      </w:r>
      <w:r w:rsidRPr="002A4BB2">
        <w:rPr>
          <w:rFonts w:cs="Arial"/>
        </w:rPr>
        <w:t xml:space="preserve">would </w:t>
      </w:r>
      <w:r>
        <w:rPr>
          <w:rFonts w:cs="Arial"/>
        </w:rPr>
        <w:t xml:space="preserve">have </w:t>
      </w:r>
      <w:r w:rsidRPr="002A4BB2">
        <w:rPr>
          <w:rFonts w:cs="Arial"/>
        </w:rPr>
        <w:t>be</w:t>
      </w:r>
      <w:r>
        <w:rPr>
          <w:rFonts w:cs="Arial"/>
        </w:rPr>
        <w:t>en</w:t>
      </w:r>
      <w:r w:rsidRPr="002A4BB2">
        <w:rPr>
          <w:rFonts w:cs="Arial"/>
        </w:rPr>
        <w:t xml:space="preserve"> subject to the notice </w:t>
      </w:r>
      <w:r>
        <w:rPr>
          <w:rFonts w:cs="Arial"/>
        </w:rPr>
        <w:t>had</w:t>
      </w:r>
      <w:r w:rsidRPr="002A4BB2">
        <w:rPr>
          <w:rFonts w:cs="Arial"/>
        </w:rPr>
        <w:t xml:space="preserve"> they </w:t>
      </w:r>
      <w:r>
        <w:rPr>
          <w:rFonts w:cs="Arial"/>
        </w:rPr>
        <w:t>been</w:t>
      </w:r>
      <w:r w:rsidRPr="002A4BB2">
        <w:rPr>
          <w:rFonts w:cs="Arial"/>
        </w:rPr>
        <w:t xml:space="preserve"> exported directly from their originating country</w:t>
      </w:r>
      <w:r w:rsidR="00D2171E">
        <w:rPr>
          <w:rFonts w:cs="Arial"/>
        </w:rPr>
        <w:t xml:space="preserve"> that is subject to a notice. </w:t>
      </w:r>
      <w:r>
        <w:rPr>
          <w:rFonts w:cs="Arial"/>
        </w:rPr>
        <w:t>Instead, the goods are exported through one or more third countries</w:t>
      </w:r>
      <w:r w:rsidRPr="002A4BB2">
        <w:rPr>
          <w:rFonts w:cs="Arial"/>
        </w:rPr>
        <w:t xml:space="preserve"> </w:t>
      </w:r>
      <w:r>
        <w:rPr>
          <w:rFonts w:cs="Arial"/>
        </w:rPr>
        <w:t xml:space="preserve">that are </w:t>
      </w:r>
      <w:r w:rsidRPr="002A4BB2">
        <w:rPr>
          <w:rFonts w:cs="Arial"/>
        </w:rPr>
        <w:t>not subject to the notice</w:t>
      </w:r>
      <w:r>
        <w:rPr>
          <w:rFonts w:cs="Arial"/>
        </w:rPr>
        <w:t xml:space="preserve">. These goods therefore do not attract </w:t>
      </w:r>
      <w:r w:rsidRPr="002A4BB2">
        <w:rPr>
          <w:rFonts w:cs="Arial"/>
        </w:rPr>
        <w:t xml:space="preserve">interim </w:t>
      </w:r>
      <w:r>
        <w:rPr>
          <w:rFonts w:cs="Arial"/>
        </w:rPr>
        <w:t xml:space="preserve">dumping and / or countervailing </w:t>
      </w:r>
      <w:r w:rsidRPr="002A4BB2">
        <w:rPr>
          <w:rFonts w:cs="Arial"/>
        </w:rPr>
        <w:t>dut</w:t>
      </w:r>
      <w:r>
        <w:rPr>
          <w:rFonts w:cs="Arial"/>
        </w:rPr>
        <w:t>ies</w:t>
      </w:r>
      <w:r w:rsidRPr="002A4BB2">
        <w:rPr>
          <w:rFonts w:cs="Arial"/>
        </w:rPr>
        <w:t>.</w:t>
      </w:r>
      <w:r>
        <w:rPr>
          <w:rFonts w:cs="Arial"/>
        </w:rPr>
        <w:t xml:space="preserve"> Example 3 below illustrates this type of circumvention activity.</w:t>
      </w:r>
    </w:p>
    <w:p w14:paraId="32DBC207" w14:textId="77777777" w:rsidR="0009285F" w:rsidRPr="005100D8" w:rsidRDefault="0009285F" w:rsidP="005100D8">
      <w:pPr>
        <w:pStyle w:val="Heading3"/>
        <w:rPr>
          <w:sz w:val="22"/>
          <w:szCs w:val="22"/>
        </w:rPr>
      </w:pPr>
      <w:bookmarkStart w:id="21" w:name="_Toc1850498253"/>
      <w:r w:rsidRPr="770C313B">
        <w:rPr>
          <w:sz w:val="22"/>
          <w:szCs w:val="22"/>
        </w:rPr>
        <w:lastRenderedPageBreak/>
        <w:t>Example 3 – Goods covered by notice are assembled chairs from country A</w:t>
      </w:r>
      <w:bookmarkEnd w:id="21"/>
    </w:p>
    <w:p w14:paraId="2AE597DD" w14:textId="6CB68193" w:rsidR="0009285F" w:rsidRPr="00C80EC9" w:rsidRDefault="00441BD3" w:rsidP="770C313B">
      <w:pPr>
        <w:pStyle w:val="Heading2"/>
        <w:spacing w:after="240"/>
        <w:rPr>
          <w:rFonts w:eastAsiaTheme="minorEastAsia" w:cstheme="minorBidi"/>
          <w:color w:val="1B9590" w:themeColor="accent3"/>
          <w:sz w:val="22"/>
          <w:szCs w:val="22"/>
        </w:rPr>
      </w:pPr>
      <w:bookmarkStart w:id="22" w:name="_Toc2053970766"/>
      <w:r>
        <w:rPr>
          <w:noProof/>
        </w:rPr>
        <w:drawing>
          <wp:inline distT="0" distB="0" distL="0" distR="0" wp14:anchorId="6A7EDB7C" wp14:editId="2E9811D9">
            <wp:extent cx="5731510" cy="3095625"/>
            <wp:effectExtent l="0" t="0" r="2540" b="9525"/>
            <wp:docPr id="40" name="Picture 40" descr="An exporter in country A manufactures assembled chairs and exports from Country A. An importer and exporter in Country B imports assembled chairs from Country A, then exports them to Australia. An Australian Importer imports them from Country B. Note that these entities may be related or unrelated, and exports of assembled chairs to Australia from Country B aren’t subject to the notice." title="Example 3 Goods covered by notice are assembled chairs from count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8">
                      <a:extLst>
                        <a:ext uri="{28A0092B-C50C-407E-A947-70E740481C1C}">
                          <a14:useLocalDpi xmlns:a14="http://schemas.microsoft.com/office/drawing/2010/main" val="0"/>
                        </a:ext>
                      </a:extLst>
                    </a:blip>
                    <a:stretch>
                      <a:fillRect/>
                    </a:stretch>
                  </pic:blipFill>
                  <pic:spPr>
                    <a:xfrm>
                      <a:off x="0" y="0"/>
                      <a:ext cx="5731510" cy="3095625"/>
                    </a:xfrm>
                    <a:prstGeom prst="rect">
                      <a:avLst/>
                    </a:prstGeom>
                  </pic:spPr>
                </pic:pic>
              </a:graphicData>
            </a:graphic>
          </wp:inline>
        </w:drawing>
      </w:r>
      <w:r w:rsidR="0009285F" w:rsidRPr="770C313B">
        <w:rPr>
          <w:rFonts w:eastAsiaTheme="minorEastAsia" w:cstheme="minorBidi"/>
          <w:color w:val="1B9590" w:themeColor="accent3"/>
          <w:sz w:val="22"/>
          <w:szCs w:val="22"/>
        </w:rPr>
        <w:t>Arrangements between exporters</w:t>
      </w:r>
      <w:bookmarkEnd w:id="22"/>
      <w:r w:rsidR="0009285F" w:rsidRPr="770C313B">
        <w:rPr>
          <w:rFonts w:eastAsiaTheme="minorEastAsia" w:cstheme="minorBidi"/>
          <w:color w:val="1B9590" w:themeColor="accent3"/>
          <w:sz w:val="22"/>
          <w:szCs w:val="22"/>
        </w:rPr>
        <w:t xml:space="preserve"> </w:t>
      </w:r>
    </w:p>
    <w:p w14:paraId="44FFB00F" w14:textId="77777777" w:rsidR="0009285F" w:rsidRPr="00B9711D" w:rsidRDefault="0009285F" w:rsidP="00CD6AE4">
      <w:pPr>
        <w:adjustRightInd w:val="0"/>
        <w:spacing w:before="0"/>
        <w:ind w:right="-151"/>
        <w:rPr>
          <w:rFonts w:cs="Arial"/>
        </w:rPr>
      </w:pPr>
      <w:r w:rsidRPr="00B9711D">
        <w:rPr>
          <w:rFonts w:cs="Arial"/>
        </w:rPr>
        <w:t>Circumvention activity in the form of ‘</w:t>
      </w:r>
      <w:r>
        <w:rPr>
          <w:rFonts w:cs="Arial"/>
        </w:rPr>
        <w:t>arrangements between exporters</w:t>
      </w:r>
      <w:r w:rsidRPr="00B9711D">
        <w:rPr>
          <w:rFonts w:cs="Arial"/>
        </w:rPr>
        <w:t>’</w:t>
      </w:r>
      <w:r>
        <w:rPr>
          <w:rFonts w:cs="Arial"/>
        </w:rPr>
        <w:t xml:space="preserve"> occurs if the following apply</w:t>
      </w:r>
      <w:r w:rsidRPr="00B9711D">
        <w:rPr>
          <w:rFonts w:cs="Arial"/>
        </w:rPr>
        <w:t>:</w:t>
      </w:r>
    </w:p>
    <w:p w14:paraId="6DB65C2A" w14:textId="3095C343" w:rsidR="0009285F" w:rsidRPr="00D2171E" w:rsidRDefault="0009285F" w:rsidP="00CA7997">
      <w:pPr>
        <w:pStyle w:val="ListParagraph"/>
        <w:numPr>
          <w:ilvl w:val="0"/>
          <w:numId w:val="36"/>
        </w:numPr>
      </w:pPr>
      <w:r w:rsidRPr="00D2171E">
        <w:t xml:space="preserve">goods (the circumvention goods) are exported to Australia from a foreign country in respect of which the notice </w:t>
      </w:r>
      <w:proofErr w:type="gramStart"/>
      <w:r w:rsidRPr="00D2171E">
        <w:t>applies</w:t>
      </w:r>
      <w:proofErr w:type="gramEnd"/>
    </w:p>
    <w:p w14:paraId="07FABC56" w14:textId="7C70B9AD" w:rsidR="0009285F" w:rsidRPr="00D2171E" w:rsidRDefault="0009285F" w:rsidP="00CA7997">
      <w:pPr>
        <w:pStyle w:val="ListParagraph"/>
        <w:numPr>
          <w:ilvl w:val="0"/>
          <w:numId w:val="36"/>
        </w:numPr>
      </w:pPr>
      <w:r w:rsidRPr="00D2171E">
        <w:t xml:space="preserve">the exporter exported the circumvention goods under an arrangement with another exporter from that foreign </w:t>
      </w:r>
      <w:proofErr w:type="gramStart"/>
      <w:r w:rsidRPr="00D2171E">
        <w:t>country</w:t>
      </w:r>
      <w:proofErr w:type="gramEnd"/>
    </w:p>
    <w:p w14:paraId="3917D322" w14:textId="0B9027F9" w:rsidR="0009285F" w:rsidRPr="00D2171E" w:rsidRDefault="0009285F" w:rsidP="00CA7997">
      <w:pPr>
        <w:pStyle w:val="ListParagraph"/>
        <w:numPr>
          <w:ilvl w:val="0"/>
          <w:numId w:val="36"/>
        </w:numPr>
      </w:pPr>
      <w:r w:rsidRPr="00D2171E">
        <w:t xml:space="preserve">the other exporter is an exporter in respect of which the notice </w:t>
      </w:r>
      <w:proofErr w:type="gramStart"/>
      <w:r w:rsidRPr="00D2171E">
        <w:t>applies</w:t>
      </w:r>
      <w:proofErr w:type="gramEnd"/>
    </w:p>
    <w:p w14:paraId="68C24E2F" w14:textId="345A3454" w:rsidR="00EA38BB" w:rsidRDefault="0009285F" w:rsidP="003E0D65">
      <w:pPr>
        <w:pStyle w:val="ListParagraph"/>
        <w:numPr>
          <w:ilvl w:val="0"/>
          <w:numId w:val="36"/>
        </w:numPr>
      </w:pPr>
      <w:r w:rsidRPr="00D2171E">
        <w:t xml:space="preserve">the circumvention goods would be the subject of the notice if they were exported to Australia by the other </w:t>
      </w:r>
      <w:proofErr w:type="gramStart"/>
      <w:r w:rsidRPr="00D2171E">
        <w:t>exporter</w:t>
      </w:r>
      <w:proofErr w:type="gramEnd"/>
    </w:p>
    <w:p w14:paraId="72095E15" w14:textId="585FA824" w:rsidR="0009285F" w:rsidRPr="00D2171E" w:rsidRDefault="0009285F" w:rsidP="00EA38BB">
      <w:pPr>
        <w:pStyle w:val="ListParagraph"/>
        <w:numPr>
          <w:ilvl w:val="0"/>
          <w:numId w:val="0"/>
        </w:numPr>
        <w:ind w:left="933"/>
      </w:pPr>
      <w:r w:rsidRPr="00D2171E">
        <w:t>either:</w:t>
      </w:r>
    </w:p>
    <w:p w14:paraId="00F4FC53" w14:textId="33EDA51F" w:rsidR="003121F0" w:rsidRDefault="0009285F" w:rsidP="00324C9E">
      <w:pPr>
        <w:pStyle w:val="ListParagraph"/>
        <w:numPr>
          <w:ilvl w:val="1"/>
          <w:numId w:val="38"/>
        </w:numPr>
      </w:pPr>
      <w:r w:rsidRPr="003121F0">
        <w:t xml:space="preserve">section 8 or 10 of the </w:t>
      </w:r>
      <w:hyperlink r:id="rId29" w:history="1">
        <w:r w:rsidRPr="00E34821">
          <w:rPr>
            <w:rStyle w:val="Hyperlink"/>
            <w:rFonts w:cs="Arial"/>
          </w:rPr>
          <w:t>Dumping Duty Act</w:t>
        </w:r>
      </w:hyperlink>
      <w:r w:rsidRPr="003121F0">
        <w:t>, as the case requires, does not  apply to the export of the circumvention goods to Australia; or</w:t>
      </w:r>
    </w:p>
    <w:p w14:paraId="40F19CE2" w14:textId="36099041" w:rsidR="0009285F" w:rsidRPr="003121F0" w:rsidRDefault="0009285F" w:rsidP="00324C9E">
      <w:pPr>
        <w:pStyle w:val="ListParagraph"/>
        <w:numPr>
          <w:ilvl w:val="1"/>
          <w:numId w:val="38"/>
        </w:numPr>
      </w:pPr>
      <w:r w:rsidRPr="003121F0">
        <w:t xml:space="preserve">section 8 or 10 of the </w:t>
      </w:r>
      <w:hyperlink r:id="rId30" w:history="1">
        <w:r w:rsidRPr="00E34821">
          <w:rPr>
            <w:rStyle w:val="Hyperlink"/>
            <w:rFonts w:cs="Arial"/>
          </w:rPr>
          <w:t>Dumping Duty Act</w:t>
        </w:r>
      </w:hyperlink>
      <w:r w:rsidRPr="003121F0">
        <w:t>, as the case requires, applies to the export of the circumvention goods to Australia, but the interim duty payable in relation to that export is less than the interim duty that would have been payable if the other exporter had exported the goods to Australia</w:t>
      </w:r>
      <w:r w:rsidR="00F80998">
        <w:t>.</w:t>
      </w:r>
    </w:p>
    <w:p w14:paraId="01063B54" w14:textId="03964F30" w:rsidR="00EA639F" w:rsidRDefault="0009285F" w:rsidP="00486E23">
      <w:pPr>
        <w:adjustRightInd w:val="0"/>
        <w:spacing w:before="0" w:after="0"/>
        <w:ind w:right="-151"/>
        <w:rPr>
          <w:rFonts w:cs="Arial"/>
        </w:rPr>
      </w:pPr>
      <w:r>
        <w:rPr>
          <w:rFonts w:cs="Arial"/>
        </w:rPr>
        <w:t xml:space="preserve">This activity covers circumstances where </w:t>
      </w:r>
      <w:r w:rsidRPr="00800163">
        <w:rPr>
          <w:rFonts w:cs="Arial"/>
        </w:rPr>
        <w:t xml:space="preserve">goods that are the subject of </w:t>
      </w:r>
      <w:r>
        <w:rPr>
          <w:rFonts w:cs="Arial"/>
        </w:rPr>
        <w:t xml:space="preserve">a notice </w:t>
      </w:r>
      <w:r w:rsidRPr="00800163">
        <w:rPr>
          <w:rFonts w:cs="Arial"/>
        </w:rPr>
        <w:t xml:space="preserve">are exported to Australia from the original exporter through another exporter </w:t>
      </w:r>
      <w:r>
        <w:rPr>
          <w:rFonts w:cs="Arial"/>
        </w:rPr>
        <w:t>in that originating country that</w:t>
      </w:r>
      <w:r w:rsidRPr="00800163">
        <w:rPr>
          <w:rFonts w:cs="Arial"/>
        </w:rPr>
        <w:t xml:space="preserve"> is subject to a lesser rate</w:t>
      </w:r>
      <w:r>
        <w:rPr>
          <w:rFonts w:cs="Arial"/>
        </w:rPr>
        <w:t xml:space="preserve"> of duty</w:t>
      </w:r>
      <w:r w:rsidRPr="00800163">
        <w:rPr>
          <w:rFonts w:cs="Arial"/>
        </w:rPr>
        <w:t xml:space="preserve"> or is exempt from </w:t>
      </w:r>
      <w:r>
        <w:rPr>
          <w:rFonts w:cs="Arial"/>
        </w:rPr>
        <w:t>the notice</w:t>
      </w:r>
      <w:r w:rsidRPr="00800163">
        <w:rPr>
          <w:rFonts w:cs="Arial"/>
        </w:rPr>
        <w:t>.</w:t>
      </w:r>
      <w:r>
        <w:rPr>
          <w:rFonts w:cs="Arial"/>
        </w:rPr>
        <w:t xml:space="preserve"> In this circumstance</w:t>
      </w:r>
      <w:r w:rsidR="00F80998">
        <w:rPr>
          <w:rFonts w:cs="Arial"/>
        </w:rPr>
        <w:t>,</w:t>
      </w:r>
      <w:r>
        <w:rPr>
          <w:rFonts w:cs="Arial"/>
        </w:rPr>
        <w:t xml:space="preserve"> either a lesser amount or no dumping or countervailing duty is applicable to the goods. Example 4 below illustrate</w:t>
      </w:r>
      <w:r w:rsidR="00B41C31">
        <w:rPr>
          <w:rFonts w:cs="Arial"/>
        </w:rPr>
        <w:t>s</w:t>
      </w:r>
      <w:r>
        <w:rPr>
          <w:rFonts w:cs="Arial"/>
        </w:rPr>
        <w:t xml:space="preserve"> this type of circumvention activity.</w:t>
      </w:r>
    </w:p>
    <w:p w14:paraId="3D6F33B3" w14:textId="77777777" w:rsidR="006201C3" w:rsidRPr="00486E23" w:rsidRDefault="006201C3" w:rsidP="00486E23">
      <w:pPr>
        <w:adjustRightInd w:val="0"/>
        <w:spacing w:before="0" w:after="0"/>
        <w:ind w:right="-151"/>
        <w:rPr>
          <w:rFonts w:cs="Arial"/>
        </w:rPr>
      </w:pPr>
    </w:p>
    <w:p w14:paraId="2A253BC7" w14:textId="42FD0DC6" w:rsidR="0009285F" w:rsidRPr="005100D8" w:rsidRDefault="0009285F" w:rsidP="005100D8">
      <w:pPr>
        <w:pStyle w:val="Heading3"/>
        <w:rPr>
          <w:sz w:val="22"/>
          <w:szCs w:val="22"/>
        </w:rPr>
      </w:pPr>
      <w:bookmarkStart w:id="23" w:name="_Toc1070422862"/>
      <w:r w:rsidRPr="770C313B">
        <w:rPr>
          <w:sz w:val="22"/>
          <w:szCs w:val="22"/>
        </w:rPr>
        <w:lastRenderedPageBreak/>
        <w:t>Example 4 – Goods covered by notice are assembled chairs from Country A</w:t>
      </w:r>
      <w:bookmarkEnd w:id="23"/>
    </w:p>
    <w:p w14:paraId="53186168" w14:textId="08CEA0DC" w:rsidR="0009285F" w:rsidRDefault="00441BD3" w:rsidP="00DC0566">
      <w:pPr>
        <w:rPr>
          <w:rFonts w:cs="Arial"/>
        </w:rPr>
      </w:pPr>
      <w:r>
        <w:rPr>
          <w:noProof/>
          <w:lang w:eastAsia="en-AU"/>
        </w:rPr>
        <w:drawing>
          <wp:inline distT="0" distB="0" distL="0" distR="0" wp14:anchorId="6E84FA9D" wp14:editId="06A6D63F">
            <wp:extent cx="5731510" cy="3135630"/>
            <wp:effectExtent l="0" t="0" r="2540" b="7620"/>
            <wp:docPr id="41" name="Picture 41" descr="Manufacturer and exporter A in country A assembles chairs and exports them to Australia through exporter B in country A. Exporter B is subject to 5 per cent interim dumping duty and exports the goods manufactured by exporter A to Australia. An Australian importer imports chairs from exporter B in country A and pays 5 per cent interim dumping duty." title="Example 4 Exporter A's exports of the goods are covered by 20 per cent interim dunmping d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135630"/>
                    </a:xfrm>
                    <a:prstGeom prst="rect">
                      <a:avLst/>
                    </a:prstGeom>
                  </pic:spPr>
                </pic:pic>
              </a:graphicData>
            </a:graphic>
          </wp:inline>
        </w:drawing>
      </w:r>
    </w:p>
    <w:p w14:paraId="695DA93F" w14:textId="62B3083A" w:rsidR="0009285F" w:rsidRPr="00C80EC9" w:rsidRDefault="00F329D1" w:rsidP="770C313B">
      <w:pPr>
        <w:pStyle w:val="Heading2"/>
        <w:spacing w:after="240"/>
        <w:rPr>
          <w:rFonts w:eastAsiaTheme="minorEastAsia" w:cstheme="minorBidi"/>
          <w:color w:val="1B9590" w:themeColor="accent3"/>
          <w:sz w:val="22"/>
          <w:szCs w:val="22"/>
        </w:rPr>
      </w:pPr>
      <w:bookmarkStart w:id="24" w:name="_Toc512575198"/>
      <w:r w:rsidRPr="770C313B">
        <w:rPr>
          <w:rFonts w:eastAsiaTheme="minorEastAsia" w:cstheme="minorBidi"/>
          <w:color w:val="1B9590" w:themeColor="accent3"/>
          <w:sz w:val="22"/>
          <w:szCs w:val="22"/>
        </w:rPr>
        <w:t>Slight modification of goods</w:t>
      </w:r>
      <w:bookmarkEnd w:id="24"/>
      <w:r w:rsidRPr="770C313B">
        <w:rPr>
          <w:rFonts w:eastAsiaTheme="minorEastAsia" w:cstheme="minorBidi"/>
          <w:color w:val="1B9590" w:themeColor="accent3"/>
          <w:sz w:val="22"/>
          <w:szCs w:val="22"/>
        </w:rPr>
        <w:t xml:space="preserve"> </w:t>
      </w:r>
    </w:p>
    <w:p w14:paraId="29C5B56B" w14:textId="11983293" w:rsidR="00B41C31" w:rsidRPr="00B9711D" w:rsidRDefault="00B41C31" w:rsidP="00B41C31">
      <w:pPr>
        <w:adjustRightInd w:val="0"/>
        <w:spacing w:before="0" w:after="0"/>
        <w:ind w:right="-151"/>
        <w:rPr>
          <w:rFonts w:cs="Arial"/>
        </w:rPr>
      </w:pPr>
      <w:r w:rsidRPr="00B9711D">
        <w:rPr>
          <w:rFonts w:cs="Arial"/>
        </w:rPr>
        <w:t>Circumvention activity in the form of ‘</w:t>
      </w:r>
      <w:r>
        <w:rPr>
          <w:rFonts w:cs="Arial"/>
        </w:rPr>
        <w:t>slight modification of goods exported to Australia</w:t>
      </w:r>
      <w:r w:rsidRPr="00B9711D">
        <w:rPr>
          <w:rFonts w:cs="Arial"/>
        </w:rPr>
        <w:t>’</w:t>
      </w:r>
      <w:r>
        <w:rPr>
          <w:rFonts w:cs="Arial"/>
        </w:rPr>
        <w:t xml:space="preserve"> occurs if the following apply</w:t>
      </w:r>
      <w:r w:rsidRPr="00B9711D">
        <w:rPr>
          <w:rFonts w:cs="Arial"/>
        </w:rPr>
        <w:t>:</w:t>
      </w:r>
    </w:p>
    <w:p w14:paraId="13115188" w14:textId="4C742AC4" w:rsidR="00B41C31" w:rsidRPr="00CA7997" w:rsidRDefault="00B41C31" w:rsidP="00CA7997">
      <w:pPr>
        <w:pStyle w:val="ListParagraph"/>
        <w:numPr>
          <w:ilvl w:val="0"/>
          <w:numId w:val="37"/>
        </w:numPr>
      </w:pPr>
      <w:r w:rsidRPr="00CA7997">
        <w:t xml:space="preserve">goods (the circumvention goods) are exported to Australia from a foreign country in respect of which the notice </w:t>
      </w:r>
      <w:proofErr w:type="gramStart"/>
      <w:r w:rsidRPr="00CA7997">
        <w:t>applies;</w:t>
      </w:r>
      <w:proofErr w:type="gramEnd"/>
    </w:p>
    <w:p w14:paraId="11A174FB" w14:textId="618A5EB4" w:rsidR="00B41C31" w:rsidRPr="00CA7997" w:rsidRDefault="00B41C31" w:rsidP="00CA7997">
      <w:pPr>
        <w:pStyle w:val="ListParagraph"/>
        <w:numPr>
          <w:ilvl w:val="0"/>
          <w:numId w:val="37"/>
        </w:numPr>
      </w:pPr>
      <w:r w:rsidRPr="00CA7997">
        <w:t xml:space="preserve">before that export, the circumvention goods are slightly </w:t>
      </w:r>
      <w:proofErr w:type="gramStart"/>
      <w:r w:rsidRPr="00CA7997">
        <w:t>modified;</w:t>
      </w:r>
      <w:proofErr w:type="gramEnd"/>
    </w:p>
    <w:p w14:paraId="0BFCFA54" w14:textId="146017BA" w:rsidR="00B41C31" w:rsidRPr="00CA7997" w:rsidRDefault="00B41C31" w:rsidP="00CA7997">
      <w:pPr>
        <w:pStyle w:val="ListParagraph"/>
        <w:numPr>
          <w:ilvl w:val="0"/>
          <w:numId w:val="37"/>
        </w:numPr>
      </w:pPr>
      <w:r w:rsidRPr="00CA7997">
        <w:t xml:space="preserve">the use or purpose of the circumvention goods is the same before, and after, they are so slightly </w:t>
      </w:r>
      <w:proofErr w:type="gramStart"/>
      <w:r w:rsidRPr="00CA7997">
        <w:t>modified;</w:t>
      </w:r>
      <w:proofErr w:type="gramEnd"/>
    </w:p>
    <w:p w14:paraId="66EF4204" w14:textId="457B0978" w:rsidR="00B41C31" w:rsidRPr="00CA7997" w:rsidRDefault="00B41C31" w:rsidP="00CA7997">
      <w:pPr>
        <w:pStyle w:val="ListParagraph"/>
        <w:numPr>
          <w:ilvl w:val="0"/>
          <w:numId w:val="37"/>
        </w:numPr>
      </w:pPr>
      <w:r w:rsidRPr="00CA7997">
        <w:t xml:space="preserve">had the circumvention goods not been so slightly modified, they would have been the subject of the </w:t>
      </w:r>
      <w:proofErr w:type="gramStart"/>
      <w:r w:rsidRPr="00CA7997">
        <w:t>notice;</w:t>
      </w:r>
      <w:proofErr w:type="gramEnd"/>
    </w:p>
    <w:p w14:paraId="6CE76F31" w14:textId="789A51C7" w:rsidR="00B41C31" w:rsidRPr="00CA7997" w:rsidRDefault="00B41C31" w:rsidP="00CA7997">
      <w:pPr>
        <w:pStyle w:val="ListParagraph"/>
        <w:numPr>
          <w:ilvl w:val="0"/>
          <w:numId w:val="37"/>
        </w:numPr>
      </w:pPr>
      <w:r w:rsidRPr="00CA7997">
        <w:t xml:space="preserve">section 8 or 10 of the </w:t>
      </w:r>
      <w:hyperlink r:id="rId32" w:history="1">
        <w:r w:rsidRPr="00CA7997">
          <w:rPr>
            <w:rStyle w:val="Hyperlink"/>
            <w:color w:val="auto"/>
            <w:u w:val="none"/>
          </w:rPr>
          <w:t>Dumping Duty Act</w:t>
        </w:r>
      </w:hyperlink>
      <w:r w:rsidRPr="00CA7997">
        <w:t>, as the case requires, does not apply to the export of the circumvention goods to Australia.</w:t>
      </w:r>
    </w:p>
    <w:p w14:paraId="2FD92F21" w14:textId="5EEB4846" w:rsidR="007C32F6" w:rsidRPr="009C1C42" w:rsidRDefault="00112C46" w:rsidP="00655C85">
      <w:pPr>
        <w:autoSpaceDE w:val="0"/>
        <w:autoSpaceDN w:val="0"/>
        <w:adjustRightInd w:val="0"/>
        <w:spacing w:before="0"/>
        <w:rPr>
          <w:rFonts w:cs="Arial"/>
        </w:rPr>
      </w:pPr>
      <w:r>
        <w:rPr>
          <w:rFonts w:cs="Arial"/>
        </w:rPr>
        <w:t xml:space="preserve">To determine </w:t>
      </w:r>
      <w:r w:rsidR="007C32F6" w:rsidRPr="009C1C42">
        <w:rPr>
          <w:rFonts w:cs="Arial"/>
        </w:rPr>
        <w:t>whether goods h</w:t>
      </w:r>
      <w:r w:rsidR="0047332F">
        <w:rPr>
          <w:rFonts w:cs="Arial"/>
        </w:rPr>
        <w:t xml:space="preserve">ave been slightly modified, the circumvention </w:t>
      </w:r>
      <w:r w:rsidR="007C32F6" w:rsidRPr="009C1C42">
        <w:rPr>
          <w:rFonts w:cs="Arial"/>
        </w:rPr>
        <w:t xml:space="preserve">goods </w:t>
      </w:r>
      <w:r w:rsidR="00B41C31">
        <w:rPr>
          <w:rFonts w:cs="Arial"/>
        </w:rPr>
        <w:t>must</w:t>
      </w:r>
      <w:r w:rsidR="00B41C31" w:rsidRPr="009C1C42">
        <w:rPr>
          <w:rFonts w:cs="Arial"/>
        </w:rPr>
        <w:t xml:space="preserve"> </w:t>
      </w:r>
      <w:r w:rsidR="007C32F6" w:rsidRPr="009C1C42">
        <w:rPr>
          <w:rFonts w:cs="Arial"/>
        </w:rPr>
        <w:t xml:space="preserve">be compared to the goods that are </w:t>
      </w:r>
      <w:r w:rsidR="00E86E1C">
        <w:rPr>
          <w:rFonts w:cs="Arial"/>
        </w:rPr>
        <w:t xml:space="preserve">the </w:t>
      </w:r>
      <w:r w:rsidR="007C32F6" w:rsidRPr="009C1C42">
        <w:rPr>
          <w:rFonts w:cs="Arial"/>
        </w:rPr>
        <w:t xml:space="preserve">subject </w:t>
      </w:r>
      <w:r w:rsidR="00B41C31">
        <w:rPr>
          <w:rFonts w:cs="Arial"/>
        </w:rPr>
        <w:t>of the notice</w:t>
      </w:r>
      <w:r w:rsidR="0047332F">
        <w:rPr>
          <w:rFonts w:cs="Arial"/>
        </w:rPr>
        <w:t xml:space="preserve">, by </w:t>
      </w:r>
      <w:r w:rsidR="00B41C31">
        <w:rPr>
          <w:rFonts w:cs="Arial"/>
        </w:rPr>
        <w:t xml:space="preserve">having regard to any relevant factor including </w:t>
      </w:r>
      <w:r w:rsidR="007C32F6" w:rsidRPr="009C1C42">
        <w:rPr>
          <w:rFonts w:cs="Arial"/>
        </w:rPr>
        <w:t>the following non-exhaustive factors:</w:t>
      </w:r>
    </w:p>
    <w:p w14:paraId="67B38730" w14:textId="77777777" w:rsidR="00972AAB" w:rsidRPr="009C1C42" w:rsidRDefault="00972AAB" w:rsidP="00324C9E">
      <w:pPr>
        <w:pStyle w:val="ListParagraph"/>
      </w:pPr>
      <w:r w:rsidRPr="009C1C42">
        <w:t>each good’s general physical characteristics</w:t>
      </w:r>
    </w:p>
    <w:p w14:paraId="6D562E2D" w14:textId="77777777" w:rsidR="00972AAB" w:rsidRPr="009C1C42" w:rsidRDefault="00972AAB" w:rsidP="00324C9E">
      <w:pPr>
        <w:pStyle w:val="ListParagraph"/>
      </w:pPr>
      <w:r w:rsidRPr="009C1C42">
        <w:t>each good’s end use</w:t>
      </w:r>
    </w:p>
    <w:p w14:paraId="1E366A36" w14:textId="77777777" w:rsidR="00972AAB" w:rsidRPr="009C1C42" w:rsidRDefault="00972AAB" w:rsidP="00324C9E">
      <w:pPr>
        <w:pStyle w:val="ListParagraph"/>
      </w:pPr>
      <w:r w:rsidRPr="009C1C42">
        <w:t>the interchangeability of each good</w:t>
      </w:r>
    </w:p>
    <w:p w14:paraId="289568D1" w14:textId="77777777" w:rsidR="00972AAB" w:rsidRPr="009C1C42" w:rsidRDefault="00972AAB" w:rsidP="00324C9E">
      <w:pPr>
        <w:pStyle w:val="ListParagraph"/>
      </w:pPr>
      <w:r w:rsidRPr="009C1C42">
        <w:t>differences in the processes used to produce each good</w:t>
      </w:r>
    </w:p>
    <w:p w14:paraId="06E2F38B" w14:textId="77777777" w:rsidR="00972AAB" w:rsidRPr="009C1C42" w:rsidRDefault="00972AAB" w:rsidP="00324C9E">
      <w:pPr>
        <w:pStyle w:val="ListParagraph"/>
      </w:pPr>
      <w:r w:rsidRPr="009C1C42">
        <w:t>differences in the cost to produce each good</w:t>
      </w:r>
    </w:p>
    <w:p w14:paraId="4BA5D843" w14:textId="77777777" w:rsidR="00972AAB" w:rsidRPr="009C1C42" w:rsidRDefault="00972AAB" w:rsidP="00324C9E">
      <w:pPr>
        <w:pStyle w:val="ListParagraph"/>
      </w:pPr>
      <w:r w:rsidRPr="009C1C42">
        <w:t>the cost of modification</w:t>
      </w:r>
    </w:p>
    <w:p w14:paraId="34666818" w14:textId="77777777" w:rsidR="00972AAB" w:rsidRPr="009C1C42" w:rsidRDefault="00972AAB" w:rsidP="00324C9E">
      <w:pPr>
        <w:pStyle w:val="ListParagraph"/>
      </w:pPr>
      <w:r w:rsidRPr="009C1C42">
        <w:t>customer preferences and expectations relating to each good</w:t>
      </w:r>
    </w:p>
    <w:p w14:paraId="57B42DD2" w14:textId="77777777" w:rsidR="00972AAB" w:rsidRPr="009C1C42" w:rsidRDefault="00972AAB" w:rsidP="00324C9E">
      <w:pPr>
        <w:pStyle w:val="ListParagraph"/>
      </w:pPr>
      <w:r w:rsidRPr="009C1C42">
        <w:lastRenderedPageBreak/>
        <w:t xml:space="preserve">the way in which each good is </w:t>
      </w:r>
      <w:proofErr w:type="gramStart"/>
      <w:r w:rsidRPr="009C1C42">
        <w:t>marketed</w:t>
      </w:r>
      <w:proofErr w:type="gramEnd"/>
    </w:p>
    <w:p w14:paraId="364EA79B" w14:textId="77777777" w:rsidR="00972AAB" w:rsidRPr="009C1C42" w:rsidRDefault="00972AAB" w:rsidP="00324C9E">
      <w:pPr>
        <w:pStyle w:val="ListParagraph"/>
      </w:pPr>
      <w:r w:rsidRPr="009C1C42">
        <w:t>channels of trade and distribution for each good</w:t>
      </w:r>
    </w:p>
    <w:p w14:paraId="0280C8BE" w14:textId="77777777" w:rsidR="00972AAB" w:rsidRPr="009C1C42" w:rsidRDefault="00972AAB" w:rsidP="00324C9E">
      <w:pPr>
        <w:pStyle w:val="ListParagraph"/>
      </w:pPr>
      <w:r w:rsidRPr="009C1C42">
        <w:t>patterns of trade for each good</w:t>
      </w:r>
    </w:p>
    <w:p w14:paraId="21A1D5ED" w14:textId="77777777" w:rsidR="00972AAB" w:rsidRPr="009C1C42" w:rsidRDefault="00972AAB" w:rsidP="00324C9E">
      <w:pPr>
        <w:pStyle w:val="ListParagraph"/>
      </w:pPr>
      <w:r w:rsidRPr="009C1C42">
        <w:t>changes in the pricing of each good</w:t>
      </w:r>
    </w:p>
    <w:p w14:paraId="5898A1B7" w14:textId="77777777" w:rsidR="00972AAB" w:rsidRPr="009C1C42" w:rsidRDefault="00972AAB" w:rsidP="00324C9E">
      <w:pPr>
        <w:pStyle w:val="ListParagraph"/>
      </w:pPr>
      <w:r w:rsidRPr="009C1C42">
        <w:t>changes in the export volumes for each good </w:t>
      </w:r>
    </w:p>
    <w:p w14:paraId="7280D84C" w14:textId="77777777" w:rsidR="00972AAB" w:rsidRPr="009C1C42" w:rsidRDefault="00972AAB" w:rsidP="00324C9E">
      <w:pPr>
        <w:pStyle w:val="ListParagraph"/>
      </w:pPr>
      <w:r w:rsidRPr="009C1C42">
        <w:t>tariff classifications and statistical codes for each good </w:t>
      </w:r>
    </w:p>
    <w:p w14:paraId="299B1DD0" w14:textId="67F25845" w:rsidR="007C32F6" w:rsidRPr="005100D8" w:rsidRDefault="007C32F6" w:rsidP="005100D8">
      <w:pPr>
        <w:pStyle w:val="Heading3"/>
        <w:rPr>
          <w:sz w:val="22"/>
          <w:szCs w:val="22"/>
        </w:rPr>
      </w:pPr>
      <w:bookmarkStart w:id="25" w:name="_Toc130218350"/>
      <w:r w:rsidRPr="770C313B">
        <w:rPr>
          <w:sz w:val="22"/>
          <w:szCs w:val="22"/>
        </w:rPr>
        <w:t xml:space="preserve">Example </w:t>
      </w:r>
      <w:r w:rsidR="00C522DF" w:rsidRPr="770C313B">
        <w:rPr>
          <w:sz w:val="22"/>
          <w:szCs w:val="22"/>
        </w:rPr>
        <w:t>5</w:t>
      </w:r>
      <w:r w:rsidRPr="770C313B">
        <w:rPr>
          <w:sz w:val="22"/>
          <w:szCs w:val="22"/>
        </w:rPr>
        <w:t xml:space="preserve"> – Goods covered by notice are </w:t>
      </w:r>
      <w:r w:rsidR="00E64CB6" w:rsidRPr="770C313B">
        <w:rPr>
          <w:b/>
          <w:bCs/>
          <w:sz w:val="23"/>
          <w:szCs w:val="23"/>
        </w:rPr>
        <w:t>non-alloyed</w:t>
      </w:r>
      <w:r w:rsidR="00E64CB6" w:rsidRPr="770C313B">
        <w:rPr>
          <w:sz w:val="23"/>
          <w:szCs w:val="23"/>
        </w:rPr>
        <w:t xml:space="preserve"> galvanised steel </w:t>
      </w:r>
      <w:r w:rsidR="00836740" w:rsidRPr="770C313B">
        <w:rPr>
          <w:sz w:val="22"/>
          <w:szCs w:val="22"/>
        </w:rPr>
        <w:t>exported from Country A</w:t>
      </w:r>
      <w:bookmarkEnd w:id="25"/>
    </w:p>
    <w:p w14:paraId="269D0049" w14:textId="713EF94E" w:rsidR="0030685F" w:rsidRDefault="0030685F" w:rsidP="00CD6AE4">
      <w:pPr>
        <w:adjustRightInd w:val="0"/>
        <w:spacing w:before="0" w:after="0"/>
        <w:ind w:right="-151"/>
        <w:rPr>
          <w:rFonts w:cs="Arial"/>
        </w:rPr>
      </w:pPr>
    </w:p>
    <w:p w14:paraId="42B5F174" w14:textId="4AD06F0F" w:rsidR="0030685F" w:rsidRPr="009C1C42" w:rsidRDefault="00594446" w:rsidP="00AB5CCD">
      <w:pPr>
        <w:adjustRightInd w:val="0"/>
        <w:spacing w:before="0"/>
        <w:ind w:right="-151"/>
        <w:rPr>
          <w:rFonts w:cs="Arial"/>
        </w:rPr>
      </w:pPr>
      <w:r>
        <w:rPr>
          <w:noProof/>
          <w:lang w:eastAsia="en-AU"/>
        </w:rPr>
        <w:drawing>
          <wp:inline distT="0" distB="0" distL="0" distR="0" wp14:anchorId="39416971" wp14:editId="25CDF357">
            <wp:extent cx="5731510" cy="2411730"/>
            <wp:effectExtent l="0" t="0" r="2540" b="7620"/>
            <wp:docPr id="6" name="Picture 6" descr="Exporter A in country A ‘slightly modifies’ its galvanised steel through a minor change to the manufacturing process that adds alloying elements.&#10;&#10;Due to the limitations of the goods description the alloyed galvanised steel is not subject to the dumping duty notice &#10;&#10;The Australian importer imports alloyed galvanised steel from Country A. The importer pays no anti-dumping duties as the goods are slightly modified. &#10;&#10;&#10;" title="Slight modification of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2411730"/>
                    </a:xfrm>
                    <a:prstGeom prst="rect">
                      <a:avLst/>
                    </a:prstGeom>
                  </pic:spPr>
                </pic:pic>
              </a:graphicData>
            </a:graphic>
          </wp:inline>
        </w:drawing>
      </w:r>
    </w:p>
    <w:p w14:paraId="1B9C96A8" w14:textId="35C22521" w:rsidR="00316E81" w:rsidRPr="00563827" w:rsidRDefault="0009285F" w:rsidP="770C313B">
      <w:pPr>
        <w:pStyle w:val="Heading2"/>
        <w:spacing w:after="240"/>
        <w:rPr>
          <w:rFonts w:eastAsiaTheme="minorEastAsia" w:cstheme="minorBidi"/>
          <w:color w:val="1B9590" w:themeColor="accent3"/>
          <w:sz w:val="22"/>
          <w:szCs w:val="22"/>
        </w:rPr>
      </w:pPr>
      <w:bookmarkStart w:id="26" w:name="_Toc444043705"/>
      <w:r w:rsidRPr="770C313B">
        <w:rPr>
          <w:rFonts w:eastAsiaTheme="minorEastAsia" w:cstheme="minorBidi"/>
          <w:color w:val="1B9590" w:themeColor="accent3"/>
          <w:sz w:val="22"/>
          <w:szCs w:val="22"/>
        </w:rPr>
        <w:t>Guidance to Question 7</w:t>
      </w:r>
      <w:bookmarkEnd w:id="26"/>
      <w:r w:rsidRPr="770C313B">
        <w:rPr>
          <w:rFonts w:eastAsiaTheme="minorEastAsia" w:cstheme="minorBidi"/>
          <w:color w:val="1B9590" w:themeColor="accent3"/>
          <w:sz w:val="22"/>
          <w:szCs w:val="22"/>
        </w:rPr>
        <w:t xml:space="preserve"> </w:t>
      </w:r>
    </w:p>
    <w:p w14:paraId="36A4C99D" w14:textId="6F6B80B5" w:rsidR="00972AAB" w:rsidRDefault="00972AAB" w:rsidP="003575D0">
      <w:r>
        <w:t xml:space="preserve">Question 7 requires </w:t>
      </w:r>
      <w:r w:rsidRPr="00972AAB">
        <w:t xml:space="preserve">a description of the alterations to </w:t>
      </w:r>
      <w:proofErr w:type="gramStart"/>
      <w:r w:rsidRPr="00972AAB">
        <w:t>the  notice</w:t>
      </w:r>
      <w:proofErr w:type="gramEnd"/>
      <w:r w:rsidRPr="00972AAB">
        <w:t xml:space="preserve"> that the applicant considers should be made</w:t>
      </w:r>
      <w:r>
        <w:t>.</w:t>
      </w:r>
      <w:r w:rsidRPr="00972AAB">
        <w:t xml:space="preserve"> </w:t>
      </w:r>
    </w:p>
    <w:p w14:paraId="522F4CE5" w14:textId="5E2CC4AB" w:rsidR="0009285F" w:rsidRDefault="0009285F" w:rsidP="003575D0">
      <w:pPr>
        <w:adjustRightInd w:val="0"/>
        <w:spacing w:before="0"/>
        <w:ind w:right="-153"/>
        <w:rPr>
          <w:rFonts w:cs="Arial"/>
        </w:rPr>
      </w:pPr>
      <w:r w:rsidRPr="00800163">
        <w:rPr>
          <w:rFonts w:cs="Arial"/>
        </w:rPr>
        <w:t>Section 269</w:t>
      </w:r>
      <w:proofErr w:type="gramStart"/>
      <w:r w:rsidRPr="00800163">
        <w:rPr>
          <w:rFonts w:cs="Arial"/>
        </w:rPr>
        <w:t>ZDBH(</w:t>
      </w:r>
      <w:proofErr w:type="gramEnd"/>
      <w:r w:rsidRPr="00800163">
        <w:rPr>
          <w:rFonts w:cs="Arial"/>
        </w:rPr>
        <w:t>2) of the Act outlines the kinds of alterations that may be made to the  notice</w:t>
      </w:r>
      <w:r>
        <w:rPr>
          <w:rFonts w:cs="Arial"/>
        </w:rPr>
        <w:t xml:space="preserve"> by the Minister</w:t>
      </w:r>
      <w:r w:rsidRPr="00800163">
        <w:rPr>
          <w:rFonts w:cs="Arial"/>
        </w:rPr>
        <w:t xml:space="preserve"> including</w:t>
      </w:r>
      <w:r w:rsidR="003254E4">
        <w:rPr>
          <w:rFonts w:cs="Arial"/>
        </w:rPr>
        <w:t xml:space="preserve"> the specification of</w:t>
      </w:r>
      <w:r w:rsidRPr="00800163">
        <w:rPr>
          <w:rFonts w:cs="Arial"/>
        </w:rPr>
        <w:t>:</w:t>
      </w:r>
    </w:p>
    <w:p w14:paraId="7BA5E1C7" w14:textId="68C1DF1D" w:rsidR="0009285F" w:rsidRPr="008F1B94" w:rsidRDefault="0009285F" w:rsidP="008F1B94">
      <w:pPr>
        <w:pStyle w:val="ListParagraph"/>
      </w:pPr>
      <w:r w:rsidRPr="008F1B94">
        <w:t xml:space="preserve">different goods that are to be the subject of </w:t>
      </w:r>
      <w:proofErr w:type="gramStart"/>
      <w:r w:rsidRPr="008F1B94">
        <w:t>the  notice</w:t>
      </w:r>
      <w:proofErr w:type="gramEnd"/>
    </w:p>
    <w:p w14:paraId="25D38169" w14:textId="43F44F44" w:rsidR="0009285F" w:rsidRPr="008F1B94" w:rsidRDefault="0009285F" w:rsidP="008F1B94">
      <w:pPr>
        <w:pStyle w:val="ListParagraph"/>
      </w:pPr>
      <w:r w:rsidRPr="008F1B94">
        <w:t xml:space="preserve">different foreign countries that are to be the subject of </w:t>
      </w:r>
      <w:proofErr w:type="gramStart"/>
      <w:r w:rsidRPr="008F1B94">
        <w:t>the  notice</w:t>
      </w:r>
      <w:proofErr w:type="gramEnd"/>
    </w:p>
    <w:p w14:paraId="3E186532" w14:textId="0940C23D" w:rsidR="0009285F" w:rsidRPr="008F1B94" w:rsidRDefault="0009285F" w:rsidP="008F1B94">
      <w:pPr>
        <w:pStyle w:val="ListParagraph"/>
      </w:pPr>
      <w:r w:rsidRPr="008F1B94">
        <w:t xml:space="preserve">different exporters that are to be the subject of </w:t>
      </w:r>
      <w:proofErr w:type="gramStart"/>
      <w:r w:rsidRPr="008F1B94">
        <w:t>the  notice</w:t>
      </w:r>
      <w:proofErr w:type="gramEnd"/>
    </w:p>
    <w:p w14:paraId="48EF1704" w14:textId="027ADB99" w:rsidR="0009285F" w:rsidRPr="008F1B94" w:rsidRDefault="0009285F" w:rsidP="008F1B94">
      <w:pPr>
        <w:pStyle w:val="ListParagraph"/>
      </w:pPr>
      <w:r w:rsidRPr="008F1B94">
        <w:t xml:space="preserve">different variable factors in respect of existing exporters subject of </w:t>
      </w:r>
      <w:proofErr w:type="gramStart"/>
      <w:r w:rsidRPr="008F1B94">
        <w:t>the  notice</w:t>
      </w:r>
      <w:proofErr w:type="gramEnd"/>
    </w:p>
    <w:p w14:paraId="1752C4DB" w14:textId="3E471B14" w:rsidR="0009285F" w:rsidRPr="008F1B94" w:rsidRDefault="0009285F" w:rsidP="008F1B94">
      <w:pPr>
        <w:pStyle w:val="ListParagraph"/>
      </w:pPr>
      <w:r w:rsidRPr="008F1B94">
        <w:t xml:space="preserve">variable factors in relation to the different exporters that are to be the subject of </w:t>
      </w:r>
      <w:proofErr w:type="gramStart"/>
      <w:r w:rsidRPr="008F1B94">
        <w:t>the  notice</w:t>
      </w:r>
      <w:proofErr w:type="gramEnd"/>
      <w:r w:rsidRPr="008F1B94">
        <w:t>.</w:t>
      </w:r>
    </w:p>
    <w:p w14:paraId="68376184" w14:textId="0CAE0110" w:rsidR="0009285F" w:rsidRDefault="0009285F" w:rsidP="003575D0">
      <w:pPr>
        <w:adjustRightInd w:val="0"/>
        <w:spacing w:before="0" w:after="0"/>
        <w:ind w:right="-151"/>
        <w:rPr>
          <w:rFonts w:cs="Arial"/>
        </w:rPr>
      </w:pPr>
      <w:r w:rsidRPr="00800163">
        <w:rPr>
          <w:rFonts w:cs="Arial"/>
        </w:rPr>
        <w:t>Variable factors are export price, normal value</w:t>
      </w:r>
      <w:r>
        <w:rPr>
          <w:rFonts w:cs="Arial"/>
        </w:rPr>
        <w:t>,</w:t>
      </w:r>
      <w:r w:rsidRPr="00800163">
        <w:rPr>
          <w:rFonts w:cs="Arial"/>
        </w:rPr>
        <w:t xml:space="preserve"> non-injurious price</w:t>
      </w:r>
      <w:r>
        <w:rPr>
          <w:rFonts w:cs="Arial"/>
        </w:rPr>
        <w:t xml:space="preserve"> and the countervailable subsidy in respect of the goods (</w:t>
      </w:r>
      <w:r w:rsidR="008F1B94">
        <w:rPr>
          <w:rFonts w:cs="Arial"/>
        </w:rPr>
        <w:t xml:space="preserve">as </w:t>
      </w:r>
      <w:r>
        <w:rPr>
          <w:rFonts w:cs="Arial"/>
        </w:rPr>
        <w:t>relevant).</w:t>
      </w:r>
    </w:p>
    <w:p w14:paraId="00CDF5C0" w14:textId="6AC0CB24" w:rsidR="0093598A" w:rsidRDefault="006B5DC8">
      <w:pPr>
        <w:spacing w:before="0" w:after="160" w:line="259" w:lineRule="auto"/>
        <w:rPr>
          <w:rFonts w:cs="Arial"/>
        </w:rPr>
      </w:pPr>
      <w:r>
        <w:rPr>
          <w:rFonts w:cs="Arial"/>
        </w:rPr>
        <w:t>Where relevant, t</w:t>
      </w:r>
      <w:r w:rsidR="008F6595" w:rsidRPr="008F6595">
        <w:rPr>
          <w:rFonts w:cs="Arial"/>
        </w:rPr>
        <w:t>he Commissioner will recommend to the Minister the most appropriate alteration</w:t>
      </w:r>
      <w:r w:rsidR="008F6595">
        <w:rPr>
          <w:rFonts w:cs="Arial"/>
        </w:rPr>
        <w:t xml:space="preserve"> </w:t>
      </w:r>
      <w:r w:rsidR="008F6595" w:rsidRPr="008F6595">
        <w:rPr>
          <w:rFonts w:cs="Arial"/>
        </w:rPr>
        <w:t xml:space="preserve">to be made to the </w:t>
      </w:r>
      <w:proofErr w:type="gramStart"/>
      <w:r w:rsidR="008F6595" w:rsidRPr="008F6595">
        <w:rPr>
          <w:rFonts w:cs="Arial"/>
        </w:rPr>
        <w:t>notice, and</w:t>
      </w:r>
      <w:proofErr w:type="gramEnd"/>
      <w:r w:rsidR="008F6595" w:rsidRPr="008F6595">
        <w:rPr>
          <w:rFonts w:cs="Arial"/>
        </w:rPr>
        <w:t xml:space="preserve"> will have regard to the application in making that decision.</w:t>
      </w:r>
    </w:p>
    <w:p w14:paraId="070E6BC0" w14:textId="77777777" w:rsidR="0098359C" w:rsidRDefault="0098359C" w:rsidP="008F1B94">
      <w:pPr>
        <w:pStyle w:val="Heading1"/>
      </w:pPr>
      <w:bookmarkStart w:id="27" w:name="_Toc2040420194"/>
      <w:bookmarkStart w:id="28" w:name="_Toc195429"/>
      <w:bookmarkEnd w:id="11"/>
      <w:r>
        <w:lastRenderedPageBreak/>
        <w:t xml:space="preserve">The inquiry </w:t>
      </w:r>
      <w:proofErr w:type="gramStart"/>
      <w:r>
        <w:t>process</w:t>
      </w:r>
      <w:bookmarkEnd w:id="27"/>
      <w:proofErr w:type="gramEnd"/>
      <w:r>
        <w:t xml:space="preserve"> </w:t>
      </w:r>
    </w:p>
    <w:p w14:paraId="40A2DC21" w14:textId="42E3B342" w:rsidR="00985518" w:rsidRPr="008F1B94" w:rsidRDefault="00985518" w:rsidP="770C313B">
      <w:pPr>
        <w:pStyle w:val="Heading2"/>
        <w:spacing w:before="0" w:after="240"/>
        <w:rPr>
          <w:rFonts w:eastAsiaTheme="minorEastAsia" w:cstheme="minorBidi"/>
          <w:color w:val="1B9590" w:themeColor="accent3"/>
          <w:sz w:val="22"/>
          <w:szCs w:val="22"/>
        </w:rPr>
      </w:pPr>
      <w:bookmarkStart w:id="29" w:name="_Toc68472945"/>
      <w:bookmarkEnd w:id="28"/>
      <w:r w:rsidRPr="770C313B">
        <w:rPr>
          <w:rFonts w:eastAsiaTheme="minorEastAsia" w:cstheme="minorBidi"/>
          <w:color w:val="1B9590" w:themeColor="accent3"/>
          <w:sz w:val="22"/>
          <w:szCs w:val="22"/>
        </w:rPr>
        <w:t>The Act</w:t>
      </w:r>
      <w:bookmarkEnd w:id="29"/>
    </w:p>
    <w:p w14:paraId="25259DFA" w14:textId="2F2A4D26" w:rsidR="0098359C" w:rsidRDefault="0098359C" w:rsidP="003575D0">
      <w:pPr>
        <w:rPr>
          <w:rFonts w:cs="Arial"/>
        </w:rPr>
      </w:pPr>
      <w:r>
        <w:rPr>
          <w:rFonts w:cs="Arial"/>
        </w:rPr>
        <w:t xml:space="preserve">The anti-circumvention inquiry process is prescribed </w:t>
      </w:r>
      <w:r w:rsidRPr="00800163">
        <w:rPr>
          <w:rFonts w:cs="Arial"/>
        </w:rPr>
        <w:t>in Division 5A, Part XVB of the Act.</w:t>
      </w:r>
    </w:p>
    <w:p w14:paraId="42BF87B9" w14:textId="77777777" w:rsidR="000C5C4D" w:rsidRPr="008F1B94" w:rsidRDefault="000C5C4D" w:rsidP="770C313B">
      <w:pPr>
        <w:pStyle w:val="Heading2"/>
        <w:spacing w:before="0" w:after="240"/>
        <w:rPr>
          <w:rFonts w:eastAsiaTheme="minorEastAsia" w:cstheme="minorBidi"/>
          <w:color w:val="1B9590" w:themeColor="accent3"/>
          <w:sz w:val="22"/>
          <w:szCs w:val="22"/>
        </w:rPr>
      </w:pPr>
      <w:bookmarkStart w:id="30" w:name="_Toc1189876492"/>
      <w:r w:rsidRPr="770C313B">
        <w:rPr>
          <w:rFonts w:eastAsiaTheme="minorEastAsia" w:cstheme="minorBidi"/>
          <w:color w:val="1B9590" w:themeColor="accent3"/>
          <w:sz w:val="22"/>
          <w:szCs w:val="22"/>
        </w:rPr>
        <w:t>Public record</w:t>
      </w:r>
      <w:bookmarkEnd w:id="30"/>
    </w:p>
    <w:p w14:paraId="48C69F8B" w14:textId="600FA15A" w:rsidR="000C5C4D" w:rsidRPr="007A3D80" w:rsidRDefault="00C903CB" w:rsidP="000C5C4D">
      <w:pPr>
        <w:rPr>
          <w:color w:val="1B9590" w:themeColor="accent3"/>
        </w:rPr>
      </w:pPr>
      <w:r>
        <w:rPr>
          <w:rFonts w:cs="Arial"/>
        </w:rPr>
        <w:t>The Commission maintain</w:t>
      </w:r>
      <w:r w:rsidR="006E3C16">
        <w:rPr>
          <w:rFonts w:cs="Arial"/>
        </w:rPr>
        <w:t>s</w:t>
      </w:r>
      <w:r>
        <w:rPr>
          <w:rFonts w:cs="Arial"/>
        </w:rPr>
        <w:t xml:space="preserve"> a </w:t>
      </w:r>
      <w:r w:rsidR="000C5C4D" w:rsidRPr="006278FC">
        <w:rPr>
          <w:rFonts w:cs="Arial"/>
        </w:rPr>
        <w:t xml:space="preserve">public record for </w:t>
      </w:r>
      <w:r w:rsidR="000C5C4D">
        <w:rPr>
          <w:rFonts w:cs="Arial"/>
        </w:rPr>
        <w:t>all</w:t>
      </w:r>
      <w:r w:rsidR="000C5C4D" w:rsidRPr="006278FC">
        <w:rPr>
          <w:rFonts w:cs="Arial"/>
        </w:rPr>
        <w:t xml:space="preserve"> anti-circumvention inquiries. </w:t>
      </w:r>
      <w:r w:rsidR="000C5C4D">
        <w:rPr>
          <w:rFonts w:cs="Arial"/>
        </w:rPr>
        <w:t>A non-confidential version of the application, non-confidential submissions, the statement of essential facts (SEF) and all relevant correspondence will be included on the public record.</w:t>
      </w:r>
    </w:p>
    <w:p w14:paraId="6306D1C3" w14:textId="4C365D43" w:rsidR="00985518" w:rsidRPr="008F1B94" w:rsidRDefault="00985518" w:rsidP="770C313B">
      <w:pPr>
        <w:pStyle w:val="Heading2"/>
        <w:spacing w:before="0" w:after="240"/>
        <w:rPr>
          <w:rFonts w:eastAsiaTheme="minorEastAsia" w:cstheme="minorBidi"/>
          <w:color w:val="1B9590" w:themeColor="accent3"/>
          <w:sz w:val="22"/>
          <w:szCs w:val="22"/>
        </w:rPr>
      </w:pPr>
      <w:bookmarkStart w:id="31" w:name="_Toc1308154590"/>
      <w:r w:rsidRPr="770C313B">
        <w:rPr>
          <w:rFonts w:eastAsiaTheme="minorEastAsia" w:cstheme="minorBidi"/>
          <w:color w:val="1B9590" w:themeColor="accent3"/>
          <w:sz w:val="22"/>
          <w:szCs w:val="22"/>
        </w:rPr>
        <w:t>Consideration of application</w:t>
      </w:r>
      <w:bookmarkEnd w:id="31"/>
    </w:p>
    <w:p w14:paraId="2717497E" w14:textId="28C70196" w:rsidR="009264BA" w:rsidRDefault="00985518" w:rsidP="003575D0">
      <w:pPr>
        <w:adjustRightInd w:val="0"/>
        <w:spacing w:before="0" w:after="0"/>
        <w:ind w:right="-151"/>
        <w:rPr>
          <w:rFonts w:cs="Arial"/>
        </w:rPr>
      </w:pPr>
      <w:r w:rsidRPr="00800163">
        <w:rPr>
          <w:rFonts w:cs="Arial"/>
        </w:rPr>
        <w:t xml:space="preserve">The </w:t>
      </w:r>
      <w:r>
        <w:rPr>
          <w:rFonts w:cs="Arial"/>
        </w:rPr>
        <w:t>Commissioner</w:t>
      </w:r>
      <w:r w:rsidRPr="00800163">
        <w:rPr>
          <w:rFonts w:cs="Arial"/>
        </w:rPr>
        <w:t xml:space="preserve"> must decide </w:t>
      </w:r>
      <w:proofErr w:type="gramStart"/>
      <w:r w:rsidRPr="00800163">
        <w:rPr>
          <w:rFonts w:cs="Arial"/>
        </w:rPr>
        <w:t>whether or not</w:t>
      </w:r>
      <w:proofErr w:type="gramEnd"/>
      <w:r w:rsidRPr="00800163">
        <w:rPr>
          <w:rFonts w:cs="Arial"/>
        </w:rPr>
        <w:t xml:space="preserve"> to reject the application</w:t>
      </w:r>
      <w:r w:rsidRPr="00BB44D7">
        <w:rPr>
          <w:rFonts w:cs="Arial"/>
        </w:rPr>
        <w:t xml:space="preserve"> </w:t>
      </w:r>
      <w:r w:rsidRPr="00800163">
        <w:rPr>
          <w:rFonts w:cs="Arial"/>
        </w:rPr>
        <w:t>within 20 days</w:t>
      </w:r>
      <w:r>
        <w:rPr>
          <w:rFonts w:cs="Arial"/>
        </w:rPr>
        <w:t xml:space="preserve"> of lodgement of an application</w:t>
      </w:r>
      <w:r w:rsidRPr="00800163">
        <w:rPr>
          <w:rFonts w:cs="Arial"/>
        </w:rPr>
        <w:t xml:space="preserve">. The </w:t>
      </w:r>
      <w:r>
        <w:rPr>
          <w:rFonts w:cs="Arial"/>
        </w:rPr>
        <w:t>Commissioner</w:t>
      </w:r>
      <w:r w:rsidRPr="00800163">
        <w:rPr>
          <w:rFonts w:cs="Arial"/>
        </w:rPr>
        <w:t xml:space="preserve"> must reject the application if not satisfied that</w:t>
      </w:r>
      <w:r w:rsidR="009264BA">
        <w:rPr>
          <w:rFonts w:cs="Arial"/>
        </w:rPr>
        <w:t>:</w:t>
      </w:r>
    </w:p>
    <w:p w14:paraId="1AF8BD2E" w14:textId="7414D438" w:rsidR="009264BA" w:rsidRPr="00324C9E" w:rsidRDefault="00985518" w:rsidP="00324C9E">
      <w:pPr>
        <w:pStyle w:val="ListParagraph"/>
      </w:pPr>
      <w:r w:rsidRPr="00324C9E">
        <w:t xml:space="preserve">the requirements </w:t>
      </w:r>
      <w:r w:rsidR="009264BA" w:rsidRPr="00324C9E">
        <w:t xml:space="preserve">for an </w:t>
      </w:r>
      <w:r w:rsidRPr="00324C9E">
        <w:t>application have been met</w:t>
      </w:r>
      <w:r w:rsidR="009264BA" w:rsidRPr="00324C9E">
        <w:rPr>
          <w:rStyle w:val="FootnoteReference"/>
        </w:rPr>
        <w:footnoteReference w:id="4"/>
      </w:r>
      <w:r w:rsidR="009264BA" w:rsidRPr="00324C9E">
        <w:t>, and/or</w:t>
      </w:r>
    </w:p>
    <w:p w14:paraId="6E1FB8AC" w14:textId="510CAB89" w:rsidR="00985518" w:rsidRPr="00324C9E" w:rsidRDefault="00985518" w:rsidP="00324C9E">
      <w:pPr>
        <w:pStyle w:val="ListParagraph"/>
      </w:pPr>
      <w:r w:rsidRPr="00324C9E">
        <w:t xml:space="preserve">that there appear to be reasonable grounds for asserting that one or more circumvention activities in relation to </w:t>
      </w:r>
      <w:proofErr w:type="gramStart"/>
      <w:r w:rsidRPr="00324C9E">
        <w:t xml:space="preserve">the </w:t>
      </w:r>
      <w:r w:rsidR="0093598A" w:rsidRPr="00324C9E">
        <w:t xml:space="preserve"> notice</w:t>
      </w:r>
      <w:proofErr w:type="gramEnd"/>
      <w:r w:rsidR="0093598A" w:rsidRPr="00324C9E">
        <w:t xml:space="preserve"> have occurred.</w:t>
      </w:r>
    </w:p>
    <w:p w14:paraId="5ECEAC3E" w14:textId="0DC5766D" w:rsidR="00985518" w:rsidRPr="00800163" w:rsidRDefault="009264BA" w:rsidP="008F1B94">
      <w:pPr>
        <w:adjustRightInd w:val="0"/>
        <w:spacing w:before="0"/>
        <w:ind w:right="-151"/>
        <w:rPr>
          <w:rFonts w:cs="Arial"/>
        </w:rPr>
      </w:pPr>
      <w:r w:rsidRPr="00800163">
        <w:rPr>
          <w:rFonts w:cs="Arial"/>
        </w:rPr>
        <w:t>The applicant will</w:t>
      </w:r>
      <w:r>
        <w:rPr>
          <w:rFonts w:cs="Arial"/>
        </w:rPr>
        <w:t xml:space="preserve"> </w:t>
      </w:r>
      <w:r w:rsidRPr="00800163">
        <w:rPr>
          <w:rFonts w:cs="Arial"/>
        </w:rPr>
        <w:t xml:space="preserve">be notified of the </w:t>
      </w:r>
      <w:proofErr w:type="gramStart"/>
      <w:r>
        <w:rPr>
          <w:rFonts w:cs="Arial"/>
        </w:rPr>
        <w:t>Commissioner‘</w:t>
      </w:r>
      <w:proofErr w:type="gramEnd"/>
      <w:r>
        <w:rPr>
          <w:rFonts w:cs="Arial"/>
        </w:rPr>
        <w:t xml:space="preserve">s </w:t>
      </w:r>
      <w:r w:rsidRPr="00800163">
        <w:rPr>
          <w:rFonts w:cs="Arial"/>
        </w:rPr>
        <w:t xml:space="preserve">decision. </w:t>
      </w:r>
      <w:r w:rsidR="00985518" w:rsidRPr="00800163">
        <w:rPr>
          <w:rFonts w:cs="Arial"/>
        </w:rPr>
        <w:t xml:space="preserve">If the </w:t>
      </w:r>
      <w:r w:rsidR="00985518">
        <w:rPr>
          <w:rFonts w:cs="Arial"/>
        </w:rPr>
        <w:t>Commissioner</w:t>
      </w:r>
      <w:r w:rsidR="00985518" w:rsidRPr="00800163">
        <w:rPr>
          <w:rFonts w:cs="Arial"/>
        </w:rPr>
        <w:t xml:space="preserve"> does not reject the application</w:t>
      </w:r>
      <w:r>
        <w:rPr>
          <w:rFonts w:cs="Arial"/>
        </w:rPr>
        <w:t xml:space="preserve"> </w:t>
      </w:r>
      <w:r w:rsidR="00985518" w:rsidRPr="00800163">
        <w:rPr>
          <w:rFonts w:cs="Arial"/>
        </w:rPr>
        <w:t>a notice must be published</w:t>
      </w:r>
      <w:r w:rsidR="00985518">
        <w:rPr>
          <w:rFonts w:cs="Arial"/>
        </w:rPr>
        <w:t xml:space="preserve"> </w:t>
      </w:r>
      <w:r w:rsidR="00985518" w:rsidRPr="00800163">
        <w:rPr>
          <w:rFonts w:cs="Arial"/>
        </w:rPr>
        <w:t>indicating that an inquiry is to be conducted.</w:t>
      </w:r>
      <w:r w:rsidR="00985518">
        <w:rPr>
          <w:rFonts w:cs="Arial"/>
        </w:rPr>
        <w:t xml:space="preserve"> </w:t>
      </w:r>
    </w:p>
    <w:p w14:paraId="39B2BB90" w14:textId="77777777" w:rsidR="00985518" w:rsidRPr="008F1B94" w:rsidRDefault="00985518" w:rsidP="770C313B">
      <w:pPr>
        <w:pStyle w:val="Heading2"/>
        <w:spacing w:before="0" w:after="240"/>
        <w:rPr>
          <w:rFonts w:eastAsiaTheme="minorEastAsia" w:cstheme="minorBidi"/>
          <w:color w:val="1B9590" w:themeColor="accent3"/>
          <w:sz w:val="22"/>
          <w:szCs w:val="22"/>
        </w:rPr>
      </w:pPr>
      <w:bookmarkStart w:id="32" w:name="_Toc585651543"/>
      <w:r w:rsidRPr="770C313B">
        <w:rPr>
          <w:rFonts w:eastAsiaTheme="minorEastAsia" w:cstheme="minorBidi"/>
          <w:color w:val="1B9590" w:themeColor="accent3"/>
          <w:sz w:val="22"/>
          <w:szCs w:val="22"/>
        </w:rPr>
        <w:t>Submissions</w:t>
      </w:r>
      <w:bookmarkEnd w:id="32"/>
    </w:p>
    <w:p w14:paraId="57B44534" w14:textId="2570157E" w:rsidR="00985518" w:rsidRPr="00800163" w:rsidRDefault="000B7FD6" w:rsidP="007A1500">
      <w:pPr>
        <w:keepNext/>
        <w:keepLines/>
        <w:adjustRightInd w:val="0"/>
        <w:spacing w:before="0" w:after="0"/>
        <w:ind w:right="-151"/>
        <w:rPr>
          <w:rFonts w:cs="Arial"/>
        </w:rPr>
      </w:pPr>
      <w:r>
        <w:rPr>
          <w:rFonts w:cs="Arial"/>
        </w:rPr>
        <w:t xml:space="preserve">Submissions in relation to </w:t>
      </w:r>
      <w:r w:rsidR="008F1B94">
        <w:rPr>
          <w:rFonts w:cs="Arial"/>
        </w:rPr>
        <w:t>an</w:t>
      </w:r>
      <w:r>
        <w:rPr>
          <w:rFonts w:cs="Arial"/>
        </w:rPr>
        <w:t xml:space="preserve"> inquiry </w:t>
      </w:r>
      <w:r w:rsidRPr="000B7FD6">
        <w:rPr>
          <w:rFonts w:cs="Arial"/>
        </w:rPr>
        <w:t xml:space="preserve">must be received within 37 days of the date of publication of the </w:t>
      </w:r>
      <w:r>
        <w:rPr>
          <w:rFonts w:cs="Arial"/>
        </w:rPr>
        <w:t xml:space="preserve">initiation </w:t>
      </w:r>
      <w:r w:rsidRPr="000B7FD6">
        <w:rPr>
          <w:rFonts w:cs="Arial"/>
        </w:rPr>
        <w:t xml:space="preserve">notice. </w:t>
      </w:r>
      <w:r w:rsidR="00985518" w:rsidRPr="00800163">
        <w:rPr>
          <w:rFonts w:cs="Arial"/>
        </w:rPr>
        <w:t xml:space="preserve">The </w:t>
      </w:r>
      <w:r w:rsidR="00985518">
        <w:rPr>
          <w:rFonts w:cs="Arial"/>
        </w:rPr>
        <w:t>Commissioner</w:t>
      </w:r>
      <w:r w:rsidR="00985518" w:rsidRPr="00800163">
        <w:rPr>
          <w:rFonts w:cs="Arial"/>
        </w:rPr>
        <w:t xml:space="preserve"> is not obliged to have regard to a submission received after </w:t>
      </w:r>
      <w:r w:rsidR="00F6765B">
        <w:rPr>
          <w:rFonts w:cs="Arial"/>
        </w:rPr>
        <w:t>the deadline</w:t>
      </w:r>
      <w:r w:rsidR="00985518" w:rsidRPr="00800163">
        <w:rPr>
          <w:rFonts w:cs="Arial"/>
        </w:rPr>
        <w:t>, if to do so would prevent the timely placement of the SEF on the public record.</w:t>
      </w:r>
    </w:p>
    <w:p w14:paraId="5599FB26" w14:textId="49EAFA36" w:rsidR="007A1500" w:rsidRPr="00020F80" w:rsidRDefault="007A1500" w:rsidP="007A1500">
      <w:r w:rsidRPr="00020F80">
        <w:t xml:space="preserve">Interested parties must prepare non-confidential versions </w:t>
      </w:r>
      <w:r>
        <w:t xml:space="preserve">of submissions for placement on </w:t>
      </w:r>
      <w:r w:rsidRPr="00020F80">
        <w:t xml:space="preserve">the public record. </w:t>
      </w:r>
      <w:r w:rsidR="000B7FD6">
        <w:t xml:space="preserve">Information on preparing a submission is available on the Commission’s </w:t>
      </w:r>
      <w:hyperlink r:id="rId34" w:history="1">
        <w:r w:rsidR="000B7FD6" w:rsidRPr="000B7FD6">
          <w:rPr>
            <w:rStyle w:val="Hyperlink"/>
          </w:rPr>
          <w:t>website</w:t>
        </w:r>
      </w:hyperlink>
      <w:r w:rsidR="000B7FD6">
        <w:t>.</w:t>
      </w:r>
    </w:p>
    <w:p w14:paraId="3AB59624" w14:textId="77777777" w:rsidR="00985518" w:rsidRPr="008F1B94" w:rsidRDefault="00985518" w:rsidP="00741A23">
      <w:pPr>
        <w:pStyle w:val="Heading2"/>
        <w:spacing w:before="0" w:after="240"/>
        <w:rPr>
          <w:color w:val="1B9590" w:themeColor="accent3"/>
        </w:rPr>
      </w:pPr>
      <w:bookmarkStart w:id="33" w:name="_Toc270765164"/>
      <w:r w:rsidRPr="770C313B">
        <w:rPr>
          <w:rFonts w:eastAsiaTheme="minorEastAsia" w:cstheme="minorBidi"/>
          <w:color w:val="1B9590" w:themeColor="accent3"/>
          <w:sz w:val="22"/>
          <w:szCs w:val="22"/>
        </w:rPr>
        <w:t>Verification of information</w:t>
      </w:r>
      <w:bookmarkEnd w:id="33"/>
    </w:p>
    <w:p w14:paraId="37D11AFE" w14:textId="701F332C" w:rsidR="00985518" w:rsidRDefault="00FE514A" w:rsidP="00CC6F43">
      <w:r>
        <w:t>The Commission may conduct o</w:t>
      </w:r>
      <w:r w:rsidR="00985518" w:rsidRPr="00CC6F43">
        <w:t xml:space="preserve">n-site visits to verify information submitted by interested parties. Where on-site visits do not occur, desk audits may also be completed. </w:t>
      </w:r>
    </w:p>
    <w:p w14:paraId="499336E4" w14:textId="77777777" w:rsidR="0097656C" w:rsidRPr="00C2049F" w:rsidRDefault="0097656C" w:rsidP="770C313B">
      <w:pPr>
        <w:pStyle w:val="Heading2"/>
        <w:spacing w:before="0" w:after="240"/>
        <w:rPr>
          <w:rFonts w:eastAsiaTheme="minorEastAsia" w:cstheme="minorBidi"/>
          <w:color w:val="1B9590" w:themeColor="accent3"/>
          <w:sz w:val="22"/>
          <w:szCs w:val="22"/>
        </w:rPr>
      </w:pPr>
      <w:bookmarkStart w:id="34" w:name="_Toc96748664"/>
      <w:r w:rsidRPr="770C313B">
        <w:rPr>
          <w:rFonts w:eastAsiaTheme="minorEastAsia" w:cstheme="minorBidi"/>
          <w:color w:val="1B9590" w:themeColor="accent3"/>
          <w:sz w:val="22"/>
          <w:szCs w:val="22"/>
        </w:rPr>
        <w:lastRenderedPageBreak/>
        <w:t>Termination</w:t>
      </w:r>
      <w:bookmarkEnd w:id="34"/>
    </w:p>
    <w:p w14:paraId="672774A2" w14:textId="7D0C9024" w:rsidR="0097656C" w:rsidRPr="0097656C" w:rsidRDefault="0097656C" w:rsidP="0097656C">
      <w:r w:rsidRPr="0097656C">
        <w:t xml:space="preserve">The Commissioner may terminate the inquiry, before publishing a SEF, if satisfied that no circumvention activity in relation to </w:t>
      </w:r>
      <w:proofErr w:type="gramStart"/>
      <w:r w:rsidRPr="0097656C">
        <w:t>the  notice</w:t>
      </w:r>
      <w:proofErr w:type="gramEnd"/>
      <w:r w:rsidRPr="0097656C">
        <w:t xml:space="preserve"> has occurred. The Commissioner must give public notice of a decision to terminate an inquiry. </w:t>
      </w:r>
    </w:p>
    <w:p w14:paraId="6C05596A" w14:textId="77777777" w:rsidR="00985518" w:rsidRPr="008F1B94" w:rsidRDefault="00985518" w:rsidP="770C313B">
      <w:pPr>
        <w:pStyle w:val="Heading2"/>
        <w:spacing w:before="0" w:after="240"/>
        <w:rPr>
          <w:rFonts w:eastAsiaTheme="minorEastAsia" w:cstheme="minorBidi"/>
          <w:color w:val="1B9590" w:themeColor="accent3"/>
          <w:sz w:val="22"/>
          <w:szCs w:val="22"/>
        </w:rPr>
      </w:pPr>
      <w:bookmarkStart w:id="35" w:name="_Toc570848646"/>
      <w:r w:rsidRPr="770C313B">
        <w:rPr>
          <w:rFonts w:eastAsiaTheme="minorEastAsia" w:cstheme="minorBidi"/>
          <w:color w:val="1B9590" w:themeColor="accent3"/>
          <w:sz w:val="22"/>
          <w:szCs w:val="22"/>
        </w:rPr>
        <w:t>Statement of essential facts</w:t>
      </w:r>
      <w:bookmarkEnd w:id="35"/>
    </w:p>
    <w:p w14:paraId="14A0C987" w14:textId="6CEEE6C2" w:rsidR="00B93F7A" w:rsidRDefault="00307049" w:rsidP="00CD6AE4">
      <w:pPr>
        <w:adjustRightInd w:val="0"/>
        <w:spacing w:before="0"/>
        <w:ind w:right="-151"/>
        <w:rPr>
          <w:rFonts w:cs="Arial"/>
        </w:rPr>
      </w:pPr>
      <w:r>
        <w:rPr>
          <w:rFonts w:cs="Arial"/>
        </w:rPr>
        <w:t>A</w:t>
      </w:r>
      <w:r w:rsidRPr="00800163">
        <w:rPr>
          <w:rFonts w:cs="Arial"/>
        </w:rPr>
        <w:t xml:space="preserve"> SEF must be placed on the public record </w:t>
      </w:r>
      <w:r>
        <w:rPr>
          <w:rFonts w:cs="Arial"/>
        </w:rPr>
        <w:t>w</w:t>
      </w:r>
      <w:r w:rsidR="00985518" w:rsidRPr="00800163">
        <w:rPr>
          <w:rFonts w:cs="Arial"/>
        </w:rPr>
        <w:t>ithin 110 days</w:t>
      </w:r>
      <w:r w:rsidR="00985518">
        <w:rPr>
          <w:rFonts w:cs="Arial"/>
        </w:rPr>
        <w:t xml:space="preserve"> from the initiation of an inquiry</w:t>
      </w:r>
      <w:r w:rsidR="00985518" w:rsidRPr="00800163">
        <w:rPr>
          <w:rFonts w:cs="Arial"/>
        </w:rPr>
        <w:t>.  Th</w:t>
      </w:r>
      <w:r w:rsidR="00EC4353">
        <w:rPr>
          <w:rFonts w:cs="Arial"/>
        </w:rPr>
        <w:t>is timeframe can be extended.</w:t>
      </w:r>
    </w:p>
    <w:p w14:paraId="30D2B7DF" w14:textId="6602BB93" w:rsidR="00985518" w:rsidRPr="00800163" w:rsidRDefault="00985518" w:rsidP="00CD6AE4">
      <w:pPr>
        <w:adjustRightInd w:val="0"/>
        <w:spacing w:before="0"/>
        <w:ind w:right="-151"/>
        <w:rPr>
          <w:rFonts w:cs="Arial"/>
        </w:rPr>
      </w:pPr>
      <w:r w:rsidRPr="00800163">
        <w:rPr>
          <w:rFonts w:cs="Arial"/>
        </w:rPr>
        <w:t>The SEF contains the facts on w</w:t>
      </w:r>
      <w:r>
        <w:rPr>
          <w:rFonts w:cs="Arial"/>
        </w:rPr>
        <w:t xml:space="preserve">hich the Commissioner proposes to base a </w:t>
      </w:r>
      <w:r w:rsidRPr="00800163">
        <w:rPr>
          <w:rFonts w:cs="Arial"/>
        </w:rPr>
        <w:t>recommendation to the Minister in relation to</w:t>
      </w:r>
      <w:r>
        <w:rPr>
          <w:rFonts w:cs="Arial"/>
        </w:rPr>
        <w:t xml:space="preserve"> the occurrence of a circumvention activity (which will also include recommendations for altering </w:t>
      </w:r>
      <w:proofErr w:type="gramStart"/>
      <w:r w:rsidRPr="00800163">
        <w:rPr>
          <w:rFonts w:cs="Arial"/>
        </w:rPr>
        <w:t>the  notice</w:t>
      </w:r>
      <w:proofErr w:type="gramEnd"/>
      <w:r w:rsidR="00CD6AE4">
        <w:rPr>
          <w:rFonts w:cs="Arial"/>
        </w:rPr>
        <w:t>).</w:t>
      </w:r>
    </w:p>
    <w:p w14:paraId="489B2020" w14:textId="12FBB4D6" w:rsidR="00985518" w:rsidRPr="00800163" w:rsidRDefault="00985518" w:rsidP="00CD6AE4">
      <w:pPr>
        <w:adjustRightInd w:val="0"/>
        <w:spacing w:before="0"/>
        <w:ind w:right="-151"/>
        <w:rPr>
          <w:rFonts w:cs="Arial"/>
        </w:rPr>
      </w:pPr>
      <w:r w:rsidRPr="00800163">
        <w:rPr>
          <w:rFonts w:cs="Arial"/>
        </w:rPr>
        <w:t>Interested parties</w:t>
      </w:r>
      <w:r>
        <w:rPr>
          <w:rFonts w:cs="Arial"/>
        </w:rPr>
        <w:t xml:space="preserve"> may lodge responses to the SEF within </w:t>
      </w:r>
      <w:r w:rsidRPr="00800163">
        <w:rPr>
          <w:rFonts w:cs="Arial"/>
        </w:rPr>
        <w:t xml:space="preserve">20 days from placement of the SEF on the public record. The </w:t>
      </w:r>
      <w:r>
        <w:rPr>
          <w:rFonts w:cs="Arial"/>
        </w:rPr>
        <w:t>Commissioner</w:t>
      </w:r>
      <w:r w:rsidRPr="00800163">
        <w:rPr>
          <w:rFonts w:cs="Arial"/>
        </w:rPr>
        <w:t xml:space="preserve"> is not obliged to have regard to a submission received after this period, if to do so would prevent the timely preparation of the report to the Minister.</w:t>
      </w:r>
    </w:p>
    <w:p w14:paraId="022C4D43" w14:textId="77777777" w:rsidR="00985518" w:rsidRPr="008F1B94" w:rsidRDefault="00985518" w:rsidP="770C313B">
      <w:pPr>
        <w:pStyle w:val="Heading2"/>
        <w:spacing w:before="0" w:after="240"/>
        <w:rPr>
          <w:rFonts w:eastAsiaTheme="minorEastAsia" w:cstheme="minorBidi"/>
          <w:color w:val="1B9590" w:themeColor="accent3"/>
          <w:sz w:val="22"/>
          <w:szCs w:val="22"/>
        </w:rPr>
      </w:pPr>
      <w:bookmarkStart w:id="36" w:name="_Toc1733225784"/>
      <w:r w:rsidRPr="770C313B">
        <w:rPr>
          <w:rFonts w:eastAsiaTheme="minorEastAsia" w:cstheme="minorBidi"/>
          <w:color w:val="1B9590" w:themeColor="accent3"/>
          <w:sz w:val="22"/>
          <w:szCs w:val="22"/>
        </w:rPr>
        <w:t xml:space="preserve">Report on anti-circumvention </w:t>
      </w:r>
      <w:proofErr w:type="gramStart"/>
      <w:r w:rsidRPr="770C313B">
        <w:rPr>
          <w:rFonts w:eastAsiaTheme="minorEastAsia" w:cstheme="minorBidi"/>
          <w:color w:val="1B9590" w:themeColor="accent3"/>
          <w:sz w:val="22"/>
          <w:szCs w:val="22"/>
        </w:rPr>
        <w:t>inquiry</w:t>
      </w:r>
      <w:bookmarkEnd w:id="36"/>
      <w:proofErr w:type="gramEnd"/>
    </w:p>
    <w:p w14:paraId="2D43F6F1" w14:textId="11E2D20B" w:rsidR="00985518" w:rsidRPr="00800163" w:rsidRDefault="00985518" w:rsidP="00CD6AE4">
      <w:pPr>
        <w:adjustRightInd w:val="0"/>
        <w:spacing w:before="0"/>
        <w:ind w:right="-151"/>
        <w:rPr>
          <w:rFonts w:cs="Arial"/>
        </w:rPr>
      </w:pPr>
      <w:r>
        <w:rPr>
          <w:rFonts w:cs="Arial"/>
        </w:rPr>
        <w:t>The Commissioner must</w:t>
      </w:r>
      <w:r w:rsidRPr="00800163">
        <w:rPr>
          <w:rFonts w:cs="Arial"/>
        </w:rPr>
        <w:t xml:space="preserve"> give the Minister a r</w:t>
      </w:r>
      <w:r>
        <w:rPr>
          <w:rFonts w:cs="Arial"/>
        </w:rPr>
        <w:t xml:space="preserve">eport </w:t>
      </w:r>
      <w:r w:rsidRPr="00800163">
        <w:rPr>
          <w:rFonts w:cs="Arial"/>
        </w:rPr>
        <w:t xml:space="preserve">within 155 days </w:t>
      </w:r>
      <w:r>
        <w:rPr>
          <w:rFonts w:cs="Arial"/>
        </w:rPr>
        <w:t xml:space="preserve">recommending whether </w:t>
      </w:r>
      <w:proofErr w:type="gramStart"/>
      <w:r>
        <w:rPr>
          <w:rFonts w:cs="Arial"/>
        </w:rPr>
        <w:t xml:space="preserve">the </w:t>
      </w:r>
      <w:r w:rsidRPr="00800163">
        <w:rPr>
          <w:rFonts w:cs="Arial"/>
        </w:rPr>
        <w:t xml:space="preserve"> notice</w:t>
      </w:r>
      <w:proofErr w:type="gramEnd"/>
      <w:r w:rsidRPr="00800163">
        <w:rPr>
          <w:rFonts w:cs="Arial"/>
        </w:rPr>
        <w:t xml:space="preserve"> should be altered, and if so, the alterations to be made. </w:t>
      </w:r>
      <w:r w:rsidR="00EC4353" w:rsidRPr="00800163">
        <w:rPr>
          <w:rFonts w:cs="Arial"/>
        </w:rPr>
        <w:t>Th</w:t>
      </w:r>
      <w:r w:rsidR="00EC4353">
        <w:rPr>
          <w:rFonts w:cs="Arial"/>
        </w:rPr>
        <w:t>is timeframe can be extended.</w:t>
      </w:r>
    </w:p>
    <w:p w14:paraId="2930F599" w14:textId="77777777" w:rsidR="006A1998" w:rsidRDefault="00985518" w:rsidP="006A1998">
      <w:pPr>
        <w:adjustRightInd w:val="0"/>
        <w:spacing w:before="0" w:after="0"/>
        <w:ind w:right="-151"/>
        <w:rPr>
          <w:rFonts w:cs="Arial"/>
        </w:rPr>
      </w:pPr>
      <w:r w:rsidRPr="00800163">
        <w:rPr>
          <w:rFonts w:cs="Arial"/>
        </w:rPr>
        <w:t xml:space="preserve">The report must include a statement of the </w:t>
      </w:r>
      <w:r>
        <w:rPr>
          <w:rFonts w:cs="Arial"/>
        </w:rPr>
        <w:t>Commissioner</w:t>
      </w:r>
      <w:r w:rsidR="007778A1">
        <w:rPr>
          <w:rFonts w:cs="Arial"/>
        </w:rPr>
        <w:t>’</w:t>
      </w:r>
      <w:r>
        <w:rPr>
          <w:rFonts w:cs="Arial"/>
        </w:rPr>
        <w:t xml:space="preserve">s </w:t>
      </w:r>
      <w:r w:rsidRPr="00800163">
        <w:rPr>
          <w:rFonts w:cs="Arial"/>
        </w:rPr>
        <w:t xml:space="preserve">reasons </w:t>
      </w:r>
      <w:r w:rsidR="006A1998">
        <w:rPr>
          <w:rFonts w:cs="Arial"/>
        </w:rPr>
        <w:t xml:space="preserve">for any recommendation contained in the report </w:t>
      </w:r>
      <w:r w:rsidRPr="00800163">
        <w:rPr>
          <w:rFonts w:cs="Arial"/>
        </w:rPr>
        <w:t>that</w:t>
      </w:r>
      <w:r w:rsidR="006A1998">
        <w:rPr>
          <w:rFonts w:cs="Arial"/>
        </w:rPr>
        <w:t>:</w:t>
      </w:r>
    </w:p>
    <w:p w14:paraId="45854C2B" w14:textId="77777777" w:rsidR="006A1998" w:rsidRPr="00324C9E" w:rsidRDefault="00985518" w:rsidP="00324C9E">
      <w:pPr>
        <w:pStyle w:val="ListParagraph"/>
      </w:pPr>
      <w:r w:rsidRPr="00324C9E">
        <w:t>sets out the material findings of fact on which that recommendation is based</w:t>
      </w:r>
      <w:r w:rsidR="006A1998" w:rsidRPr="00324C9E">
        <w:t>,</w:t>
      </w:r>
      <w:r w:rsidRPr="00324C9E">
        <w:t xml:space="preserve"> and </w:t>
      </w:r>
    </w:p>
    <w:p w14:paraId="7D95DC85" w14:textId="31D4DC01" w:rsidR="00985518" w:rsidRPr="00324C9E" w:rsidRDefault="006A1998" w:rsidP="00324C9E">
      <w:pPr>
        <w:pStyle w:val="ListParagraph"/>
      </w:pPr>
      <w:r w:rsidRPr="00324C9E">
        <w:t>p</w:t>
      </w:r>
      <w:r w:rsidR="00985518" w:rsidRPr="00324C9E">
        <w:t>rovides particulars of the evidence relied on to support those findings.</w:t>
      </w:r>
    </w:p>
    <w:p w14:paraId="7939D2DF" w14:textId="77777777" w:rsidR="00985518" w:rsidRPr="008F1B94" w:rsidRDefault="00985518" w:rsidP="770C313B">
      <w:pPr>
        <w:pStyle w:val="Heading2"/>
        <w:spacing w:before="0" w:after="240"/>
        <w:rPr>
          <w:rFonts w:eastAsiaTheme="minorEastAsia" w:cstheme="minorBidi"/>
          <w:color w:val="1B9590" w:themeColor="accent3"/>
          <w:sz w:val="22"/>
          <w:szCs w:val="22"/>
        </w:rPr>
      </w:pPr>
      <w:bookmarkStart w:id="37" w:name="_Toc777610610"/>
      <w:r w:rsidRPr="770C313B">
        <w:rPr>
          <w:rFonts w:eastAsiaTheme="minorEastAsia" w:cstheme="minorBidi"/>
          <w:color w:val="1B9590" w:themeColor="accent3"/>
          <w:sz w:val="22"/>
          <w:szCs w:val="22"/>
        </w:rPr>
        <w:t>Minister’s powers</w:t>
      </w:r>
      <w:bookmarkEnd w:id="37"/>
    </w:p>
    <w:p w14:paraId="1196A424" w14:textId="0EFE8C29" w:rsidR="00660513" w:rsidRDefault="00985518" w:rsidP="00F85FB0">
      <w:pPr>
        <w:adjustRightInd w:val="0"/>
        <w:spacing w:before="0" w:after="0"/>
        <w:ind w:right="-151"/>
      </w:pPr>
      <w:r w:rsidRPr="770C313B">
        <w:rPr>
          <w:rFonts w:cs="Arial"/>
        </w:rPr>
        <w:t xml:space="preserve">The Minister must, within 30 days of receiving the report, declare whether </w:t>
      </w:r>
      <w:proofErr w:type="gramStart"/>
      <w:r w:rsidRPr="770C313B">
        <w:rPr>
          <w:rFonts w:cs="Arial"/>
        </w:rPr>
        <w:t>the  notice</w:t>
      </w:r>
      <w:proofErr w:type="gramEnd"/>
      <w:r w:rsidRPr="770C313B">
        <w:rPr>
          <w:rFonts w:cs="Arial"/>
        </w:rPr>
        <w:t xml:space="preserve"> should be altered, and if so, the alterations to be made. </w:t>
      </w:r>
      <w:r w:rsidR="000C5C4D" w:rsidRPr="770C313B">
        <w:rPr>
          <w:rFonts w:cs="Arial"/>
        </w:rPr>
        <w:t xml:space="preserve">Notice of this decision will be published on the public record. </w:t>
      </w:r>
      <w:r w:rsidRPr="770C313B">
        <w:rPr>
          <w:rFonts w:cs="Arial"/>
        </w:rPr>
        <w:t>If the Minister considers special circumstances exist, a longer period may be taken to make the declaration.</w:t>
      </w:r>
      <w:bookmarkStart w:id="38" w:name="_Toc195438"/>
    </w:p>
    <w:p w14:paraId="003701DB" w14:textId="2CEB4A32" w:rsidR="004844BF" w:rsidRDefault="0026077D" w:rsidP="00F85FB0">
      <w:pPr>
        <w:pStyle w:val="TOCHeading"/>
        <w:rPr>
          <w:rFonts w:cs="Arial"/>
        </w:rPr>
      </w:pPr>
      <w:bookmarkStart w:id="39" w:name="_Toc637406622"/>
      <w:r>
        <w:t>Rights of review</w:t>
      </w:r>
      <w:bookmarkStart w:id="40" w:name="_Toc195440"/>
      <w:bookmarkEnd w:id="38"/>
      <w:bookmarkEnd w:id="39"/>
    </w:p>
    <w:p w14:paraId="327474E2" w14:textId="5653C202" w:rsidR="0098359C" w:rsidRDefault="0098359C" w:rsidP="00F85FB0">
      <w:pPr>
        <w:adjustRightInd w:val="0"/>
        <w:spacing w:before="0" w:after="0"/>
        <w:ind w:right="-151"/>
        <w:rPr>
          <w:rFonts w:cs="Arial"/>
        </w:rPr>
      </w:pPr>
      <w:r w:rsidRPr="006278FC">
        <w:rPr>
          <w:rFonts w:cs="Arial"/>
        </w:rPr>
        <w:t>The Minister’s decision to alter or not alter the  notice is reviewable by the</w:t>
      </w:r>
      <w:r w:rsidR="00CD7F02">
        <w:rPr>
          <w:rFonts w:cs="Arial"/>
        </w:rPr>
        <w:br/>
      </w:r>
      <w:hyperlink r:id="rId35" w:history="1">
        <w:r w:rsidRPr="00064B7E">
          <w:rPr>
            <w:rStyle w:val="Hyperlink"/>
            <w:rFonts w:cs="Arial"/>
          </w:rPr>
          <w:t>Anti-Dumping Review Panel</w:t>
        </w:r>
      </w:hyperlink>
      <w:r w:rsidRPr="006278FC">
        <w:rPr>
          <w:rFonts w:cs="Arial"/>
        </w:rPr>
        <w:t>. An interested party</w:t>
      </w:r>
      <w:r w:rsidR="000C5C4D">
        <w:rPr>
          <w:rStyle w:val="FootnoteReference"/>
          <w:rFonts w:cs="Arial"/>
        </w:rPr>
        <w:footnoteReference w:id="5"/>
      </w:r>
      <w:r w:rsidRPr="006278FC">
        <w:rPr>
          <w:rFonts w:cs="Arial"/>
        </w:rPr>
        <w:t xml:space="preserve"> can apply for a review within 30 days from the publication of the Minister’s decision.</w:t>
      </w:r>
    </w:p>
    <w:p w14:paraId="737EFFE2" w14:textId="3705EF50" w:rsidR="00830CC9" w:rsidRDefault="0097656C" w:rsidP="00A044A6">
      <w:pPr>
        <w:keepNext/>
        <w:keepLines/>
        <w:adjustRightInd w:val="0"/>
        <w:spacing w:after="0"/>
        <w:ind w:right="-151"/>
        <w:rPr>
          <w:rFonts w:cs="Arial"/>
        </w:rPr>
      </w:pPr>
      <w:r>
        <w:rPr>
          <w:rFonts w:cs="Arial"/>
        </w:rPr>
        <w:lastRenderedPageBreak/>
        <w:t>An applicant may also apply for a review of the Commissioner’s decision to terminate an anti</w:t>
      </w:r>
      <w:r w:rsidR="001F1213">
        <w:rPr>
          <w:rFonts w:cs="Arial"/>
        </w:rPr>
        <w:noBreakHyphen/>
      </w:r>
      <w:r>
        <w:rPr>
          <w:rFonts w:cs="Arial"/>
        </w:rPr>
        <w:t xml:space="preserve">circumvention inquiry, within 30 days of receiving notice of the termination. </w:t>
      </w:r>
    </w:p>
    <w:p w14:paraId="6F3DBF61" w14:textId="5BE27C5E" w:rsidR="00830CC9" w:rsidRPr="006278FC" w:rsidRDefault="00830CC9" w:rsidP="00A044A6">
      <w:pPr>
        <w:keepNext/>
        <w:keepLines/>
        <w:adjustRightInd w:val="0"/>
        <w:spacing w:after="0"/>
        <w:ind w:right="-151"/>
        <w:rPr>
          <w:rFonts w:cs="Arial"/>
        </w:rPr>
      </w:pPr>
      <w:r>
        <w:rPr>
          <w:rFonts w:cs="Arial"/>
        </w:rPr>
        <w:t xml:space="preserve">Parties may </w:t>
      </w:r>
      <w:r w:rsidR="00C9416F">
        <w:rPr>
          <w:rFonts w:cs="Arial"/>
        </w:rPr>
        <w:t xml:space="preserve">also be able to apply for review of the decision </w:t>
      </w:r>
      <w:r w:rsidR="00220A78">
        <w:rPr>
          <w:rFonts w:cs="Arial"/>
        </w:rPr>
        <w:t xml:space="preserve">by </w:t>
      </w:r>
      <w:r w:rsidR="00C9416F">
        <w:rPr>
          <w:rFonts w:cs="Arial"/>
        </w:rPr>
        <w:t xml:space="preserve">the </w:t>
      </w:r>
      <w:r>
        <w:rPr>
          <w:rFonts w:cs="Arial"/>
        </w:rPr>
        <w:t>Federal Court of Australia.</w:t>
      </w:r>
    </w:p>
    <w:p w14:paraId="0BE5DC85" w14:textId="77777777" w:rsidR="0026077D" w:rsidRPr="0026077D" w:rsidRDefault="0026077D" w:rsidP="003575D0">
      <w:pPr>
        <w:pStyle w:val="TOCHeading"/>
      </w:pPr>
      <w:bookmarkStart w:id="41" w:name="_Toc1088637634"/>
      <w:r>
        <w:t xml:space="preserve">Find out </w:t>
      </w:r>
      <w:proofErr w:type="gramStart"/>
      <w:r>
        <w:t>more</w:t>
      </w:r>
      <w:bookmarkEnd w:id="40"/>
      <w:bookmarkEnd w:id="41"/>
      <w:proofErr w:type="gramEnd"/>
    </w:p>
    <w:p w14:paraId="569E2273" w14:textId="77777777" w:rsidR="000C5C4D" w:rsidRDefault="000C5C4D" w:rsidP="000C5C4D">
      <w:pPr>
        <w:pStyle w:val="ListParagraph"/>
        <w:ind w:left="720"/>
        <w:rPr>
          <w:lang w:val="en"/>
        </w:rPr>
      </w:pPr>
      <w:r w:rsidRPr="0026077D">
        <w:rPr>
          <w:lang w:val="en"/>
        </w:rPr>
        <w:t xml:space="preserve">Find out </w:t>
      </w:r>
      <w:r>
        <w:rPr>
          <w:lang w:val="en"/>
        </w:rPr>
        <w:t xml:space="preserve">about accessing Australia’s </w:t>
      </w:r>
      <w:hyperlink r:id="rId36" w:history="1">
        <w:proofErr w:type="spellStart"/>
        <w:r w:rsidRPr="00470619">
          <w:rPr>
            <w:rStyle w:val="Hyperlink"/>
            <w:lang w:val="en"/>
          </w:rPr>
          <w:t>anti-dumping</w:t>
        </w:r>
        <w:proofErr w:type="spellEnd"/>
        <w:r w:rsidRPr="00470619">
          <w:rPr>
            <w:rStyle w:val="Hyperlink"/>
            <w:lang w:val="en"/>
          </w:rPr>
          <w:t xml:space="preserve"> system</w:t>
        </w:r>
      </w:hyperlink>
    </w:p>
    <w:p w14:paraId="0B9C8640" w14:textId="77777777" w:rsidR="000C5C4D" w:rsidRPr="0026077D" w:rsidRDefault="000C5C4D" w:rsidP="000C5C4D">
      <w:pPr>
        <w:pStyle w:val="ListParagraph"/>
        <w:ind w:left="720"/>
        <w:rPr>
          <w:lang w:val="en"/>
        </w:rPr>
      </w:pPr>
      <w:r w:rsidRPr="0026077D">
        <w:rPr>
          <w:lang w:val="en"/>
        </w:rPr>
        <w:t xml:space="preserve">Research the </w:t>
      </w:r>
      <w:hyperlink r:id="rId37" w:history="1">
        <w:r w:rsidRPr="0026077D">
          <w:rPr>
            <w:rStyle w:val="Hyperlink"/>
            <w:lang w:val="en"/>
          </w:rPr>
          <w:t>Dumping Commodity Register</w:t>
        </w:r>
      </w:hyperlink>
    </w:p>
    <w:p w14:paraId="0ED6EB04" w14:textId="77777777" w:rsidR="000C5C4D" w:rsidRPr="0026077D" w:rsidRDefault="000C5C4D" w:rsidP="000C5C4D">
      <w:pPr>
        <w:pStyle w:val="ListParagraph"/>
        <w:ind w:left="720"/>
      </w:pPr>
      <w:r>
        <w:t>Small-medium enterprises can seek assistance from</w:t>
      </w:r>
      <w:r w:rsidRPr="0026077D">
        <w:t xml:space="preserve"> the </w:t>
      </w:r>
      <w:hyperlink r:id="rId38" w:history="1">
        <w:r w:rsidRPr="00CD5655">
          <w:rPr>
            <w:rStyle w:val="Hyperlink"/>
          </w:rPr>
          <w:t>ITRA Service</w:t>
        </w:r>
      </w:hyperlink>
      <w:r w:rsidRPr="0026077D">
        <w:t xml:space="preserve"> by email </w:t>
      </w:r>
      <w:hyperlink r:id="rId39" w:history="1">
        <w:r w:rsidRPr="0026077D">
          <w:rPr>
            <w:rStyle w:val="Hyperlink"/>
          </w:rPr>
          <w:t>itra@industry.gov.au</w:t>
        </w:r>
      </w:hyperlink>
      <w:r w:rsidRPr="0026077D">
        <w:t xml:space="preserve"> or the ITRA Hotline (02)</w:t>
      </w:r>
      <w:r>
        <w:t> </w:t>
      </w:r>
      <w:r w:rsidRPr="0026077D">
        <w:t>6213</w:t>
      </w:r>
      <w:r>
        <w:t> </w:t>
      </w:r>
      <w:r w:rsidRPr="0026077D">
        <w:t>7267</w:t>
      </w:r>
    </w:p>
    <w:p w14:paraId="0FC81E5E" w14:textId="54A01341" w:rsidR="0044597A" w:rsidRPr="0009285F" w:rsidRDefault="000C5C4D" w:rsidP="006247E5">
      <w:pPr>
        <w:pStyle w:val="ListParagraph"/>
        <w:ind w:left="709"/>
        <w:rPr>
          <w:lang w:val="en"/>
        </w:rPr>
      </w:pPr>
      <w:r w:rsidRPr="006247E5">
        <w:rPr>
          <w:lang w:val="en"/>
        </w:rPr>
        <w:t>Contact</w:t>
      </w:r>
      <w:r w:rsidRPr="0026077D">
        <w:t xml:space="preserve"> the Anti-Dumping Commission by email </w:t>
      </w:r>
      <w:hyperlink r:id="rId40" w:history="1">
        <w:r w:rsidRPr="0026077D">
          <w:rPr>
            <w:rStyle w:val="Hyperlink"/>
          </w:rPr>
          <w:t>clientsupport@adcommission.gov.au</w:t>
        </w:r>
      </w:hyperlink>
      <w:r w:rsidRPr="0026077D">
        <w:t xml:space="preserve"> or by business.gov.au on 13 28 </w:t>
      </w:r>
      <w:proofErr w:type="gramStart"/>
      <w:r w:rsidRPr="0026077D">
        <w:t>46</w:t>
      </w:r>
      <w:proofErr w:type="gramEnd"/>
    </w:p>
    <w:sectPr w:rsidR="0044597A" w:rsidRPr="0009285F" w:rsidSect="0030076F">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AD14" w14:textId="77777777" w:rsidR="003A40D0" w:rsidRDefault="003A40D0" w:rsidP="007240FE">
      <w:pPr>
        <w:spacing w:before="0" w:after="0" w:line="240" w:lineRule="auto"/>
      </w:pPr>
      <w:r>
        <w:separator/>
      </w:r>
    </w:p>
  </w:endnote>
  <w:endnote w:type="continuationSeparator" w:id="0">
    <w:p w14:paraId="2B48C9A4" w14:textId="77777777" w:rsidR="003A40D0" w:rsidRDefault="003A40D0" w:rsidP="007240FE">
      <w:pPr>
        <w:spacing w:before="0" w:after="0" w:line="240" w:lineRule="auto"/>
      </w:pPr>
      <w:r>
        <w:continuationSeparator/>
      </w:r>
    </w:p>
  </w:endnote>
  <w:endnote w:type="continuationNotice" w:id="1">
    <w:p w14:paraId="3465D071" w14:textId="77777777" w:rsidR="003A40D0" w:rsidRDefault="003A40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4A4E" w14:textId="5CA89D55" w:rsidR="000825AB" w:rsidRDefault="000825AB" w:rsidP="00523095">
    <w:pPr>
      <w:pStyle w:val="Footer"/>
    </w:pPr>
  </w:p>
  <w:p w14:paraId="76353CD0" w14:textId="77777777" w:rsidR="000825AB" w:rsidRDefault="0008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534A" w14:textId="7BE6F528" w:rsidR="000825AB" w:rsidRDefault="000825AB" w:rsidP="00523095">
    <w:pPr>
      <w:pStyle w:val="Footer"/>
    </w:pPr>
    <w:r>
      <w:t xml:space="preserve">How to apply for an anti-circumvention inquiry (excluding avoidance of the intended effect of duty) </w:t>
    </w:r>
    <w:r>
      <w:tab/>
    </w:r>
    <w:sdt>
      <w:sdtPr>
        <w:id w:val="-805784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6631">
          <w:rPr>
            <w:noProof/>
          </w:rPr>
          <w:t>2</w:t>
        </w:r>
        <w:r>
          <w:rPr>
            <w:noProof/>
          </w:rPr>
          <w:fldChar w:fldCharType="end"/>
        </w:r>
      </w:sdtContent>
    </w:sdt>
  </w:p>
  <w:p w14:paraId="36E40870" w14:textId="77777777" w:rsidR="000825AB" w:rsidRDefault="00082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C5C6" w14:textId="77777777" w:rsidR="003A40D0" w:rsidRDefault="003A40D0" w:rsidP="007240FE">
      <w:pPr>
        <w:spacing w:before="0" w:after="0" w:line="240" w:lineRule="auto"/>
      </w:pPr>
      <w:r>
        <w:separator/>
      </w:r>
    </w:p>
  </w:footnote>
  <w:footnote w:type="continuationSeparator" w:id="0">
    <w:p w14:paraId="2528098B" w14:textId="77777777" w:rsidR="003A40D0" w:rsidRDefault="003A40D0" w:rsidP="007240FE">
      <w:pPr>
        <w:spacing w:before="0" w:after="0" w:line="240" w:lineRule="auto"/>
      </w:pPr>
      <w:r>
        <w:continuationSeparator/>
      </w:r>
    </w:p>
  </w:footnote>
  <w:footnote w:type="continuationNotice" w:id="1">
    <w:p w14:paraId="6766659D" w14:textId="77777777" w:rsidR="003A40D0" w:rsidRDefault="003A40D0">
      <w:pPr>
        <w:spacing w:before="0" w:after="0" w:line="240" w:lineRule="auto"/>
      </w:pPr>
    </w:p>
  </w:footnote>
  <w:footnote w:id="2">
    <w:p w14:paraId="626AA3CC" w14:textId="3FFB3658" w:rsidR="000825AB" w:rsidRPr="00301D90" w:rsidRDefault="000825AB" w:rsidP="00E24927">
      <w:pPr>
        <w:pStyle w:val="FootnoteText"/>
      </w:pPr>
      <w:r>
        <w:rPr>
          <w:rStyle w:val="FootnoteReference"/>
        </w:rPr>
        <w:footnoteRef/>
      </w:r>
      <w:r>
        <w:t xml:space="preserve"> As prescribed in the </w:t>
      </w:r>
      <w:hyperlink r:id="rId1" w:history="1">
        <w:r w:rsidRPr="00ED3948">
          <w:rPr>
            <w:rStyle w:val="Hyperlink"/>
            <w:i/>
          </w:rPr>
          <w:t>Customs (International Obligations) Regulation 2015</w:t>
        </w:r>
      </w:hyperlink>
      <w:r>
        <w:rPr>
          <w:rStyle w:val="Hyperlink"/>
          <w:i/>
        </w:rPr>
        <w:t xml:space="preserve"> </w:t>
      </w:r>
      <w:r>
        <w:rPr>
          <w:rStyle w:val="Hyperlink"/>
        </w:rPr>
        <w:t>(</w:t>
      </w:r>
      <w:proofErr w:type="spellStart"/>
      <w:r>
        <w:rPr>
          <w:rStyle w:val="Hyperlink"/>
        </w:rPr>
        <w:t>Cth</w:t>
      </w:r>
      <w:proofErr w:type="spellEnd"/>
      <w:r>
        <w:rPr>
          <w:rStyle w:val="Hyperlink"/>
        </w:rPr>
        <w:t>)</w:t>
      </w:r>
      <w:r>
        <w:t>.</w:t>
      </w:r>
    </w:p>
  </w:footnote>
  <w:footnote w:id="3">
    <w:p w14:paraId="23602397" w14:textId="494E2B4D" w:rsidR="000825AB" w:rsidRDefault="000825AB" w:rsidP="00E24927">
      <w:pPr>
        <w:pStyle w:val="FootnoteText"/>
        <w:spacing w:before="0" w:after="0"/>
      </w:pPr>
      <w:r>
        <w:rPr>
          <w:rStyle w:val="FootnoteReference"/>
        </w:rPr>
        <w:footnoteRef/>
      </w:r>
      <w:r>
        <w:t xml:space="preserve"> These notices are dumping duty notices which apply retrospectively by converting dumping securities applicable to the goods the subject of an investigation into interim dumping duty.  </w:t>
      </w:r>
    </w:p>
  </w:footnote>
  <w:footnote w:id="4">
    <w:p w14:paraId="4EFC3F72" w14:textId="6871969D" w:rsidR="000825AB" w:rsidRDefault="000825AB">
      <w:pPr>
        <w:pStyle w:val="FootnoteText"/>
      </w:pPr>
      <w:r>
        <w:rPr>
          <w:rStyle w:val="FootnoteReference"/>
        </w:rPr>
        <w:footnoteRef/>
      </w:r>
      <w:r>
        <w:t xml:space="preserve"> Section 269ZDBD of the Act.</w:t>
      </w:r>
    </w:p>
  </w:footnote>
  <w:footnote w:id="5">
    <w:p w14:paraId="3882E4DE" w14:textId="64E9DB31" w:rsidR="000825AB" w:rsidRDefault="000825AB">
      <w:pPr>
        <w:pStyle w:val="FootnoteText"/>
      </w:pPr>
      <w:r>
        <w:rPr>
          <w:rStyle w:val="FootnoteReference"/>
        </w:rPr>
        <w:footnoteRef/>
      </w:r>
      <w:r>
        <w:t xml:space="preserve"> As defined under section 269</w:t>
      </w:r>
      <w:proofErr w:type="gramStart"/>
      <w:r>
        <w:t>T(</w:t>
      </w:r>
      <w:proofErr w:type="gramEnd"/>
      <w:r>
        <w:t>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73DD" w14:textId="74302630" w:rsidR="000825AB" w:rsidRPr="002A0F3F" w:rsidRDefault="001E1398" w:rsidP="001E1398">
    <w:r w:rsidRPr="00AD5F74">
      <w:rPr>
        <w:noProof/>
        <w:snapToGrid w:val="0"/>
        <w:lang w:eastAsia="en-AU"/>
      </w:rPr>
      <w:drawing>
        <wp:anchor distT="0" distB="0" distL="114300" distR="114300" simplePos="0" relativeHeight="251659264" behindDoc="0" locked="0" layoutInCell="1" allowOverlap="1" wp14:anchorId="412D12FD" wp14:editId="708297FD">
          <wp:simplePos x="0" y="0"/>
          <wp:positionH relativeFrom="page">
            <wp:align>left</wp:align>
          </wp:positionH>
          <wp:positionV relativeFrom="paragraph">
            <wp:posOffset>272747</wp:posOffset>
          </wp:positionV>
          <wp:extent cx="7547610" cy="1118235"/>
          <wp:effectExtent l="0" t="0" r="0" b="5715"/>
          <wp:wrapSquare wrapText="bothSides"/>
          <wp:docPr id="7" name="Picture 7"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61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BE41" w14:textId="37BA9707" w:rsidR="000825AB" w:rsidRDefault="000825AB" w:rsidP="007240FE">
    <w:pPr>
      <w:pStyle w:val="Header"/>
      <w:spacing w:after="240"/>
    </w:pPr>
    <w:r w:rsidRPr="0030076F">
      <w:rPr>
        <w:color w:val="FF0000"/>
      </w:rPr>
      <w:t>CONFID</w:t>
    </w:r>
    <w:r>
      <w:rPr>
        <w:color w:val="FF0000"/>
      </w:rPr>
      <w:t>E</w:t>
    </w:r>
    <w:r w:rsidRPr="0030076F">
      <w:rPr>
        <w:color w:val="FF0000"/>
      </w:rPr>
      <w:t xml:space="preserve">NTIAL / PUBLIC </w:t>
    </w:r>
    <w:r>
      <w:t>(delete as appropriate)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6FCE" w14:textId="76D72076" w:rsidR="000825AB" w:rsidRPr="0093598A" w:rsidRDefault="000825AB" w:rsidP="0093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07AE44EA"/>
    <w:multiLevelType w:val="hybridMultilevel"/>
    <w:tmpl w:val="B7CA5538"/>
    <w:lvl w:ilvl="0" w:tplc="DA849178">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 w15:restartNumberingAfterBreak="0">
    <w:nsid w:val="0A660EDF"/>
    <w:multiLevelType w:val="hybridMultilevel"/>
    <w:tmpl w:val="FDA2C7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040877"/>
    <w:multiLevelType w:val="hybridMultilevel"/>
    <w:tmpl w:val="CACCA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62368"/>
    <w:multiLevelType w:val="hybridMultilevel"/>
    <w:tmpl w:val="8EA24234"/>
    <w:lvl w:ilvl="0" w:tplc="2B4A056E">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5" w15:restartNumberingAfterBreak="0">
    <w:nsid w:val="15604261"/>
    <w:multiLevelType w:val="hybridMultilevel"/>
    <w:tmpl w:val="858E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F397F"/>
    <w:multiLevelType w:val="hybridMultilevel"/>
    <w:tmpl w:val="402AF2D6"/>
    <w:lvl w:ilvl="0" w:tplc="DC8EEFA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A94680B"/>
    <w:multiLevelType w:val="hybridMultilevel"/>
    <w:tmpl w:val="839A3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94589"/>
    <w:multiLevelType w:val="hybridMultilevel"/>
    <w:tmpl w:val="C31C9F60"/>
    <w:lvl w:ilvl="0" w:tplc="0C090001">
      <w:start w:val="1"/>
      <w:numFmt w:val="bullet"/>
      <w:lvlText w:val=""/>
      <w:lvlJc w:val="left"/>
      <w:pPr>
        <w:ind w:left="1653" w:hanging="360"/>
      </w:pPr>
      <w:rPr>
        <w:rFonts w:ascii="Symbol" w:hAnsi="Symbol" w:hint="default"/>
      </w:rPr>
    </w:lvl>
    <w:lvl w:ilvl="1" w:tplc="0C090003" w:tentative="1">
      <w:start w:val="1"/>
      <w:numFmt w:val="bullet"/>
      <w:lvlText w:val="o"/>
      <w:lvlJc w:val="left"/>
      <w:pPr>
        <w:ind w:left="2373" w:hanging="360"/>
      </w:pPr>
      <w:rPr>
        <w:rFonts w:ascii="Courier New" w:hAnsi="Courier New" w:cs="Courier New" w:hint="default"/>
      </w:rPr>
    </w:lvl>
    <w:lvl w:ilvl="2" w:tplc="0C090005" w:tentative="1">
      <w:start w:val="1"/>
      <w:numFmt w:val="bullet"/>
      <w:lvlText w:val=""/>
      <w:lvlJc w:val="left"/>
      <w:pPr>
        <w:ind w:left="3093" w:hanging="360"/>
      </w:pPr>
      <w:rPr>
        <w:rFonts w:ascii="Wingdings" w:hAnsi="Wingdings" w:hint="default"/>
      </w:rPr>
    </w:lvl>
    <w:lvl w:ilvl="3" w:tplc="0C090001" w:tentative="1">
      <w:start w:val="1"/>
      <w:numFmt w:val="bullet"/>
      <w:lvlText w:val=""/>
      <w:lvlJc w:val="left"/>
      <w:pPr>
        <w:ind w:left="3813" w:hanging="360"/>
      </w:pPr>
      <w:rPr>
        <w:rFonts w:ascii="Symbol" w:hAnsi="Symbol" w:hint="default"/>
      </w:rPr>
    </w:lvl>
    <w:lvl w:ilvl="4" w:tplc="0C090003" w:tentative="1">
      <w:start w:val="1"/>
      <w:numFmt w:val="bullet"/>
      <w:lvlText w:val="o"/>
      <w:lvlJc w:val="left"/>
      <w:pPr>
        <w:ind w:left="4533" w:hanging="360"/>
      </w:pPr>
      <w:rPr>
        <w:rFonts w:ascii="Courier New" w:hAnsi="Courier New" w:cs="Courier New" w:hint="default"/>
      </w:rPr>
    </w:lvl>
    <w:lvl w:ilvl="5" w:tplc="0C090005" w:tentative="1">
      <w:start w:val="1"/>
      <w:numFmt w:val="bullet"/>
      <w:lvlText w:val=""/>
      <w:lvlJc w:val="left"/>
      <w:pPr>
        <w:ind w:left="5253" w:hanging="360"/>
      </w:pPr>
      <w:rPr>
        <w:rFonts w:ascii="Wingdings" w:hAnsi="Wingdings" w:hint="default"/>
      </w:rPr>
    </w:lvl>
    <w:lvl w:ilvl="6" w:tplc="0C090001" w:tentative="1">
      <w:start w:val="1"/>
      <w:numFmt w:val="bullet"/>
      <w:lvlText w:val=""/>
      <w:lvlJc w:val="left"/>
      <w:pPr>
        <w:ind w:left="5973" w:hanging="360"/>
      </w:pPr>
      <w:rPr>
        <w:rFonts w:ascii="Symbol" w:hAnsi="Symbol" w:hint="default"/>
      </w:rPr>
    </w:lvl>
    <w:lvl w:ilvl="7" w:tplc="0C090003" w:tentative="1">
      <w:start w:val="1"/>
      <w:numFmt w:val="bullet"/>
      <w:lvlText w:val="o"/>
      <w:lvlJc w:val="left"/>
      <w:pPr>
        <w:ind w:left="6693" w:hanging="360"/>
      </w:pPr>
      <w:rPr>
        <w:rFonts w:ascii="Courier New" w:hAnsi="Courier New" w:cs="Courier New" w:hint="default"/>
      </w:rPr>
    </w:lvl>
    <w:lvl w:ilvl="8" w:tplc="0C090005" w:tentative="1">
      <w:start w:val="1"/>
      <w:numFmt w:val="bullet"/>
      <w:lvlText w:val=""/>
      <w:lvlJc w:val="left"/>
      <w:pPr>
        <w:ind w:left="7413" w:hanging="360"/>
      </w:pPr>
      <w:rPr>
        <w:rFonts w:ascii="Wingdings" w:hAnsi="Wingdings" w:hint="default"/>
      </w:rPr>
    </w:lvl>
  </w:abstractNum>
  <w:abstractNum w:abstractNumId="11" w15:restartNumberingAfterBreak="0">
    <w:nsid w:val="2ABB1502"/>
    <w:multiLevelType w:val="hybridMultilevel"/>
    <w:tmpl w:val="92C660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C24D95"/>
    <w:multiLevelType w:val="hybridMultilevel"/>
    <w:tmpl w:val="11487D02"/>
    <w:lvl w:ilvl="0" w:tplc="121E854A">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13" w15:restartNumberingAfterBreak="0">
    <w:nsid w:val="333818F9"/>
    <w:multiLevelType w:val="hybridMultilevel"/>
    <w:tmpl w:val="42669E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4302CF"/>
    <w:multiLevelType w:val="hybridMultilevel"/>
    <w:tmpl w:val="BCA0C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063F4"/>
    <w:multiLevelType w:val="hybridMultilevel"/>
    <w:tmpl w:val="92C660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B86C1B"/>
    <w:multiLevelType w:val="hybridMultilevel"/>
    <w:tmpl w:val="C89A50D6"/>
    <w:lvl w:ilvl="0" w:tplc="87E28B0E">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19" w15:restartNumberingAfterBreak="0">
    <w:nsid w:val="4D032A30"/>
    <w:multiLevelType w:val="hybridMultilevel"/>
    <w:tmpl w:val="A510C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4045BB"/>
    <w:multiLevelType w:val="hybridMultilevel"/>
    <w:tmpl w:val="8FAE7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03F08"/>
    <w:multiLevelType w:val="hybridMultilevel"/>
    <w:tmpl w:val="7ACA19F2"/>
    <w:lvl w:ilvl="0" w:tplc="C9C28ECC">
      <w:start w:val="1"/>
      <w:numFmt w:val="bullet"/>
      <w:pStyle w:val="ListParagraph"/>
      <w:lvlText w:val=""/>
      <w:lvlJc w:val="left"/>
      <w:pPr>
        <w:ind w:left="933" w:hanging="360"/>
      </w:pPr>
      <w:rPr>
        <w:rFonts w:ascii="Symbol" w:hAnsi="Symbol"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2" w15:restartNumberingAfterBreak="0">
    <w:nsid w:val="53A811C5"/>
    <w:multiLevelType w:val="hybridMultilevel"/>
    <w:tmpl w:val="D728CD2A"/>
    <w:lvl w:ilvl="0" w:tplc="19BE00BE">
      <w:start w:val="1"/>
      <w:numFmt w:val="bullet"/>
      <w:lvlText w:val=""/>
      <w:lvlJc w:val="left"/>
      <w:pPr>
        <w:ind w:left="933" w:hanging="360"/>
      </w:pPr>
      <w:rPr>
        <w:rFonts w:ascii="Symbol" w:hAnsi="Symbol" w:hint="default"/>
        <w:color w:val="005677" w:themeColor="accent1"/>
      </w:rPr>
    </w:lvl>
    <w:lvl w:ilvl="1" w:tplc="DC8EEFA6">
      <w:start w:val="1"/>
      <w:numFmt w:val="lowerRoman"/>
      <w:lvlText w:val="(%2)"/>
      <w:lvlJc w:val="left"/>
      <w:pPr>
        <w:ind w:left="1352" w:hanging="360"/>
      </w:pPr>
      <w:rPr>
        <w:rFonts w:hint="default"/>
        <w:color w:val="auto"/>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3" w15:restartNumberingAfterBreak="0">
    <w:nsid w:val="552B217A"/>
    <w:multiLevelType w:val="hybridMultilevel"/>
    <w:tmpl w:val="20F0179C"/>
    <w:lvl w:ilvl="0" w:tplc="0C09000F">
      <w:start w:val="1"/>
      <w:numFmt w:val="decimal"/>
      <w:lvlText w:val="%1."/>
      <w:lvlJc w:val="left"/>
      <w:pPr>
        <w:ind w:left="933" w:hanging="360"/>
      </w:pPr>
      <w:rPr>
        <w:rFonts w:hint="default"/>
        <w:color w:val="005677" w:themeColor="accent1"/>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4" w15:restartNumberingAfterBreak="0">
    <w:nsid w:val="59E72A99"/>
    <w:multiLevelType w:val="hybridMultilevel"/>
    <w:tmpl w:val="B500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4962EF"/>
    <w:multiLevelType w:val="hybridMultilevel"/>
    <w:tmpl w:val="6440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50FC0"/>
    <w:multiLevelType w:val="hybridMultilevel"/>
    <w:tmpl w:val="CEE6CF9C"/>
    <w:lvl w:ilvl="0" w:tplc="142C33AA">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7" w15:restartNumberingAfterBreak="0">
    <w:nsid w:val="63B02F67"/>
    <w:multiLevelType w:val="hybridMultilevel"/>
    <w:tmpl w:val="F864CADC"/>
    <w:lvl w:ilvl="0" w:tplc="038C94E0">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8" w15:restartNumberingAfterBreak="0">
    <w:nsid w:val="67AD321E"/>
    <w:multiLevelType w:val="hybridMultilevel"/>
    <w:tmpl w:val="4470E970"/>
    <w:lvl w:ilvl="0" w:tplc="EE12D024">
      <w:start w:val="1"/>
      <w:numFmt w:val="lowerLetter"/>
      <w:lvlText w:val="%1)"/>
      <w:lvlJc w:val="left"/>
      <w:pPr>
        <w:ind w:left="933" w:hanging="360"/>
      </w:pPr>
      <w:rPr>
        <w:rFonts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29" w15:restartNumberingAfterBreak="0">
    <w:nsid w:val="6C5E24A4"/>
    <w:multiLevelType w:val="hybridMultilevel"/>
    <w:tmpl w:val="B52CDA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71173D72"/>
    <w:multiLevelType w:val="hybridMultilevel"/>
    <w:tmpl w:val="92C660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9ED5C7E"/>
    <w:multiLevelType w:val="multilevel"/>
    <w:tmpl w:val="31D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9770C"/>
    <w:multiLevelType w:val="hybridMultilevel"/>
    <w:tmpl w:val="F9AE3342"/>
    <w:lvl w:ilvl="0" w:tplc="49EE7D02">
      <w:start w:val="1"/>
      <w:numFmt w:val="decimal"/>
      <w:lvlText w:val="%1."/>
      <w:lvlJc w:val="left"/>
      <w:pPr>
        <w:tabs>
          <w:tab w:val="num" w:pos="360"/>
        </w:tabs>
        <w:ind w:left="360" w:hanging="360"/>
      </w:pPr>
      <w:rPr>
        <w:color w:val="auto"/>
      </w:rPr>
    </w:lvl>
    <w:lvl w:ilvl="1" w:tplc="0C090017">
      <w:start w:val="1"/>
      <w:numFmt w:val="lowerLetter"/>
      <w:lvlText w:val="%2)"/>
      <w:lvlJc w:val="left"/>
      <w:pPr>
        <w:tabs>
          <w:tab w:val="num" w:pos="1080"/>
        </w:tabs>
        <w:ind w:left="1080" w:hanging="360"/>
      </w:pPr>
      <w:rPr>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7EA565B0"/>
    <w:multiLevelType w:val="hybridMultilevel"/>
    <w:tmpl w:val="3CE468EC"/>
    <w:lvl w:ilvl="0" w:tplc="EF205E90">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505405">
    <w:abstractNumId w:val="21"/>
  </w:num>
  <w:num w:numId="2" w16cid:durableId="954023014">
    <w:abstractNumId w:val="0"/>
  </w:num>
  <w:num w:numId="3" w16cid:durableId="352340411">
    <w:abstractNumId w:val="9"/>
  </w:num>
  <w:num w:numId="4" w16cid:durableId="2034963411">
    <w:abstractNumId w:val="8"/>
  </w:num>
  <w:num w:numId="5" w16cid:durableId="744717203">
    <w:abstractNumId w:val="15"/>
  </w:num>
  <w:num w:numId="6" w16cid:durableId="1590189710">
    <w:abstractNumId w:val="17"/>
  </w:num>
  <w:num w:numId="7" w16cid:durableId="386032554">
    <w:abstractNumId w:val="14"/>
  </w:num>
  <w:num w:numId="8" w16cid:durableId="938483853">
    <w:abstractNumId w:val="29"/>
  </w:num>
  <w:num w:numId="9" w16cid:durableId="162548700">
    <w:abstractNumId w:val="32"/>
  </w:num>
  <w:num w:numId="10" w16cid:durableId="356197204">
    <w:abstractNumId w:val="20"/>
  </w:num>
  <w:num w:numId="11" w16cid:durableId="1171218068">
    <w:abstractNumId w:val="25"/>
  </w:num>
  <w:num w:numId="12" w16cid:durableId="1416516799">
    <w:abstractNumId w:val="3"/>
  </w:num>
  <w:num w:numId="13" w16cid:durableId="422411765">
    <w:abstractNumId w:val="10"/>
  </w:num>
  <w:num w:numId="14" w16cid:durableId="1661814815">
    <w:abstractNumId w:val="19"/>
  </w:num>
  <w:num w:numId="15" w16cid:durableId="1302926972">
    <w:abstractNumId w:val="24"/>
  </w:num>
  <w:num w:numId="16" w16cid:durableId="1049452992">
    <w:abstractNumId w:val="33"/>
  </w:num>
  <w:num w:numId="17" w16cid:durableId="661084738">
    <w:abstractNumId w:val="16"/>
  </w:num>
  <w:num w:numId="18" w16cid:durableId="947198162">
    <w:abstractNumId w:val="30"/>
  </w:num>
  <w:num w:numId="19" w16cid:durableId="1959993361">
    <w:abstractNumId w:val="31"/>
  </w:num>
  <w:num w:numId="20" w16cid:durableId="1018585695">
    <w:abstractNumId w:val="2"/>
  </w:num>
  <w:num w:numId="21" w16cid:durableId="132186807">
    <w:abstractNumId w:val="13"/>
  </w:num>
  <w:num w:numId="22" w16cid:durableId="189925133">
    <w:abstractNumId w:val="6"/>
  </w:num>
  <w:num w:numId="23" w16cid:durableId="571739767">
    <w:abstractNumId w:val="21"/>
  </w:num>
  <w:num w:numId="24" w16cid:durableId="1037244651">
    <w:abstractNumId w:val="11"/>
  </w:num>
  <w:num w:numId="25" w16cid:durableId="318583291">
    <w:abstractNumId w:val="5"/>
  </w:num>
  <w:num w:numId="26" w16cid:durableId="172109702">
    <w:abstractNumId w:val="21"/>
  </w:num>
  <w:num w:numId="27" w16cid:durableId="685667599">
    <w:abstractNumId w:val="7"/>
  </w:num>
  <w:num w:numId="28" w16cid:durableId="481627347">
    <w:abstractNumId w:val="21"/>
  </w:num>
  <w:num w:numId="29" w16cid:durableId="907152717">
    <w:abstractNumId w:val="21"/>
  </w:num>
  <w:num w:numId="30" w16cid:durableId="2015842531">
    <w:abstractNumId w:val="23"/>
  </w:num>
  <w:num w:numId="31" w16cid:durableId="1590309263">
    <w:abstractNumId w:val="1"/>
  </w:num>
  <w:num w:numId="32" w16cid:durableId="124666976">
    <w:abstractNumId w:val="4"/>
  </w:num>
  <w:num w:numId="33" w16cid:durableId="772363169">
    <w:abstractNumId w:val="18"/>
  </w:num>
  <w:num w:numId="34" w16cid:durableId="1548225433">
    <w:abstractNumId w:val="28"/>
  </w:num>
  <w:num w:numId="35" w16cid:durableId="1565291923">
    <w:abstractNumId w:val="12"/>
  </w:num>
  <w:num w:numId="36" w16cid:durableId="1289891454">
    <w:abstractNumId w:val="27"/>
  </w:num>
  <w:num w:numId="37" w16cid:durableId="782723141">
    <w:abstractNumId w:val="26"/>
  </w:num>
  <w:num w:numId="38" w16cid:durableId="84548183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1221"/>
    <w:rsid w:val="00001789"/>
    <w:rsid w:val="00005306"/>
    <w:rsid w:val="00010592"/>
    <w:rsid w:val="00010C11"/>
    <w:rsid w:val="00011BA6"/>
    <w:rsid w:val="000134E5"/>
    <w:rsid w:val="00014145"/>
    <w:rsid w:val="00022AE5"/>
    <w:rsid w:val="00040232"/>
    <w:rsid w:val="00054E70"/>
    <w:rsid w:val="000557BF"/>
    <w:rsid w:val="00055DDA"/>
    <w:rsid w:val="00057F8B"/>
    <w:rsid w:val="00064B7E"/>
    <w:rsid w:val="000703BE"/>
    <w:rsid w:val="00070FE8"/>
    <w:rsid w:val="0007766A"/>
    <w:rsid w:val="000824A2"/>
    <w:rsid w:val="000825AB"/>
    <w:rsid w:val="00084BD6"/>
    <w:rsid w:val="0009285F"/>
    <w:rsid w:val="00092CEE"/>
    <w:rsid w:val="000B7FD6"/>
    <w:rsid w:val="000C5C4D"/>
    <w:rsid w:val="000C655D"/>
    <w:rsid w:val="000C6ED5"/>
    <w:rsid w:val="000C7392"/>
    <w:rsid w:val="000C75FA"/>
    <w:rsid w:val="000D051D"/>
    <w:rsid w:val="000D3984"/>
    <w:rsid w:val="000E18E2"/>
    <w:rsid w:val="000E4E39"/>
    <w:rsid w:val="000F40E7"/>
    <w:rsid w:val="000F49E9"/>
    <w:rsid w:val="000F5108"/>
    <w:rsid w:val="000F6B01"/>
    <w:rsid w:val="0010002E"/>
    <w:rsid w:val="00112C46"/>
    <w:rsid w:val="00115FAD"/>
    <w:rsid w:val="00120C6E"/>
    <w:rsid w:val="0012689B"/>
    <w:rsid w:val="00131023"/>
    <w:rsid w:val="00131962"/>
    <w:rsid w:val="0013319D"/>
    <w:rsid w:val="00133EB7"/>
    <w:rsid w:val="00134DA7"/>
    <w:rsid w:val="0013565F"/>
    <w:rsid w:val="00140F61"/>
    <w:rsid w:val="001449F9"/>
    <w:rsid w:val="00144A6A"/>
    <w:rsid w:val="00146203"/>
    <w:rsid w:val="00156631"/>
    <w:rsid w:val="00157609"/>
    <w:rsid w:val="001603D2"/>
    <w:rsid w:val="001632B6"/>
    <w:rsid w:val="00170A92"/>
    <w:rsid w:val="00172A0E"/>
    <w:rsid w:val="001768A9"/>
    <w:rsid w:val="00182AD4"/>
    <w:rsid w:val="001836C5"/>
    <w:rsid w:val="00183D4F"/>
    <w:rsid w:val="00187EB9"/>
    <w:rsid w:val="00187FCF"/>
    <w:rsid w:val="001905EB"/>
    <w:rsid w:val="0019194D"/>
    <w:rsid w:val="00192B03"/>
    <w:rsid w:val="001A05CD"/>
    <w:rsid w:val="001A0985"/>
    <w:rsid w:val="001A09CA"/>
    <w:rsid w:val="001C3731"/>
    <w:rsid w:val="001C508D"/>
    <w:rsid w:val="001C5BA3"/>
    <w:rsid w:val="001C6295"/>
    <w:rsid w:val="001C6FC3"/>
    <w:rsid w:val="001D0598"/>
    <w:rsid w:val="001D0ACC"/>
    <w:rsid w:val="001D351B"/>
    <w:rsid w:val="001D62AB"/>
    <w:rsid w:val="001D786F"/>
    <w:rsid w:val="001D7C76"/>
    <w:rsid w:val="001E1398"/>
    <w:rsid w:val="001E5127"/>
    <w:rsid w:val="001F03DA"/>
    <w:rsid w:val="001F1213"/>
    <w:rsid w:val="001F1DFC"/>
    <w:rsid w:val="001F2A44"/>
    <w:rsid w:val="001F55CB"/>
    <w:rsid w:val="0020357A"/>
    <w:rsid w:val="00203CC1"/>
    <w:rsid w:val="00210685"/>
    <w:rsid w:val="0021248F"/>
    <w:rsid w:val="00214F5E"/>
    <w:rsid w:val="0021510B"/>
    <w:rsid w:val="00220A78"/>
    <w:rsid w:val="0022316B"/>
    <w:rsid w:val="00226AE7"/>
    <w:rsid w:val="00227257"/>
    <w:rsid w:val="00241100"/>
    <w:rsid w:val="0026077D"/>
    <w:rsid w:val="0026290B"/>
    <w:rsid w:val="00267671"/>
    <w:rsid w:val="00272234"/>
    <w:rsid w:val="00277490"/>
    <w:rsid w:val="00280AB8"/>
    <w:rsid w:val="0029363E"/>
    <w:rsid w:val="00293A38"/>
    <w:rsid w:val="00295C70"/>
    <w:rsid w:val="00296F23"/>
    <w:rsid w:val="002970F8"/>
    <w:rsid w:val="002A0F3F"/>
    <w:rsid w:val="002A0F64"/>
    <w:rsid w:val="002A6DAA"/>
    <w:rsid w:val="002C28FA"/>
    <w:rsid w:val="002C58A1"/>
    <w:rsid w:val="002D0747"/>
    <w:rsid w:val="002D2DCC"/>
    <w:rsid w:val="002D2FD6"/>
    <w:rsid w:val="002E03AA"/>
    <w:rsid w:val="002E1DCD"/>
    <w:rsid w:val="002E2436"/>
    <w:rsid w:val="002F3D85"/>
    <w:rsid w:val="002F3E48"/>
    <w:rsid w:val="002F5AB3"/>
    <w:rsid w:val="002F61FC"/>
    <w:rsid w:val="002F7763"/>
    <w:rsid w:val="0030076F"/>
    <w:rsid w:val="00301D90"/>
    <w:rsid w:val="00304740"/>
    <w:rsid w:val="00305837"/>
    <w:rsid w:val="0030685F"/>
    <w:rsid w:val="00307049"/>
    <w:rsid w:val="003121F0"/>
    <w:rsid w:val="003147EB"/>
    <w:rsid w:val="00316E81"/>
    <w:rsid w:val="00322D18"/>
    <w:rsid w:val="003236A2"/>
    <w:rsid w:val="00324C9E"/>
    <w:rsid w:val="003254E4"/>
    <w:rsid w:val="00343B7E"/>
    <w:rsid w:val="003442B9"/>
    <w:rsid w:val="00350A5C"/>
    <w:rsid w:val="0035464E"/>
    <w:rsid w:val="0035621E"/>
    <w:rsid w:val="003575D0"/>
    <w:rsid w:val="00360EF0"/>
    <w:rsid w:val="0036247C"/>
    <w:rsid w:val="003666A1"/>
    <w:rsid w:val="003675A8"/>
    <w:rsid w:val="00371475"/>
    <w:rsid w:val="0037229C"/>
    <w:rsid w:val="003735A2"/>
    <w:rsid w:val="00374643"/>
    <w:rsid w:val="00374EEE"/>
    <w:rsid w:val="00376877"/>
    <w:rsid w:val="003808AD"/>
    <w:rsid w:val="00380D4C"/>
    <w:rsid w:val="003823CF"/>
    <w:rsid w:val="00382C8E"/>
    <w:rsid w:val="003852F0"/>
    <w:rsid w:val="00385F45"/>
    <w:rsid w:val="003A038F"/>
    <w:rsid w:val="003A256D"/>
    <w:rsid w:val="003A40D0"/>
    <w:rsid w:val="003B17F2"/>
    <w:rsid w:val="003B7937"/>
    <w:rsid w:val="003C075E"/>
    <w:rsid w:val="003C3499"/>
    <w:rsid w:val="003C441E"/>
    <w:rsid w:val="003C5AAB"/>
    <w:rsid w:val="003D4AAB"/>
    <w:rsid w:val="003D742F"/>
    <w:rsid w:val="003E0D65"/>
    <w:rsid w:val="003F050F"/>
    <w:rsid w:val="003F0E32"/>
    <w:rsid w:val="003F102E"/>
    <w:rsid w:val="003F55D3"/>
    <w:rsid w:val="003F6AD9"/>
    <w:rsid w:val="003F7D3A"/>
    <w:rsid w:val="00411EF6"/>
    <w:rsid w:val="00416C4C"/>
    <w:rsid w:val="00421CE2"/>
    <w:rsid w:val="00423B5B"/>
    <w:rsid w:val="00423DAE"/>
    <w:rsid w:val="00426C1E"/>
    <w:rsid w:val="00433066"/>
    <w:rsid w:val="004346B2"/>
    <w:rsid w:val="004355E0"/>
    <w:rsid w:val="00435FCB"/>
    <w:rsid w:val="004413DE"/>
    <w:rsid w:val="00441BD3"/>
    <w:rsid w:val="00442C12"/>
    <w:rsid w:val="0044597A"/>
    <w:rsid w:val="00447C8B"/>
    <w:rsid w:val="00447CAC"/>
    <w:rsid w:val="00452E30"/>
    <w:rsid w:val="004606A2"/>
    <w:rsid w:val="00462692"/>
    <w:rsid w:val="00463E4A"/>
    <w:rsid w:val="004651C2"/>
    <w:rsid w:val="00465529"/>
    <w:rsid w:val="00470619"/>
    <w:rsid w:val="004715DB"/>
    <w:rsid w:val="0047332F"/>
    <w:rsid w:val="004818B8"/>
    <w:rsid w:val="00481943"/>
    <w:rsid w:val="004822D0"/>
    <w:rsid w:val="00483A3C"/>
    <w:rsid w:val="00483B80"/>
    <w:rsid w:val="004844BF"/>
    <w:rsid w:val="00486E23"/>
    <w:rsid w:val="0049197A"/>
    <w:rsid w:val="004925CF"/>
    <w:rsid w:val="00496B2D"/>
    <w:rsid w:val="004A2892"/>
    <w:rsid w:val="004A3488"/>
    <w:rsid w:val="004A4EB9"/>
    <w:rsid w:val="004A5055"/>
    <w:rsid w:val="004B45B9"/>
    <w:rsid w:val="004B5F65"/>
    <w:rsid w:val="004C3712"/>
    <w:rsid w:val="004C4279"/>
    <w:rsid w:val="004C6042"/>
    <w:rsid w:val="004E13B2"/>
    <w:rsid w:val="004E2060"/>
    <w:rsid w:val="004E5452"/>
    <w:rsid w:val="004E7E61"/>
    <w:rsid w:val="00503141"/>
    <w:rsid w:val="00505FCB"/>
    <w:rsid w:val="00507AF2"/>
    <w:rsid w:val="005100D8"/>
    <w:rsid w:val="00514CE9"/>
    <w:rsid w:val="005208FE"/>
    <w:rsid w:val="005212C9"/>
    <w:rsid w:val="005224A4"/>
    <w:rsid w:val="00523095"/>
    <w:rsid w:val="0052318D"/>
    <w:rsid w:val="00524376"/>
    <w:rsid w:val="00527E00"/>
    <w:rsid w:val="00531287"/>
    <w:rsid w:val="00544300"/>
    <w:rsid w:val="00545F35"/>
    <w:rsid w:val="00553912"/>
    <w:rsid w:val="00555022"/>
    <w:rsid w:val="005558A8"/>
    <w:rsid w:val="00557EF6"/>
    <w:rsid w:val="00562F08"/>
    <w:rsid w:val="00563827"/>
    <w:rsid w:val="00564861"/>
    <w:rsid w:val="005661E3"/>
    <w:rsid w:val="00567236"/>
    <w:rsid w:val="00567516"/>
    <w:rsid w:val="00571DCD"/>
    <w:rsid w:val="00575DC0"/>
    <w:rsid w:val="00583977"/>
    <w:rsid w:val="00590967"/>
    <w:rsid w:val="00591BD7"/>
    <w:rsid w:val="00592AC4"/>
    <w:rsid w:val="00593066"/>
    <w:rsid w:val="00593A93"/>
    <w:rsid w:val="00594446"/>
    <w:rsid w:val="005A02B6"/>
    <w:rsid w:val="005A090A"/>
    <w:rsid w:val="005A0E0C"/>
    <w:rsid w:val="005A0EED"/>
    <w:rsid w:val="005A1F63"/>
    <w:rsid w:val="005A3BE7"/>
    <w:rsid w:val="005B6A9F"/>
    <w:rsid w:val="005C2356"/>
    <w:rsid w:val="005C351C"/>
    <w:rsid w:val="005C47AB"/>
    <w:rsid w:val="005C5958"/>
    <w:rsid w:val="005C5BEA"/>
    <w:rsid w:val="005D062D"/>
    <w:rsid w:val="005D1785"/>
    <w:rsid w:val="005D5B50"/>
    <w:rsid w:val="005D613C"/>
    <w:rsid w:val="005D6A01"/>
    <w:rsid w:val="005E2B9A"/>
    <w:rsid w:val="005E5047"/>
    <w:rsid w:val="005F0E0E"/>
    <w:rsid w:val="005F3A68"/>
    <w:rsid w:val="005F4203"/>
    <w:rsid w:val="00600D85"/>
    <w:rsid w:val="00603E10"/>
    <w:rsid w:val="006055ED"/>
    <w:rsid w:val="00607E87"/>
    <w:rsid w:val="0061068E"/>
    <w:rsid w:val="00614638"/>
    <w:rsid w:val="006201C3"/>
    <w:rsid w:val="00621B10"/>
    <w:rsid w:val="006247E5"/>
    <w:rsid w:val="0062551C"/>
    <w:rsid w:val="006302E4"/>
    <w:rsid w:val="00643C15"/>
    <w:rsid w:val="00643F2F"/>
    <w:rsid w:val="00645EB8"/>
    <w:rsid w:val="00652F51"/>
    <w:rsid w:val="00653F42"/>
    <w:rsid w:val="00654790"/>
    <w:rsid w:val="00655C85"/>
    <w:rsid w:val="00660513"/>
    <w:rsid w:val="006628B5"/>
    <w:rsid w:val="006703BB"/>
    <w:rsid w:val="00670BB8"/>
    <w:rsid w:val="006720FE"/>
    <w:rsid w:val="00672B87"/>
    <w:rsid w:val="00674E8A"/>
    <w:rsid w:val="00674F0A"/>
    <w:rsid w:val="006761AA"/>
    <w:rsid w:val="006809EA"/>
    <w:rsid w:val="0068110E"/>
    <w:rsid w:val="00692D8F"/>
    <w:rsid w:val="00696B23"/>
    <w:rsid w:val="006A1998"/>
    <w:rsid w:val="006B1A45"/>
    <w:rsid w:val="006B5DC8"/>
    <w:rsid w:val="006C279E"/>
    <w:rsid w:val="006C7039"/>
    <w:rsid w:val="006D3F76"/>
    <w:rsid w:val="006E3C16"/>
    <w:rsid w:val="006E675B"/>
    <w:rsid w:val="006F3077"/>
    <w:rsid w:val="006F428F"/>
    <w:rsid w:val="006F753C"/>
    <w:rsid w:val="00704369"/>
    <w:rsid w:val="00705F07"/>
    <w:rsid w:val="0071077A"/>
    <w:rsid w:val="007123D2"/>
    <w:rsid w:val="00716918"/>
    <w:rsid w:val="00720C9D"/>
    <w:rsid w:val="007240FE"/>
    <w:rsid w:val="00726202"/>
    <w:rsid w:val="00726929"/>
    <w:rsid w:val="0073778B"/>
    <w:rsid w:val="00741A23"/>
    <w:rsid w:val="00746760"/>
    <w:rsid w:val="00750E22"/>
    <w:rsid w:val="00751ABE"/>
    <w:rsid w:val="00754456"/>
    <w:rsid w:val="007564F8"/>
    <w:rsid w:val="00760EDD"/>
    <w:rsid w:val="00761017"/>
    <w:rsid w:val="007610DD"/>
    <w:rsid w:val="0076237E"/>
    <w:rsid w:val="00767EAA"/>
    <w:rsid w:val="00771E7A"/>
    <w:rsid w:val="00772503"/>
    <w:rsid w:val="007734F9"/>
    <w:rsid w:val="00773F37"/>
    <w:rsid w:val="007778A1"/>
    <w:rsid w:val="00783E54"/>
    <w:rsid w:val="00785B20"/>
    <w:rsid w:val="00786692"/>
    <w:rsid w:val="007913A9"/>
    <w:rsid w:val="00791FD7"/>
    <w:rsid w:val="00795C3A"/>
    <w:rsid w:val="007A1500"/>
    <w:rsid w:val="007A15A7"/>
    <w:rsid w:val="007A66E5"/>
    <w:rsid w:val="007B602E"/>
    <w:rsid w:val="007B7069"/>
    <w:rsid w:val="007C32F6"/>
    <w:rsid w:val="007C3A58"/>
    <w:rsid w:val="007C682C"/>
    <w:rsid w:val="007C6905"/>
    <w:rsid w:val="007D13AC"/>
    <w:rsid w:val="007D3C02"/>
    <w:rsid w:val="007D6662"/>
    <w:rsid w:val="007E1157"/>
    <w:rsid w:val="007E7707"/>
    <w:rsid w:val="007E7A4E"/>
    <w:rsid w:val="007F3A8C"/>
    <w:rsid w:val="007F41E4"/>
    <w:rsid w:val="007F4268"/>
    <w:rsid w:val="007F4CFC"/>
    <w:rsid w:val="007F5805"/>
    <w:rsid w:val="007F5BB5"/>
    <w:rsid w:val="007F6502"/>
    <w:rsid w:val="00800AA7"/>
    <w:rsid w:val="008020EA"/>
    <w:rsid w:val="00802207"/>
    <w:rsid w:val="00810962"/>
    <w:rsid w:val="00810FA2"/>
    <w:rsid w:val="00811E55"/>
    <w:rsid w:val="0081214B"/>
    <w:rsid w:val="00813F05"/>
    <w:rsid w:val="00820799"/>
    <w:rsid w:val="00823288"/>
    <w:rsid w:val="00825B0A"/>
    <w:rsid w:val="00830CC9"/>
    <w:rsid w:val="008331F3"/>
    <w:rsid w:val="00836740"/>
    <w:rsid w:val="008368CA"/>
    <w:rsid w:val="0083735F"/>
    <w:rsid w:val="00842A1D"/>
    <w:rsid w:val="008435EE"/>
    <w:rsid w:val="0084403D"/>
    <w:rsid w:val="008530E8"/>
    <w:rsid w:val="00860A87"/>
    <w:rsid w:val="00860C80"/>
    <w:rsid w:val="00872A4A"/>
    <w:rsid w:val="00872E4D"/>
    <w:rsid w:val="00873BA5"/>
    <w:rsid w:val="0088289E"/>
    <w:rsid w:val="00882D6E"/>
    <w:rsid w:val="0088569C"/>
    <w:rsid w:val="00886745"/>
    <w:rsid w:val="00890FCF"/>
    <w:rsid w:val="008958F6"/>
    <w:rsid w:val="00896556"/>
    <w:rsid w:val="008A1C2F"/>
    <w:rsid w:val="008B0A84"/>
    <w:rsid w:val="008B55B7"/>
    <w:rsid w:val="008B6BD1"/>
    <w:rsid w:val="008C1A82"/>
    <w:rsid w:val="008D0E71"/>
    <w:rsid w:val="008D2BAF"/>
    <w:rsid w:val="008D6056"/>
    <w:rsid w:val="008D6337"/>
    <w:rsid w:val="008E24E9"/>
    <w:rsid w:val="008E62D3"/>
    <w:rsid w:val="008F1B94"/>
    <w:rsid w:val="008F231A"/>
    <w:rsid w:val="008F2A9C"/>
    <w:rsid w:val="008F4630"/>
    <w:rsid w:val="008F5DBA"/>
    <w:rsid w:val="008F6595"/>
    <w:rsid w:val="0090000C"/>
    <w:rsid w:val="00906924"/>
    <w:rsid w:val="00912068"/>
    <w:rsid w:val="00913123"/>
    <w:rsid w:val="009140A0"/>
    <w:rsid w:val="009239C5"/>
    <w:rsid w:val="009253BE"/>
    <w:rsid w:val="009256A3"/>
    <w:rsid w:val="009264BA"/>
    <w:rsid w:val="00933B3D"/>
    <w:rsid w:val="0093598A"/>
    <w:rsid w:val="00946048"/>
    <w:rsid w:val="0094737F"/>
    <w:rsid w:val="009479D4"/>
    <w:rsid w:val="009524C0"/>
    <w:rsid w:val="00953918"/>
    <w:rsid w:val="00954D96"/>
    <w:rsid w:val="009562A7"/>
    <w:rsid w:val="00956FD6"/>
    <w:rsid w:val="00960E7C"/>
    <w:rsid w:val="009631BE"/>
    <w:rsid w:val="0096456E"/>
    <w:rsid w:val="0096517C"/>
    <w:rsid w:val="009657D5"/>
    <w:rsid w:val="00965C2A"/>
    <w:rsid w:val="00966C1F"/>
    <w:rsid w:val="009708D9"/>
    <w:rsid w:val="00970DA8"/>
    <w:rsid w:val="00972AAB"/>
    <w:rsid w:val="00973E49"/>
    <w:rsid w:val="0097656C"/>
    <w:rsid w:val="0098359C"/>
    <w:rsid w:val="00984B33"/>
    <w:rsid w:val="00985518"/>
    <w:rsid w:val="009874BC"/>
    <w:rsid w:val="009900C2"/>
    <w:rsid w:val="00991435"/>
    <w:rsid w:val="0099221C"/>
    <w:rsid w:val="00996F58"/>
    <w:rsid w:val="009A43C9"/>
    <w:rsid w:val="009A53A0"/>
    <w:rsid w:val="009A6587"/>
    <w:rsid w:val="009A6A0A"/>
    <w:rsid w:val="009B1F76"/>
    <w:rsid w:val="009C1C42"/>
    <w:rsid w:val="009C43CE"/>
    <w:rsid w:val="009D23E0"/>
    <w:rsid w:val="009D48D2"/>
    <w:rsid w:val="009D58BB"/>
    <w:rsid w:val="009E6297"/>
    <w:rsid w:val="009F0813"/>
    <w:rsid w:val="00A0065E"/>
    <w:rsid w:val="00A01EE5"/>
    <w:rsid w:val="00A022E4"/>
    <w:rsid w:val="00A044A6"/>
    <w:rsid w:val="00A11732"/>
    <w:rsid w:val="00A12094"/>
    <w:rsid w:val="00A139B7"/>
    <w:rsid w:val="00A13AAF"/>
    <w:rsid w:val="00A15666"/>
    <w:rsid w:val="00A15C6B"/>
    <w:rsid w:val="00A17FD1"/>
    <w:rsid w:val="00A2166B"/>
    <w:rsid w:val="00A226C1"/>
    <w:rsid w:val="00A23D69"/>
    <w:rsid w:val="00A34CDD"/>
    <w:rsid w:val="00A40AC2"/>
    <w:rsid w:val="00A46C49"/>
    <w:rsid w:val="00A5654A"/>
    <w:rsid w:val="00A6115B"/>
    <w:rsid w:val="00A62C76"/>
    <w:rsid w:val="00A63293"/>
    <w:rsid w:val="00A66DDB"/>
    <w:rsid w:val="00A7158C"/>
    <w:rsid w:val="00A73D22"/>
    <w:rsid w:val="00A85416"/>
    <w:rsid w:val="00A91AC1"/>
    <w:rsid w:val="00AA04C7"/>
    <w:rsid w:val="00AA11C0"/>
    <w:rsid w:val="00AA11F1"/>
    <w:rsid w:val="00AA6945"/>
    <w:rsid w:val="00AA6A43"/>
    <w:rsid w:val="00AA6CD7"/>
    <w:rsid w:val="00AB5CCD"/>
    <w:rsid w:val="00AB6EB9"/>
    <w:rsid w:val="00AC17B9"/>
    <w:rsid w:val="00AC187A"/>
    <w:rsid w:val="00AC2E90"/>
    <w:rsid w:val="00AD0947"/>
    <w:rsid w:val="00AD3D9D"/>
    <w:rsid w:val="00AD49C7"/>
    <w:rsid w:val="00AD5E08"/>
    <w:rsid w:val="00AE06A2"/>
    <w:rsid w:val="00AE46DA"/>
    <w:rsid w:val="00AE4CAE"/>
    <w:rsid w:val="00AE7FB3"/>
    <w:rsid w:val="00AF185F"/>
    <w:rsid w:val="00AF2728"/>
    <w:rsid w:val="00AF3517"/>
    <w:rsid w:val="00B00216"/>
    <w:rsid w:val="00B005A1"/>
    <w:rsid w:val="00B0198F"/>
    <w:rsid w:val="00B075B5"/>
    <w:rsid w:val="00B07610"/>
    <w:rsid w:val="00B0774E"/>
    <w:rsid w:val="00B12F0F"/>
    <w:rsid w:val="00B253F0"/>
    <w:rsid w:val="00B26C19"/>
    <w:rsid w:val="00B30365"/>
    <w:rsid w:val="00B31510"/>
    <w:rsid w:val="00B32E71"/>
    <w:rsid w:val="00B355C6"/>
    <w:rsid w:val="00B374B5"/>
    <w:rsid w:val="00B41C31"/>
    <w:rsid w:val="00B4273F"/>
    <w:rsid w:val="00B46DBD"/>
    <w:rsid w:val="00B6012D"/>
    <w:rsid w:val="00B612F8"/>
    <w:rsid w:val="00B655EF"/>
    <w:rsid w:val="00B71D26"/>
    <w:rsid w:val="00B726A9"/>
    <w:rsid w:val="00B81321"/>
    <w:rsid w:val="00B81EA5"/>
    <w:rsid w:val="00B86D81"/>
    <w:rsid w:val="00B9024B"/>
    <w:rsid w:val="00B905C5"/>
    <w:rsid w:val="00B93F7A"/>
    <w:rsid w:val="00B940F7"/>
    <w:rsid w:val="00B974AB"/>
    <w:rsid w:val="00BA4498"/>
    <w:rsid w:val="00BA631A"/>
    <w:rsid w:val="00BB56C8"/>
    <w:rsid w:val="00BC344A"/>
    <w:rsid w:val="00BC7C73"/>
    <w:rsid w:val="00BD2B8E"/>
    <w:rsid w:val="00BD38B1"/>
    <w:rsid w:val="00BD73EE"/>
    <w:rsid w:val="00BE14A3"/>
    <w:rsid w:val="00BE3FD9"/>
    <w:rsid w:val="00BF1684"/>
    <w:rsid w:val="00BF2B33"/>
    <w:rsid w:val="00BF3806"/>
    <w:rsid w:val="00BF3E88"/>
    <w:rsid w:val="00BF4181"/>
    <w:rsid w:val="00BF6B85"/>
    <w:rsid w:val="00BF6D42"/>
    <w:rsid w:val="00BF74D1"/>
    <w:rsid w:val="00C00657"/>
    <w:rsid w:val="00C04997"/>
    <w:rsid w:val="00C102B7"/>
    <w:rsid w:val="00C15B72"/>
    <w:rsid w:val="00C15D12"/>
    <w:rsid w:val="00C1773D"/>
    <w:rsid w:val="00C17C2B"/>
    <w:rsid w:val="00C21403"/>
    <w:rsid w:val="00C26A8A"/>
    <w:rsid w:val="00C27728"/>
    <w:rsid w:val="00C31C4C"/>
    <w:rsid w:val="00C323A3"/>
    <w:rsid w:val="00C35698"/>
    <w:rsid w:val="00C37AA0"/>
    <w:rsid w:val="00C40986"/>
    <w:rsid w:val="00C44657"/>
    <w:rsid w:val="00C520EE"/>
    <w:rsid w:val="00C522DF"/>
    <w:rsid w:val="00C54576"/>
    <w:rsid w:val="00C6041D"/>
    <w:rsid w:val="00C609A7"/>
    <w:rsid w:val="00C61139"/>
    <w:rsid w:val="00C616B8"/>
    <w:rsid w:val="00C6703E"/>
    <w:rsid w:val="00C70A5D"/>
    <w:rsid w:val="00C73642"/>
    <w:rsid w:val="00C80EC9"/>
    <w:rsid w:val="00C82DC6"/>
    <w:rsid w:val="00C901F1"/>
    <w:rsid w:val="00C903CB"/>
    <w:rsid w:val="00C91253"/>
    <w:rsid w:val="00C91C1B"/>
    <w:rsid w:val="00C9416F"/>
    <w:rsid w:val="00C9583C"/>
    <w:rsid w:val="00CA347B"/>
    <w:rsid w:val="00CA4767"/>
    <w:rsid w:val="00CA4C99"/>
    <w:rsid w:val="00CA6162"/>
    <w:rsid w:val="00CA7997"/>
    <w:rsid w:val="00CA7C0F"/>
    <w:rsid w:val="00CA7C70"/>
    <w:rsid w:val="00CB25B3"/>
    <w:rsid w:val="00CC127B"/>
    <w:rsid w:val="00CC6F43"/>
    <w:rsid w:val="00CC713B"/>
    <w:rsid w:val="00CC7EB3"/>
    <w:rsid w:val="00CD0BC8"/>
    <w:rsid w:val="00CD14E9"/>
    <w:rsid w:val="00CD2A4A"/>
    <w:rsid w:val="00CD6AE4"/>
    <w:rsid w:val="00CD7B27"/>
    <w:rsid w:val="00CD7F02"/>
    <w:rsid w:val="00CE19AB"/>
    <w:rsid w:val="00CE20C0"/>
    <w:rsid w:val="00CE4B77"/>
    <w:rsid w:val="00CE77BB"/>
    <w:rsid w:val="00CF1406"/>
    <w:rsid w:val="00CF436A"/>
    <w:rsid w:val="00D02BF9"/>
    <w:rsid w:val="00D10FA9"/>
    <w:rsid w:val="00D16B27"/>
    <w:rsid w:val="00D17D45"/>
    <w:rsid w:val="00D20301"/>
    <w:rsid w:val="00D2171E"/>
    <w:rsid w:val="00D36DBC"/>
    <w:rsid w:val="00D41B1B"/>
    <w:rsid w:val="00D60BB6"/>
    <w:rsid w:val="00D6140E"/>
    <w:rsid w:val="00D61761"/>
    <w:rsid w:val="00D63277"/>
    <w:rsid w:val="00D65898"/>
    <w:rsid w:val="00D65EBF"/>
    <w:rsid w:val="00D722E1"/>
    <w:rsid w:val="00D747C8"/>
    <w:rsid w:val="00D75A30"/>
    <w:rsid w:val="00D75A9D"/>
    <w:rsid w:val="00D810C3"/>
    <w:rsid w:val="00D95021"/>
    <w:rsid w:val="00D95137"/>
    <w:rsid w:val="00DA6868"/>
    <w:rsid w:val="00DA6DB5"/>
    <w:rsid w:val="00DA752E"/>
    <w:rsid w:val="00DC0566"/>
    <w:rsid w:val="00DC20D9"/>
    <w:rsid w:val="00DC40C8"/>
    <w:rsid w:val="00DC648F"/>
    <w:rsid w:val="00DC682C"/>
    <w:rsid w:val="00DC6E38"/>
    <w:rsid w:val="00DD01B9"/>
    <w:rsid w:val="00DD1B25"/>
    <w:rsid w:val="00DD5B1F"/>
    <w:rsid w:val="00DD7DC8"/>
    <w:rsid w:val="00DE3D00"/>
    <w:rsid w:val="00DF0260"/>
    <w:rsid w:val="00DF10FB"/>
    <w:rsid w:val="00DF12C1"/>
    <w:rsid w:val="00DF1857"/>
    <w:rsid w:val="00DF4840"/>
    <w:rsid w:val="00DF647C"/>
    <w:rsid w:val="00DF676A"/>
    <w:rsid w:val="00E00B25"/>
    <w:rsid w:val="00E051ED"/>
    <w:rsid w:val="00E0574A"/>
    <w:rsid w:val="00E06DDA"/>
    <w:rsid w:val="00E11F64"/>
    <w:rsid w:val="00E1559A"/>
    <w:rsid w:val="00E158A3"/>
    <w:rsid w:val="00E15B9E"/>
    <w:rsid w:val="00E1636C"/>
    <w:rsid w:val="00E17919"/>
    <w:rsid w:val="00E21B04"/>
    <w:rsid w:val="00E23EE4"/>
    <w:rsid w:val="00E24927"/>
    <w:rsid w:val="00E27234"/>
    <w:rsid w:val="00E27B0F"/>
    <w:rsid w:val="00E34821"/>
    <w:rsid w:val="00E35DA6"/>
    <w:rsid w:val="00E36A49"/>
    <w:rsid w:val="00E42F1C"/>
    <w:rsid w:val="00E4776B"/>
    <w:rsid w:val="00E47906"/>
    <w:rsid w:val="00E51B46"/>
    <w:rsid w:val="00E541B6"/>
    <w:rsid w:val="00E556BD"/>
    <w:rsid w:val="00E61A0D"/>
    <w:rsid w:val="00E64717"/>
    <w:rsid w:val="00E64CB6"/>
    <w:rsid w:val="00E7117C"/>
    <w:rsid w:val="00E7186E"/>
    <w:rsid w:val="00E719D2"/>
    <w:rsid w:val="00E7367D"/>
    <w:rsid w:val="00E80659"/>
    <w:rsid w:val="00E82387"/>
    <w:rsid w:val="00E86252"/>
    <w:rsid w:val="00E86E1C"/>
    <w:rsid w:val="00E9104C"/>
    <w:rsid w:val="00E943A8"/>
    <w:rsid w:val="00E967FB"/>
    <w:rsid w:val="00EA38BB"/>
    <w:rsid w:val="00EA639F"/>
    <w:rsid w:val="00EB2336"/>
    <w:rsid w:val="00EB366B"/>
    <w:rsid w:val="00EC098B"/>
    <w:rsid w:val="00EC278A"/>
    <w:rsid w:val="00EC4353"/>
    <w:rsid w:val="00EC6B6A"/>
    <w:rsid w:val="00EC76AE"/>
    <w:rsid w:val="00ED0970"/>
    <w:rsid w:val="00ED0FEF"/>
    <w:rsid w:val="00ED3948"/>
    <w:rsid w:val="00ED3EE0"/>
    <w:rsid w:val="00ED5CD5"/>
    <w:rsid w:val="00ED7E89"/>
    <w:rsid w:val="00EE05BB"/>
    <w:rsid w:val="00EE0A65"/>
    <w:rsid w:val="00EE6C16"/>
    <w:rsid w:val="00EE6E37"/>
    <w:rsid w:val="00EF11A3"/>
    <w:rsid w:val="00EF12A5"/>
    <w:rsid w:val="00EF2B4C"/>
    <w:rsid w:val="00F01B85"/>
    <w:rsid w:val="00F027F1"/>
    <w:rsid w:val="00F02AD1"/>
    <w:rsid w:val="00F03F63"/>
    <w:rsid w:val="00F04CD3"/>
    <w:rsid w:val="00F11001"/>
    <w:rsid w:val="00F1122C"/>
    <w:rsid w:val="00F1541F"/>
    <w:rsid w:val="00F17D43"/>
    <w:rsid w:val="00F2194E"/>
    <w:rsid w:val="00F250F0"/>
    <w:rsid w:val="00F25445"/>
    <w:rsid w:val="00F25462"/>
    <w:rsid w:val="00F27AEA"/>
    <w:rsid w:val="00F319C0"/>
    <w:rsid w:val="00F329D1"/>
    <w:rsid w:val="00F34947"/>
    <w:rsid w:val="00F34E3D"/>
    <w:rsid w:val="00F45F88"/>
    <w:rsid w:val="00F47B38"/>
    <w:rsid w:val="00F51C49"/>
    <w:rsid w:val="00F56253"/>
    <w:rsid w:val="00F6066A"/>
    <w:rsid w:val="00F6080C"/>
    <w:rsid w:val="00F62F23"/>
    <w:rsid w:val="00F6651F"/>
    <w:rsid w:val="00F669B7"/>
    <w:rsid w:val="00F6765B"/>
    <w:rsid w:val="00F7670F"/>
    <w:rsid w:val="00F80998"/>
    <w:rsid w:val="00F8250E"/>
    <w:rsid w:val="00F82991"/>
    <w:rsid w:val="00F85FB0"/>
    <w:rsid w:val="00F905BF"/>
    <w:rsid w:val="00F94841"/>
    <w:rsid w:val="00F95F8C"/>
    <w:rsid w:val="00FA1E52"/>
    <w:rsid w:val="00FA57B7"/>
    <w:rsid w:val="00FA5DC1"/>
    <w:rsid w:val="00FA66E7"/>
    <w:rsid w:val="00FB128E"/>
    <w:rsid w:val="00FB3843"/>
    <w:rsid w:val="00FB3994"/>
    <w:rsid w:val="00FC48EE"/>
    <w:rsid w:val="00FC6FFA"/>
    <w:rsid w:val="00FD08F6"/>
    <w:rsid w:val="00FE1412"/>
    <w:rsid w:val="00FE35E4"/>
    <w:rsid w:val="00FE514A"/>
    <w:rsid w:val="00FE7D2C"/>
    <w:rsid w:val="1846B12F"/>
    <w:rsid w:val="1EC922B9"/>
    <w:rsid w:val="27953FBC"/>
    <w:rsid w:val="409FDFD2"/>
    <w:rsid w:val="60754494"/>
    <w:rsid w:val="770C313B"/>
    <w:rsid w:val="7C769F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459B"/>
  <w15:chartTrackingRefBased/>
  <w15:docId w15:val="{1B9B0FE0-ED0D-4633-9094-C817E3B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List Paragraph"/>
    <w:basedOn w:val="Normal"/>
    <w:link w:val="ListParagraphChar"/>
    <w:uiPriority w:val="34"/>
    <w:qFormat/>
    <w:rsid w:val="00527E00"/>
    <w:pPr>
      <w:numPr>
        <w:numId w:val="1"/>
      </w:numPr>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C7EB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5"/>
      </w:numPr>
      <w:ind w:left="284" w:hanging="284"/>
    </w:pPr>
  </w:style>
  <w:style w:type="paragraph" w:customStyle="1" w:styleId="TableNumber">
    <w:name w:val="Table Number"/>
    <w:basedOn w:val="TableBody"/>
    <w:qFormat/>
    <w:rsid w:val="00AF3517"/>
    <w:pPr>
      <w:numPr>
        <w:numId w:val="6"/>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2D2FD6"/>
    <w:pPr>
      <w:spacing w:before="120" w:after="0" w:line="240" w:lineRule="auto"/>
    </w:p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val="en-GB"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1">
    <w:name w:val="Unresolved Mention1"/>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semiHidden/>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semiHidden/>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NoSpacing">
    <w:name w:val="No Spacing"/>
    <w:basedOn w:val="Normal"/>
    <w:link w:val="NoSpacingChar"/>
    <w:uiPriority w:val="1"/>
    <w:qFormat/>
    <w:rsid w:val="004A2892"/>
    <w:pPr>
      <w:spacing w:before="0" w:after="0" w:line="240" w:lineRule="auto"/>
    </w:pPr>
    <w:rPr>
      <w:rFonts w:ascii="Calibri" w:hAnsi="Calibri" w:cs="Times New Roman"/>
    </w:rPr>
  </w:style>
  <w:style w:type="character" w:customStyle="1" w:styleId="NoSpacingChar">
    <w:name w:val="No Spacing Char"/>
    <w:basedOn w:val="DefaultParagraphFont"/>
    <w:link w:val="NoSpacing"/>
    <w:uiPriority w:val="1"/>
    <w:rsid w:val="004A2892"/>
    <w:rPr>
      <w:rFonts w:ascii="Calibri" w:hAnsi="Calibri" w:cs="Times New Roman"/>
    </w:rPr>
  </w:style>
  <w:style w:type="character" w:customStyle="1" w:styleId="ListParagraphChar">
    <w:name w:val="List Paragraph Char"/>
    <w:aliases w:val="~List Paragraph Char"/>
    <w:basedOn w:val="DefaultParagraphFont"/>
    <w:link w:val="ListParagraph"/>
    <w:uiPriority w:val="34"/>
    <w:rsid w:val="008530E8"/>
    <w:rPr>
      <w:rFonts w:ascii="Arial" w:hAnsi="Arial"/>
    </w:rPr>
  </w:style>
  <w:style w:type="character" w:styleId="FollowedHyperlink">
    <w:name w:val="FollowedHyperlink"/>
    <w:basedOn w:val="DefaultParagraphFont"/>
    <w:uiPriority w:val="99"/>
    <w:semiHidden/>
    <w:unhideWhenUsed/>
    <w:rsid w:val="00984B33"/>
    <w:rPr>
      <w:color w:val="7030A0" w:themeColor="followedHyperlink"/>
      <w:u w:val="single"/>
    </w:rPr>
  </w:style>
  <w:style w:type="paragraph" w:styleId="CommentSubject">
    <w:name w:val="annotation subject"/>
    <w:basedOn w:val="CommentText"/>
    <w:next w:val="CommentText"/>
    <w:link w:val="CommentSubjectChar"/>
    <w:uiPriority w:val="99"/>
    <w:semiHidden/>
    <w:unhideWhenUsed/>
    <w:rsid w:val="00146203"/>
    <w:rPr>
      <w:b/>
      <w:bCs/>
    </w:rPr>
  </w:style>
  <w:style w:type="character" w:customStyle="1" w:styleId="CommentSubjectChar">
    <w:name w:val="Comment Subject Char"/>
    <w:basedOn w:val="CommentTextChar"/>
    <w:link w:val="CommentSubject"/>
    <w:uiPriority w:val="99"/>
    <w:semiHidden/>
    <w:rsid w:val="00146203"/>
    <w:rPr>
      <w:rFonts w:ascii="Arial" w:hAnsi="Arial"/>
      <w:b/>
      <w:bCs/>
      <w:sz w:val="20"/>
      <w:szCs w:val="20"/>
    </w:rPr>
  </w:style>
  <w:style w:type="paragraph" w:styleId="Revision">
    <w:name w:val="Revision"/>
    <w:hidden/>
    <w:uiPriority w:val="99"/>
    <w:semiHidden/>
    <w:rsid w:val="00704369"/>
    <w:pPr>
      <w:spacing w:after="0" w:line="240" w:lineRule="auto"/>
    </w:pPr>
    <w:rPr>
      <w:rFonts w:ascii="Arial" w:hAnsi="Arial"/>
    </w:rPr>
  </w:style>
  <w:style w:type="character" w:styleId="FootnoteReference">
    <w:name w:val="footnote reference"/>
    <w:semiHidden/>
    <w:rsid w:val="00001789"/>
    <w:rPr>
      <w:vertAlign w:val="superscript"/>
    </w:rPr>
  </w:style>
  <w:style w:type="paragraph" w:styleId="FootnoteText">
    <w:name w:val="footnote text"/>
    <w:basedOn w:val="Normal"/>
    <w:link w:val="FootnoteTextChar"/>
    <w:semiHidden/>
    <w:rsid w:val="00001789"/>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001789"/>
    <w:rPr>
      <w:rFonts w:ascii="Arial" w:eastAsia="Times New Roman" w:hAnsi="Arial" w:cs="Times New Roman"/>
      <w:sz w:val="20"/>
      <w:szCs w:val="20"/>
    </w:rPr>
  </w:style>
  <w:style w:type="paragraph" w:customStyle="1" w:styleId="Default">
    <w:name w:val="Default"/>
    <w:rsid w:val="008121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A6DAA"/>
    <w:pPr>
      <w:spacing w:before="0" w:after="107" w:line="240" w:lineRule="auto"/>
    </w:pPr>
    <w:rPr>
      <w:rFonts w:ascii="Times New Roman" w:eastAsia="Times New Roman" w:hAnsi="Times New Roman" w:cs="Times New Roman"/>
      <w:lang w:eastAsia="en-AU"/>
    </w:rPr>
  </w:style>
  <w:style w:type="paragraph" w:styleId="BodyText">
    <w:name w:val="Body Text"/>
    <w:basedOn w:val="Normal"/>
    <w:link w:val="BodyTextChar"/>
    <w:qFormat/>
    <w:rsid w:val="0097656C"/>
    <w:pPr>
      <w:spacing w:before="120" w:after="120" w:line="240" w:lineRule="auto"/>
    </w:pPr>
    <w:rPr>
      <w:rFonts w:ascii="Calibri" w:eastAsia="Calibri" w:hAnsi="Calibri" w:cs="Times New Roman"/>
    </w:rPr>
  </w:style>
  <w:style w:type="character" w:customStyle="1" w:styleId="BodyTextChar">
    <w:name w:val="Body Text Char"/>
    <w:basedOn w:val="DefaultParagraphFont"/>
    <w:link w:val="BodyText"/>
    <w:rsid w:val="00976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749">
      <w:bodyDiv w:val="1"/>
      <w:marLeft w:val="0"/>
      <w:marRight w:val="0"/>
      <w:marTop w:val="0"/>
      <w:marBottom w:val="0"/>
      <w:divBdr>
        <w:top w:val="none" w:sz="0" w:space="0" w:color="auto"/>
        <w:left w:val="none" w:sz="0" w:space="0" w:color="auto"/>
        <w:bottom w:val="none" w:sz="0" w:space="0" w:color="auto"/>
        <w:right w:val="none" w:sz="0" w:space="0" w:color="auto"/>
      </w:divBdr>
    </w:div>
    <w:div w:id="135731494">
      <w:bodyDiv w:val="1"/>
      <w:marLeft w:val="0"/>
      <w:marRight w:val="0"/>
      <w:marTop w:val="0"/>
      <w:marBottom w:val="0"/>
      <w:divBdr>
        <w:top w:val="none" w:sz="0" w:space="0" w:color="auto"/>
        <w:left w:val="none" w:sz="0" w:space="0" w:color="auto"/>
        <w:bottom w:val="none" w:sz="0" w:space="0" w:color="auto"/>
        <w:right w:val="none" w:sz="0" w:space="0" w:color="auto"/>
      </w:divBdr>
    </w:div>
    <w:div w:id="565455849">
      <w:bodyDiv w:val="1"/>
      <w:marLeft w:val="0"/>
      <w:marRight w:val="0"/>
      <w:marTop w:val="0"/>
      <w:marBottom w:val="0"/>
      <w:divBdr>
        <w:top w:val="none" w:sz="0" w:space="0" w:color="auto"/>
        <w:left w:val="none" w:sz="0" w:space="0" w:color="auto"/>
        <w:bottom w:val="none" w:sz="0" w:space="0" w:color="auto"/>
        <w:right w:val="none" w:sz="0" w:space="0" w:color="auto"/>
      </w:divBdr>
      <w:divsChild>
        <w:div w:id="1219172458">
          <w:marLeft w:val="0"/>
          <w:marRight w:val="0"/>
          <w:marTop w:val="0"/>
          <w:marBottom w:val="0"/>
          <w:divBdr>
            <w:top w:val="none" w:sz="0" w:space="0" w:color="auto"/>
            <w:left w:val="none" w:sz="0" w:space="0" w:color="auto"/>
            <w:bottom w:val="none" w:sz="0" w:space="0" w:color="auto"/>
            <w:right w:val="none" w:sz="0" w:space="0" w:color="auto"/>
          </w:divBdr>
          <w:divsChild>
            <w:div w:id="147552136">
              <w:marLeft w:val="0"/>
              <w:marRight w:val="0"/>
              <w:marTop w:val="0"/>
              <w:marBottom w:val="0"/>
              <w:divBdr>
                <w:top w:val="none" w:sz="0" w:space="0" w:color="auto"/>
                <w:left w:val="none" w:sz="0" w:space="0" w:color="auto"/>
                <w:bottom w:val="none" w:sz="0" w:space="0" w:color="auto"/>
                <w:right w:val="none" w:sz="0" w:space="0" w:color="auto"/>
              </w:divBdr>
              <w:divsChild>
                <w:div w:id="1671759783">
                  <w:marLeft w:val="0"/>
                  <w:marRight w:val="0"/>
                  <w:marTop w:val="0"/>
                  <w:marBottom w:val="0"/>
                  <w:divBdr>
                    <w:top w:val="none" w:sz="0" w:space="0" w:color="auto"/>
                    <w:left w:val="none" w:sz="0" w:space="0" w:color="auto"/>
                    <w:bottom w:val="none" w:sz="0" w:space="0" w:color="auto"/>
                    <w:right w:val="none" w:sz="0" w:space="0" w:color="auto"/>
                  </w:divBdr>
                  <w:divsChild>
                    <w:div w:id="1566984850">
                      <w:marLeft w:val="0"/>
                      <w:marRight w:val="0"/>
                      <w:marTop w:val="0"/>
                      <w:marBottom w:val="0"/>
                      <w:divBdr>
                        <w:top w:val="none" w:sz="0" w:space="0" w:color="auto"/>
                        <w:left w:val="none" w:sz="0" w:space="0" w:color="auto"/>
                        <w:bottom w:val="none" w:sz="0" w:space="0" w:color="auto"/>
                        <w:right w:val="none" w:sz="0" w:space="0" w:color="auto"/>
                      </w:divBdr>
                      <w:divsChild>
                        <w:div w:id="479005949">
                          <w:marLeft w:val="0"/>
                          <w:marRight w:val="0"/>
                          <w:marTop w:val="0"/>
                          <w:marBottom w:val="0"/>
                          <w:divBdr>
                            <w:top w:val="none" w:sz="0" w:space="0" w:color="auto"/>
                            <w:left w:val="none" w:sz="0" w:space="0" w:color="auto"/>
                            <w:bottom w:val="none" w:sz="0" w:space="0" w:color="auto"/>
                            <w:right w:val="none" w:sz="0" w:space="0" w:color="auto"/>
                          </w:divBdr>
                          <w:divsChild>
                            <w:div w:id="2005278266">
                              <w:marLeft w:val="0"/>
                              <w:marRight w:val="0"/>
                              <w:marTop w:val="0"/>
                              <w:marBottom w:val="0"/>
                              <w:divBdr>
                                <w:top w:val="none" w:sz="0" w:space="0" w:color="auto"/>
                                <w:left w:val="none" w:sz="0" w:space="0" w:color="auto"/>
                                <w:bottom w:val="none" w:sz="0" w:space="0" w:color="auto"/>
                                <w:right w:val="none" w:sz="0" w:space="0" w:color="auto"/>
                              </w:divBdr>
                              <w:divsChild>
                                <w:div w:id="1241907403">
                                  <w:marLeft w:val="0"/>
                                  <w:marRight w:val="0"/>
                                  <w:marTop w:val="0"/>
                                  <w:marBottom w:val="0"/>
                                  <w:divBdr>
                                    <w:top w:val="none" w:sz="0" w:space="0" w:color="auto"/>
                                    <w:left w:val="none" w:sz="0" w:space="0" w:color="auto"/>
                                    <w:bottom w:val="none" w:sz="0" w:space="0" w:color="auto"/>
                                    <w:right w:val="none" w:sz="0" w:space="0" w:color="auto"/>
                                  </w:divBdr>
                                  <w:divsChild>
                                    <w:div w:id="583226359">
                                      <w:marLeft w:val="0"/>
                                      <w:marRight w:val="0"/>
                                      <w:marTop w:val="0"/>
                                      <w:marBottom w:val="0"/>
                                      <w:divBdr>
                                        <w:top w:val="none" w:sz="0" w:space="0" w:color="auto"/>
                                        <w:left w:val="none" w:sz="0" w:space="0" w:color="auto"/>
                                        <w:bottom w:val="none" w:sz="0" w:space="0" w:color="auto"/>
                                        <w:right w:val="none" w:sz="0" w:space="0" w:color="auto"/>
                                      </w:divBdr>
                                      <w:divsChild>
                                        <w:div w:id="55596459">
                                          <w:marLeft w:val="0"/>
                                          <w:marRight w:val="0"/>
                                          <w:marTop w:val="0"/>
                                          <w:marBottom w:val="0"/>
                                          <w:divBdr>
                                            <w:top w:val="none" w:sz="0" w:space="0" w:color="auto"/>
                                            <w:left w:val="none" w:sz="0" w:space="0" w:color="auto"/>
                                            <w:bottom w:val="none" w:sz="0" w:space="0" w:color="auto"/>
                                            <w:right w:val="none" w:sz="0" w:space="0" w:color="auto"/>
                                          </w:divBdr>
                                          <w:divsChild>
                                            <w:div w:id="1496333693">
                                              <w:marLeft w:val="0"/>
                                              <w:marRight w:val="0"/>
                                              <w:marTop w:val="0"/>
                                              <w:marBottom w:val="0"/>
                                              <w:divBdr>
                                                <w:top w:val="none" w:sz="0" w:space="0" w:color="auto"/>
                                                <w:left w:val="none" w:sz="0" w:space="0" w:color="auto"/>
                                                <w:bottom w:val="none" w:sz="0" w:space="0" w:color="auto"/>
                                                <w:right w:val="none" w:sz="0" w:space="0" w:color="auto"/>
                                              </w:divBdr>
                                              <w:divsChild>
                                                <w:div w:id="742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820218">
      <w:bodyDiv w:val="1"/>
      <w:marLeft w:val="0"/>
      <w:marRight w:val="0"/>
      <w:marTop w:val="0"/>
      <w:marBottom w:val="0"/>
      <w:divBdr>
        <w:top w:val="none" w:sz="0" w:space="0" w:color="auto"/>
        <w:left w:val="none" w:sz="0" w:space="0" w:color="auto"/>
        <w:bottom w:val="none" w:sz="0" w:space="0" w:color="auto"/>
        <w:right w:val="none" w:sz="0" w:space="0" w:color="auto"/>
      </w:divBdr>
      <w:divsChild>
        <w:div w:id="1377781433">
          <w:marLeft w:val="0"/>
          <w:marRight w:val="0"/>
          <w:marTop w:val="0"/>
          <w:marBottom w:val="0"/>
          <w:divBdr>
            <w:top w:val="none" w:sz="0" w:space="0" w:color="auto"/>
            <w:left w:val="none" w:sz="0" w:space="0" w:color="auto"/>
            <w:bottom w:val="none" w:sz="0" w:space="0" w:color="auto"/>
            <w:right w:val="none" w:sz="0" w:space="0" w:color="auto"/>
          </w:divBdr>
          <w:divsChild>
            <w:div w:id="1145901009">
              <w:marLeft w:val="0"/>
              <w:marRight w:val="0"/>
              <w:marTop w:val="0"/>
              <w:marBottom w:val="0"/>
              <w:divBdr>
                <w:top w:val="none" w:sz="0" w:space="0" w:color="auto"/>
                <w:left w:val="none" w:sz="0" w:space="0" w:color="auto"/>
                <w:bottom w:val="none" w:sz="0" w:space="0" w:color="auto"/>
                <w:right w:val="none" w:sz="0" w:space="0" w:color="auto"/>
              </w:divBdr>
              <w:divsChild>
                <w:div w:id="1578058315">
                  <w:marLeft w:val="0"/>
                  <w:marRight w:val="0"/>
                  <w:marTop w:val="0"/>
                  <w:marBottom w:val="0"/>
                  <w:divBdr>
                    <w:top w:val="none" w:sz="0" w:space="0" w:color="auto"/>
                    <w:left w:val="none" w:sz="0" w:space="0" w:color="auto"/>
                    <w:bottom w:val="none" w:sz="0" w:space="0" w:color="auto"/>
                    <w:right w:val="none" w:sz="0" w:space="0" w:color="auto"/>
                  </w:divBdr>
                  <w:divsChild>
                    <w:div w:id="1827277924">
                      <w:marLeft w:val="0"/>
                      <w:marRight w:val="0"/>
                      <w:marTop w:val="0"/>
                      <w:marBottom w:val="0"/>
                      <w:divBdr>
                        <w:top w:val="none" w:sz="0" w:space="0" w:color="auto"/>
                        <w:left w:val="none" w:sz="0" w:space="0" w:color="auto"/>
                        <w:bottom w:val="none" w:sz="0" w:space="0" w:color="auto"/>
                        <w:right w:val="none" w:sz="0" w:space="0" w:color="auto"/>
                      </w:divBdr>
                      <w:divsChild>
                        <w:div w:id="1847475617">
                          <w:marLeft w:val="-225"/>
                          <w:marRight w:val="-225"/>
                          <w:marTop w:val="0"/>
                          <w:marBottom w:val="0"/>
                          <w:divBdr>
                            <w:top w:val="none" w:sz="0" w:space="0" w:color="auto"/>
                            <w:left w:val="none" w:sz="0" w:space="0" w:color="auto"/>
                            <w:bottom w:val="none" w:sz="0" w:space="0" w:color="auto"/>
                            <w:right w:val="none" w:sz="0" w:space="0" w:color="auto"/>
                          </w:divBdr>
                          <w:divsChild>
                            <w:div w:id="378867622">
                              <w:marLeft w:val="0"/>
                              <w:marRight w:val="0"/>
                              <w:marTop w:val="0"/>
                              <w:marBottom w:val="0"/>
                              <w:divBdr>
                                <w:top w:val="none" w:sz="0" w:space="0" w:color="auto"/>
                                <w:left w:val="none" w:sz="0" w:space="0" w:color="auto"/>
                                <w:bottom w:val="none" w:sz="0" w:space="0" w:color="auto"/>
                                <w:right w:val="none" w:sz="0" w:space="0" w:color="auto"/>
                              </w:divBdr>
                              <w:divsChild>
                                <w:div w:id="146216155">
                                  <w:marLeft w:val="0"/>
                                  <w:marRight w:val="0"/>
                                  <w:marTop w:val="0"/>
                                  <w:marBottom w:val="0"/>
                                  <w:divBdr>
                                    <w:top w:val="none" w:sz="0" w:space="0" w:color="auto"/>
                                    <w:left w:val="none" w:sz="0" w:space="0" w:color="auto"/>
                                    <w:bottom w:val="none" w:sz="0" w:space="0" w:color="auto"/>
                                    <w:right w:val="none" w:sz="0" w:space="0" w:color="auto"/>
                                  </w:divBdr>
                                  <w:divsChild>
                                    <w:div w:id="1210801339">
                                      <w:marLeft w:val="0"/>
                                      <w:marRight w:val="0"/>
                                      <w:marTop w:val="0"/>
                                      <w:marBottom w:val="0"/>
                                      <w:divBdr>
                                        <w:top w:val="none" w:sz="0" w:space="0" w:color="auto"/>
                                        <w:left w:val="none" w:sz="0" w:space="0" w:color="auto"/>
                                        <w:bottom w:val="none" w:sz="0" w:space="0" w:color="auto"/>
                                        <w:right w:val="none" w:sz="0" w:space="0" w:color="auto"/>
                                      </w:divBdr>
                                      <w:divsChild>
                                        <w:div w:id="911625110">
                                          <w:marLeft w:val="-225"/>
                                          <w:marRight w:val="-225"/>
                                          <w:marTop w:val="0"/>
                                          <w:marBottom w:val="0"/>
                                          <w:divBdr>
                                            <w:top w:val="none" w:sz="0" w:space="0" w:color="auto"/>
                                            <w:left w:val="none" w:sz="0" w:space="0" w:color="auto"/>
                                            <w:bottom w:val="none" w:sz="0" w:space="0" w:color="auto"/>
                                            <w:right w:val="none" w:sz="0" w:space="0" w:color="auto"/>
                                          </w:divBdr>
                                          <w:divsChild>
                                            <w:div w:id="44457001">
                                              <w:marLeft w:val="0"/>
                                              <w:marRight w:val="0"/>
                                              <w:marTop w:val="0"/>
                                              <w:marBottom w:val="0"/>
                                              <w:divBdr>
                                                <w:top w:val="none" w:sz="0" w:space="0" w:color="auto"/>
                                                <w:left w:val="none" w:sz="0" w:space="0" w:color="auto"/>
                                                <w:bottom w:val="none" w:sz="0" w:space="0" w:color="auto"/>
                                                <w:right w:val="none" w:sz="0" w:space="0" w:color="auto"/>
                                              </w:divBdr>
                                              <w:divsChild>
                                                <w:div w:id="1431898957">
                                                  <w:marLeft w:val="0"/>
                                                  <w:marRight w:val="0"/>
                                                  <w:marTop w:val="0"/>
                                                  <w:marBottom w:val="0"/>
                                                  <w:divBdr>
                                                    <w:top w:val="none" w:sz="0" w:space="0" w:color="auto"/>
                                                    <w:left w:val="none" w:sz="0" w:space="0" w:color="auto"/>
                                                    <w:bottom w:val="none" w:sz="0" w:space="0" w:color="auto"/>
                                                    <w:right w:val="none" w:sz="0" w:space="0" w:color="auto"/>
                                                  </w:divBdr>
                                                  <w:divsChild>
                                                    <w:div w:id="1406877242">
                                                      <w:marLeft w:val="0"/>
                                                      <w:marRight w:val="0"/>
                                                      <w:marTop w:val="0"/>
                                                      <w:marBottom w:val="0"/>
                                                      <w:divBdr>
                                                        <w:top w:val="none" w:sz="0" w:space="0" w:color="auto"/>
                                                        <w:left w:val="none" w:sz="0" w:space="0" w:color="auto"/>
                                                        <w:bottom w:val="none" w:sz="0" w:space="0" w:color="auto"/>
                                                        <w:right w:val="none" w:sz="0" w:space="0" w:color="auto"/>
                                                      </w:divBdr>
                                                      <w:divsChild>
                                                        <w:div w:id="709233670">
                                                          <w:marLeft w:val="0"/>
                                                          <w:marRight w:val="0"/>
                                                          <w:marTop w:val="0"/>
                                                          <w:marBottom w:val="0"/>
                                                          <w:divBdr>
                                                            <w:top w:val="none" w:sz="0" w:space="0" w:color="auto"/>
                                                            <w:left w:val="none" w:sz="0" w:space="0" w:color="auto"/>
                                                            <w:bottom w:val="none" w:sz="0" w:space="0" w:color="auto"/>
                                                            <w:right w:val="none" w:sz="0" w:space="0" w:color="auto"/>
                                                          </w:divBdr>
                                                          <w:divsChild>
                                                            <w:div w:id="5037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slation.gov.au/Details/C2019C00090/Html/Volume_3" TargetMode="External"/><Relationship Id="rId26" Type="http://schemas.openxmlformats.org/officeDocument/2006/relationships/image" Target="media/image3.png"/><Relationship Id="rId39" Type="http://schemas.openxmlformats.org/officeDocument/2006/relationships/hyperlink" Target="mailto:itra@industry.gov.au" TargetMode="External"/><Relationship Id="rId21" Type="http://schemas.openxmlformats.org/officeDocument/2006/relationships/hyperlink" Target="https://www.industry.gov.au/about-us/our-structure/anti-dumping-commission" TargetMode="External"/><Relationship Id="rId34" Type="http://schemas.openxmlformats.org/officeDocument/2006/relationships/hyperlink" Target="https://www.industry.gov.au/regulations-and-standards/anti-dumping-and-countervailing-system/submissions-to-an-anti-dumping-or-countervailing-cas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data-and-publications/dumping-and-subsidy-manual" TargetMode="External"/><Relationship Id="rId20" Type="http://schemas.openxmlformats.org/officeDocument/2006/relationships/hyperlink" Target="mailto:clientsupport@adcommission.gov.au" TargetMode="External"/><Relationship Id="rId29" Type="http://schemas.openxmlformats.org/officeDocument/2006/relationships/hyperlink" Target="https://www.legislation.gov.au/Details/C2016C007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legislation.gov.au/Details/C2016C00716" TargetMode="External"/><Relationship Id="rId37" Type="http://schemas.openxmlformats.org/officeDocument/2006/relationships/hyperlink" Target="https://www.industry.gov.au/data-and-publications/anti-dumping-commission-measures" TargetMode="External"/><Relationship Id="rId40" Type="http://schemas.openxmlformats.org/officeDocument/2006/relationships/hyperlink" Target="mailto:clientsupport@adcommission.gov.au" TargetMode="External"/><Relationship Id="rId5" Type="http://schemas.openxmlformats.org/officeDocument/2006/relationships/numbering" Target="numbering.xml"/><Relationship Id="rId15" Type="http://schemas.openxmlformats.org/officeDocument/2006/relationships/hyperlink" Target="https://www.industry.gov.au/regulations-and-standards/anti-dumping-and-countervailing-system/applying-for-an-anti-circumvention-inquiry" TargetMode="External"/><Relationship Id="rId23" Type="http://schemas.openxmlformats.org/officeDocument/2006/relationships/hyperlink" Target="https://www.legislation.gov.au/Details/C2016C00716" TargetMode="External"/><Relationship Id="rId28" Type="http://schemas.openxmlformats.org/officeDocument/2006/relationships/image" Target="media/image4.png"/><Relationship Id="rId36" Type="http://schemas.openxmlformats.org/officeDocument/2006/relationships/hyperlink" Target="https://www.industry.gov.au/regulations-and-standards/anti-dumping-and-countervailing-system" TargetMode="External"/><Relationship Id="rId10" Type="http://schemas.openxmlformats.org/officeDocument/2006/relationships/endnotes" Target="endnotes.xml"/><Relationship Id="rId19" Type="http://schemas.openxmlformats.org/officeDocument/2006/relationships/hyperlink" Target="https://www.industry.gov.au/regulations-and-standards/anti-dumping-and-countervailing-system/applying-for-an-anti-circumvention-inquiry" TargetMode="Externa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about-us/our-structure/anti-dumping-commission" TargetMode="External"/><Relationship Id="rId22" Type="http://schemas.openxmlformats.org/officeDocument/2006/relationships/hyperlink" Target="https://www.industry.gov.au/about-us/our-structure/anti-dumping-commission" TargetMode="External"/><Relationship Id="rId27" Type="http://schemas.openxmlformats.org/officeDocument/2006/relationships/hyperlink" Target="https://www.legislation.gov.au/Details/C2016C00716" TargetMode="External"/><Relationship Id="rId30" Type="http://schemas.openxmlformats.org/officeDocument/2006/relationships/hyperlink" Target="https://www.legislation.gov.au/Details/C2016C00716" TargetMode="External"/><Relationship Id="rId35" Type="http://schemas.openxmlformats.org/officeDocument/2006/relationships/hyperlink" Target="https://www.industry.gov.au/about-us/our-structure/anti-dumping-review-pane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ndustry.gov.au/regulations-and-standards/anti-dumping-and-countervailing-system/applying-for-an-anti-circumvention-inquiry" TargetMode="External"/><Relationship Id="rId25" Type="http://schemas.openxmlformats.org/officeDocument/2006/relationships/hyperlink" Target="https://www.legislation.gov.au/Details/C2016C00716" TargetMode="External"/><Relationship Id="rId33" Type="http://schemas.openxmlformats.org/officeDocument/2006/relationships/image" Target="media/image6.png"/><Relationship Id="rId38" Type="http://schemas.openxmlformats.org/officeDocument/2006/relationships/hyperlink" Target="https://www.business.gov.au/advisory-services/international-trade-remedies-advisory-serv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9C000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36BFCE27AED84EAC4DB0F5E64B04A6" ma:contentTypeVersion="22" ma:contentTypeDescription="Create a new document." ma:contentTypeScope="" ma:versionID="ad129a0933856b2f3dcb4319ba43c2c1">
  <xsd:schema xmlns:xsd="http://www.w3.org/2001/XMLSchema" xmlns:xs="http://www.w3.org/2001/XMLSchema" xmlns:p="http://schemas.microsoft.com/office/2006/metadata/properties" xmlns:ns1="http://schemas.microsoft.com/sharepoint/v3" xmlns:ns2="772b126d-104a-4cd6-9891-7ab7df372f6e" xmlns:ns3="84bf588d-248d-494c-9cb3-52774304d4c8" targetNamespace="http://schemas.microsoft.com/office/2006/metadata/properties" ma:root="true" ma:fieldsID="544911efc18f66a3e55e5ea4e3a10315" ns1:_="" ns2:_="" ns3:_="">
    <xsd:import namespace="http://schemas.microsoft.com/sharepoint/v3"/>
    <xsd:import namespace="772b126d-104a-4cd6-9891-7ab7df372f6e"/>
    <xsd:import namespace="84bf588d-248d-494c-9cb3-52774304d4c8"/>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df15dc484cfe4764a61f7bd24779a12f" minOccurs="0"/>
                <xsd:element ref="ns2:lfa17b9bc2f14b3d9e752c08a2e3362b"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df15dc484cfe4764a61f7bd24779a12f" ma:index="23" nillable="true" ma:taxonomy="true" ma:internalName="df15dc484cfe4764a61f7bd24779a12f" ma:taxonomyFieldName="Stratus_PolicyTopic" ma:displayName="Policy Topic" ma:default="" ma:fieldId="{df15dc48-4cfe-4764-a61f-7bd24779a12f}" ma:sspId="b6206a2c-5ee7-4d50-b3ee-2668e744af9d" ma:termSetId="d887b669-6a96-4e95-8549-84df6299b253" ma:anchorId="00000000-0000-0000-0000-000000000000" ma:open="false" ma:isKeyword="false">
      <xsd:complexType>
        <xsd:sequence>
          <xsd:element ref="pc:Terms" minOccurs="0" maxOccurs="1"/>
        </xsd:sequence>
      </xsd:complexType>
    </xsd:element>
    <xsd:element name="lfa17b9bc2f14b3d9e752c08a2e3362b" ma:index="25" nillable="true" ma:taxonomy="true" ma:internalName="lfa17b9bc2f14b3d9e752c08a2e3362b" ma:taxonomyFieldName="Stratus_CaseType" ma:displayName="Case Type" ma:default="" ma:fieldId="{5fa17b9b-c2f1-4b3d-9e75-2c08a2e3362b}" ma:sspId="b6206a2c-5ee7-4d50-b3ee-2668e744af9d" ma:termSetId="867665a2-64d0-4387-a015-fcbb6a78e4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f588d-248d-494c-9cb3-52774304d4c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Version using Grants Administrations Guide template</Comments>
    <TaxCatchAll xmlns="772b126d-104a-4cd6-9891-7ab7df372f6e">
      <Value>101</Value>
      <Value>10</Value>
      <Value>171</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lfa17b9bc2f14b3d9e752c08a2e3362b xmlns="772b126d-104a-4cd6-9891-7ab7df372f6e">
      <Terms xmlns="http://schemas.microsoft.com/office/infopath/2007/PartnerControls"/>
    </lfa17b9bc2f14b3d9e752c08a2e3362b>
    <f574ac9af9fe445bbb693aa03be57178 xmlns="772b126d-104a-4cd6-9891-7ab7df372f6e">
      <Terms xmlns="http://schemas.microsoft.com/office/infopath/2007/PartnerControls"/>
    </f574ac9af9fe445bbb693aa03be57178>
    <df15dc484cfe4764a61f7bd24779a12f xmlns="772b126d-104a-4cd6-9891-7ab7df372f6e">
      <Terms xmlns="http://schemas.microsoft.com/office/infopath/2007/PartnerControls">
        <TermInfo xmlns="http://schemas.microsoft.com/office/infopath/2007/PartnerControls">
          <TermName xmlns="http://schemas.microsoft.com/office/infopath/2007/PartnerControls">ODU</TermName>
          <TermId xmlns="http://schemas.microsoft.com/office/infopath/2007/PartnerControls">9f0aa90a-d1bf-4234-92b7-8410ef236a78</TermId>
        </TermInfo>
      </Terms>
    </df15dc484cfe4764a61f7bd24779a12f>
    <nd90b42486eb4c5e8746738ca5fa262a xmlns="772b126d-104a-4cd6-9891-7ab7df372f6e">
      <Terms xmlns="http://schemas.microsoft.com/office/infopath/2007/PartnerControls"/>
    </nd90b42486eb4c5e8746738ca5fa262a>
  </documentManagement>
</p:properties>
</file>

<file path=customXml/itemProps1.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2.xml><?xml version="1.0" encoding="utf-8"?>
<ds:datastoreItem xmlns:ds="http://schemas.openxmlformats.org/officeDocument/2006/customXml" ds:itemID="{A46A74CF-5D83-4C8D-824D-90766790FCD7}">
  <ds:schemaRefs>
    <ds:schemaRef ds:uri="http://schemas.openxmlformats.org/officeDocument/2006/bibliography"/>
  </ds:schemaRefs>
</ds:datastoreItem>
</file>

<file path=customXml/itemProps3.xml><?xml version="1.0" encoding="utf-8"?>
<ds:datastoreItem xmlns:ds="http://schemas.openxmlformats.org/officeDocument/2006/customXml" ds:itemID="{CB252076-2D3C-49DD-A06F-CCD1D6DB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84bf588d-248d-494c-9cb3-52774304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F768A-BAD9-4239-BAF3-2DC780053EE6}">
  <ds:schemaRefs>
    <ds:schemaRef ds:uri="http://schemas.microsoft.com/office/2006/metadata/properties"/>
    <ds:schemaRef ds:uri="http://schemas.microsoft.com/office/infopath/2007/PartnerControls"/>
    <ds:schemaRef ds:uri="http://schemas.microsoft.com/sharepoint/v3"/>
    <ds:schemaRef ds:uri="772b126d-104a-4cd6-9891-7ab7df372f6e"/>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3704</Words>
  <Characters>21114</Characters>
  <Application>Microsoft Office Word</Application>
  <DocSecurity>0</DocSecurity>
  <Lines>175</Lines>
  <Paragraphs>49</Paragraphs>
  <ScaleCrop>false</ScaleCrop>
  <Company>Department of Industry, Innovation and Science</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content - Duty assessment</dc:title>
  <dc:subject/>
  <dc:creator>Department of Industry, Innovation and Science</dc:creator>
  <cp:keywords/>
  <dc:description/>
  <cp:lastModifiedBy>Crouch, Phillipa</cp:lastModifiedBy>
  <cp:revision>10</cp:revision>
  <cp:lastPrinted>2019-04-30T01:58:00Z</cp:lastPrinted>
  <dcterms:created xsi:type="dcterms:W3CDTF">2024-10-15T09:19:00Z</dcterms:created>
  <dcterms:modified xsi:type="dcterms:W3CDTF">2024-10-16T07:12:00Z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1801;#2018|224abc7b-6f7e-4064-b773-6750976429b5</vt:lpwstr>
  </property>
  <property fmtid="{D5CDD505-2E9C-101B-9397-08002B2CF9AE}" pid="3" name="DocHub_DocumentType">
    <vt:lpwstr>767;#Guide|a4ca7698-9492-435d-8c80-0e92d5f30f1b</vt:lpwstr>
  </property>
  <property fmtid="{D5CDD505-2E9C-101B-9397-08002B2CF9AE}" pid="4" name="DocHub_SecurityClassification">
    <vt:lpwstr>3;#UNCLASSIFIED|6106d03b-a1a0-4e30-9d91-d5e9fb4314f9</vt:lpwstr>
  </property>
  <property fmtid="{D5CDD505-2E9C-101B-9397-08002B2CF9AE}" pid="5" name="ContentTypeId">
    <vt:lpwstr>0x010100E436BFCE27AED84EAC4DB0F5E64B04A6</vt:lpwstr>
  </property>
  <property fmtid="{D5CDD505-2E9C-101B-9397-08002B2CF9AE}" pid="6" name="DocHub_Keywords">
    <vt:lpwstr>473;#Guidelines|8d6623af-6989-4ee5-b8b0-ddf0e8eb4c7b</vt:lpwstr>
  </property>
  <property fmtid="{D5CDD505-2E9C-101B-9397-08002B2CF9AE}" pid="7" name="DocHub_WorkActivity">
    <vt:lpwstr/>
  </property>
  <property fmtid="{D5CDD505-2E9C-101B-9397-08002B2CF9AE}" pid="8" name="_dlc_DocIdItemGuid">
    <vt:lpwstr>94584c04-e7f4-4b5f-b1f3-ff31e30c17cb</vt:lpwstr>
  </property>
  <property fmtid="{D5CDD505-2E9C-101B-9397-08002B2CF9AE}" pid="9" name="DocHub_BGHProgramLifecyclePhase">
    <vt:lpwstr>20147;#5 - Manage|e650e787-1666-43f5-8888-8bfba453f889</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Templatecategory">
    <vt:lpwstr/>
  </property>
  <property fmtid="{D5CDD505-2E9C-101B-9397-08002B2CF9AE}" pid="13" name="VersionNumber">
    <vt:i4>0</vt:i4>
  </property>
  <property fmtid="{D5CDD505-2E9C-101B-9397-08002B2CF9AE}" pid="14" name="FileNumberPty">
    <vt:lpwstr/>
  </property>
  <property fmtid="{D5CDD505-2E9C-101B-9397-08002B2CF9AE}" pid="15" name="CorporateTmplBased">
    <vt:lpwstr>No</vt:lpwstr>
  </property>
  <property fmtid="{D5CDD505-2E9C-101B-9397-08002B2CF9AE}" pid="16" name="DocHub_EntityCustomer">
    <vt:lpwstr/>
  </property>
  <property fmtid="{D5CDD505-2E9C-101B-9397-08002B2CF9AE}" pid="17" name="ClassificationPty">
    <vt:lpwstr/>
  </property>
  <property fmtid="{D5CDD505-2E9C-101B-9397-08002B2CF9AE}" pid="18" name="DocHub_ITRASServiceType">
    <vt:lpwstr/>
  </property>
  <property fmtid="{D5CDD505-2E9C-101B-9397-08002B2CF9AE}" pid="19" name="DocHub_CaseType">
    <vt:lpwstr/>
  </property>
  <property fmtid="{D5CDD505-2E9C-101B-9397-08002B2CF9AE}" pid="20" name="DocHub_Entity">
    <vt:lpwstr/>
  </property>
  <property fmtid="{D5CDD505-2E9C-101B-9397-08002B2CF9AE}" pid="21" name="DocHub_PolicyTopic">
    <vt:lpwstr/>
  </property>
  <property fmtid="{D5CDD505-2E9C-101B-9397-08002B2CF9AE}" pid="22" name="DocHub_Goods">
    <vt:lpwstr/>
  </property>
  <property fmtid="{D5CDD505-2E9C-101B-9397-08002B2CF9AE}" pid="23" name="DocHub_Country">
    <vt:lpwstr/>
  </property>
  <property fmtid="{D5CDD505-2E9C-101B-9397-08002B2CF9AE}" pid="24" name="DocHub_ReportType">
    <vt:lpwstr/>
  </property>
  <property fmtid="{D5CDD505-2E9C-101B-9397-08002B2CF9AE}" pid="25" name="Stratus_WorkActivity">
    <vt:lpwstr/>
  </property>
  <property fmtid="{D5CDD505-2E9C-101B-9397-08002B2CF9AE}" pid="26" name="Stratus_PolicyTopic">
    <vt:lpwstr>171;#ODU|9f0aa90a-d1bf-4234-92b7-8410ef236a78</vt:lpwstr>
  </property>
  <property fmtid="{D5CDD505-2E9C-101B-9397-08002B2CF9AE}" pid="27" name="Stratus_DocumentType">
    <vt:lpwstr>101;#Guideline|57771b02-658a-45ea-b3f8-d7ea084e6707</vt:lpwstr>
  </property>
  <property fmtid="{D5CDD505-2E9C-101B-9397-08002B2CF9AE}" pid="28" name="Stratus_Year">
    <vt:lpwstr/>
  </property>
  <property fmtid="{D5CDD505-2E9C-101B-9397-08002B2CF9AE}" pid="29" name="Stratus_CaseType">
    <vt:lpwstr/>
  </property>
  <property fmtid="{D5CDD505-2E9C-101B-9397-08002B2CF9AE}" pid="30" name="Stratus_SecurityClassification">
    <vt:lpwstr>10;#OFFICIAL|1077e141-03cb-4307-8c0f-d43dc85f509f</vt:lpwstr>
  </property>
</Properties>
</file>