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62C12" w14:textId="77777777" w:rsidR="00912FF1" w:rsidRDefault="00912FF1" w:rsidP="00912FF1">
      <w:pPr>
        <w:pStyle w:val="NormalWeb"/>
        <w:spacing w:before="480" w:after="480"/>
        <w:jc w:val="left"/>
        <w:textAlignment w:val="baseline"/>
        <w:rPr>
          <w:rFonts w:asciiTheme="majorHAnsi" w:hAnsiTheme="majorHAnsi" w:cstheme="majorHAnsi"/>
          <w:b/>
          <w:color w:val="40ADB2"/>
          <w:sz w:val="48"/>
          <w:szCs w:val="48"/>
          <w:lang w:val="en-AU"/>
        </w:rPr>
      </w:pPr>
      <w:bookmarkStart w:id="1" w:name="_Hlk483387400"/>
      <w:r w:rsidRPr="00436768">
        <w:rPr>
          <w:rFonts w:asciiTheme="minorHAnsi" w:hAnsiTheme="minorHAnsi" w:cstheme="minorHAnsi"/>
          <w:b/>
          <w:caps/>
          <w:color w:val="40ADB2"/>
          <w:sz w:val="48"/>
          <w:szCs w:val="48"/>
          <w:lang w:val="en-AU"/>
        </w:rPr>
        <w:t>Austr</w:t>
      </w:r>
      <w:r>
        <w:rPr>
          <w:rFonts w:asciiTheme="minorHAnsi" w:hAnsiTheme="minorHAnsi" w:cstheme="minorHAnsi"/>
          <w:b/>
          <w:caps/>
          <w:color w:val="40ADB2"/>
          <w:sz w:val="48"/>
          <w:szCs w:val="48"/>
          <w:lang w:val="en-AU"/>
        </w:rPr>
        <w:t>A</w:t>
      </w:r>
      <w:r w:rsidRPr="00436768">
        <w:rPr>
          <w:rFonts w:asciiTheme="minorHAnsi" w:hAnsiTheme="minorHAnsi" w:cstheme="minorHAnsi"/>
          <w:b/>
          <w:caps/>
          <w:color w:val="40ADB2"/>
          <w:sz w:val="48"/>
          <w:szCs w:val="48"/>
          <w:lang w:val="en-AU"/>
        </w:rPr>
        <w:t>lian Business investment in innovation:</w:t>
      </w:r>
      <w:r>
        <w:rPr>
          <w:rFonts w:asciiTheme="minorHAnsi" w:hAnsiTheme="minorHAnsi" w:cstheme="minorHAnsi"/>
          <w:b/>
          <w:caps/>
          <w:color w:val="40ADB2"/>
          <w:sz w:val="48"/>
          <w:szCs w:val="48"/>
          <w:lang w:val="en-AU"/>
        </w:rPr>
        <w:t xml:space="preserve"> </w:t>
      </w:r>
      <w:r w:rsidRPr="00502383">
        <w:rPr>
          <w:rFonts w:asciiTheme="majorHAnsi" w:hAnsiTheme="majorHAnsi" w:cstheme="majorHAnsi"/>
          <w:b/>
          <w:color w:val="40ADB2"/>
          <w:sz w:val="48"/>
          <w:szCs w:val="48"/>
          <w:lang w:val="en-AU"/>
        </w:rPr>
        <w:t>levels,</w:t>
      </w:r>
      <w:r w:rsidRPr="00502383">
        <w:rPr>
          <w:rFonts w:asciiTheme="minorHAnsi" w:hAnsiTheme="minorHAnsi" w:cstheme="minorHAnsi"/>
          <w:b/>
          <w:caps/>
          <w:color w:val="40ADB2"/>
          <w:sz w:val="36"/>
          <w:szCs w:val="36"/>
          <w:lang w:val="en-AU"/>
        </w:rPr>
        <w:t xml:space="preserve"> </w:t>
      </w:r>
      <w:r w:rsidRPr="00502383">
        <w:rPr>
          <w:rFonts w:asciiTheme="majorHAnsi" w:hAnsiTheme="majorHAnsi" w:cstheme="majorHAnsi"/>
          <w:b/>
          <w:color w:val="40ADB2"/>
          <w:sz w:val="48"/>
          <w:szCs w:val="48"/>
          <w:lang w:val="en-AU"/>
        </w:rPr>
        <w:t>trends, and drivers</w:t>
      </w:r>
    </w:p>
    <w:p w14:paraId="68C59F74" w14:textId="77777777" w:rsidR="00912FF1" w:rsidRPr="00AB1848" w:rsidRDefault="00912FF1" w:rsidP="00912FF1">
      <w:pPr>
        <w:pStyle w:val="NormalWeb"/>
        <w:spacing w:before="480" w:after="480"/>
        <w:jc w:val="left"/>
        <w:textAlignment w:val="baseline"/>
        <w:rPr>
          <w:rFonts w:asciiTheme="majorHAnsi" w:hAnsiTheme="majorHAnsi" w:cstheme="majorHAnsi"/>
          <w:b/>
          <w:color w:val="40ADB2"/>
          <w:sz w:val="48"/>
          <w:szCs w:val="48"/>
          <w:lang w:val="en-AU"/>
        </w:rPr>
      </w:pPr>
      <w:r w:rsidRPr="007C691E">
        <w:rPr>
          <w:noProof/>
          <w:lang w:val="en-AU" w:eastAsia="en-AU"/>
        </w:rPr>
        <w:drawing>
          <wp:inline distT="0" distB="0" distL="0" distR="0" wp14:anchorId="74E72634" wp14:editId="62B19592">
            <wp:extent cx="5729605" cy="4984115"/>
            <wp:effectExtent l="0" t="0" r="4445" b="6985"/>
            <wp:docPr id="29" name="Picture 29" descr="Stock images for the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4984115"/>
                    </a:xfrm>
                    <a:prstGeom prst="rect">
                      <a:avLst/>
                    </a:prstGeom>
                    <a:noFill/>
                    <a:ln>
                      <a:noFill/>
                    </a:ln>
                  </pic:spPr>
                </pic:pic>
              </a:graphicData>
            </a:graphic>
          </wp:inline>
        </w:drawing>
      </w:r>
    </w:p>
    <w:p w14:paraId="00831B28" w14:textId="77777777" w:rsidR="00912FF1" w:rsidRDefault="00912FF1" w:rsidP="00912FF1">
      <w:pPr>
        <w:pStyle w:val="NormalWeb"/>
        <w:spacing w:before="0" w:after="0" w:line="360" w:lineRule="auto"/>
        <w:jc w:val="left"/>
        <w:textAlignment w:val="baseline"/>
        <w:rPr>
          <w:rFonts w:cstheme="minorBidi"/>
          <w:color w:val="595959" w:themeColor="text1" w:themeTint="A6"/>
          <w:kern w:val="24"/>
          <w:sz w:val="32"/>
          <w:szCs w:val="32"/>
        </w:rPr>
      </w:pPr>
      <w:r>
        <w:rPr>
          <w:rFonts w:cstheme="minorBidi"/>
          <w:color w:val="595959" w:themeColor="text1" w:themeTint="A6"/>
          <w:kern w:val="24"/>
          <w:sz w:val="32"/>
          <w:szCs w:val="32"/>
        </w:rPr>
        <w:t>P</w:t>
      </w:r>
      <w:r w:rsidRPr="002521CD">
        <w:rPr>
          <w:rFonts w:cstheme="minorBidi"/>
          <w:color w:val="595959" w:themeColor="text1" w:themeTint="A6"/>
          <w:kern w:val="24"/>
          <w:sz w:val="32"/>
          <w:szCs w:val="32"/>
        </w:rPr>
        <w:t xml:space="preserve">repared for </w:t>
      </w:r>
      <w:r>
        <w:rPr>
          <w:rFonts w:cstheme="minorBidi"/>
          <w:color w:val="595959" w:themeColor="text1" w:themeTint="A6"/>
          <w:kern w:val="24"/>
          <w:sz w:val="32"/>
          <w:szCs w:val="32"/>
        </w:rPr>
        <w:t>the Office of Innovation &amp; Science Australia</w:t>
      </w:r>
    </w:p>
    <w:p w14:paraId="40B5843B" w14:textId="77777777" w:rsidR="00912FF1" w:rsidRPr="00AB1848" w:rsidRDefault="00912FF1" w:rsidP="00912FF1">
      <w:pPr>
        <w:pStyle w:val="NormalWeb"/>
        <w:spacing w:before="0" w:after="0" w:line="360" w:lineRule="auto"/>
        <w:jc w:val="left"/>
        <w:textAlignment w:val="baseline"/>
        <w:rPr>
          <w:rFonts w:cstheme="minorBidi"/>
          <w:kern w:val="24"/>
          <w:sz w:val="32"/>
          <w:szCs w:val="32"/>
        </w:rPr>
      </w:pPr>
    </w:p>
    <w:p w14:paraId="45CC8349" w14:textId="7F762D9D" w:rsidR="00F73B5A" w:rsidRDefault="00912FF1" w:rsidP="00912FF1">
      <w:pPr>
        <w:spacing w:before="0" w:after="160"/>
        <w:jc w:val="left"/>
      </w:pPr>
      <w:r>
        <w:rPr>
          <w:noProof/>
          <w:lang w:eastAsia="en-AU"/>
        </w:rPr>
        <w:drawing>
          <wp:anchor distT="0" distB="0" distL="114300" distR="114300" simplePos="0" relativeHeight="251658240" behindDoc="0" locked="0" layoutInCell="1" allowOverlap="1" wp14:anchorId="51C3E578" wp14:editId="634707DB">
            <wp:simplePos x="0" y="0"/>
            <wp:positionH relativeFrom="margin">
              <wp:posOffset>3885864</wp:posOffset>
            </wp:positionH>
            <wp:positionV relativeFrom="paragraph">
              <wp:posOffset>677545</wp:posOffset>
            </wp:positionV>
            <wp:extent cx="1936431" cy="653970"/>
            <wp:effectExtent l="0" t="0" r="6985" b="0"/>
            <wp:wrapNone/>
            <wp:docPr id="5" name="Picture 5" descr="Strategy x economics. AlphaBeta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Strategy x econom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431" cy="653970"/>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color w:val="595959" w:themeColor="text1" w:themeTint="A6"/>
          <w:kern w:val="24"/>
          <w:sz w:val="32"/>
          <w:szCs w:val="32"/>
        </w:rPr>
        <w:t xml:space="preserve">JANUARY </w:t>
      </w:r>
      <w:r w:rsidRPr="007071B6">
        <w:rPr>
          <w:rFonts w:cstheme="minorBidi"/>
          <w:color w:val="595959" w:themeColor="text1" w:themeTint="A6"/>
          <w:kern w:val="24"/>
          <w:sz w:val="32"/>
          <w:szCs w:val="32"/>
        </w:rPr>
        <w:t>20</w:t>
      </w:r>
      <w:r w:rsidR="00AE5C5E">
        <w:rPr>
          <w:rFonts w:cstheme="minorBidi"/>
          <w:color w:val="595959" w:themeColor="text1" w:themeTint="A6"/>
          <w:kern w:val="24"/>
          <w:sz w:val="32"/>
          <w:szCs w:val="32"/>
        </w:rPr>
        <w:t>20</w:t>
      </w:r>
      <w:r w:rsidR="0031087F">
        <w:br w:type="page"/>
      </w:r>
    </w:p>
    <w:p w14:paraId="13003885" w14:textId="77777777" w:rsidR="00F332C4" w:rsidRDefault="00F332C4" w:rsidP="00F332C4">
      <w:pPr>
        <w:jc w:val="left"/>
      </w:pPr>
    </w:p>
    <w:p w14:paraId="0A46C3E7" w14:textId="4E5E1449" w:rsidR="00F332C4" w:rsidRDefault="00F332C4" w:rsidP="005036BA">
      <w:pPr>
        <w:jc w:val="left"/>
        <w:sectPr w:rsidR="00F332C4" w:rsidSect="004D2CB8">
          <w:footerReference w:type="default" r:id="rId14"/>
          <w:endnotePr>
            <w:numFmt w:val="decimal"/>
          </w:endnotePr>
          <w:pgSz w:w="11907" w:h="16839" w:code="9"/>
          <w:pgMar w:top="1418" w:right="1440" w:bottom="1134" w:left="1440" w:header="1179" w:footer="567" w:gutter="0"/>
          <w:cols w:space="720"/>
          <w:docGrid w:linePitch="360"/>
        </w:sectPr>
      </w:pPr>
      <w:r w:rsidRPr="00D508AF">
        <w:t xml:space="preserve">This paper was commissioned by the </w:t>
      </w:r>
      <w:r w:rsidRPr="00374A10">
        <w:rPr>
          <w:b/>
          <w:bCs/>
        </w:rPr>
        <w:t>Office of Innovation &amp; Science Australia</w:t>
      </w:r>
      <w:r w:rsidRPr="00C77ACD">
        <w:t xml:space="preserve"> and prepared by AlphaBeta</w:t>
      </w:r>
      <w:r>
        <w:t xml:space="preserve"> Advisors. </w:t>
      </w:r>
      <w:r w:rsidRPr="00C77ACD">
        <w:t>All information in this report is derived from AlphaBeta</w:t>
      </w:r>
      <w:r>
        <w:t xml:space="preserve"> Advisors</w:t>
      </w:r>
      <w:r w:rsidRPr="00C77ACD">
        <w:t xml:space="preserve"> analysis using both proprietary research and publicly available data. Where information has been obtained from third-party sources, this is clea</w:t>
      </w:r>
      <w:r w:rsidR="005036BA">
        <w:t>rly referenced in the footnotes</w:t>
      </w:r>
      <w:r w:rsidR="003620ED">
        <w:t>.</w:t>
      </w:r>
    </w:p>
    <w:p w14:paraId="6AF0AFEA" w14:textId="77777777" w:rsidR="00F30609" w:rsidRDefault="00DB7435" w:rsidP="00253E15">
      <w:pPr>
        <w:pStyle w:val="Heading1"/>
        <w:numPr>
          <w:ilvl w:val="0"/>
          <w:numId w:val="0"/>
        </w:numPr>
      </w:pPr>
      <w:bookmarkStart w:id="2" w:name="_Toc26865096"/>
      <w:bookmarkStart w:id="3" w:name="_Toc30148064"/>
      <w:r>
        <w:lastRenderedPageBreak/>
        <w:t>Key Findings</w:t>
      </w:r>
      <w:bookmarkStart w:id="4" w:name="_Toc13478278"/>
      <w:bookmarkEnd w:id="2"/>
      <w:bookmarkEnd w:id="3"/>
    </w:p>
    <w:p w14:paraId="0B141D96" w14:textId="152CA99A" w:rsidR="00175DD5" w:rsidRDefault="004E1017" w:rsidP="00F30609">
      <w:r>
        <w:rPr>
          <w:noProof/>
          <w:lang w:eastAsia="en-AU"/>
        </w:rPr>
        <w:drawing>
          <wp:inline distT="0" distB="0" distL="0" distR="0" wp14:anchorId="29297BB0" wp14:editId="0A84F826">
            <wp:extent cx="5720400" cy="8208000"/>
            <wp:effectExtent l="0" t="0" r="0" b="3175"/>
            <wp:docPr id="16" name="Picture 16" descr="A 1 page infographic summary of the key findings of the report. No extra information is included here that cannot be foun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10-AlphaBeta-BIRDI infographic.jpg"/>
                    <pic:cNvPicPr/>
                  </pic:nvPicPr>
                  <pic:blipFill rotWithShape="1">
                    <a:blip r:embed="rId15" cstate="print">
                      <a:extLst>
                        <a:ext uri="{28A0092B-C50C-407E-A947-70E740481C1C}">
                          <a14:useLocalDpi xmlns:a14="http://schemas.microsoft.com/office/drawing/2010/main" val="0"/>
                        </a:ext>
                      </a:extLst>
                    </a:blip>
                    <a:srcRect l="1687" t="1598" r="1958" b="1868"/>
                    <a:stretch/>
                  </pic:blipFill>
                  <pic:spPr bwMode="auto">
                    <a:xfrm>
                      <a:off x="0" y="0"/>
                      <a:ext cx="5720400" cy="820800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heme="minorHAnsi"/>
          <w:bCs w:val="0"/>
          <w:color w:val="auto"/>
          <w:sz w:val="22"/>
          <w:szCs w:val="22"/>
          <w:lang w:val="en-AU" w:eastAsia="en-US"/>
        </w:rPr>
        <w:id w:val="-1857643798"/>
        <w:docPartObj>
          <w:docPartGallery w:val="Table of Contents"/>
          <w:docPartUnique/>
        </w:docPartObj>
      </w:sdtPr>
      <w:sdtEndPr>
        <w:rPr>
          <w:noProof/>
        </w:rPr>
      </w:sdtEndPr>
      <w:sdtContent>
        <w:p w14:paraId="5C532921" w14:textId="7D5DD0BE" w:rsidR="00F30609" w:rsidRPr="00F30609" w:rsidRDefault="00F30609" w:rsidP="00374A10">
          <w:pPr>
            <w:pStyle w:val="TOCHeading"/>
            <w:rPr>
              <w:b/>
              <w:color w:val="4CB8C1" w:themeColor="accent5"/>
              <w:sz w:val="44"/>
              <w:szCs w:val="44"/>
            </w:rPr>
          </w:pPr>
          <w:r w:rsidRPr="0057257C">
            <w:rPr>
              <w:rStyle w:val="Heading1Char"/>
              <w:caps w:val="0"/>
            </w:rPr>
            <w:t>C</w:t>
          </w:r>
          <w:r>
            <w:rPr>
              <w:rStyle w:val="Heading1Char"/>
              <w:caps w:val="0"/>
            </w:rPr>
            <w:t>ONTENTS</w:t>
          </w:r>
        </w:p>
        <w:p w14:paraId="4EE306DE" w14:textId="77777777" w:rsidR="00DC131A" w:rsidRDefault="00F30609">
          <w:pPr>
            <w:pStyle w:val="TOC1"/>
            <w:rPr>
              <w:rFonts w:eastAsiaTheme="minorEastAsia" w:cstheme="minorBidi"/>
              <w:b w:val="0"/>
              <w:color w:val="auto"/>
              <w:lang w:eastAsia="en-AU"/>
            </w:rPr>
          </w:pPr>
          <w:r w:rsidRPr="00620057">
            <w:fldChar w:fldCharType="begin"/>
          </w:r>
          <w:r w:rsidRPr="00620057">
            <w:instrText xml:space="preserve"> TOC \o "1-3" \h \z \u </w:instrText>
          </w:r>
          <w:r w:rsidRPr="00620057">
            <w:fldChar w:fldCharType="separate"/>
          </w:r>
          <w:hyperlink w:anchor="_Toc30148064" w:history="1">
            <w:r w:rsidR="00DC131A" w:rsidRPr="007F662B">
              <w:rPr>
                <w:rStyle w:val="Hyperlink"/>
              </w:rPr>
              <w:t>Key Findings</w:t>
            </w:r>
            <w:r w:rsidR="00DC131A">
              <w:rPr>
                <w:webHidden/>
              </w:rPr>
              <w:tab/>
            </w:r>
            <w:r w:rsidR="00DC131A">
              <w:rPr>
                <w:webHidden/>
              </w:rPr>
              <w:fldChar w:fldCharType="begin"/>
            </w:r>
            <w:r w:rsidR="00DC131A">
              <w:rPr>
                <w:webHidden/>
              </w:rPr>
              <w:instrText xml:space="preserve"> PAGEREF _Toc30148064 \h </w:instrText>
            </w:r>
            <w:r w:rsidR="00DC131A">
              <w:rPr>
                <w:webHidden/>
              </w:rPr>
            </w:r>
            <w:r w:rsidR="00DC131A">
              <w:rPr>
                <w:webHidden/>
              </w:rPr>
              <w:fldChar w:fldCharType="separate"/>
            </w:r>
            <w:r w:rsidR="005407CC">
              <w:rPr>
                <w:webHidden/>
              </w:rPr>
              <w:t>1</w:t>
            </w:r>
            <w:r w:rsidR="00DC131A">
              <w:rPr>
                <w:webHidden/>
              </w:rPr>
              <w:fldChar w:fldCharType="end"/>
            </w:r>
          </w:hyperlink>
        </w:p>
        <w:p w14:paraId="768B60B7" w14:textId="77777777" w:rsidR="00DC131A" w:rsidRDefault="00F829DB">
          <w:pPr>
            <w:pStyle w:val="TOC1"/>
            <w:rPr>
              <w:rFonts w:eastAsiaTheme="minorEastAsia" w:cstheme="minorBidi"/>
              <w:b w:val="0"/>
              <w:color w:val="auto"/>
              <w:lang w:eastAsia="en-AU"/>
            </w:rPr>
          </w:pPr>
          <w:hyperlink w:anchor="_Toc30148065" w:history="1">
            <w:r w:rsidR="00DC131A" w:rsidRPr="007F662B">
              <w:rPr>
                <w:rStyle w:val="Hyperlink"/>
              </w:rPr>
              <w:t>Executive Summary</w:t>
            </w:r>
            <w:r w:rsidR="00DC131A">
              <w:rPr>
                <w:webHidden/>
              </w:rPr>
              <w:tab/>
            </w:r>
            <w:r w:rsidR="00DC131A">
              <w:rPr>
                <w:webHidden/>
              </w:rPr>
              <w:fldChar w:fldCharType="begin"/>
            </w:r>
            <w:r w:rsidR="00DC131A">
              <w:rPr>
                <w:webHidden/>
              </w:rPr>
              <w:instrText xml:space="preserve"> PAGEREF _Toc30148065 \h </w:instrText>
            </w:r>
            <w:r w:rsidR="00DC131A">
              <w:rPr>
                <w:webHidden/>
              </w:rPr>
            </w:r>
            <w:r w:rsidR="00DC131A">
              <w:rPr>
                <w:webHidden/>
              </w:rPr>
              <w:fldChar w:fldCharType="separate"/>
            </w:r>
            <w:r w:rsidR="005407CC">
              <w:rPr>
                <w:webHidden/>
              </w:rPr>
              <w:t>3</w:t>
            </w:r>
            <w:r w:rsidR="00DC131A">
              <w:rPr>
                <w:webHidden/>
              </w:rPr>
              <w:fldChar w:fldCharType="end"/>
            </w:r>
          </w:hyperlink>
        </w:p>
        <w:p w14:paraId="5C0A462A" w14:textId="77777777" w:rsidR="00DC131A" w:rsidRDefault="00F829DB">
          <w:pPr>
            <w:pStyle w:val="TOC1"/>
            <w:rPr>
              <w:rFonts w:eastAsiaTheme="minorEastAsia" w:cstheme="minorBidi"/>
              <w:b w:val="0"/>
              <w:color w:val="auto"/>
              <w:lang w:eastAsia="en-AU"/>
            </w:rPr>
          </w:pPr>
          <w:hyperlink w:anchor="_Toc30148066" w:history="1">
            <w:r w:rsidR="00DC131A" w:rsidRPr="007F662B">
              <w:rPr>
                <w:rStyle w:val="Hyperlink"/>
              </w:rPr>
              <w:t>1.</w:t>
            </w:r>
            <w:r w:rsidR="00DC131A">
              <w:rPr>
                <w:rFonts w:eastAsiaTheme="minorEastAsia" w:cstheme="minorBidi"/>
                <w:b w:val="0"/>
                <w:color w:val="auto"/>
                <w:lang w:eastAsia="en-AU"/>
              </w:rPr>
              <w:tab/>
            </w:r>
            <w:r w:rsidR="00DC131A" w:rsidRPr="007F662B">
              <w:rPr>
                <w:rStyle w:val="Hyperlink"/>
              </w:rPr>
              <w:t>Australian businesses invest equally in R&amp;D and other forms of innovation</w:t>
            </w:r>
            <w:r w:rsidR="00DC131A">
              <w:rPr>
                <w:webHidden/>
              </w:rPr>
              <w:tab/>
            </w:r>
            <w:r w:rsidR="00DC131A">
              <w:rPr>
                <w:webHidden/>
              </w:rPr>
              <w:fldChar w:fldCharType="begin"/>
            </w:r>
            <w:r w:rsidR="00DC131A">
              <w:rPr>
                <w:webHidden/>
              </w:rPr>
              <w:instrText xml:space="preserve"> PAGEREF _Toc30148066 \h </w:instrText>
            </w:r>
            <w:r w:rsidR="00DC131A">
              <w:rPr>
                <w:webHidden/>
              </w:rPr>
            </w:r>
            <w:r w:rsidR="00DC131A">
              <w:rPr>
                <w:webHidden/>
              </w:rPr>
              <w:fldChar w:fldCharType="separate"/>
            </w:r>
            <w:r w:rsidR="005407CC">
              <w:rPr>
                <w:webHidden/>
              </w:rPr>
              <w:t>5</w:t>
            </w:r>
            <w:r w:rsidR="00DC131A">
              <w:rPr>
                <w:webHidden/>
              </w:rPr>
              <w:fldChar w:fldCharType="end"/>
            </w:r>
          </w:hyperlink>
        </w:p>
        <w:p w14:paraId="11329280" w14:textId="77777777" w:rsidR="00DC131A" w:rsidRDefault="00F829DB">
          <w:pPr>
            <w:pStyle w:val="TOC2"/>
            <w:rPr>
              <w:rFonts w:eastAsiaTheme="minorEastAsia" w:cstheme="minorBidi"/>
              <w:noProof/>
              <w:lang w:eastAsia="en-AU"/>
            </w:rPr>
          </w:pPr>
          <w:hyperlink w:anchor="_Toc30148067" w:history="1">
            <w:r w:rsidR="00DC131A" w:rsidRPr="007F662B">
              <w:rPr>
                <w:rStyle w:val="Hyperlink"/>
                <w:noProof/>
              </w:rPr>
              <w:t>1.1.</w:t>
            </w:r>
            <w:r w:rsidR="00DC131A">
              <w:rPr>
                <w:rFonts w:eastAsiaTheme="minorEastAsia" w:cstheme="minorBidi"/>
                <w:noProof/>
                <w:lang w:eastAsia="en-AU"/>
              </w:rPr>
              <w:tab/>
            </w:r>
            <w:r w:rsidR="00DC131A" w:rsidRPr="007F662B">
              <w:rPr>
                <w:rStyle w:val="Hyperlink"/>
                <w:noProof/>
              </w:rPr>
              <w:t>Innovation includes both R&amp;D and other activities</w:t>
            </w:r>
            <w:r w:rsidR="00DC131A">
              <w:rPr>
                <w:noProof/>
                <w:webHidden/>
              </w:rPr>
              <w:tab/>
            </w:r>
            <w:r w:rsidR="00DC131A">
              <w:rPr>
                <w:noProof/>
                <w:webHidden/>
              </w:rPr>
              <w:fldChar w:fldCharType="begin"/>
            </w:r>
            <w:r w:rsidR="00DC131A">
              <w:rPr>
                <w:noProof/>
                <w:webHidden/>
              </w:rPr>
              <w:instrText xml:space="preserve"> PAGEREF _Toc30148067 \h </w:instrText>
            </w:r>
            <w:r w:rsidR="00DC131A">
              <w:rPr>
                <w:noProof/>
                <w:webHidden/>
              </w:rPr>
            </w:r>
            <w:r w:rsidR="00DC131A">
              <w:rPr>
                <w:noProof/>
                <w:webHidden/>
              </w:rPr>
              <w:fldChar w:fldCharType="separate"/>
            </w:r>
            <w:r w:rsidR="005407CC">
              <w:rPr>
                <w:noProof/>
                <w:webHidden/>
              </w:rPr>
              <w:t>5</w:t>
            </w:r>
            <w:r w:rsidR="00DC131A">
              <w:rPr>
                <w:noProof/>
                <w:webHidden/>
              </w:rPr>
              <w:fldChar w:fldCharType="end"/>
            </w:r>
          </w:hyperlink>
        </w:p>
        <w:p w14:paraId="5C2AF8C9" w14:textId="77777777" w:rsidR="00DC131A" w:rsidRDefault="00F829DB">
          <w:pPr>
            <w:pStyle w:val="TOC2"/>
            <w:rPr>
              <w:rFonts w:eastAsiaTheme="minorEastAsia" w:cstheme="minorBidi"/>
              <w:noProof/>
              <w:lang w:eastAsia="en-AU"/>
            </w:rPr>
          </w:pPr>
          <w:hyperlink w:anchor="_Toc30148068" w:history="1">
            <w:r w:rsidR="00DC131A" w:rsidRPr="007F662B">
              <w:rPr>
                <w:rStyle w:val="Hyperlink"/>
                <w:noProof/>
              </w:rPr>
              <w:t>1.2.</w:t>
            </w:r>
            <w:r w:rsidR="00DC131A">
              <w:rPr>
                <w:rFonts w:eastAsiaTheme="minorEastAsia" w:cstheme="minorBidi"/>
                <w:noProof/>
                <w:lang w:eastAsia="en-AU"/>
              </w:rPr>
              <w:tab/>
            </w:r>
            <w:r w:rsidR="00DC131A" w:rsidRPr="007F662B">
              <w:rPr>
                <w:rStyle w:val="Hyperlink"/>
                <w:noProof/>
              </w:rPr>
              <w:t>R&amp;D accounts for half of Australian businesses’ innovation expenditure</w:t>
            </w:r>
            <w:r w:rsidR="00DC131A">
              <w:rPr>
                <w:noProof/>
                <w:webHidden/>
              </w:rPr>
              <w:tab/>
            </w:r>
            <w:r w:rsidR="00DC131A">
              <w:rPr>
                <w:noProof/>
                <w:webHidden/>
              </w:rPr>
              <w:fldChar w:fldCharType="begin"/>
            </w:r>
            <w:r w:rsidR="00DC131A">
              <w:rPr>
                <w:noProof/>
                <w:webHidden/>
              </w:rPr>
              <w:instrText xml:space="preserve"> PAGEREF _Toc30148068 \h </w:instrText>
            </w:r>
            <w:r w:rsidR="00DC131A">
              <w:rPr>
                <w:noProof/>
                <w:webHidden/>
              </w:rPr>
            </w:r>
            <w:r w:rsidR="00DC131A">
              <w:rPr>
                <w:noProof/>
                <w:webHidden/>
              </w:rPr>
              <w:fldChar w:fldCharType="separate"/>
            </w:r>
            <w:r w:rsidR="005407CC">
              <w:rPr>
                <w:noProof/>
                <w:webHidden/>
              </w:rPr>
              <w:t>8</w:t>
            </w:r>
            <w:r w:rsidR="00DC131A">
              <w:rPr>
                <w:noProof/>
                <w:webHidden/>
              </w:rPr>
              <w:fldChar w:fldCharType="end"/>
            </w:r>
          </w:hyperlink>
        </w:p>
        <w:p w14:paraId="77973160" w14:textId="77777777" w:rsidR="00DC131A" w:rsidRDefault="00F829DB">
          <w:pPr>
            <w:pStyle w:val="TOC2"/>
            <w:rPr>
              <w:rFonts w:eastAsiaTheme="minorEastAsia" w:cstheme="minorBidi"/>
              <w:noProof/>
              <w:lang w:eastAsia="en-AU"/>
            </w:rPr>
          </w:pPr>
          <w:hyperlink w:anchor="_Toc30148069" w:history="1">
            <w:r w:rsidR="00DC131A" w:rsidRPr="007F662B">
              <w:rPr>
                <w:rStyle w:val="Hyperlink"/>
                <w:noProof/>
              </w:rPr>
              <w:t>1.3.</w:t>
            </w:r>
            <w:r w:rsidR="00DC131A">
              <w:rPr>
                <w:rFonts w:eastAsiaTheme="minorEastAsia" w:cstheme="minorBidi"/>
                <w:noProof/>
                <w:lang w:eastAsia="en-AU"/>
              </w:rPr>
              <w:tab/>
            </w:r>
            <w:r w:rsidR="00DC131A" w:rsidRPr="007F662B">
              <w:rPr>
                <w:rStyle w:val="Hyperlink"/>
                <w:noProof/>
              </w:rPr>
              <w:t>Many more Australian firms invest in innovation than in R&amp;D alone</w:t>
            </w:r>
            <w:r w:rsidR="00DC131A">
              <w:rPr>
                <w:noProof/>
                <w:webHidden/>
              </w:rPr>
              <w:tab/>
            </w:r>
            <w:r w:rsidR="00DC131A">
              <w:rPr>
                <w:noProof/>
                <w:webHidden/>
              </w:rPr>
              <w:fldChar w:fldCharType="begin"/>
            </w:r>
            <w:r w:rsidR="00DC131A">
              <w:rPr>
                <w:noProof/>
                <w:webHidden/>
              </w:rPr>
              <w:instrText xml:space="preserve"> PAGEREF _Toc30148069 \h </w:instrText>
            </w:r>
            <w:r w:rsidR="00DC131A">
              <w:rPr>
                <w:noProof/>
                <w:webHidden/>
              </w:rPr>
            </w:r>
            <w:r w:rsidR="00DC131A">
              <w:rPr>
                <w:noProof/>
                <w:webHidden/>
              </w:rPr>
              <w:fldChar w:fldCharType="separate"/>
            </w:r>
            <w:r w:rsidR="005407CC">
              <w:rPr>
                <w:noProof/>
                <w:webHidden/>
              </w:rPr>
              <w:t>9</w:t>
            </w:r>
            <w:r w:rsidR="00DC131A">
              <w:rPr>
                <w:noProof/>
                <w:webHidden/>
              </w:rPr>
              <w:fldChar w:fldCharType="end"/>
            </w:r>
          </w:hyperlink>
        </w:p>
        <w:p w14:paraId="7E4E2176" w14:textId="77777777" w:rsidR="00DC131A" w:rsidRDefault="00F829DB">
          <w:pPr>
            <w:pStyle w:val="TOC1"/>
            <w:rPr>
              <w:rFonts w:eastAsiaTheme="minorEastAsia" w:cstheme="minorBidi"/>
              <w:b w:val="0"/>
              <w:color w:val="auto"/>
              <w:lang w:eastAsia="en-AU"/>
            </w:rPr>
          </w:pPr>
          <w:hyperlink w:anchor="_Toc30148070" w:history="1">
            <w:r w:rsidR="00DC131A" w:rsidRPr="007F662B">
              <w:rPr>
                <w:rStyle w:val="Hyperlink"/>
              </w:rPr>
              <w:t>2.</w:t>
            </w:r>
            <w:r w:rsidR="00DC131A">
              <w:rPr>
                <w:rFonts w:eastAsiaTheme="minorEastAsia" w:cstheme="minorBidi"/>
                <w:b w:val="0"/>
                <w:color w:val="auto"/>
                <w:lang w:eastAsia="en-AU"/>
              </w:rPr>
              <w:tab/>
            </w:r>
            <w:r w:rsidR="00DC131A" w:rsidRPr="007F662B">
              <w:rPr>
                <w:rStyle w:val="Hyperlink"/>
              </w:rPr>
              <w:t>Recent business R&amp;D declines are mostly due to the mining cycle and changing sector mix</w:t>
            </w:r>
            <w:r w:rsidR="00DC131A">
              <w:rPr>
                <w:webHidden/>
              </w:rPr>
              <w:tab/>
            </w:r>
            <w:r w:rsidR="00DC131A">
              <w:rPr>
                <w:webHidden/>
              </w:rPr>
              <w:fldChar w:fldCharType="begin"/>
            </w:r>
            <w:r w:rsidR="00DC131A">
              <w:rPr>
                <w:webHidden/>
              </w:rPr>
              <w:instrText xml:space="preserve"> PAGEREF _Toc30148070 \h </w:instrText>
            </w:r>
            <w:r w:rsidR="00DC131A">
              <w:rPr>
                <w:webHidden/>
              </w:rPr>
            </w:r>
            <w:r w:rsidR="00DC131A">
              <w:rPr>
                <w:webHidden/>
              </w:rPr>
              <w:fldChar w:fldCharType="separate"/>
            </w:r>
            <w:r w:rsidR="005407CC">
              <w:rPr>
                <w:webHidden/>
              </w:rPr>
              <w:t>10</w:t>
            </w:r>
            <w:r w:rsidR="00DC131A">
              <w:rPr>
                <w:webHidden/>
              </w:rPr>
              <w:fldChar w:fldCharType="end"/>
            </w:r>
          </w:hyperlink>
        </w:p>
        <w:p w14:paraId="1666BA29" w14:textId="77777777" w:rsidR="00DC131A" w:rsidRDefault="00F829DB">
          <w:pPr>
            <w:pStyle w:val="TOC2"/>
            <w:rPr>
              <w:rFonts w:eastAsiaTheme="minorEastAsia" w:cstheme="minorBidi"/>
              <w:noProof/>
              <w:lang w:eastAsia="en-AU"/>
            </w:rPr>
          </w:pPr>
          <w:hyperlink w:anchor="_Toc30148071" w:history="1">
            <w:r w:rsidR="00DC131A" w:rsidRPr="007F662B">
              <w:rPr>
                <w:rStyle w:val="Hyperlink"/>
                <w:noProof/>
              </w:rPr>
              <w:t>2.1.</w:t>
            </w:r>
            <w:r w:rsidR="00DC131A">
              <w:rPr>
                <w:rFonts w:eastAsiaTheme="minorEastAsia" w:cstheme="minorBidi"/>
                <w:noProof/>
                <w:lang w:eastAsia="en-AU"/>
              </w:rPr>
              <w:tab/>
            </w:r>
            <w:r w:rsidR="00DC131A" w:rsidRPr="007F662B">
              <w:rPr>
                <w:rStyle w:val="Hyperlink"/>
                <w:noProof/>
              </w:rPr>
              <w:t>Australia’s business R&amp;D has declined 30 per cent as a share of GDP since its peak</w:t>
            </w:r>
            <w:r w:rsidR="00DC131A">
              <w:rPr>
                <w:noProof/>
                <w:webHidden/>
              </w:rPr>
              <w:tab/>
            </w:r>
            <w:r w:rsidR="00DC131A">
              <w:rPr>
                <w:noProof/>
                <w:webHidden/>
              </w:rPr>
              <w:fldChar w:fldCharType="begin"/>
            </w:r>
            <w:r w:rsidR="00DC131A">
              <w:rPr>
                <w:noProof/>
                <w:webHidden/>
              </w:rPr>
              <w:instrText xml:space="preserve"> PAGEREF _Toc30148071 \h </w:instrText>
            </w:r>
            <w:r w:rsidR="00DC131A">
              <w:rPr>
                <w:noProof/>
                <w:webHidden/>
              </w:rPr>
            </w:r>
            <w:r w:rsidR="00DC131A">
              <w:rPr>
                <w:noProof/>
                <w:webHidden/>
              </w:rPr>
              <w:fldChar w:fldCharType="separate"/>
            </w:r>
            <w:r w:rsidR="005407CC">
              <w:rPr>
                <w:noProof/>
                <w:webHidden/>
              </w:rPr>
              <w:t>10</w:t>
            </w:r>
            <w:r w:rsidR="00DC131A">
              <w:rPr>
                <w:noProof/>
                <w:webHidden/>
              </w:rPr>
              <w:fldChar w:fldCharType="end"/>
            </w:r>
          </w:hyperlink>
        </w:p>
        <w:p w14:paraId="7E0067F8" w14:textId="77777777" w:rsidR="00DC131A" w:rsidRDefault="00F829DB">
          <w:pPr>
            <w:pStyle w:val="TOC2"/>
            <w:rPr>
              <w:rFonts w:eastAsiaTheme="minorEastAsia" w:cstheme="minorBidi"/>
              <w:noProof/>
              <w:lang w:eastAsia="en-AU"/>
            </w:rPr>
          </w:pPr>
          <w:hyperlink w:anchor="_Toc30148072" w:history="1">
            <w:r w:rsidR="00DC131A" w:rsidRPr="007F662B">
              <w:rPr>
                <w:rStyle w:val="Hyperlink"/>
                <w:noProof/>
              </w:rPr>
              <w:t>2.2.</w:t>
            </w:r>
            <w:r w:rsidR="00DC131A">
              <w:rPr>
                <w:rFonts w:eastAsiaTheme="minorEastAsia" w:cstheme="minorBidi"/>
                <w:noProof/>
                <w:lang w:eastAsia="en-AU"/>
              </w:rPr>
              <w:tab/>
            </w:r>
            <w:r w:rsidR="00DC131A" w:rsidRPr="007F662B">
              <w:rPr>
                <w:rStyle w:val="Hyperlink"/>
                <w:noProof/>
              </w:rPr>
              <w:t>The mining cycle explains 70 per cent of the decline in Australian BERD</w:t>
            </w:r>
            <w:r w:rsidR="00DC131A">
              <w:rPr>
                <w:noProof/>
                <w:webHidden/>
              </w:rPr>
              <w:tab/>
            </w:r>
            <w:r w:rsidR="00DC131A">
              <w:rPr>
                <w:noProof/>
                <w:webHidden/>
              </w:rPr>
              <w:fldChar w:fldCharType="begin"/>
            </w:r>
            <w:r w:rsidR="00DC131A">
              <w:rPr>
                <w:noProof/>
                <w:webHidden/>
              </w:rPr>
              <w:instrText xml:space="preserve"> PAGEREF _Toc30148072 \h </w:instrText>
            </w:r>
            <w:r w:rsidR="00DC131A">
              <w:rPr>
                <w:noProof/>
                <w:webHidden/>
              </w:rPr>
            </w:r>
            <w:r w:rsidR="00DC131A">
              <w:rPr>
                <w:noProof/>
                <w:webHidden/>
              </w:rPr>
              <w:fldChar w:fldCharType="separate"/>
            </w:r>
            <w:r w:rsidR="005407CC">
              <w:rPr>
                <w:noProof/>
                <w:webHidden/>
              </w:rPr>
              <w:t>12</w:t>
            </w:r>
            <w:r w:rsidR="00DC131A">
              <w:rPr>
                <w:noProof/>
                <w:webHidden/>
              </w:rPr>
              <w:fldChar w:fldCharType="end"/>
            </w:r>
          </w:hyperlink>
        </w:p>
        <w:p w14:paraId="70A19452" w14:textId="77777777" w:rsidR="00DC131A" w:rsidRDefault="00F829DB">
          <w:pPr>
            <w:pStyle w:val="TOC2"/>
            <w:rPr>
              <w:rFonts w:eastAsiaTheme="minorEastAsia" w:cstheme="minorBidi"/>
              <w:noProof/>
              <w:lang w:eastAsia="en-AU"/>
            </w:rPr>
          </w:pPr>
          <w:hyperlink w:anchor="_Toc30148073" w:history="1">
            <w:r w:rsidR="00DC131A" w:rsidRPr="007F662B">
              <w:rPr>
                <w:rStyle w:val="Hyperlink"/>
                <w:noProof/>
              </w:rPr>
              <w:t>2.3.</w:t>
            </w:r>
            <w:r w:rsidR="00DC131A">
              <w:rPr>
                <w:rFonts w:eastAsiaTheme="minorEastAsia" w:cstheme="minorBidi"/>
                <w:noProof/>
                <w:lang w:eastAsia="en-AU"/>
              </w:rPr>
              <w:tab/>
            </w:r>
            <w:r w:rsidR="00DC131A" w:rsidRPr="007F662B">
              <w:rPr>
                <w:rStyle w:val="Hyperlink"/>
                <w:noProof/>
              </w:rPr>
              <w:t>Changing industry mix explains a fifth of BERD’s decline</w:t>
            </w:r>
            <w:r w:rsidR="00DC131A">
              <w:rPr>
                <w:noProof/>
                <w:webHidden/>
              </w:rPr>
              <w:tab/>
            </w:r>
            <w:r w:rsidR="00DC131A">
              <w:rPr>
                <w:noProof/>
                <w:webHidden/>
              </w:rPr>
              <w:fldChar w:fldCharType="begin"/>
            </w:r>
            <w:r w:rsidR="00DC131A">
              <w:rPr>
                <w:noProof/>
                <w:webHidden/>
              </w:rPr>
              <w:instrText xml:space="preserve"> PAGEREF _Toc30148073 \h </w:instrText>
            </w:r>
            <w:r w:rsidR="00DC131A">
              <w:rPr>
                <w:noProof/>
                <w:webHidden/>
              </w:rPr>
            </w:r>
            <w:r w:rsidR="00DC131A">
              <w:rPr>
                <w:noProof/>
                <w:webHidden/>
              </w:rPr>
              <w:fldChar w:fldCharType="separate"/>
            </w:r>
            <w:r w:rsidR="005407CC">
              <w:rPr>
                <w:noProof/>
                <w:webHidden/>
              </w:rPr>
              <w:t>13</w:t>
            </w:r>
            <w:r w:rsidR="00DC131A">
              <w:rPr>
                <w:noProof/>
                <w:webHidden/>
              </w:rPr>
              <w:fldChar w:fldCharType="end"/>
            </w:r>
          </w:hyperlink>
        </w:p>
        <w:p w14:paraId="01C3F81E" w14:textId="77777777" w:rsidR="00DC131A" w:rsidRDefault="00F829DB">
          <w:pPr>
            <w:pStyle w:val="TOC2"/>
            <w:rPr>
              <w:rFonts w:eastAsiaTheme="minorEastAsia" w:cstheme="minorBidi"/>
              <w:noProof/>
              <w:lang w:eastAsia="en-AU"/>
            </w:rPr>
          </w:pPr>
          <w:hyperlink w:anchor="_Toc30148074" w:history="1">
            <w:r w:rsidR="00DC131A" w:rsidRPr="007F662B">
              <w:rPr>
                <w:rStyle w:val="Hyperlink"/>
                <w:noProof/>
              </w:rPr>
              <w:t>2.4.</w:t>
            </w:r>
            <w:r w:rsidR="00DC131A">
              <w:rPr>
                <w:rFonts w:eastAsiaTheme="minorEastAsia" w:cstheme="minorBidi"/>
                <w:noProof/>
                <w:lang w:eastAsia="en-AU"/>
              </w:rPr>
              <w:tab/>
            </w:r>
            <w:r w:rsidR="00DC131A" w:rsidRPr="007F662B">
              <w:rPr>
                <w:rStyle w:val="Hyperlink"/>
                <w:noProof/>
              </w:rPr>
              <w:t>Declines in sector-level R&amp;D intensity explain about 10 per cent of BERD’s decline</w:t>
            </w:r>
            <w:r w:rsidR="00DC131A">
              <w:rPr>
                <w:noProof/>
                <w:webHidden/>
              </w:rPr>
              <w:tab/>
            </w:r>
            <w:r w:rsidR="00DC131A">
              <w:rPr>
                <w:noProof/>
                <w:webHidden/>
              </w:rPr>
              <w:fldChar w:fldCharType="begin"/>
            </w:r>
            <w:r w:rsidR="00DC131A">
              <w:rPr>
                <w:noProof/>
                <w:webHidden/>
              </w:rPr>
              <w:instrText xml:space="preserve"> PAGEREF _Toc30148074 \h </w:instrText>
            </w:r>
            <w:r w:rsidR="00DC131A">
              <w:rPr>
                <w:noProof/>
                <w:webHidden/>
              </w:rPr>
            </w:r>
            <w:r w:rsidR="00DC131A">
              <w:rPr>
                <w:noProof/>
                <w:webHidden/>
              </w:rPr>
              <w:fldChar w:fldCharType="separate"/>
            </w:r>
            <w:r w:rsidR="005407CC">
              <w:rPr>
                <w:noProof/>
                <w:webHidden/>
              </w:rPr>
              <w:t>15</w:t>
            </w:r>
            <w:r w:rsidR="00DC131A">
              <w:rPr>
                <w:noProof/>
                <w:webHidden/>
              </w:rPr>
              <w:fldChar w:fldCharType="end"/>
            </w:r>
          </w:hyperlink>
        </w:p>
        <w:p w14:paraId="561240C8" w14:textId="77777777" w:rsidR="00DC131A" w:rsidRDefault="00F829DB">
          <w:pPr>
            <w:pStyle w:val="TOC1"/>
            <w:rPr>
              <w:rFonts w:eastAsiaTheme="minorEastAsia" w:cstheme="minorBidi"/>
              <w:b w:val="0"/>
              <w:color w:val="auto"/>
              <w:lang w:eastAsia="en-AU"/>
            </w:rPr>
          </w:pPr>
          <w:hyperlink w:anchor="_Toc30148075" w:history="1">
            <w:r w:rsidR="00DC131A" w:rsidRPr="007F662B">
              <w:rPr>
                <w:rStyle w:val="Hyperlink"/>
              </w:rPr>
              <w:t>3.</w:t>
            </w:r>
            <w:r w:rsidR="00DC131A">
              <w:rPr>
                <w:rFonts w:eastAsiaTheme="minorEastAsia" w:cstheme="minorBidi"/>
                <w:b w:val="0"/>
                <w:color w:val="auto"/>
                <w:lang w:eastAsia="en-AU"/>
              </w:rPr>
              <w:tab/>
            </w:r>
            <w:r w:rsidR="00DC131A" w:rsidRPr="007F662B">
              <w:rPr>
                <w:rStyle w:val="Hyperlink"/>
              </w:rPr>
              <w:t>Australian business investment in innovation reflects sector mix and firm size</w:t>
            </w:r>
            <w:r w:rsidR="00DC131A">
              <w:rPr>
                <w:webHidden/>
              </w:rPr>
              <w:tab/>
            </w:r>
            <w:r w:rsidR="00DC131A">
              <w:rPr>
                <w:webHidden/>
              </w:rPr>
              <w:fldChar w:fldCharType="begin"/>
            </w:r>
            <w:r w:rsidR="00DC131A">
              <w:rPr>
                <w:webHidden/>
              </w:rPr>
              <w:instrText xml:space="preserve"> PAGEREF _Toc30148075 \h </w:instrText>
            </w:r>
            <w:r w:rsidR="00DC131A">
              <w:rPr>
                <w:webHidden/>
              </w:rPr>
            </w:r>
            <w:r w:rsidR="00DC131A">
              <w:rPr>
                <w:webHidden/>
              </w:rPr>
              <w:fldChar w:fldCharType="separate"/>
            </w:r>
            <w:r w:rsidR="005407CC">
              <w:rPr>
                <w:webHidden/>
              </w:rPr>
              <w:t>19</w:t>
            </w:r>
            <w:r w:rsidR="00DC131A">
              <w:rPr>
                <w:webHidden/>
              </w:rPr>
              <w:fldChar w:fldCharType="end"/>
            </w:r>
          </w:hyperlink>
        </w:p>
        <w:p w14:paraId="154C271B" w14:textId="77777777" w:rsidR="00DC131A" w:rsidRDefault="00F829DB">
          <w:pPr>
            <w:pStyle w:val="TOC2"/>
            <w:rPr>
              <w:rFonts w:eastAsiaTheme="minorEastAsia" w:cstheme="minorBidi"/>
              <w:noProof/>
              <w:lang w:eastAsia="en-AU"/>
            </w:rPr>
          </w:pPr>
          <w:hyperlink w:anchor="_Toc30148076" w:history="1">
            <w:r w:rsidR="00DC131A" w:rsidRPr="007F662B">
              <w:rPr>
                <w:rStyle w:val="Hyperlink"/>
                <w:noProof/>
              </w:rPr>
              <w:t>3.1.</w:t>
            </w:r>
            <w:r w:rsidR="00DC131A">
              <w:rPr>
                <w:rFonts w:eastAsiaTheme="minorEastAsia" w:cstheme="minorBidi"/>
                <w:noProof/>
                <w:lang w:eastAsia="en-AU"/>
              </w:rPr>
              <w:tab/>
            </w:r>
            <w:r w:rsidR="00DC131A" w:rsidRPr="007F662B">
              <w:rPr>
                <w:rStyle w:val="Hyperlink"/>
                <w:noProof/>
              </w:rPr>
              <w:t>Australian firms invest less in R&amp;D than peers, mostly due to industry mix</w:t>
            </w:r>
            <w:r w:rsidR="00DC131A">
              <w:rPr>
                <w:noProof/>
                <w:webHidden/>
              </w:rPr>
              <w:tab/>
            </w:r>
            <w:r w:rsidR="00DC131A">
              <w:rPr>
                <w:noProof/>
                <w:webHidden/>
              </w:rPr>
              <w:fldChar w:fldCharType="begin"/>
            </w:r>
            <w:r w:rsidR="00DC131A">
              <w:rPr>
                <w:noProof/>
                <w:webHidden/>
              </w:rPr>
              <w:instrText xml:space="preserve"> PAGEREF _Toc30148076 \h </w:instrText>
            </w:r>
            <w:r w:rsidR="00DC131A">
              <w:rPr>
                <w:noProof/>
                <w:webHidden/>
              </w:rPr>
            </w:r>
            <w:r w:rsidR="00DC131A">
              <w:rPr>
                <w:noProof/>
                <w:webHidden/>
              </w:rPr>
              <w:fldChar w:fldCharType="separate"/>
            </w:r>
            <w:r w:rsidR="005407CC">
              <w:rPr>
                <w:noProof/>
                <w:webHidden/>
              </w:rPr>
              <w:t>19</w:t>
            </w:r>
            <w:r w:rsidR="00DC131A">
              <w:rPr>
                <w:noProof/>
                <w:webHidden/>
              </w:rPr>
              <w:fldChar w:fldCharType="end"/>
            </w:r>
          </w:hyperlink>
        </w:p>
        <w:p w14:paraId="2584F740" w14:textId="77777777" w:rsidR="00DC131A" w:rsidRDefault="00F829DB">
          <w:pPr>
            <w:pStyle w:val="TOC2"/>
            <w:rPr>
              <w:rFonts w:eastAsiaTheme="minorEastAsia" w:cstheme="minorBidi"/>
              <w:noProof/>
              <w:lang w:eastAsia="en-AU"/>
            </w:rPr>
          </w:pPr>
          <w:hyperlink w:anchor="_Toc30148077" w:history="1">
            <w:r w:rsidR="00DC131A" w:rsidRPr="007F662B">
              <w:rPr>
                <w:rStyle w:val="Hyperlink"/>
                <w:noProof/>
              </w:rPr>
              <w:t>3.2.</w:t>
            </w:r>
            <w:r w:rsidR="00DC131A">
              <w:rPr>
                <w:rFonts w:eastAsiaTheme="minorEastAsia" w:cstheme="minorBidi"/>
                <w:noProof/>
                <w:lang w:eastAsia="en-AU"/>
              </w:rPr>
              <w:tab/>
            </w:r>
            <w:r w:rsidR="00DC131A" w:rsidRPr="007F662B">
              <w:rPr>
                <w:rStyle w:val="Hyperlink"/>
                <w:noProof/>
              </w:rPr>
              <w:t>Australian firms also invest less in broader innovation</w:t>
            </w:r>
            <w:r w:rsidR="00DC131A">
              <w:rPr>
                <w:noProof/>
                <w:webHidden/>
              </w:rPr>
              <w:tab/>
            </w:r>
            <w:r w:rsidR="00DC131A">
              <w:rPr>
                <w:noProof/>
                <w:webHidden/>
              </w:rPr>
              <w:fldChar w:fldCharType="begin"/>
            </w:r>
            <w:r w:rsidR="00DC131A">
              <w:rPr>
                <w:noProof/>
                <w:webHidden/>
              </w:rPr>
              <w:instrText xml:space="preserve"> PAGEREF _Toc30148077 \h </w:instrText>
            </w:r>
            <w:r w:rsidR="00DC131A">
              <w:rPr>
                <w:noProof/>
                <w:webHidden/>
              </w:rPr>
            </w:r>
            <w:r w:rsidR="00DC131A">
              <w:rPr>
                <w:noProof/>
                <w:webHidden/>
              </w:rPr>
              <w:fldChar w:fldCharType="separate"/>
            </w:r>
            <w:r w:rsidR="005407CC">
              <w:rPr>
                <w:noProof/>
                <w:webHidden/>
              </w:rPr>
              <w:t>24</w:t>
            </w:r>
            <w:r w:rsidR="00DC131A">
              <w:rPr>
                <w:noProof/>
                <w:webHidden/>
              </w:rPr>
              <w:fldChar w:fldCharType="end"/>
            </w:r>
          </w:hyperlink>
        </w:p>
        <w:p w14:paraId="790E0DD1" w14:textId="77777777" w:rsidR="00DC131A" w:rsidRDefault="00F829DB">
          <w:pPr>
            <w:pStyle w:val="TOC2"/>
            <w:rPr>
              <w:rFonts w:eastAsiaTheme="minorEastAsia" w:cstheme="minorBidi"/>
              <w:noProof/>
              <w:lang w:eastAsia="en-AU"/>
            </w:rPr>
          </w:pPr>
          <w:hyperlink w:anchor="_Toc30148078" w:history="1">
            <w:r w:rsidR="00DC131A" w:rsidRPr="007F662B">
              <w:rPr>
                <w:rStyle w:val="Hyperlink"/>
                <w:noProof/>
              </w:rPr>
              <w:t>3.3.</w:t>
            </w:r>
            <w:r w:rsidR="00DC131A">
              <w:rPr>
                <w:rFonts w:eastAsiaTheme="minorEastAsia" w:cstheme="minorBidi"/>
                <w:noProof/>
                <w:lang w:eastAsia="en-AU"/>
              </w:rPr>
              <w:tab/>
            </w:r>
            <w:r w:rsidR="00DC131A" w:rsidRPr="007F662B">
              <w:rPr>
                <w:rStyle w:val="Hyperlink"/>
                <w:noProof/>
              </w:rPr>
              <w:t>Large firms are most innovation-active in Australia</w:t>
            </w:r>
            <w:r w:rsidR="00DC131A">
              <w:rPr>
                <w:noProof/>
                <w:webHidden/>
              </w:rPr>
              <w:tab/>
            </w:r>
            <w:r w:rsidR="00DC131A">
              <w:rPr>
                <w:noProof/>
                <w:webHidden/>
              </w:rPr>
              <w:fldChar w:fldCharType="begin"/>
            </w:r>
            <w:r w:rsidR="00DC131A">
              <w:rPr>
                <w:noProof/>
                <w:webHidden/>
              </w:rPr>
              <w:instrText xml:space="preserve"> PAGEREF _Toc30148078 \h </w:instrText>
            </w:r>
            <w:r w:rsidR="00DC131A">
              <w:rPr>
                <w:noProof/>
                <w:webHidden/>
              </w:rPr>
            </w:r>
            <w:r w:rsidR="00DC131A">
              <w:rPr>
                <w:noProof/>
                <w:webHidden/>
              </w:rPr>
              <w:fldChar w:fldCharType="separate"/>
            </w:r>
            <w:r w:rsidR="005407CC">
              <w:rPr>
                <w:noProof/>
                <w:webHidden/>
              </w:rPr>
              <w:t>25</w:t>
            </w:r>
            <w:r w:rsidR="00DC131A">
              <w:rPr>
                <w:noProof/>
                <w:webHidden/>
              </w:rPr>
              <w:fldChar w:fldCharType="end"/>
            </w:r>
          </w:hyperlink>
        </w:p>
        <w:p w14:paraId="2B34F447" w14:textId="77777777" w:rsidR="00DC131A" w:rsidRDefault="00F829DB">
          <w:pPr>
            <w:pStyle w:val="TOC2"/>
            <w:rPr>
              <w:rFonts w:eastAsiaTheme="minorEastAsia" w:cstheme="minorBidi"/>
              <w:noProof/>
              <w:lang w:eastAsia="en-AU"/>
            </w:rPr>
          </w:pPr>
          <w:hyperlink w:anchor="_Toc30148079" w:history="1">
            <w:r w:rsidR="00DC131A" w:rsidRPr="007F662B">
              <w:rPr>
                <w:rStyle w:val="Hyperlink"/>
                <w:noProof/>
              </w:rPr>
              <w:t>3.4.</w:t>
            </w:r>
            <w:r w:rsidR="00DC131A">
              <w:rPr>
                <w:rFonts w:eastAsiaTheme="minorEastAsia" w:cstheme="minorBidi"/>
                <w:noProof/>
                <w:lang w:eastAsia="en-AU"/>
              </w:rPr>
              <w:tab/>
            </w:r>
            <w:r w:rsidR="00DC131A" w:rsidRPr="007F662B">
              <w:rPr>
                <w:rStyle w:val="Hyperlink"/>
                <w:noProof/>
              </w:rPr>
              <w:t>Large firm innovation reflects Australia’s industry mix</w:t>
            </w:r>
            <w:r w:rsidR="00DC131A">
              <w:rPr>
                <w:noProof/>
                <w:webHidden/>
              </w:rPr>
              <w:tab/>
            </w:r>
            <w:r w:rsidR="00DC131A">
              <w:rPr>
                <w:noProof/>
                <w:webHidden/>
              </w:rPr>
              <w:fldChar w:fldCharType="begin"/>
            </w:r>
            <w:r w:rsidR="00DC131A">
              <w:rPr>
                <w:noProof/>
                <w:webHidden/>
              </w:rPr>
              <w:instrText xml:space="preserve"> PAGEREF _Toc30148079 \h </w:instrText>
            </w:r>
            <w:r w:rsidR="00DC131A">
              <w:rPr>
                <w:noProof/>
                <w:webHidden/>
              </w:rPr>
            </w:r>
            <w:r w:rsidR="00DC131A">
              <w:rPr>
                <w:noProof/>
                <w:webHidden/>
              </w:rPr>
              <w:fldChar w:fldCharType="separate"/>
            </w:r>
            <w:r w:rsidR="005407CC">
              <w:rPr>
                <w:noProof/>
                <w:webHidden/>
              </w:rPr>
              <w:t>28</w:t>
            </w:r>
            <w:r w:rsidR="00DC131A">
              <w:rPr>
                <w:noProof/>
                <w:webHidden/>
              </w:rPr>
              <w:fldChar w:fldCharType="end"/>
            </w:r>
          </w:hyperlink>
        </w:p>
        <w:p w14:paraId="298C0A42" w14:textId="77777777" w:rsidR="00DC131A" w:rsidRDefault="00F829DB">
          <w:pPr>
            <w:pStyle w:val="TOC2"/>
            <w:rPr>
              <w:rFonts w:eastAsiaTheme="minorEastAsia" w:cstheme="minorBidi"/>
              <w:noProof/>
              <w:lang w:eastAsia="en-AU"/>
            </w:rPr>
          </w:pPr>
          <w:hyperlink w:anchor="_Toc30148080" w:history="1">
            <w:r w:rsidR="00DC131A" w:rsidRPr="007F662B">
              <w:rPr>
                <w:rStyle w:val="Hyperlink"/>
                <w:noProof/>
              </w:rPr>
              <w:t>3.5.</w:t>
            </w:r>
            <w:r w:rsidR="00DC131A">
              <w:rPr>
                <w:rFonts w:eastAsiaTheme="minorEastAsia" w:cstheme="minorBidi"/>
                <w:noProof/>
                <w:lang w:eastAsia="en-AU"/>
              </w:rPr>
              <w:tab/>
            </w:r>
            <w:r w:rsidR="00DC131A" w:rsidRPr="007F662B">
              <w:rPr>
                <w:rStyle w:val="Hyperlink"/>
                <w:noProof/>
              </w:rPr>
              <w:t>Small firms focus more on non-R&amp;D innovation</w:t>
            </w:r>
            <w:r w:rsidR="00DC131A">
              <w:rPr>
                <w:noProof/>
                <w:webHidden/>
              </w:rPr>
              <w:tab/>
            </w:r>
            <w:r w:rsidR="00DC131A">
              <w:rPr>
                <w:noProof/>
                <w:webHidden/>
              </w:rPr>
              <w:fldChar w:fldCharType="begin"/>
            </w:r>
            <w:r w:rsidR="00DC131A">
              <w:rPr>
                <w:noProof/>
                <w:webHidden/>
              </w:rPr>
              <w:instrText xml:space="preserve"> PAGEREF _Toc30148080 \h </w:instrText>
            </w:r>
            <w:r w:rsidR="00DC131A">
              <w:rPr>
                <w:noProof/>
                <w:webHidden/>
              </w:rPr>
            </w:r>
            <w:r w:rsidR="00DC131A">
              <w:rPr>
                <w:noProof/>
                <w:webHidden/>
              </w:rPr>
              <w:fldChar w:fldCharType="separate"/>
            </w:r>
            <w:r w:rsidR="005407CC">
              <w:rPr>
                <w:noProof/>
                <w:webHidden/>
              </w:rPr>
              <w:t>30</w:t>
            </w:r>
            <w:r w:rsidR="00DC131A">
              <w:rPr>
                <w:noProof/>
                <w:webHidden/>
              </w:rPr>
              <w:fldChar w:fldCharType="end"/>
            </w:r>
          </w:hyperlink>
        </w:p>
        <w:p w14:paraId="7C723DDF" w14:textId="77777777" w:rsidR="00DC131A" w:rsidRDefault="00F829DB">
          <w:pPr>
            <w:pStyle w:val="TOC2"/>
            <w:rPr>
              <w:rFonts w:eastAsiaTheme="minorEastAsia" w:cstheme="minorBidi"/>
              <w:noProof/>
              <w:lang w:eastAsia="en-AU"/>
            </w:rPr>
          </w:pPr>
          <w:hyperlink w:anchor="_Toc30148081" w:history="1">
            <w:r w:rsidR="00DC131A" w:rsidRPr="007F662B">
              <w:rPr>
                <w:rStyle w:val="Hyperlink"/>
                <w:noProof/>
              </w:rPr>
              <w:t>3.6.</w:t>
            </w:r>
            <w:r w:rsidR="00DC131A">
              <w:rPr>
                <w:rFonts w:eastAsiaTheme="minorEastAsia" w:cstheme="minorBidi"/>
                <w:noProof/>
                <w:lang w:eastAsia="en-AU"/>
              </w:rPr>
              <w:tab/>
            </w:r>
            <w:r w:rsidR="00DC131A" w:rsidRPr="007F662B">
              <w:rPr>
                <w:rStyle w:val="Hyperlink"/>
                <w:noProof/>
              </w:rPr>
              <w:t>Australian business service firms are active investors in innovation</w:t>
            </w:r>
            <w:r w:rsidR="00DC131A">
              <w:rPr>
                <w:noProof/>
                <w:webHidden/>
              </w:rPr>
              <w:tab/>
            </w:r>
            <w:r w:rsidR="00DC131A">
              <w:rPr>
                <w:noProof/>
                <w:webHidden/>
              </w:rPr>
              <w:fldChar w:fldCharType="begin"/>
            </w:r>
            <w:r w:rsidR="00DC131A">
              <w:rPr>
                <w:noProof/>
                <w:webHidden/>
              </w:rPr>
              <w:instrText xml:space="preserve"> PAGEREF _Toc30148081 \h </w:instrText>
            </w:r>
            <w:r w:rsidR="00DC131A">
              <w:rPr>
                <w:noProof/>
                <w:webHidden/>
              </w:rPr>
            </w:r>
            <w:r w:rsidR="00DC131A">
              <w:rPr>
                <w:noProof/>
                <w:webHidden/>
              </w:rPr>
              <w:fldChar w:fldCharType="separate"/>
            </w:r>
            <w:r w:rsidR="005407CC">
              <w:rPr>
                <w:noProof/>
                <w:webHidden/>
              </w:rPr>
              <w:t>31</w:t>
            </w:r>
            <w:r w:rsidR="00DC131A">
              <w:rPr>
                <w:noProof/>
                <w:webHidden/>
              </w:rPr>
              <w:fldChar w:fldCharType="end"/>
            </w:r>
          </w:hyperlink>
        </w:p>
        <w:p w14:paraId="45BC812F" w14:textId="77777777" w:rsidR="00DC131A" w:rsidRDefault="00F829DB">
          <w:pPr>
            <w:pStyle w:val="TOC1"/>
            <w:rPr>
              <w:rFonts w:eastAsiaTheme="minorEastAsia" w:cstheme="minorBidi"/>
              <w:b w:val="0"/>
              <w:color w:val="auto"/>
              <w:lang w:eastAsia="en-AU"/>
            </w:rPr>
          </w:pPr>
          <w:hyperlink w:anchor="_Toc30148082" w:history="1">
            <w:r w:rsidR="00DC131A" w:rsidRPr="007F662B">
              <w:rPr>
                <w:rStyle w:val="Hyperlink"/>
              </w:rPr>
              <w:t>4.</w:t>
            </w:r>
            <w:r w:rsidR="00DC131A">
              <w:rPr>
                <w:rFonts w:eastAsiaTheme="minorEastAsia" w:cstheme="minorBidi"/>
                <w:b w:val="0"/>
                <w:color w:val="auto"/>
                <w:lang w:eastAsia="en-AU"/>
              </w:rPr>
              <w:tab/>
            </w:r>
            <w:r w:rsidR="00DC131A" w:rsidRPr="007F662B">
              <w:rPr>
                <w:rStyle w:val="Hyperlink"/>
              </w:rPr>
              <w:t>Innovation can improve firm performance</w:t>
            </w:r>
            <w:r w:rsidR="00DC131A">
              <w:rPr>
                <w:webHidden/>
              </w:rPr>
              <w:tab/>
            </w:r>
            <w:r w:rsidR="00DC131A">
              <w:rPr>
                <w:webHidden/>
              </w:rPr>
              <w:fldChar w:fldCharType="begin"/>
            </w:r>
            <w:r w:rsidR="00DC131A">
              <w:rPr>
                <w:webHidden/>
              </w:rPr>
              <w:instrText xml:space="preserve"> PAGEREF _Toc30148082 \h </w:instrText>
            </w:r>
            <w:r w:rsidR="00DC131A">
              <w:rPr>
                <w:webHidden/>
              </w:rPr>
            </w:r>
            <w:r w:rsidR="00DC131A">
              <w:rPr>
                <w:webHidden/>
              </w:rPr>
              <w:fldChar w:fldCharType="separate"/>
            </w:r>
            <w:r w:rsidR="005407CC">
              <w:rPr>
                <w:webHidden/>
              </w:rPr>
              <w:t>37</w:t>
            </w:r>
            <w:r w:rsidR="00DC131A">
              <w:rPr>
                <w:webHidden/>
              </w:rPr>
              <w:fldChar w:fldCharType="end"/>
            </w:r>
          </w:hyperlink>
        </w:p>
        <w:p w14:paraId="6BB4B493" w14:textId="77777777" w:rsidR="00DC131A" w:rsidRDefault="00F829DB">
          <w:pPr>
            <w:pStyle w:val="TOC2"/>
            <w:rPr>
              <w:rFonts w:eastAsiaTheme="minorEastAsia" w:cstheme="minorBidi"/>
              <w:noProof/>
              <w:lang w:eastAsia="en-AU"/>
            </w:rPr>
          </w:pPr>
          <w:hyperlink w:anchor="_Toc30148083" w:history="1">
            <w:r w:rsidR="00DC131A" w:rsidRPr="007F662B">
              <w:rPr>
                <w:rStyle w:val="Hyperlink"/>
                <w:noProof/>
              </w:rPr>
              <w:t>4.1.</w:t>
            </w:r>
            <w:r w:rsidR="00DC131A">
              <w:rPr>
                <w:rFonts w:eastAsiaTheme="minorEastAsia" w:cstheme="minorBidi"/>
                <w:noProof/>
                <w:lang w:eastAsia="en-AU"/>
              </w:rPr>
              <w:tab/>
            </w:r>
            <w:r w:rsidR="00DC131A" w:rsidRPr="007F662B">
              <w:rPr>
                <w:rStyle w:val="Hyperlink"/>
                <w:noProof/>
              </w:rPr>
              <w:t>Innovation improves large firm performance</w:t>
            </w:r>
            <w:r w:rsidR="00DC131A">
              <w:rPr>
                <w:noProof/>
                <w:webHidden/>
              </w:rPr>
              <w:tab/>
            </w:r>
            <w:r w:rsidR="00DC131A">
              <w:rPr>
                <w:noProof/>
                <w:webHidden/>
              </w:rPr>
              <w:fldChar w:fldCharType="begin"/>
            </w:r>
            <w:r w:rsidR="00DC131A">
              <w:rPr>
                <w:noProof/>
                <w:webHidden/>
              </w:rPr>
              <w:instrText xml:space="preserve"> PAGEREF _Toc30148083 \h </w:instrText>
            </w:r>
            <w:r w:rsidR="00DC131A">
              <w:rPr>
                <w:noProof/>
                <w:webHidden/>
              </w:rPr>
            </w:r>
            <w:r w:rsidR="00DC131A">
              <w:rPr>
                <w:noProof/>
                <w:webHidden/>
              </w:rPr>
              <w:fldChar w:fldCharType="separate"/>
            </w:r>
            <w:r w:rsidR="005407CC">
              <w:rPr>
                <w:noProof/>
                <w:webHidden/>
              </w:rPr>
              <w:t>37</w:t>
            </w:r>
            <w:r w:rsidR="00DC131A">
              <w:rPr>
                <w:noProof/>
                <w:webHidden/>
              </w:rPr>
              <w:fldChar w:fldCharType="end"/>
            </w:r>
          </w:hyperlink>
        </w:p>
        <w:p w14:paraId="0E8056B4" w14:textId="77777777" w:rsidR="00DC131A" w:rsidRDefault="00F829DB">
          <w:pPr>
            <w:pStyle w:val="TOC2"/>
            <w:rPr>
              <w:rFonts w:eastAsiaTheme="minorEastAsia" w:cstheme="minorBidi"/>
              <w:noProof/>
              <w:lang w:eastAsia="en-AU"/>
            </w:rPr>
          </w:pPr>
          <w:hyperlink w:anchor="_Toc30148084" w:history="1">
            <w:r w:rsidR="00DC131A" w:rsidRPr="007F662B">
              <w:rPr>
                <w:rStyle w:val="Hyperlink"/>
                <w:noProof/>
              </w:rPr>
              <w:t>4.2.</w:t>
            </w:r>
            <w:r w:rsidR="00DC131A">
              <w:rPr>
                <w:rFonts w:eastAsiaTheme="minorEastAsia" w:cstheme="minorBidi"/>
                <w:noProof/>
                <w:lang w:eastAsia="en-AU"/>
              </w:rPr>
              <w:tab/>
            </w:r>
            <w:r w:rsidR="00DC131A" w:rsidRPr="007F662B">
              <w:rPr>
                <w:rStyle w:val="Hyperlink"/>
                <w:noProof/>
              </w:rPr>
              <w:t>Digital innovation lifts SME performance</w:t>
            </w:r>
            <w:r w:rsidR="00DC131A">
              <w:rPr>
                <w:noProof/>
                <w:webHidden/>
              </w:rPr>
              <w:tab/>
            </w:r>
            <w:r w:rsidR="00DC131A">
              <w:rPr>
                <w:noProof/>
                <w:webHidden/>
              </w:rPr>
              <w:fldChar w:fldCharType="begin"/>
            </w:r>
            <w:r w:rsidR="00DC131A">
              <w:rPr>
                <w:noProof/>
                <w:webHidden/>
              </w:rPr>
              <w:instrText xml:space="preserve"> PAGEREF _Toc30148084 \h </w:instrText>
            </w:r>
            <w:r w:rsidR="00DC131A">
              <w:rPr>
                <w:noProof/>
                <w:webHidden/>
              </w:rPr>
            </w:r>
            <w:r w:rsidR="00DC131A">
              <w:rPr>
                <w:noProof/>
                <w:webHidden/>
              </w:rPr>
              <w:fldChar w:fldCharType="separate"/>
            </w:r>
            <w:r w:rsidR="005407CC">
              <w:rPr>
                <w:noProof/>
                <w:webHidden/>
              </w:rPr>
              <w:t>39</w:t>
            </w:r>
            <w:r w:rsidR="00DC131A">
              <w:rPr>
                <w:noProof/>
                <w:webHidden/>
              </w:rPr>
              <w:fldChar w:fldCharType="end"/>
            </w:r>
          </w:hyperlink>
        </w:p>
        <w:p w14:paraId="6C8AEF0F" w14:textId="77777777" w:rsidR="00DC131A" w:rsidRDefault="00F829DB">
          <w:pPr>
            <w:pStyle w:val="TOC2"/>
            <w:rPr>
              <w:rFonts w:eastAsiaTheme="minorEastAsia" w:cstheme="minorBidi"/>
              <w:noProof/>
              <w:lang w:eastAsia="en-AU"/>
            </w:rPr>
          </w:pPr>
          <w:hyperlink w:anchor="_Toc30148085" w:history="1">
            <w:r w:rsidR="00DC131A" w:rsidRPr="007F662B">
              <w:rPr>
                <w:rStyle w:val="Hyperlink"/>
                <w:noProof/>
              </w:rPr>
              <w:t>4.3.</w:t>
            </w:r>
            <w:r w:rsidR="00DC131A">
              <w:rPr>
                <w:rFonts w:eastAsiaTheme="minorEastAsia" w:cstheme="minorBidi"/>
                <w:noProof/>
                <w:lang w:eastAsia="en-AU"/>
              </w:rPr>
              <w:tab/>
            </w:r>
            <w:r w:rsidR="00DC131A" w:rsidRPr="007F662B">
              <w:rPr>
                <w:rStyle w:val="Hyperlink"/>
                <w:noProof/>
              </w:rPr>
              <w:t>Innovation may boost productivity growth</w:t>
            </w:r>
            <w:r w:rsidR="00DC131A">
              <w:rPr>
                <w:noProof/>
                <w:webHidden/>
              </w:rPr>
              <w:tab/>
            </w:r>
            <w:r w:rsidR="00DC131A">
              <w:rPr>
                <w:noProof/>
                <w:webHidden/>
              </w:rPr>
              <w:fldChar w:fldCharType="begin"/>
            </w:r>
            <w:r w:rsidR="00DC131A">
              <w:rPr>
                <w:noProof/>
                <w:webHidden/>
              </w:rPr>
              <w:instrText xml:space="preserve"> PAGEREF _Toc30148085 \h </w:instrText>
            </w:r>
            <w:r w:rsidR="00DC131A">
              <w:rPr>
                <w:noProof/>
                <w:webHidden/>
              </w:rPr>
            </w:r>
            <w:r w:rsidR="00DC131A">
              <w:rPr>
                <w:noProof/>
                <w:webHidden/>
              </w:rPr>
              <w:fldChar w:fldCharType="separate"/>
            </w:r>
            <w:r w:rsidR="005407CC">
              <w:rPr>
                <w:noProof/>
                <w:webHidden/>
              </w:rPr>
              <w:t>41</w:t>
            </w:r>
            <w:r w:rsidR="00DC131A">
              <w:rPr>
                <w:noProof/>
                <w:webHidden/>
              </w:rPr>
              <w:fldChar w:fldCharType="end"/>
            </w:r>
          </w:hyperlink>
        </w:p>
        <w:p w14:paraId="29021114" w14:textId="77777777" w:rsidR="00DC131A" w:rsidRDefault="00F829DB">
          <w:pPr>
            <w:pStyle w:val="TOC1"/>
            <w:rPr>
              <w:rFonts w:eastAsiaTheme="minorEastAsia" w:cstheme="minorBidi"/>
              <w:b w:val="0"/>
              <w:color w:val="auto"/>
              <w:lang w:eastAsia="en-AU"/>
            </w:rPr>
          </w:pPr>
          <w:hyperlink w:anchor="_Toc30148086" w:history="1">
            <w:r w:rsidR="00DC131A" w:rsidRPr="007F662B">
              <w:rPr>
                <w:rStyle w:val="Hyperlink"/>
              </w:rPr>
              <w:t>5.</w:t>
            </w:r>
            <w:r w:rsidR="00DC131A">
              <w:rPr>
                <w:rFonts w:eastAsiaTheme="minorEastAsia" w:cstheme="minorBidi"/>
                <w:b w:val="0"/>
                <w:color w:val="auto"/>
                <w:lang w:eastAsia="en-AU"/>
              </w:rPr>
              <w:tab/>
            </w:r>
            <w:r w:rsidR="00DC131A" w:rsidRPr="007F662B">
              <w:rPr>
                <w:rStyle w:val="Hyperlink"/>
              </w:rPr>
              <w:t>Policy choices for Australian business investment in innovation</w:t>
            </w:r>
            <w:r w:rsidR="00DC131A">
              <w:rPr>
                <w:webHidden/>
              </w:rPr>
              <w:tab/>
            </w:r>
            <w:r w:rsidR="00DC131A">
              <w:rPr>
                <w:webHidden/>
              </w:rPr>
              <w:fldChar w:fldCharType="begin"/>
            </w:r>
            <w:r w:rsidR="00DC131A">
              <w:rPr>
                <w:webHidden/>
              </w:rPr>
              <w:instrText xml:space="preserve"> PAGEREF _Toc30148086 \h </w:instrText>
            </w:r>
            <w:r w:rsidR="00DC131A">
              <w:rPr>
                <w:webHidden/>
              </w:rPr>
            </w:r>
            <w:r w:rsidR="00DC131A">
              <w:rPr>
                <w:webHidden/>
              </w:rPr>
              <w:fldChar w:fldCharType="separate"/>
            </w:r>
            <w:r w:rsidR="005407CC">
              <w:rPr>
                <w:webHidden/>
              </w:rPr>
              <w:t>42</w:t>
            </w:r>
            <w:r w:rsidR="00DC131A">
              <w:rPr>
                <w:webHidden/>
              </w:rPr>
              <w:fldChar w:fldCharType="end"/>
            </w:r>
          </w:hyperlink>
        </w:p>
        <w:p w14:paraId="4F560534" w14:textId="77777777" w:rsidR="00DC131A" w:rsidRDefault="00F829DB">
          <w:pPr>
            <w:pStyle w:val="TOC2"/>
            <w:rPr>
              <w:rFonts w:eastAsiaTheme="minorEastAsia" w:cstheme="minorBidi"/>
              <w:noProof/>
              <w:lang w:eastAsia="en-AU"/>
            </w:rPr>
          </w:pPr>
          <w:hyperlink w:anchor="_Toc30148087" w:history="1">
            <w:r w:rsidR="00DC131A" w:rsidRPr="007F662B">
              <w:rPr>
                <w:rStyle w:val="Hyperlink"/>
                <w:noProof/>
              </w:rPr>
              <w:t>5.1.</w:t>
            </w:r>
            <w:r w:rsidR="00DC131A">
              <w:rPr>
                <w:rFonts w:eastAsiaTheme="minorEastAsia" w:cstheme="minorBidi"/>
                <w:noProof/>
                <w:lang w:eastAsia="en-AU"/>
              </w:rPr>
              <w:tab/>
            </w:r>
            <w:r w:rsidR="00DC131A" w:rsidRPr="007F662B">
              <w:rPr>
                <w:rStyle w:val="Hyperlink"/>
                <w:noProof/>
              </w:rPr>
              <w:t>Should Australia rebalance support for R&amp;D and non-R&amp;D business innovation?</w:t>
            </w:r>
            <w:r w:rsidR="00DC131A">
              <w:rPr>
                <w:noProof/>
                <w:webHidden/>
              </w:rPr>
              <w:tab/>
            </w:r>
            <w:r w:rsidR="00DC131A">
              <w:rPr>
                <w:noProof/>
                <w:webHidden/>
              </w:rPr>
              <w:fldChar w:fldCharType="begin"/>
            </w:r>
            <w:r w:rsidR="00DC131A">
              <w:rPr>
                <w:noProof/>
                <w:webHidden/>
              </w:rPr>
              <w:instrText xml:space="preserve"> PAGEREF _Toc30148087 \h </w:instrText>
            </w:r>
            <w:r w:rsidR="00DC131A">
              <w:rPr>
                <w:noProof/>
                <w:webHidden/>
              </w:rPr>
            </w:r>
            <w:r w:rsidR="00DC131A">
              <w:rPr>
                <w:noProof/>
                <w:webHidden/>
              </w:rPr>
              <w:fldChar w:fldCharType="separate"/>
            </w:r>
            <w:r w:rsidR="005407CC">
              <w:rPr>
                <w:noProof/>
                <w:webHidden/>
              </w:rPr>
              <w:t>42</w:t>
            </w:r>
            <w:r w:rsidR="00DC131A">
              <w:rPr>
                <w:noProof/>
                <w:webHidden/>
              </w:rPr>
              <w:fldChar w:fldCharType="end"/>
            </w:r>
          </w:hyperlink>
        </w:p>
        <w:p w14:paraId="32128D09" w14:textId="77777777" w:rsidR="00DC131A" w:rsidRDefault="00F829DB">
          <w:pPr>
            <w:pStyle w:val="TOC2"/>
            <w:rPr>
              <w:rFonts w:eastAsiaTheme="minorEastAsia" w:cstheme="minorBidi"/>
              <w:noProof/>
              <w:lang w:eastAsia="en-AU"/>
            </w:rPr>
          </w:pPr>
          <w:hyperlink w:anchor="_Toc30148088" w:history="1">
            <w:r w:rsidR="00DC131A" w:rsidRPr="007F662B">
              <w:rPr>
                <w:rStyle w:val="Hyperlink"/>
                <w:noProof/>
              </w:rPr>
              <w:t>5.2.</w:t>
            </w:r>
            <w:r w:rsidR="00DC131A">
              <w:rPr>
                <w:rFonts w:eastAsiaTheme="minorEastAsia" w:cstheme="minorBidi"/>
                <w:noProof/>
                <w:lang w:eastAsia="en-AU"/>
              </w:rPr>
              <w:tab/>
            </w:r>
            <w:r w:rsidR="00DC131A" w:rsidRPr="007F662B">
              <w:rPr>
                <w:rStyle w:val="Hyperlink"/>
                <w:noProof/>
              </w:rPr>
              <w:t>Should Australia prioritise sectors that can lead innovation, and if so, which sectors?</w:t>
            </w:r>
            <w:r w:rsidR="00DC131A">
              <w:rPr>
                <w:noProof/>
                <w:webHidden/>
              </w:rPr>
              <w:tab/>
            </w:r>
            <w:r w:rsidR="00DC131A">
              <w:rPr>
                <w:noProof/>
                <w:webHidden/>
              </w:rPr>
              <w:fldChar w:fldCharType="begin"/>
            </w:r>
            <w:r w:rsidR="00DC131A">
              <w:rPr>
                <w:noProof/>
                <w:webHidden/>
              </w:rPr>
              <w:instrText xml:space="preserve"> PAGEREF _Toc30148088 \h </w:instrText>
            </w:r>
            <w:r w:rsidR="00DC131A">
              <w:rPr>
                <w:noProof/>
                <w:webHidden/>
              </w:rPr>
            </w:r>
            <w:r w:rsidR="00DC131A">
              <w:rPr>
                <w:noProof/>
                <w:webHidden/>
              </w:rPr>
              <w:fldChar w:fldCharType="separate"/>
            </w:r>
            <w:r w:rsidR="005407CC">
              <w:rPr>
                <w:noProof/>
                <w:webHidden/>
              </w:rPr>
              <w:t>42</w:t>
            </w:r>
            <w:r w:rsidR="00DC131A">
              <w:rPr>
                <w:noProof/>
                <w:webHidden/>
              </w:rPr>
              <w:fldChar w:fldCharType="end"/>
            </w:r>
          </w:hyperlink>
        </w:p>
        <w:p w14:paraId="0CB95063" w14:textId="77777777" w:rsidR="00DC131A" w:rsidRDefault="00F829DB">
          <w:pPr>
            <w:pStyle w:val="TOC2"/>
            <w:rPr>
              <w:rFonts w:eastAsiaTheme="minorEastAsia" w:cstheme="minorBidi"/>
              <w:noProof/>
              <w:lang w:eastAsia="en-AU"/>
            </w:rPr>
          </w:pPr>
          <w:hyperlink w:anchor="_Toc30148089" w:history="1">
            <w:r w:rsidR="00DC131A" w:rsidRPr="007F662B">
              <w:rPr>
                <w:rStyle w:val="Hyperlink"/>
                <w:noProof/>
              </w:rPr>
              <w:t>5.3.</w:t>
            </w:r>
            <w:r w:rsidR="00DC131A">
              <w:rPr>
                <w:rFonts w:eastAsiaTheme="minorEastAsia" w:cstheme="minorBidi"/>
                <w:noProof/>
                <w:lang w:eastAsia="en-AU"/>
              </w:rPr>
              <w:tab/>
            </w:r>
            <w:r w:rsidR="00DC131A" w:rsidRPr="007F662B">
              <w:rPr>
                <w:rStyle w:val="Hyperlink"/>
                <w:noProof/>
              </w:rPr>
              <w:t>Should Australia customise its innovation agenda by firm size, capability and strategy?</w:t>
            </w:r>
            <w:r w:rsidR="00DC131A">
              <w:rPr>
                <w:noProof/>
                <w:webHidden/>
              </w:rPr>
              <w:tab/>
            </w:r>
            <w:r w:rsidR="00DC131A">
              <w:rPr>
                <w:noProof/>
                <w:webHidden/>
              </w:rPr>
              <w:fldChar w:fldCharType="begin"/>
            </w:r>
            <w:r w:rsidR="00DC131A">
              <w:rPr>
                <w:noProof/>
                <w:webHidden/>
              </w:rPr>
              <w:instrText xml:space="preserve"> PAGEREF _Toc30148089 \h </w:instrText>
            </w:r>
            <w:r w:rsidR="00DC131A">
              <w:rPr>
                <w:noProof/>
                <w:webHidden/>
              </w:rPr>
            </w:r>
            <w:r w:rsidR="00DC131A">
              <w:rPr>
                <w:noProof/>
                <w:webHidden/>
              </w:rPr>
              <w:fldChar w:fldCharType="separate"/>
            </w:r>
            <w:r w:rsidR="005407CC">
              <w:rPr>
                <w:noProof/>
                <w:webHidden/>
              </w:rPr>
              <w:t>43</w:t>
            </w:r>
            <w:r w:rsidR="00DC131A">
              <w:rPr>
                <w:noProof/>
                <w:webHidden/>
              </w:rPr>
              <w:fldChar w:fldCharType="end"/>
            </w:r>
          </w:hyperlink>
        </w:p>
        <w:p w14:paraId="3C4DAFB2" w14:textId="77777777" w:rsidR="00DC131A" w:rsidRDefault="00F829DB">
          <w:pPr>
            <w:pStyle w:val="TOC1"/>
            <w:rPr>
              <w:rFonts w:eastAsiaTheme="minorEastAsia" w:cstheme="minorBidi"/>
              <w:b w:val="0"/>
              <w:color w:val="auto"/>
              <w:lang w:eastAsia="en-AU"/>
            </w:rPr>
          </w:pPr>
          <w:hyperlink w:anchor="_Toc30148090" w:history="1">
            <w:r w:rsidR="00DC131A" w:rsidRPr="007F662B">
              <w:rPr>
                <w:rStyle w:val="Hyperlink"/>
              </w:rPr>
              <w:t>6.</w:t>
            </w:r>
            <w:r w:rsidR="00DC131A">
              <w:rPr>
                <w:rFonts w:eastAsiaTheme="minorEastAsia" w:cstheme="minorBidi"/>
                <w:b w:val="0"/>
                <w:color w:val="auto"/>
                <w:lang w:eastAsia="en-AU"/>
              </w:rPr>
              <w:tab/>
            </w:r>
            <w:r w:rsidR="00DC131A" w:rsidRPr="007F662B">
              <w:rPr>
                <w:rStyle w:val="Hyperlink"/>
              </w:rPr>
              <w:t>Conclusion</w:t>
            </w:r>
            <w:r w:rsidR="00DC131A">
              <w:rPr>
                <w:webHidden/>
              </w:rPr>
              <w:tab/>
            </w:r>
            <w:r w:rsidR="00DC131A">
              <w:rPr>
                <w:webHidden/>
              </w:rPr>
              <w:fldChar w:fldCharType="begin"/>
            </w:r>
            <w:r w:rsidR="00DC131A">
              <w:rPr>
                <w:webHidden/>
              </w:rPr>
              <w:instrText xml:space="preserve"> PAGEREF _Toc30148090 \h </w:instrText>
            </w:r>
            <w:r w:rsidR="00DC131A">
              <w:rPr>
                <w:webHidden/>
              </w:rPr>
            </w:r>
            <w:r w:rsidR="00DC131A">
              <w:rPr>
                <w:webHidden/>
              </w:rPr>
              <w:fldChar w:fldCharType="separate"/>
            </w:r>
            <w:r w:rsidR="005407CC">
              <w:rPr>
                <w:webHidden/>
              </w:rPr>
              <w:t>45</w:t>
            </w:r>
            <w:r w:rsidR="00DC131A">
              <w:rPr>
                <w:webHidden/>
              </w:rPr>
              <w:fldChar w:fldCharType="end"/>
            </w:r>
          </w:hyperlink>
        </w:p>
        <w:p w14:paraId="0B5A0F51" w14:textId="77777777" w:rsidR="00DC131A" w:rsidRDefault="00F829DB">
          <w:pPr>
            <w:pStyle w:val="TOC1"/>
            <w:rPr>
              <w:rFonts w:eastAsiaTheme="minorEastAsia" w:cstheme="minorBidi"/>
              <w:b w:val="0"/>
              <w:color w:val="auto"/>
              <w:lang w:eastAsia="en-AU"/>
            </w:rPr>
          </w:pPr>
          <w:hyperlink w:anchor="_Toc30148091" w:history="1">
            <w:r w:rsidR="00DC131A" w:rsidRPr="007F662B">
              <w:rPr>
                <w:rStyle w:val="Hyperlink"/>
              </w:rPr>
              <w:t>Appendix A – Large firm R&amp;D and intangible asset intensity</w:t>
            </w:r>
            <w:r w:rsidR="00DC131A">
              <w:rPr>
                <w:webHidden/>
              </w:rPr>
              <w:tab/>
            </w:r>
            <w:r w:rsidR="00DC131A">
              <w:rPr>
                <w:webHidden/>
              </w:rPr>
              <w:fldChar w:fldCharType="begin"/>
            </w:r>
            <w:r w:rsidR="00DC131A">
              <w:rPr>
                <w:webHidden/>
              </w:rPr>
              <w:instrText xml:space="preserve"> PAGEREF _Toc30148091 \h </w:instrText>
            </w:r>
            <w:r w:rsidR="00DC131A">
              <w:rPr>
                <w:webHidden/>
              </w:rPr>
            </w:r>
            <w:r w:rsidR="00DC131A">
              <w:rPr>
                <w:webHidden/>
              </w:rPr>
              <w:fldChar w:fldCharType="separate"/>
            </w:r>
            <w:r w:rsidR="005407CC">
              <w:rPr>
                <w:webHidden/>
              </w:rPr>
              <w:t>47</w:t>
            </w:r>
            <w:r w:rsidR="00DC131A">
              <w:rPr>
                <w:webHidden/>
              </w:rPr>
              <w:fldChar w:fldCharType="end"/>
            </w:r>
          </w:hyperlink>
        </w:p>
        <w:p w14:paraId="190A4D20" w14:textId="77777777" w:rsidR="00DC131A" w:rsidRDefault="00F829DB">
          <w:pPr>
            <w:pStyle w:val="TOC1"/>
            <w:rPr>
              <w:rFonts w:eastAsiaTheme="minorEastAsia" w:cstheme="minorBidi"/>
              <w:b w:val="0"/>
              <w:color w:val="auto"/>
              <w:lang w:eastAsia="en-AU"/>
            </w:rPr>
          </w:pPr>
          <w:hyperlink w:anchor="_Toc30148092" w:history="1">
            <w:r w:rsidR="00DC131A" w:rsidRPr="007F662B">
              <w:rPr>
                <w:rStyle w:val="Hyperlink"/>
              </w:rPr>
              <w:t>Appendix B – Small firm technology expenditure and app adoption</w:t>
            </w:r>
            <w:r w:rsidR="00DC131A">
              <w:rPr>
                <w:webHidden/>
              </w:rPr>
              <w:tab/>
            </w:r>
            <w:r w:rsidR="00DC131A">
              <w:rPr>
                <w:webHidden/>
              </w:rPr>
              <w:fldChar w:fldCharType="begin"/>
            </w:r>
            <w:r w:rsidR="00DC131A">
              <w:rPr>
                <w:webHidden/>
              </w:rPr>
              <w:instrText xml:space="preserve"> PAGEREF _Toc30148092 \h </w:instrText>
            </w:r>
            <w:r w:rsidR="00DC131A">
              <w:rPr>
                <w:webHidden/>
              </w:rPr>
            </w:r>
            <w:r w:rsidR="00DC131A">
              <w:rPr>
                <w:webHidden/>
              </w:rPr>
              <w:fldChar w:fldCharType="separate"/>
            </w:r>
            <w:r w:rsidR="005407CC">
              <w:rPr>
                <w:webHidden/>
              </w:rPr>
              <w:t>51</w:t>
            </w:r>
            <w:r w:rsidR="00DC131A">
              <w:rPr>
                <w:webHidden/>
              </w:rPr>
              <w:fldChar w:fldCharType="end"/>
            </w:r>
          </w:hyperlink>
        </w:p>
        <w:p w14:paraId="3B3D8F08" w14:textId="77777777" w:rsidR="00DC131A" w:rsidRDefault="00F829DB">
          <w:pPr>
            <w:pStyle w:val="TOC1"/>
            <w:rPr>
              <w:rFonts w:eastAsiaTheme="minorEastAsia" w:cstheme="minorBidi"/>
              <w:b w:val="0"/>
              <w:color w:val="auto"/>
              <w:lang w:eastAsia="en-AU"/>
            </w:rPr>
          </w:pPr>
          <w:hyperlink w:anchor="_Toc30148093" w:history="1">
            <w:r w:rsidR="00DC131A" w:rsidRPr="007F662B">
              <w:rPr>
                <w:rStyle w:val="Hyperlink"/>
              </w:rPr>
              <w:t>Appendix C – Business investment in ICT and intangibles</w:t>
            </w:r>
            <w:r w:rsidR="00DC131A">
              <w:rPr>
                <w:webHidden/>
              </w:rPr>
              <w:tab/>
            </w:r>
            <w:r w:rsidR="00DC131A">
              <w:rPr>
                <w:webHidden/>
              </w:rPr>
              <w:fldChar w:fldCharType="begin"/>
            </w:r>
            <w:r w:rsidR="00DC131A">
              <w:rPr>
                <w:webHidden/>
              </w:rPr>
              <w:instrText xml:space="preserve"> PAGEREF _Toc30148093 \h </w:instrText>
            </w:r>
            <w:r w:rsidR="00DC131A">
              <w:rPr>
                <w:webHidden/>
              </w:rPr>
            </w:r>
            <w:r w:rsidR="00DC131A">
              <w:rPr>
                <w:webHidden/>
              </w:rPr>
              <w:fldChar w:fldCharType="separate"/>
            </w:r>
            <w:r w:rsidR="005407CC">
              <w:rPr>
                <w:webHidden/>
              </w:rPr>
              <w:t>55</w:t>
            </w:r>
            <w:r w:rsidR="00DC131A">
              <w:rPr>
                <w:webHidden/>
              </w:rPr>
              <w:fldChar w:fldCharType="end"/>
            </w:r>
          </w:hyperlink>
        </w:p>
        <w:p w14:paraId="43A4E78B" w14:textId="77777777" w:rsidR="00DC131A" w:rsidRDefault="00F829DB">
          <w:pPr>
            <w:pStyle w:val="TOC1"/>
            <w:rPr>
              <w:rFonts w:eastAsiaTheme="minorEastAsia" w:cstheme="minorBidi"/>
              <w:b w:val="0"/>
              <w:color w:val="auto"/>
              <w:lang w:eastAsia="en-AU"/>
            </w:rPr>
          </w:pPr>
          <w:hyperlink w:anchor="_Toc30148094" w:history="1">
            <w:r w:rsidR="00DC131A" w:rsidRPr="007F662B">
              <w:rPr>
                <w:rStyle w:val="Hyperlink"/>
              </w:rPr>
              <w:t>Glossary</w:t>
            </w:r>
            <w:r w:rsidR="00DC131A">
              <w:rPr>
                <w:webHidden/>
              </w:rPr>
              <w:tab/>
            </w:r>
            <w:r w:rsidR="00DC131A">
              <w:rPr>
                <w:webHidden/>
              </w:rPr>
              <w:fldChar w:fldCharType="begin"/>
            </w:r>
            <w:r w:rsidR="00DC131A">
              <w:rPr>
                <w:webHidden/>
              </w:rPr>
              <w:instrText xml:space="preserve"> PAGEREF _Toc30148094 \h </w:instrText>
            </w:r>
            <w:r w:rsidR="00DC131A">
              <w:rPr>
                <w:webHidden/>
              </w:rPr>
            </w:r>
            <w:r w:rsidR="00DC131A">
              <w:rPr>
                <w:webHidden/>
              </w:rPr>
              <w:fldChar w:fldCharType="separate"/>
            </w:r>
            <w:r w:rsidR="005407CC">
              <w:rPr>
                <w:webHidden/>
              </w:rPr>
              <w:t>57</w:t>
            </w:r>
            <w:r w:rsidR="00DC131A">
              <w:rPr>
                <w:webHidden/>
              </w:rPr>
              <w:fldChar w:fldCharType="end"/>
            </w:r>
          </w:hyperlink>
        </w:p>
        <w:p w14:paraId="6FCBCA38" w14:textId="405F2865" w:rsidR="00F30609" w:rsidRDefault="00F30609" w:rsidP="00F30609">
          <w:pPr>
            <w:spacing w:line="20" w:lineRule="atLeast"/>
            <w:rPr>
              <w:noProof/>
            </w:rPr>
          </w:pPr>
          <w:r w:rsidRPr="00620057">
            <w:rPr>
              <w:bCs/>
              <w:noProof/>
            </w:rPr>
            <w:fldChar w:fldCharType="end"/>
          </w:r>
        </w:p>
      </w:sdtContent>
    </w:sdt>
    <w:p w14:paraId="211BB726" w14:textId="68887AB3" w:rsidR="0063411F" w:rsidRDefault="0063411F" w:rsidP="00253E15">
      <w:pPr>
        <w:pStyle w:val="Heading1"/>
        <w:numPr>
          <w:ilvl w:val="0"/>
          <w:numId w:val="0"/>
        </w:numPr>
      </w:pPr>
      <w:bookmarkStart w:id="5" w:name="_Toc30148065"/>
      <w:r w:rsidRPr="0057257C">
        <w:lastRenderedPageBreak/>
        <w:t>Executive Summary</w:t>
      </w:r>
      <w:bookmarkEnd w:id="4"/>
      <w:bookmarkEnd w:id="5"/>
      <w:r w:rsidR="00CE5DF0">
        <w:t xml:space="preserve"> </w:t>
      </w:r>
    </w:p>
    <w:p w14:paraId="5391752D" w14:textId="7F534980" w:rsidR="005F1E7E" w:rsidRPr="008B43CB" w:rsidRDefault="005F1E7E" w:rsidP="005F1E7E">
      <w:pPr>
        <w:rPr>
          <w:lang w:val="en-US"/>
        </w:rPr>
      </w:pPr>
      <w:bookmarkStart w:id="6" w:name="_Hlk14773025"/>
      <w:r w:rsidRPr="008B43CB">
        <w:rPr>
          <w:lang w:val="en-US"/>
        </w:rPr>
        <w:t xml:space="preserve">Australia’s prosperity rests to a large degree on the competitiveness of our business sector, and in turn that competitiveness is driven by the rate and character of firm-level innovation. On some aggregate measures like </w:t>
      </w:r>
      <w:r w:rsidR="00466C76">
        <w:rPr>
          <w:lang w:val="en-US"/>
        </w:rPr>
        <w:t>R</w:t>
      </w:r>
      <w:r w:rsidR="006E19C0">
        <w:rPr>
          <w:lang w:val="en-US"/>
        </w:rPr>
        <w:t xml:space="preserve">esearch and </w:t>
      </w:r>
      <w:r w:rsidR="00466C76">
        <w:rPr>
          <w:lang w:val="en-US"/>
        </w:rPr>
        <w:t>D</w:t>
      </w:r>
      <w:r w:rsidR="006E19C0">
        <w:rPr>
          <w:lang w:val="en-US"/>
        </w:rPr>
        <w:t>evelopment (</w:t>
      </w:r>
      <w:r w:rsidRPr="008B43CB">
        <w:rPr>
          <w:lang w:val="en-US"/>
        </w:rPr>
        <w:t>R&amp;D</w:t>
      </w:r>
      <w:r w:rsidR="006E19C0">
        <w:rPr>
          <w:lang w:val="en-US"/>
        </w:rPr>
        <w:t>)</w:t>
      </w:r>
      <w:r w:rsidRPr="008B43CB">
        <w:rPr>
          <w:lang w:val="en-US"/>
        </w:rPr>
        <w:t xml:space="preserve"> investment, Australia’s business sector appears to be rapidly falling behind in the global innovation race. This has been a concern for business leaders and policymakers alike.</w:t>
      </w:r>
    </w:p>
    <w:p w14:paraId="536B611E" w14:textId="665395CA" w:rsidR="005F1E7E" w:rsidRPr="008B43CB" w:rsidRDefault="005F1E7E" w:rsidP="005F1E7E">
      <w:pPr>
        <w:rPr>
          <w:lang w:val="en-US"/>
        </w:rPr>
      </w:pPr>
      <w:r w:rsidRPr="008B43CB">
        <w:rPr>
          <w:lang w:val="en-US"/>
        </w:rPr>
        <w:t>In this project we have put investment in innovation under the microscope. The report creates a baseline for Australian business investment in innovation, diagnosing the key trends and drivers</w:t>
      </w:r>
      <w:r w:rsidR="00EC2AD6">
        <w:rPr>
          <w:lang w:val="en-US"/>
        </w:rPr>
        <w:t>,</w:t>
      </w:r>
      <w:r w:rsidRPr="008B43CB">
        <w:rPr>
          <w:lang w:val="en-US"/>
        </w:rPr>
        <w:t xml:space="preserve"> and </w:t>
      </w:r>
      <w:r w:rsidR="00EC2AD6">
        <w:rPr>
          <w:lang w:val="en-US"/>
        </w:rPr>
        <w:t xml:space="preserve">the </w:t>
      </w:r>
      <w:r w:rsidRPr="008B43CB">
        <w:rPr>
          <w:lang w:val="en-US"/>
        </w:rPr>
        <w:t>opportunities by sector and firm size</w:t>
      </w:r>
      <w:r w:rsidR="00EC2AD6">
        <w:rPr>
          <w:lang w:val="en-US"/>
        </w:rPr>
        <w:t>,</w:t>
      </w:r>
      <w:r w:rsidRPr="008B43CB">
        <w:rPr>
          <w:lang w:val="en-US"/>
        </w:rPr>
        <w:t xml:space="preserve"> to accelerate innovation investment by businesses. Finally, it defines strategic choices policymakers need to make now to accelerate innovation investment, and help Australia </w:t>
      </w:r>
      <w:r w:rsidR="00EC2AD6">
        <w:rPr>
          <w:lang w:val="en-US"/>
        </w:rPr>
        <w:t xml:space="preserve">increase </w:t>
      </w:r>
      <w:r w:rsidRPr="008B43CB">
        <w:rPr>
          <w:lang w:val="en-US"/>
        </w:rPr>
        <w:t xml:space="preserve">jobs, growth and productivity. </w:t>
      </w:r>
    </w:p>
    <w:bookmarkEnd w:id="6"/>
    <w:p w14:paraId="4D8DEBF3" w14:textId="0D826342" w:rsidR="005F1E7E" w:rsidRPr="008B43CB" w:rsidRDefault="005F1E7E" w:rsidP="005F1E7E">
      <w:pPr>
        <w:rPr>
          <w:lang w:val="en-US"/>
        </w:rPr>
      </w:pPr>
      <w:r w:rsidRPr="008B43CB">
        <w:rPr>
          <w:lang w:val="en-US"/>
        </w:rPr>
        <w:t>We find that whil</w:t>
      </w:r>
      <w:r w:rsidR="001B5478">
        <w:rPr>
          <w:lang w:val="en-US"/>
        </w:rPr>
        <w:t>e</w:t>
      </w:r>
      <w:r w:rsidRPr="008B43CB">
        <w:rPr>
          <w:lang w:val="en-US"/>
        </w:rPr>
        <w:t xml:space="preserve"> falling</w:t>
      </w:r>
      <w:r w:rsidR="005710B6" w:rsidRPr="008B43CB">
        <w:rPr>
          <w:lang w:val="en-US"/>
        </w:rPr>
        <w:t xml:space="preserve"> </w:t>
      </w:r>
      <w:r w:rsidRPr="008B43CB">
        <w:rPr>
          <w:lang w:val="en-US"/>
        </w:rPr>
        <w:t xml:space="preserve">R&amp;D is a concern, the distinctive structure of </w:t>
      </w:r>
      <w:r w:rsidR="00EC2AD6">
        <w:rPr>
          <w:lang w:val="en-US"/>
        </w:rPr>
        <w:t xml:space="preserve">Australia’s </w:t>
      </w:r>
      <w:r w:rsidRPr="008B43CB">
        <w:rPr>
          <w:lang w:val="en-US"/>
        </w:rPr>
        <w:t xml:space="preserve">economy means that </w:t>
      </w:r>
      <w:r w:rsidR="005710B6" w:rsidRPr="008B43CB">
        <w:rPr>
          <w:lang w:val="en-US"/>
        </w:rPr>
        <w:t xml:space="preserve">economy-wide </w:t>
      </w:r>
      <w:r w:rsidRPr="008B43CB">
        <w:rPr>
          <w:lang w:val="en-US"/>
        </w:rPr>
        <w:t>R&amp;D only give</w:t>
      </w:r>
      <w:r w:rsidR="005710B6" w:rsidRPr="008B43CB">
        <w:rPr>
          <w:lang w:val="en-US"/>
        </w:rPr>
        <w:t>s</w:t>
      </w:r>
      <w:r w:rsidRPr="008B43CB">
        <w:rPr>
          <w:lang w:val="en-US"/>
        </w:rPr>
        <w:t xml:space="preserve"> a partial picture of Australia’s innovation performance</w:t>
      </w:r>
      <w:r w:rsidR="006E19C0">
        <w:rPr>
          <w:lang w:val="en-US"/>
        </w:rPr>
        <w:t>. In</w:t>
      </w:r>
      <w:r w:rsidRPr="008B43CB">
        <w:rPr>
          <w:lang w:val="en-US"/>
        </w:rPr>
        <w:t xml:space="preserve"> the past decade</w:t>
      </w:r>
      <w:r w:rsidR="006E19C0">
        <w:rPr>
          <w:lang w:val="en-US"/>
        </w:rPr>
        <w:t>,</w:t>
      </w:r>
      <w:r w:rsidRPr="008B43CB">
        <w:rPr>
          <w:lang w:val="en-US"/>
        </w:rPr>
        <w:t xml:space="preserve"> structural and cyclical factors</w:t>
      </w:r>
      <w:r w:rsidR="00365B2F" w:rsidRPr="008B43CB">
        <w:rPr>
          <w:lang w:val="en-US"/>
        </w:rPr>
        <w:t xml:space="preserve"> – including the mining cycle – </w:t>
      </w:r>
      <w:r w:rsidRPr="008B43CB">
        <w:rPr>
          <w:lang w:val="en-US"/>
        </w:rPr>
        <w:t>have further muddied the waters. In many sectors, Australia invests more in R&amp;D than our global peers do. But Australia is not competing as intensively in what many believe are the most lucrative parts of the global innovation race.</w:t>
      </w:r>
    </w:p>
    <w:p w14:paraId="2401748F" w14:textId="55FD191B" w:rsidR="00FB7B3B" w:rsidRPr="008B43CB" w:rsidRDefault="005710B6">
      <w:pPr>
        <w:rPr>
          <w:lang w:val="en-US"/>
        </w:rPr>
      </w:pPr>
      <w:r w:rsidRPr="008B43CB">
        <w:rPr>
          <w:lang w:val="en-US"/>
        </w:rPr>
        <w:t>For a holistic view, w</w:t>
      </w:r>
      <w:r w:rsidR="005F1E7E" w:rsidRPr="008B43CB">
        <w:rPr>
          <w:lang w:val="en-US"/>
        </w:rPr>
        <w:t>e have analysed a range of data sources on a broad spectrum of innovation investment</w:t>
      </w:r>
      <w:r w:rsidR="00FB7B3B" w:rsidRPr="008B43CB">
        <w:rPr>
          <w:lang w:val="en-US"/>
        </w:rPr>
        <w:t xml:space="preserve">. Unlike R&amp;D, aggregate investment in innovation appears to have been stable as a share of GDP since the early years of this decade. It </w:t>
      </w:r>
      <w:r w:rsidR="005F1E7E" w:rsidRPr="008B43CB">
        <w:rPr>
          <w:lang w:val="en-US"/>
        </w:rPr>
        <w:t xml:space="preserve">includes R&amp;D but also encompasses investments in a range of areas such as digital, data, design, and organisational capability. </w:t>
      </w:r>
      <w:r w:rsidR="008B43CB">
        <w:rPr>
          <w:lang w:val="en-US"/>
        </w:rPr>
        <w:t>Non</w:t>
      </w:r>
      <w:r w:rsidR="008B43CB" w:rsidRPr="008B43CB">
        <w:rPr>
          <w:lang w:val="en-US"/>
        </w:rPr>
        <w:t>-R&amp;D</w:t>
      </w:r>
      <w:r w:rsidR="005F1E7E" w:rsidRPr="008B43CB">
        <w:rPr>
          <w:lang w:val="en-US"/>
        </w:rPr>
        <w:t xml:space="preserve"> investment</w:t>
      </w:r>
      <w:r w:rsidR="008B43CB" w:rsidRPr="008B43CB">
        <w:rPr>
          <w:lang w:val="en-US"/>
        </w:rPr>
        <w:t xml:space="preserve"> by firms in Australia </w:t>
      </w:r>
      <w:r w:rsidR="00FB7B3B" w:rsidRPr="008B43CB">
        <w:rPr>
          <w:lang w:val="en-US"/>
        </w:rPr>
        <w:t xml:space="preserve">now appears to </w:t>
      </w:r>
      <w:r w:rsidR="005F1E7E" w:rsidRPr="008B43CB">
        <w:rPr>
          <w:lang w:val="en-US"/>
        </w:rPr>
        <w:t>equal</w:t>
      </w:r>
      <w:r w:rsidR="00FB7B3B" w:rsidRPr="008B43CB">
        <w:rPr>
          <w:lang w:val="en-US"/>
        </w:rPr>
        <w:t xml:space="preserve"> </w:t>
      </w:r>
      <w:r w:rsidR="005F1E7E" w:rsidRPr="008B43CB">
        <w:rPr>
          <w:lang w:val="en-US"/>
        </w:rPr>
        <w:t>or exceed</w:t>
      </w:r>
      <w:r w:rsidR="00FB7B3B" w:rsidRPr="008B43CB">
        <w:rPr>
          <w:lang w:val="en-US"/>
        </w:rPr>
        <w:t xml:space="preserve"> </w:t>
      </w:r>
      <w:r w:rsidR="005F1E7E" w:rsidRPr="008B43CB">
        <w:rPr>
          <w:lang w:val="en-US"/>
        </w:rPr>
        <w:t xml:space="preserve">investment in R&amp;D. </w:t>
      </w:r>
    </w:p>
    <w:p w14:paraId="1CF334DB" w14:textId="4ACC2BA7" w:rsidR="005F1E7E" w:rsidRPr="008B43CB" w:rsidRDefault="00EC2AD6" w:rsidP="00FB7B3B">
      <w:r>
        <w:t>Investment in n</w:t>
      </w:r>
      <w:r w:rsidR="00FB7B3B" w:rsidRPr="008B43CB">
        <w:t>on-R&amp;D innovation is more widespread than R&amp;D</w:t>
      </w:r>
      <w:r>
        <w:t xml:space="preserve"> innovation</w:t>
      </w:r>
      <w:r w:rsidR="00FB7B3B" w:rsidRPr="008B43CB">
        <w:t xml:space="preserve">, and it may also be a stronger driver of productivity than R&amp;D. </w:t>
      </w:r>
      <w:r w:rsidR="00300FD1" w:rsidRPr="008B43CB">
        <w:t>For every</w:t>
      </w:r>
      <w:r w:rsidR="00EC025B" w:rsidRPr="00F70A33">
        <w:rPr>
          <w:lang w:val="en-US"/>
        </w:rPr>
        <w:t xml:space="preserve"> Australian business </w:t>
      </w:r>
      <w:r w:rsidR="006B05F7" w:rsidRPr="008B43CB">
        <w:rPr>
          <w:lang w:val="en-US"/>
        </w:rPr>
        <w:t>that invests in R&amp;D</w:t>
      </w:r>
      <w:r w:rsidR="00151667" w:rsidRPr="008B43CB">
        <w:rPr>
          <w:lang w:val="en-US"/>
        </w:rPr>
        <w:t>,</w:t>
      </w:r>
      <w:r w:rsidR="00FB7B3B" w:rsidRPr="008B43CB">
        <w:rPr>
          <w:lang w:val="en-US"/>
        </w:rPr>
        <w:t xml:space="preserve"> more than five firms </w:t>
      </w:r>
      <w:r w:rsidR="006B05F7" w:rsidRPr="008B43CB">
        <w:rPr>
          <w:lang w:val="en-US"/>
        </w:rPr>
        <w:t>invest</w:t>
      </w:r>
      <w:r w:rsidR="009B4367" w:rsidRPr="008B43CB">
        <w:rPr>
          <w:lang w:val="en-US"/>
        </w:rPr>
        <w:t xml:space="preserve"> </w:t>
      </w:r>
      <w:r w:rsidR="006B05F7" w:rsidRPr="008B43CB">
        <w:rPr>
          <w:lang w:val="en-US"/>
        </w:rPr>
        <w:t>in innovation more broadly</w:t>
      </w:r>
      <w:r w:rsidR="00FB7B3B" w:rsidRPr="008B43CB">
        <w:rPr>
          <w:lang w:val="en-US"/>
        </w:rPr>
        <w:t>. Small firms</w:t>
      </w:r>
      <w:r w:rsidR="009B4367" w:rsidRPr="008B43CB">
        <w:rPr>
          <w:lang w:val="en-US"/>
        </w:rPr>
        <w:t xml:space="preserve"> </w:t>
      </w:r>
      <w:r w:rsidR="00FB7B3B" w:rsidRPr="008B43CB">
        <w:rPr>
          <w:lang w:val="en-US"/>
        </w:rPr>
        <w:t xml:space="preserve">are much more likely to invest in non-R&amp;D innovation than in R&amp;D. Productivity growth </w:t>
      </w:r>
      <w:r>
        <w:rPr>
          <w:lang w:val="en-US"/>
        </w:rPr>
        <w:t xml:space="preserve">also </w:t>
      </w:r>
      <w:r w:rsidR="00FB7B3B" w:rsidRPr="008B43CB">
        <w:rPr>
          <w:lang w:val="en-US"/>
        </w:rPr>
        <w:t xml:space="preserve">tends to be stronger in sectors where more firms are making these </w:t>
      </w:r>
      <w:r>
        <w:rPr>
          <w:lang w:val="en-US"/>
        </w:rPr>
        <w:t>non-R&amp;D innovation</w:t>
      </w:r>
      <w:r w:rsidR="00FB7B3B" w:rsidRPr="008B43CB">
        <w:rPr>
          <w:lang w:val="en-US"/>
        </w:rPr>
        <w:t xml:space="preserve"> investments. And positively, since 2013 there has been an increasing number of firms identifying as making such investments.</w:t>
      </w:r>
    </w:p>
    <w:p w14:paraId="53181970" w14:textId="63DE30B5" w:rsidR="008D6939" w:rsidRPr="008B43CB" w:rsidRDefault="00365B2F" w:rsidP="008D6939">
      <w:r w:rsidRPr="008B43CB">
        <w:rPr>
          <w:lang w:val="en-US"/>
        </w:rPr>
        <w:t>I</w:t>
      </w:r>
      <w:r w:rsidR="005F1E7E" w:rsidRPr="008B43CB">
        <w:rPr>
          <w:lang w:val="en-US"/>
        </w:rPr>
        <w:t>nternational studies on intangible assets</w:t>
      </w:r>
      <w:r w:rsidR="009E5058" w:rsidRPr="009E5058">
        <w:rPr>
          <w:lang w:val="en-US"/>
        </w:rPr>
        <w:t xml:space="preserve"> </w:t>
      </w:r>
      <w:r w:rsidR="009E5058">
        <w:rPr>
          <w:lang w:val="en-US"/>
        </w:rPr>
        <w:t xml:space="preserve">(created by firms when they </w:t>
      </w:r>
      <w:r w:rsidR="009E5058" w:rsidRPr="008B43CB">
        <w:rPr>
          <w:lang w:val="en-US"/>
        </w:rPr>
        <w:t>invest</w:t>
      </w:r>
      <w:r w:rsidR="009E5058">
        <w:rPr>
          <w:lang w:val="en-US"/>
        </w:rPr>
        <w:t xml:space="preserve"> in innovation) </w:t>
      </w:r>
      <w:r w:rsidR="009E5058" w:rsidRPr="008B43CB">
        <w:rPr>
          <w:lang w:val="en-US"/>
        </w:rPr>
        <w:t>suggest they are growing in importance</w:t>
      </w:r>
      <w:r w:rsidR="005F1E7E" w:rsidRPr="008B43CB">
        <w:rPr>
          <w:lang w:val="en-US"/>
        </w:rPr>
        <w:t>.</w:t>
      </w:r>
      <w:r w:rsidRPr="008B43CB">
        <w:rPr>
          <w:lang w:val="en-US"/>
        </w:rPr>
        <w:t xml:space="preserve"> While </w:t>
      </w:r>
      <w:r w:rsidR="008D6939" w:rsidRPr="008B43CB">
        <w:t xml:space="preserve">Australia’s </w:t>
      </w:r>
      <w:r w:rsidR="003971F8" w:rsidRPr="008B43CB">
        <w:t xml:space="preserve">large firms </w:t>
      </w:r>
      <w:r w:rsidRPr="008B43CB">
        <w:t xml:space="preserve">overall appear to lag on intangibles, in fact, the gap to </w:t>
      </w:r>
      <w:r w:rsidR="008D6939" w:rsidRPr="008B43CB">
        <w:t xml:space="preserve">global </w:t>
      </w:r>
      <w:r w:rsidRPr="008B43CB">
        <w:t xml:space="preserve">peers is due </w:t>
      </w:r>
      <w:r w:rsidR="008D6939" w:rsidRPr="008B43CB">
        <w:t>Australia’s industry mix</w:t>
      </w:r>
      <w:r w:rsidR="00382019" w:rsidRPr="008B43CB">
        <w:t xml:space="preserve">, </w:t>
      </w:r>
      <w:r w:rsidR="00EC2AD6">
        <w:t>as Australia has</w:t>
      </w:r>
      <w:r w:rsidR="00EE0AE0" w:rsidRPr="008B43CB">
        <w:t xml:space="preserve"> smaller manufacturing and information, media and telecommunications </w:t>
      </w:r>
      <w:r w:rsidR="00EC2AD6">
        <w:t xml:space="preserve">(IMT) </w:t>
      </w:r>
      <w:r w:rsidR="00EE0AE0" w:rsidRPr="008B43CB">
        <w:t>sectors than global peers.</w:t>
      </w:r>
    </w:p>
    <w:p w14:paraId="48EE263A" w14:textId="2832BE05" w:rsidR="009B4367" w:rsidRPr="008B43CB" w:rsidRDefault="009B4367" w:rsidP="009B4367">
      <w:pPr>
        <w:spacing w:before="0" w:after="160"/>
        <w:jc w:val="left"/>
      </w:pPr>
      <w:r w:rsidRPr="008B43CB">
        <w:t>Meanwhile, only 25 – 40 per cent of small firms undertake innovation, and when they do, they tend to focus on non-R&amp;D activities. Those small firms that are investing in digital and ICT technologies experience better employment and growth outcomes.</w:t>
      </w:r>
    </w:p>
    <w:p w14:paraId="608A0FCE" w14:textId="5A5FA966" w:rsidR="00226F7B" w:rsidRDefault="009B4367" w:rsidP="00754380">
      <w:pPr>
        <w:spacing w:before="0" w:after="160"/>
        <w:jc w:val="left"/>
        <w:rPr>
          <w:iCs/>
        </w:rPr>
      </w:pPr>
      <w:r w:rsidRPr="008B43CB">
        <w:rPr>
          <w:iCs/>
        </w:rPr>
        <w:t>T</w:t>
      </w:r>
      <w:r w:rsidR="00365B2F" w:rsidRPr="008B43CB">
        <w:rPr>
          <w:iCs/>
        </w:rPr>
        <w:t xml:space="preserve">his data brings Australia’s innovation challenges into greater focus. </w:t>
      </w:r>
      <w:r w:rsidR="008B43CB" w:rsidRPr="008B43CB">
        <w:rPr>
          <w:iCs/>
        </w:rPr>
        <w:t xml:space="preserve">First, </w:t>
      </w:r>
      <w:r w:rsidRPr="008B43CB">
        <w:t>Australia’s unique mix of sectors results in a significantly different pattern of innovation investment to global peers</w:t>
      </w:r>
      <w:r w:rsidR="008B43CB" w:rsidRPr="008B43CB">
        <w:t>, both in R&amp;D and beyond it</w:t>
      </w:r>
      <w:r w:rsidRPr="008B43CB">
        <w:t xml:space="preserve">. </w:t>
      </w:r>
      <w:r w:rsidR="008B43CB" w:rsidRPr="008B43CB">
        <w:t>S</w:t>
      </w:r>
      <w:r w:rsidR="008B43CB" w:rsidRPr="008B43CB">
        <w:rPr>
          <w:iCs/>
        </w:rPr>
        <w:t xml:space="preserve">econd, innovation beyond R&amp;D plays a key and perhaps under-appreciated role in many sectors. And third, firms of different types innovate in different ways. </w:t>
      </w:r>
    </w:p>
    <w:p w14:paraId="22F29EC0" w14:textId="77777777" w:rsidR="00226F7B" w:rsidRDefault="00226F7B">
      <w:pPr>
        <w:spacing w:before="0" w:after="160"/>
        <w:jc w:val="left"/>
        <w:rPr>
          <w:iCs/>
        </w:rPr>
      </w:pPr>
      <w:r>
        <w:rPr>
          <w:iCs/>
        </w:rPr>
        <w:br w:type="page"/>
      </w:r>
    </w:p>
    <w:p w14:paraId="04EFF65F" w14:textId="4317CD60" w:rsidR="009B4367" w:rsidRPr="008B43CB" w:rsidRDefault="009B4367" w:rsidP="00754380">
      <w:pPr>
        <w:spacing w:before="0" w:after="160"/>
        <w:jc w:val="left"/>
      </w:pPr>
      <w:r w:rsidRPr="008B43CB">
        <w:lastRenderedPageBreak/>
        <w:t>For policymakers, we believe the findings emphasise the need to lift both R&amp;D investment and</w:t>
      </w:r>
      <w:r w:rsidR="00466C76">
        <w:t xml:space="preserve"> non-R&amp;D innovation </w:t>
      </w:r>
      <w:r w:rsidRPr="008B43CB">
        <w:t>investment. The policy mix required to achieve this will be shaped in part by three key choices:</w:t>
      </w:r>
    </w:p>
    <w:p w14:paraId="3EB943E8" w14:textId="44CF481D" w:rsidR="009B4367" w:rsidRPr="008B43CB" w:rsidRDefault="009B4367" w:rsidP="009B4367">
      <w:pPr>
        <w:pStyle w:val="ListParagraph"/>
        <w:numPr>
          <w:ilvl w:val="0"/>
          <w:numId w:val="43"/>
        </w:numPr>
        <w:rPr>
          <w:rFonts w:asciiTheme="minorHAnsi" w:hAnsiTheme="minorHAnsi" w:cstheme="minorHAnsi"/>
          <w:sz w:val="22"/>
          <w:szCs w:val="22"/>
        </w:rPr>
      </w:pPr>
      <w:r w:rsidRPr="008B43CB">
        <w:rPr>
          <w:rFonts w:asciiTheme="minorHAnsi" w:hAnsiTheme="minorHAnsi" w:cstheme="minorHAnsi"/>
          <w:sz w:val="22"/>
          <w:szCs w:val="22"/>
        </w:rPr>
        <w:t>Should policymaker</w:t>
      </w:r>
      <w:r w:rsidR="00973B43">
        <w:rPr>
          <w:rFonts w:asciiTheme="minorHAnsi" w:hAnsiTheme="minorHAnsi" w:cstheme="minorHAnsi"/>
          <w:sz w:val="22"/>
          <w:szCs w:val="22"/>
        </w:rPr>
        <w:t>s</w:t>
      </w:r>
      <w:r w:rsidRPr="008B43CB">
        <w:rPr>
          <w:rFonts w:asciiTheme="minorHAnsi" w:hAnsiTheme="minorHAnsi" w:cstheme="minorHAnsi"/>
          <w:sz w:val="22"/>
          <w:szCs w:val="22"/>
        </w:rPr>
        <w:t xml:space="preserve"> rebalance support for R&amp;D and non-R&amp;D business investment in innovation? </w:t>
      </w:r>
    </w:p>
    <w:p w14:paraId="646EF9C4" w14:textId="71895804" w:rsidR="009B4367" w:rsidRPr="008B43CB" w:rsidRDefault="009B4367" w:rsidP="009B4367">
      <w:pPr>
        <w:pStyle w:val="ListParagraph"/>
        <w:numPr>
          <w:ilvl w:val="0"/>
          <w:numId w:val="43"/>
        </w:numPr>
        <w:rPr>
          <w:rFonts w:asciiTheme="minorHAnsi" w:hAnsiTheme="minorHAnsi" w:cstheme="minorHAnsi"/>
          <w:sz w:val="22"/>
          <w:szCs w:val="22"/>
        </w:rPr>
      </w:pPr>
      <w:r w:rsidRPr="008B43CB">
        <w:rPr>
          <w:rFonts w:asciiTheme="minorHAnsi" w:hAnsiTheme="minorHAnsi" w:cstheme="minorHAnsi"/>
          <w:sz w:val="22"/>
          <w:szCs w:val="22"/>
        </w:rPr>
        <w:t xml:space="preserve">Should policy focus on growing our activity in the most R&amp;D-intensive sectors, namely Manufacturing and </w:t>
      </w:r>
      <w:r w:rsidR="00EC2AD6">
        <w:rPr>
          <w:rFonts w:asciiTheme="minorHAnsi" w:hAnsiTheme="minorHAnsi" w:cstheme="minorHAnsi"/>
          <w:sz w:val="22"/>
          <w:szCs w:val="22"/>
        </w:rPr>
        <w:t>IMT</w:t>
      </w:r>
      <w:r w:rsidRPr="008B43CB">
        <w:rPr>
          <w:rFonts w:asciiTheme="minorHAnsi" w:hAnsiTheme="minorHAnsi" w:cstheme="minorHAnsi"/>
          <w:sz w:val="22"/>
          <w:szCs w:val="22"/>
        </w:rPr>
        <w:t>, or in other sectors, and if so which ones?</w:t>
      </w:r>
    </w:p>
    <w:p w14:paraId="1070AFEB" w14:textId="2BF51939" w:rsidR="009B4367" w:rsidRPr="008B43CB" w:rsidRDefault="009B4367" w:rsidP="009B4367">
      <w:pPr>
        <w:pStyle w:val="ListParagraph"/>
        <w:numPr>
          <w:ilvl w:val="0"/>
          <w:numId w:val="43"/>
        </w:numPr>
        <w:rPr>
          <w:rFonts w:asciiTheme="minorHAnsi" w:hAnsiTheme="minorHAnsi" w:cstheme="minorHAnsi"/>
          <w:sz w:val="22"/>
          <w:szCs w:val="22"/>
        </w:rPr>
      </w:pPr>
      <w:r w:rsidRPr="008B43CB">
        <w:rPr>
          <w:rFonts w:asciiTheme="minorHAnsi" w:hAnsiTheme="minorHAnsi" w:cstheme="minorHAnsi"/>
          <w:sz w:val="22"/>
          <w:szCs w:val="22"/>
        </w:rPr>
        <w:t xml:space="preserve">Should the innovation policy mix be customised based on firm </w:t>
      </w:r>
      <w:r w:rsidR="00EF33B6">
        <w:rPr>
          <w:rFonts w:asciiTheme="minorHAnsi" w:hAnsiTheme="minorHAnsi" w:cstheme="minorHAnsi"/>
          <w:sz w:val="22"/>
          <w:szCs w:val="22"/>
        </w:rPr>
        <w:t>characteristics</w:t>
      </w:r>
      <w:r w:rsidRPr="008B43CB">
        <w:rPr>
          <w:rFonts w:asciiTheme="minorHAnsi" w:hAnsiTheme="minorHAnsi" w:cstheme="minorHAnsi"/>
          <w:sz w:val="22"/>
          <w:szCs w:val="22"/>
        </w:rPr>
        <w:t>, capability, and strategy?</w:t>
      </w:r>
    </w:p>
    <w:p w14:paraId="09709477" w14:textId="76F0D44D" w:rsidR="00226F7B" w:rsidRDefault="009B4367" w:rsidP="00246A6C">
      <w:pPr>
        <w:rPr>
          <w:rFonts w:asciiTheme="majorHAnsi" w:hAnsiTheme="majorHAnsi" w:cstheme="majorHAnsi"/>
        </w:rPr>
      </w:pPr>
      <w:r w:rsidRPr="008B43CB">
        <w:t>This report has clearly identified the growing complexity of the innovation landscape in Australia, which in turn raises issues around what types of innovation investments policymakers should measure, compare and target. We are mindful that the Government’s Innovation Metrics Review has been working on this problem intensively over recent months, and commend that work whilst noting that the ongoing evolution of the economy will ensure that remains an ongoing challenge</w:t>
      </w:r>
      <w:r w:rsidRPr="008B43CB">
        <w:rPr>
          <w:rFonts w:asciiTheme="majorHAnsi" w:hAnsiTheme="majorHAnsi" w:cstheme="majorHAnsi"/>
        </w:rPr>
        <w:t>.</w:t>
      </w:r>
      <w:bookmarkStart w:id="7" w:name="_Toc14724172"/>
      <w:bookmarkStart w:id="8" w:name="_Toc14778679"/>
      <w:bookmarkStart w:id="9" w:name="_Toc14780501"/>
      <w:bookmarkStart w:id="10" w:name="_Toc14780585"/>
      <w:bookmarkStart w:id="11" w:name="_Toc12460390"/>
      <w:bookmarkStart w:id="12" w:name="_Toc13478283"/>
      <w:bookmarkEnd w:id="1"/>
      <w:bookmarkEnd w:id="7"/>
      <w:bookmarkEnd w:id="8"/>
      <w:bookmarkEnd w:id="9"/>
      <w:bookmarkEnd w:id="10"/>
    </w:p>
    <w:p w14:paraId="100D9286" w14:textId="77777777" w:rsidR="00226F7B" w:rsidRDefault="00226F7B">
      <w:pPr>
        <w:spacing w:before="0" w:after="160"/>
        <w:jc w:val="left"/>
        <w:rPr>
          <w:rFonts w:asciiTheme="majorHAnsi" w:hAnsiTheme="majorHAnsi" w:cstheme="majorHAnsi"/>
        </w:rPr>
      </w:pPr>
      <w:r>
        <w:rPr>
          <w:rFonts w:asciiTheme="majorHAnsi" w:hAnsiTheme="majorHAnsi" w:cstheme="majorHAnsi"/>
        </w:rPr>
        <w:br w:type="page"/>
      </w:r>
    </w:p>
    <w:p w14:paraId="10768128" w14:textId="2A49B811" w:rsidR="00D508AF" w:rsidRPr="00DF793B" w:rsidRDefault="00D508AF" w:rsidP="00246A6C">
      <w:pPr>
        <w:pStyle w:val="Heading1"/>
      </w:pPr>
      <w:bookmarkStart w:id="13" w:name="_Toc26879345"/>
      <w:bookmarkStart w:id="14" w:name="_Toc26898545"/>
      <w:bookmarkStart w:id="15" w:name="_Toc26968730"/>
      <w:bookmarkStart w:id="16" w:name="_Toc30148066"/>
      <w:bookmarkEnd w:id="13"/>
      <w:bookmarkEnd w:id="14"/>
      <w:bookmarkEnd w:id="15"/>
      <w:r w:rsidRPr="00DF793B">
        <w:lastRenderedPageBreak/>
        <w:t>Australian business</w:t>
      </w:r>
      <w:bookmarkEnd w:id="11"/>
      <w:r w:rsidR="008F174B" w:rsidRPr="00DF793B">
        <w:t xml:space="preserve">es invest </w:t>
      </w:r>
      <w:r w:rsidR="009E0ADB">
        <w:t>equally in</w:t>
      </w:r>
      <w:r w:rsidR="00C750DD">
        <w:t xml:space="preserve"> </w:t>
      </w:r>
      <w:r w:rsidR="009E0ADB">
        <w:t xml:space="preserve">R&amp;D and other forms of </w:t>
      </w:r>
      <w:r w:rsidR="008F174B" w:rsidRPr="00DF793B">
        <w:t>innovation</w:t>
      </w:r>
      <w:bookmarkEnd w:id="12"/>
      <w:bookmarkEnd w:id="16"/>
    </w:p>
    <w:p w14:paraId="2D45A08B" w14:textId="01B4409E" w:rsidR="00D508AF" w:rsidRPr="006A189C" w:rsidRDefault="006A189C" w:rsidP="006A189C">
      <w:pPr>
        <w:rPr>
          <w:iCs/>
        </w:rPr>
      </w:pPr>
      <w:r w:rsidRPr="006A189C">
        <w:rPr>
          <w:iCs/>
        </w:rPr>
        <w:t>Australia</w:t>
      </w:r>
      <w:r w:rsidR="00694474">
        <w:rPr>
          <w:iCs/>
        </w:rPr>
        <w:t>n businesses</w:t>
      </w:r>
      <w:r w:rsidRPr="006A189C">
        <w:rPr>
          <w:iCs/>
        </w:rPr>
        <w:t xml:space="preserve"> perform a range </w:t>
      </w:r>
      <w:r>
        <w:rPr>
          <w:iCs/>
        </w:rPr>
        <w:t xml:space="preserve">of </w:t>
      </w:r>
      <w:r w:rsidR="00694474">
        <w:rPr>
          <w:iCs/>
        </w:rPr>
        <w:t xml:space="preserve">innovation </w:t>
      </w:r>
      <w:r>
        <w:rPr>
          <w:iCs/>
        </w:rPr>
        <w:t>activities</w:t>
      </w:r>
      <w:r w:rsidR="00973B43">
        <w:rPr>
          <w:iCs/>
        </w:rPr>
        <w:t>,</w:t>
      </w:r>
      <w:r>
        <w:rPr>
          <w:iCs/>
        </w:rPr>
        <w:t xml:space="preserve"> </w:t>
      </w:r>
      <w:r w:rsidR="00694474">
        <w:rPr>
          <w:iCs/>
        </w:rPr>
        <w:t>including</w:t>
      </w:r>
      <w:r>
        <w:rPr>
          <w:iCs/>
        </w:rPr>
        <w:t xml:space="preserve"> R&amp;D as well as broader product, </w:t>
      </w:r>
      <w:r w:rsidRPr="009E5058">
        <w:rPr>
          <w:iCs/>
        </w:rPr>
        <w:t xml:space="preserve">process, and business model innovations. </w:t>
      </w:r>
      <w:r w:rsidR="00694474" w:rsidRPr="009E5058">
        <w:rPr>
          <w:iCs/>
        </w:rPr>
        <w:t xml:space="preserve">Australian </w:t>
      </w:r>
      <w:r w:rsidR="00D559B4" w:rsidRPr="009E5058">
        <w:rPr>
          <w:iCs/>
        </w:rPr>
        <w:t>business investment in innovation is estimated at $32-36</w:t>
      </w:r>
      <w:r w:rsidR="00852145" w:rsidRPr="009E5058">
        <w:rPr>
          <w:iCs/>
        </w:rPr>
        <w:t xml:space="preserve"> </w:t>
      </w:r>
      <w:r w:rsidR="00D559B4" w:rsidRPr="009E5058">
        <w:rPr>
          <w:iCs/>
        </w:rPr>
        <w:t>b</w:t>
      </w:r>
      <w:r w:rsidR="00852145" w:rsidRPr="009E5058">
        <w:rPr>
          <w:iCs/>
        </w:rPr>
        <w:t>illio</w:t>
      </w:r>
      <w:r w:rsidR="00D559B4" w:rsidRPr="009E5058">
        <w:rPr>
          <w:iCs/>
        </w:rPr>
        <w:t>n</w:t>
      </w:r>
      <w:r w:rsidR="00694474" w:rsidRPr="009E5058">
        <w:rPr>
          <w:iCs/>
        </w:rPr>
        <w:t xml:space="preserve"> annually</w:t>
      </w:r>
      <w:r w:rsidR="00D559B4" w:rsidRPr="009E5058">
        <w:rPr>
          <w:iCs/>
        </w:rPr>
        <w:t>,</w:t>
      </w:r>
      <w:r w:rsidR="00C750DD" w:rsidRPr="009E5058">
        <w:rPr>
          <w:iCs/>
        </w:rPr>
        <w:t xml:space="preserve"> or </w:t>
      </w:r>
      <w:r w:rsidR="006A4C0D" w:rsidRPr="009E5058">
        <w:rPr>
          <w:iCs/>
        </w:rPr>
        <w:t>1.9 per cent of GDP</w:t>
      </w:r>
      <w:r w:rsidR="00667A4C" w:rsidRPr="009E5058">
        <w:rPr>
          <w:iCs/>
        </w:rPr>
        <w:t xml:space="preserve"> in 2016-17</w:t>
      </w:r>
      <w:r w:rsidR="006A4C0D" w:rsidRPr="009E5058">
        <w:rPr>
          <w:iCs/>
        </w:rPr>
        <w:t>,</w:t>
      </w:r>
      <w:r w:rsidR="00D559B4" w:rsidRPr="009E5058">
        <w:rPr>
          <w:iCs/>
        </w:rPr>
        <w:t xml:space="preserve"> </w:t>
      </w:r>
      <w:r w:rsidR="003971F8" w:rsidRPr="009E5058">
        <w:rPr>
          <w:iCs/>
        </w:rPr>
        <w:t>of which</w:t>
      </w:r>
      <w:r w:rsidR="006454F1" w:rsidRPr="009E5058">
        <w:rPr>
          <w:iCs/>
        </w:rPr>
        <w:t xml:space="preserve"> about half</w:t>
      </w:r>
      <w:r w:rsidR="00D559B4" w:rsidRPr="009E5058">
        <w:rPr>
          <w:iCs/>
        </w:rPr>
        <w:t xml:space="preserve"> </w:t>
      </w:r>
      <w:r w:rsidR="00667A4C" w:rsidRPr="009E5058">
        <w:rPr>
          <w:iCs/>
        </w:rPr>
        <w:t xml:space="preserve">is R&amp;D </w:t>
      </w:r>
      <w:r w:rsidR="006454F1" w:rsidRPr="009E5058">
        <w:rPr>
          <w:iCs/>
        </w:rPr>
        <w:t>(</w:t>
      </w:r>
      <w:r w:rsidR="00667A4C" w:rsidRPr="009E5058">
        <w:rPr>
          <w:iCs/>
        </w:rPr>
        <w:t xml:space="preserve">$16.7 billion in 2015-16, and </w:t>
      </w:r>
      <w:r w:rsidRPr="009E5058">
        <w:rPr>
          <w:iCs/>
        </w:rPr>
        <w:t>$1</w:t>
      </w:r>
      <w:r w:rsidR="00667A4C" w:rsidRPr="009E5058">
        <w:rPr>
          <w:iCs/>
        </w:rPr>
        <w:t>7.4</w:t>
      </w:r>
      <w:r w:rsidR="006454F1" w:rsidRPr="009E5058">
        <w:rPr>
          <w:iCs/>
        </w:rPr>
        <w:t xml:space="preserve"> </w:t>
      </w:r>
      <w:r w:rsidRPr="009E5058">
        <w:rPr>
          <w:iCs/>
        </w:rPr>
        <w:t>b</w:t>
      </w:r>
      <w:r w:rsidR="006454F1" w:rsidRPr="009E5058">
        <w:rPr>
          <w:iCs/>
        </w:rPr>
        <w:t>illio</w:t>
      </w:r>
      <w:r w:rsidRPr="009E5058">
        <w:rPr>
          <w:iCs/>
        </w:rPr>
        <w:t>n</w:t>
      </w:r>
      <w:r w:rsidR="00667A4C" w:rsidRPr="009E5058">
        <w:rPr>
          <w:iCs/>
        </w:rPr>
        <w:t xml:space="preserve"> in 2017-18</w:t>
      </w:r>
      <w:r w:rsidR="006454F1" w:rsidRPr="009E5058">
        <w:rPr>
          <w:iCs/>
        </w:rPr>
        <w:t>)</w:t>
      </w:r>
      <w:r w:rsidR="003971F8" w:rsidRPr="009E5058">
        <w:rPr>
          <w:iCs/>
        </w:rPr>
        <w:t>.</w:t>
      </w:r>
      <w:r w:rsidR="005D249D" w:rsidRPr="009E5058">
        <w:rPr>
          <w:rStyle w:val="FootnoteReference"/>
          <w:iCs/>
        </w:rPr>
        <w:footnoteReference w:id="2"/>
      </w:r>
      <w:r w:rsidRPr="009E5058">
        <w:rPr>
          <w:iCs/>
        </w:rPr>
        <w:t xml:space="preserve"> This</w:t>
      </w:r>
      <w:r>
        <w:rPr>
          <w:iCs/>
        </w:rPr>
        <w:t xml:space="preserve"> investment generates economic </w:t>
      </w:r>
      <w:r w:rsidR="00694474">
        <w:rPr>
          <w:iCs/>
        </w:rPr>
        <w:t>benefits</w:t>
      </w:r>
      <w:r>
        <w:rPr>
          <w:iCs/>
        </w:rPr>
        <w:t xml:space="preserve"> </w:t>
      </w:r>
      <w:r w:rsidR="00C75BBA">
        <w:rPr>
          <w:iCs/>
        </w:rPr>
        <w:t>for the investing firms</w:t>
      </w:r>
      <w:r w:rsidR="00EB67ED">
        <w:rPr>
          <w:iCs/>
        </w:rPr>
        <w:t xml:space="preserve"> and </w:t>
      </w:r>
      <w:r w:rsidR="003904E1">
        <w:rPr>
          <w:iCs/>
        </w:rPr>
        <w:t>their</w:t>
      </w:r>
      <w:r w:rsidR="00C75BBA">
        <w:rPr>
          <w:iCs/>
        </w:rPr>
        <w:t xml:space="preserve"> customers in the form of higher incomes, better products and lower prices.</w:t>
      </w:r>
    </w:p>
    <w:p w14:paraId="632CB322" w14:textId="21100537" w:rsidR="00D508AF" w:rsidRPr="002E21B9" w:rsidRDefault="00D4688A" w:rsidP="00253E15">
      <w:pPr>
        <w:pStyle w:val="Heading2"/>
      </w:pPr>
      <w:bookmarkStart w:id="17" w:name="_Toc12460391"/>
      <w:bookmarkStart w:id="18" w:name="_Toc13478284"/>
      <w:bookmarkStart w:id="19" w:name="_Toc30148067"/>
      <w:r>
        <w:t>Innovation includes both R&amp;D and other activities</w:t>
      </w:r>
      <w:bookmarkEnd w:id="17"/>
      <w:bookmarkEnd w:id="18"/>
      <w:bookmarkEnd w:id="19"/>
    </w:p>
    <w:p w14:paraId="44E119DC" w14:textId="79569C28" w:rsidR="00D508AF" w:rsidRPr="009D2DA1" w:rsidRDefault="00D508AF" w:rsidP="00D508AF">
      <w:r>
        <w:t xml:space="preserve">Australian businesses invest in many activities that support innovation. These range from research and development using scientific methods and experimentation, through to product design, and investments in training and </w:t>
      </w:r>
      <w:r w:rsidR="0007672A">
        <w:t xml:space="preserve">in </w:t>
      </w:r>
      <w:r>
        <w:t>staff that undertake innovative work. T</w:t>
      </w:r>
      <w:r w:rsidRPr="009D2DA1">
        <w:t xml:space="preserve">hese different innovation-supporting activities </w:t>
      </w:r>
      <w:r w:rsidR="00667A4C">
        <w:t>are tracked in two main ways in official statistics</w:t>
      </w:r>
      <w:r w:rsidRPr="009D2DA1">
        <w:t>:</w:t>
      </w:r>
    </w:p>
    <w:p w14:paraId="0AA9E617" w14:textId="62CEE74A" w:rsidR="00D508AF" w:rsidRPr="009D2DA1" w:rsidRDefault="006A15BA" w:rsidP="000A647B">
      <w:pPr>
        <w:pStyle w:val="01squarebullet"/>
        <w:numPr>
          <w:ilvl w:val="0"/>
          <w:numId w:val="32"/>
        </w:numPr>
      </w:pPr>
      <w:r w:rsidRPr="00790ADD">
        <w:rPr>
          <w:b/>
          <w:bCs/>
        </w:rPr>
        <w:t>Research and Development (R&amp;D).</w:t>
      </w:r>
      <w:r w:rsidR="00DF30CC" w:rsidRPr="00790ADD">
        <w:t xml:space="preserve"> </w:t>
      </w:r>
      <w:r w:rsidR="0048056A" w:rsidRPr="00790ADD">
        <w:t>Research and Experimental Development (</w:t>
      </w:r>
      <w:r w:rsidR="00DF30CC" w:rsidRPr="00790ADD">
        <w:t>R&amp;D</w:t>
      </w:r>
      <w:r w:rsidR="0048056A" w:rsidRPr="00790ADD">
        <w:t>)</w:t>
      </w:r>
      <w:r w:rsidR="00DF30CC" w:rsidRPr="00790ADD">
        <w:t xml:space="preserve"> is defined </w:t>
      </w:r>
      <w:r w:rsidR="00BA59F7" w:rsidRPr="00790ADD">
        <w:t>by the OECD</w:t>
      </w:r>
      <w:r w:rsidR="009214C0" w:rsidRPr="00790ADD">
        <w:t>’s Frascati Manual</w:t>
      </w:r>
      <w:r w:rsidR="00BA59F7" w:rsidRPr="00790ADD">
        <w:t xml:space="preserve"> </w:t>
      </w:r>
      <w:r w:rsidR="00DF30CC" w:rsidRPr="00790ADD">
        <w:t xml:space="preserve">as </w:t>
      </w:r>
      <w:r w:rsidR="00D508AF" w:rsidRPr="00790ADD">
        <w:t>“creative and systematic work undertaken in order to increase the stock of knowledge</w:t>
      </w:r>
      <w:r w:rsidR="0096480C" w:rsidRPr="00790ADD">
        <w:t xml:space="preserve"> </w:t>
      </w:r>
      <w:r w:rsidR="00AF10B1" w:rsidRPr="00790ADD">
        <w:t xml:space="preserve">- including knowledge of humankind, culture and society - </w:t>
      </w:r>
      <w:r w:rsidR="00D508AF" w:rsidRPr="00790ADD">
        <w:t>and to devise new applications of available knowledge”</w:t>
      </w:r>
      <w:r w:rsidR="001A3B54">
        <w:t>.</w:t>
      </w:r>
      <w:r w:rsidR="0048056A" w:rsidRPr="00790ADD">
        <w:rPr>
          <w:rStyle w:val="FootnoteReference"/>
        </w:rPr>
        <w:footnoteReference w:id="3"/>
      </w:r>
      <w:r w:rsidR="0048056A" w:rsidRPr="00790ADD">
        <w:t xml:space="preserve"> </w:t>
      </w:r>
      <w:r w:rsidR="00D508AF" w:rsidRPr="00790ADD">
        <w:t xml:space="preserve">To qualify as R&amp;D, </w:t>
      </w:r>
      <w:r w:rsidR="00A65F0F" w:rsidRPr="00790ADD">
        <w:t xml:space="preserve">an </w:t>
      </w:r>
      <w:r w:rsidR="00D508AF" w:rsidRPr="00790ADD">
        <w:t xml:space="preserve">activity must be novel, creative, uncertain, systematic, and </w:t>
      </w:r>
      <w:r w:rsidR="00790ADD" w:rsidRPr="00790ADD">
        <w:t xml:space="preserve">result in </w:t>
      </w:r>
      <w:r w:rsidR="00D508AF" w:rsidRPr="00790ADD">
        <w:t>transferable and/or reproducible</w:t>
      </w:r>
      <w:r w:rsidR="00790ADD" w:rsidRPr="00790ADD">
        <w:t xml:space="preserve"> knowledge</w:t>
      </w:r>
      <w:r w:rsidR="00D508AF" w:rsidRPr="009D2DA1">
        <w:t xml:space="preserve">. </w:t>
      </w:r>
      <w:r w:rsidR="00D508AF">
        <w:t>There</w:t>
      </w:r>
      <w:r w:rsidR="00D508AF" w:rsidRPr="009D2DA1">
        <w:t xml:space="preserve"> </w:t>
      </w:r>
      <w:r w:rsidR="00D508AF">
        <w:t xml:space="preserve">are </w:t>
      </w:r>
      <w:r w:rsidR="00D508AF" w:rsidRPr="009D2DA1">
        <w:t>three types of</w:t>
      </w:r>
      <w:r w:rsidR="00282E13">
        <w:t xml:space="preserve"> R&amp;D</w:t>
      </w:r>
      <w:r w:rsidR="00D508AF" w:rsidRPr="009D2DA1">
        <w:t xml:space="preserve"> activity:</w:t>
      </w:r>
      <w:r w:rsidR="00983948" w:rsidRPr="00983948">
        <w:rPr>
          <w:rStyle w:val="FootnoteReference"/>
        </w:rPr>
        <w:t xml:space="preserve"> </w:t>
      </w:r>
    </w:p>
    <w:p w14:paraId="32ECB9AD" w14:textId="03735A00" w:rsidR="00D508AF" w:rsidRPr="00DD450B" w:rsidRDefault="00D508AF" w:rsidP="00D508AF">
      <w:pPr>
        <w:pStyle w:val="04shortdash"/>
      </w:pPr>
      <w:r w:rsidRPr="006A15BA">
        <w:rPr>
          <w:b/>
          <w:bCs/>
        </w:rPr>
        <w:t>Basic research:</w:t>
      </w:r>
      <w:r w:rsidRPr="00DD450B">
        <w:t xml:space="preserve"> experimental or theoretical work </w:t>
      </w:r>
      <w:r w:rsidR="00BA59F7">
        <w:t>that aims</w:t>
      </w:r>
      <w:r w:rsidRPr="00DD450B">
        <w:t xml:space="preserve"> to acquire new knowledge of the underlying foundations of phenomena and observable facts, without any particular application or use in view; </w:t>
      </w:r>
    </w:p>
    <w:p w14:paraId="3E9BF9F7" w14:textId="53CDE7F6" w:rsidR="00D508AF" w:rsidRPr="00DD450B" w:rsidRDefault="00D508AF" w:rsidP="00D508AF">
      <w:pPr>
        <w:pStyle w:val="04shortdash"/>
      </w:pPr>
      <w:r w:rsidRPr="006A15BA">
        <w:rPr>
          <w:b/>
          <w:bCs/>
        </w:rPr>
        <w:t>Applied research:</w:t>
      </w:r>
      <w:r w:rsidRPr="00DD450B">
        <w:t xml:space="preserve"> original investigation </w:t>
      </w:r>
      <w:r w:rsidR="00BA59F7">
        <w:t xml:space="preserve">that aims </w:t>
      </w:r>
      <w:r w:rsidRPr="00DD450B">
        <w:t xml:space="preserve">to acquire new knowledge directed primarily toward a specific, practical aim or objective; </w:t>
      </w:r>
    </w:p>
    <w:p w14:paraId="56E0E0F9" w14:textId="368BF7F8" w:rsidR="00205A8B" w:rsidRPr="00DD450B" w:rsidRDefault="00D508AF" w:rsidP="00D508AF">
      <w:pPr>
        <w:pStyle w:val="04shortdash"/>
      </w:pPr>
      <w:r w:rsidRPr="006A15BA">
        <w:rPr>
          <w:b/>
          <w:bCs/>
        </w:rPr>
        <w:t>Experimental development:</w:t>
      </w:r>
      <w:r w:rsidRPr="00DD450B">
        <w:t xml:space="preserve"> systematic work</w:t>
      </w:r>
      <w:r w:rsidR="00282E13">
        <w:t xml:space="preserve"> that</w:t>
      </w:r>
      <w:r w:rsidRPr="00DD450B">
        <w:t xml:space="preserve"> draw</w:t>
      </w:r>
      <w:r w:rsidR="00282E13">
        <w:t>s</w:t>
      </w:r>
      <w:r w:rsidRPr="00DD450B">
        <w:t xml:space="preserve"> on </w:t>
      </w:r>
      <w:r w:rsidR="00282E13">
        <w:t xml:space="preserve">prior </w:t>
      </w:r>
      <w:r w:rsidRPr="00DD450B">
        <w:t>research and practical experience</w:t>
      </w:r>
      <w:r w:rsidR="00282E13">
        <w:t xml:space="preserve"> to</w:t>
      </w:r>
      <w:r w:rsidRPr="00DD450B">
        <w:t xml:space="preserve"> produc</w:t>
      </w:r>
      <w:r w:rsidR="00282E13">
        <w:t>e</w:t>
      </w:r>
      <w:r w:rsidRPr="00DD450B">
        <w:t xml:space="preserve"> additional knowledge, which </w:t>
      </w:r>
      <w:r w:rsidR="00282E13">
        <w:t>used to</w:t>
      </w:r>
      <w:r w:rsidRPr="00DD450B">
        <w:t xml:space="preserve"> produc</w:t>
      </w:r>
      <w:r w:rsidR="00282E13">
        <w:t>e</w:t>
      </w:r>
      <w:r w:rsidRPr="00DD450B">
        <w:t xml:space="preserve"> new products or processes or to </w:t>
      </w:r>
      <w:r w:rsidR="00282E13">
        <w:t xml:space="preserve">improve </w:t>
      </w:r>
      <w:r w:rsidRPr="00DD450B">
        <w:t xml:space="preserve">existing products or processes. </w:t>
      </w:r>
    </w:p>
    <w:p w14:paraId="3E19F840" w14:textId="17FF2132" w:rsidR="005E7EC5" w:rsidRDefault="005E7EC5" w:rsidP="00E246C1">
      <w:pPr>
        <w:pStyle w:val="01squarebullet"/>
        <w:numPr>
          <w:ilvl w:val="0"/>
          <w:numId w:val="0"/>
        </w:numPr>
        <w:ind w:left="360"/>
      </w:pPr>
      <w:r>
        <w:t xml:space="preserve">In Australia, </w:t>
      </w:r>
      <w:r w:rsidR="003351F7">
        <w:t xml:space="preserve">Business Expenditure on </w:t>
      </w:r>
      <w:r w:rsidR="009214C0">
        <w:t xml:space="preserve">R&amp;D </w:t>
      </w:r>
      <w:r w:rsidR="003351F7">
        <w:t xml:space="preserve">(BERD) </w:t>
      </w:r>
      <w:r>
        <w:t xml:space="preserve">is measured in </w:t>
      </w:r>
      <w:r w:rsidR="00AF10B1">
        <w:t xml:space="preserve">the </w:t>
      </w:r>
      <w:r>
        <w:t xml:space="preserve">ABS series </w:t>
      </w:r>
      <w:r w:rsidRPr="00E432C4">
        <w:rPr>
          <w:i/>
          <w:iCs/>
        </w:rPr>
        <w:t>8104.0 Research and Experimental Development, Businesses, Australia</w:t>
      </w:r>
      <w:r>
        <w:t>.</w:t>
      </w:r>
      <w:r>
        <w:rPr>
          <w:rStyle w:val="FootnoteReference"/>
        </w:rPr>
        <w:footnoteReference w:id="4"/>
      </w:r>
      <w:r w:rsidR="009214C0">
        <w:t xml:space="preserve"> This report uses the Frascati definition when referring to R&amp;D. </w:t>
      </w:r>
    </w:p>
    <w:p w14:paraId="771A9693" w14:textId="3F0F0CC9" w:rsidR="00D508AF" w:rsidRPr="00B44CC4" w:rsidRDefault="009B48D5" w:rsidP="00543066">
      <w:pPr>
        <w:pStyle w:val="01squarebullet"/>
      </w:pPr>
      <w:r>
        <w:rPr>
          <w:b/>
          <w:bCs/>
        </w:rPr>
        <w:lastRenderedPageBreak/>
        <w:t>I</w:t>
      </w:r>
      <w:r w:rsidR="00AB5D3D" w:rsidRPr="00A152C1">
        <w:rPr>
          <w:b/>
          <w:bCs/>
        </w:rPr>
        <w:t>nnovation</w:t>
      </w:r>
      <w:r w:rsidR="00D508AF" w:rsidRPr="00F70A33">
        <w:t>.</w:t>
      </w:r>
      <w:r w:rsidRPr="009B48D5">
        <w:t xml:space="preserve"> Innovation is distinct from R&amp;D but may include it. The OECD</w:t>
      </w:r>
      <w:r w:rsidR="009214C0">
        <w:t>’s Oslo Manual</w:t>
      </w:r>
      <w:r w:rsidR="00F23F2A">
        <w:t xml:space="preserve"> </w:t>
      </w:r>
      <w:r w:rsidRPr="009B48D5">
        <w:t xml:space="preserve">defines </w:t>
      </w:r>
      <w:r w:rsidR="00CD780D">
        <w:t xml:space="preserve">a </w:t>
      </w:r>
      <w:r w:rsidRPr="009B48D5">
        <w:t>business innovation as “a new or improved product or business process (or combination thereof) that differs significantly from the firm’s previous product or business processes and that has been introduced on the market or brought in to use by the firm”</w:t>
      </w:r>
      <w:r w:rsidR="008E5E89">
        <w:t>.</w:t>
      </w:r>
      <w:r w:rsidR="009214C0">
        <w:rPr>
          <w:rStyle w:val="FootnoteReference"/>
        </w:rPr>
        <w:footnoteReference w:id="5"/>
      </w:r>
      <w:r w:rsidR="00A32CEF">
        <w:t xml:space="preserve"> The OECD recogni</w:t>
      </w:r>
      <w:r w:rsidR="00DA13C4">
        <w:t>s</w:t>
      </w:r>
      <w:r w:rsidR="00A32CEF">
        <w:t>es two main types of innovation</w:t>
      </w:r>
      <w:r w:rsidR="0005326E">
        <w:t>:</w:t>
      </w:r>
    </w:p>
    <w:p w14:paraId="520F7160" w14:textId="17061BE7" w:rsidR="00D508AF" w:rsidRPr="00B44CC4" w:rsidRDefault="00D508AF" w:rsidP="00D508AF">
      <w:pPr>
        <w:pStyle w:val="04shortdash"/>
      </w:pPr>
      <w:r w:rsidRPr="00B44CC4">
        <w:rPr>
          <w:b/>
          <w:bCs/>
        </w:rPr>
        <w:t>Product innovations</w:t>
      </w:r>
      <w:r w:rsidR="0005326E">
        <w:t>, which</w:t>
      </w:r>
      <w:r w:rsidRPr="00B44CC4">
        <w:t xml:space="preserve"> are “new or improved goods or services that differ significantly from the firm’s previous goods or services and that have been introduced on the market”</w:t>
      </w:r>
      <w:r w:rsidR="0005326E">
        <w:t>;</w:t>
      </w:r>
      <w:r w:rsidR="00A32CEF" w:rsidRPr="00A32CEF">
        <w:t xml:space="preserve"> </w:t>
      </w:r>
      <w:r w:rsidR="00A32CEF">
        <w:t>and</w:t>
      </w:r>
    </w:p>
    <w:p w14:paraId="357D4B83" w14:textId="39187692" w:rsidR="00D508AF" w:rsidRPr="00B44CC4" w:rsidRDefault="009214C0" w:rsidP="00D508AF">
      <w:pPr>
        <w:pStyle w:val="04shortdash"/>
      </w:pPr>
      <w:r>
        <w:rPr>
          <w:b/>
          <w:bCs/>
        </w:rPr>
        <w:t>Business process</w:t>
      </w:r>
      <w:r w:rsidRPr="00B44CC4">
        <w:rPr>
          <w:b/>
          <w:bCs/>
        </w:rPr>
        <w:t xml:space="preserve"> </w:t>
      </w:r>
      <w:r w:rsidR="00D508AF" w:rsidRPr="00B44CC4">
        <w:rPr>
          <w:b/>
          <w:bCs/>
        </w:rPr>
        <w:t>innovations</w:t>
      </w:r>
      <w:r w:rsidR="0005326E">
        <w:t>, which</w:t>
      </w:r>
      <w:r w:rsidR="00D508AF" w:rsidRPr="00B44CC4">
        <w:t xml:space="preserve"> are “new or improved business processes for one or more business functions that differ significantly from the firm’s previous business processes and that have been brought into use by the firm”</w:t>
      </w:r>
      <w:r w:rsidR="00A32CEF">
        <w:t>.</w:t>
      </w:r>
      <w:r w:rsidR="002C5D29">
        <w:rPr>
          <w:rStyle w:val="FootnoteReference"/>
        </w:rPr>
        <w:footnoteReference w:id="6"/>
      </w:r>
      <w:r w:rsidR="00A32CEF">
        <w:t xml:space="preserve"> </w:t>
      </w:r>
    </w:p>
    <w:p w14:paraId="04C186CB" w14:textId="6F5C912D" w:rsidR="00A32CEF" w:rsidRDefault="005E7EC5" w:rsidP="00246A6C">
      <w:r>
        <w:t xml:space="preserve">In Australia, </w:t>
      </w:r>
      <w:r w:rsidR="00A32CEF">
        <w:t>i</w:t>
      </w:r>
      <w:r>
        <w:t xml:space="preserve">nnovation is measured in the </w:t>
      </w:r>
      <w:r w:rsidR="009E5058">
        <w:t xml:space="preserve">ABS’ </w:t>
      </w:r>
      <w:r>
        <w:t xml:space="preserve">Business Characteristics Survey and reported in </w:t>
      </w:r>
      <w:r w:rsidR="009E5058">
        <w:t>its publication</w:t>
      </w:r>
      <w:r>
        <w:t xml:space="preserve"> </w:t>
      </w:r>
      <w:r w:rsidRPr="009E5058">
        <w:rPr>
          <w:i/>
          <w:iCs/>
        </w:rPr>
        <w:t>8158.0 Innovation in Australian Businesses</w:t>
      </w:r>
      <w:r>
        <w:t>.</w:t>
      </w:r>
      <w:r>
        <w:rPr>
          <w:rStyle w:val="FootnoteReference"/>
        </w:rPr>
        <w:footnoteReference w:id="7"/>
      </w:r>
      <w:r>
        <w:t xml:space="preserve"> </w:t>
      </w:r>
      <w:r w:rsidR="00AB5D3D">
        <w:t xml:space="preserve">This report uses </w:t>
      </w:r>
      <w:r w:rsidR="009214C0">
        <w:t xml:space="preserve">the Oslo </w:t>
      </w:r>
      <w:r w:rsidR="00AB5D3D">
        <w:t xml:space="preserve">definition </w:t>
      </w:r>
      <w:r w:rsidR="008E5E89">
        <w:t xml:space="preserve">of innovation </w:t>
      </w:r>
      <w:r w:rsidR="00674B39">
        <w:t>almost exclusively</w:t>
      </w:r>
      <w:r w:rsidR="000D46FA">
        <w:t>.</w:t>
      </w:r>
      <w:r w:rsidR="00B962DF">
        <w:rPr>
          <w:rStyle w:val="FootnoteReference"/>
        </w:rPr>
        <w:footnoteReference w:id="8"/>
      </w:r>
      <w:r w:rsidR="000D46FA">
        <w:t xml:space="preserve"> When this report refers to </w:t>
      </w:r>
      <w:r w:rsidR="000D46FA" w:rsidRPr="008B43CB">
        <w:t>“non-R&amp;D innovation</w:t>
      </w:r>
      <w:r w:rsidR="009214C0" w:rsidRPr="008B43CB">
        <w:t>”</w:t>
      </w:r>
      <w:r w:rsidR="000D46FA">
        <w:t xml:space="preserve"> it </w:t>
      </w:r>
      <w:r w:rsidR="00862B12">
        <w:t xml:space="preserve">refers </w:t>
      </w:r>
      <w:r w:rsidR="000D46FA">
        <w:t xml:space="preserve">to the difference between </w:t>
      </w:r>
      <w:r w:rsidR="00A32CEF">
        <w:t xml:space="preserve">the Oslo definition of </w:t>
      </w:r>
      <w:r w:rsidR="000D46FA">
        <w:t>innovation and R&amp;D (</w:t>
      </w:r>
      <w:r w:rsidR="00FA41BA">
        <w:fldChar w:fldCharType="begin"/>
      </w:r>
      <w:r w:rsidR="00FA41BA">
        <w:instrText xml:space="preserve"> REF _Ref12955112 \h </w:instrText>
      </w:r>
      <w:r w:rsidR="00246A6C">
        <w:instrText xml:space="preserve"> \* MERGEFORMAT </w:instrText>
      </w:r>
      <w:r w:rsidR="00FA41BA">
        <w:fldChar w:fldCharType="separate"/>
      </w:r>
      <w:r w:rsidR="005407CC" w:rsidRPr="00A3276C">
        <w:t xml:space="preserve">Exhibit </w:t>
      </w:r>
      <w:r w:rsidR="005407CC">
        <w:rPr>
          <w:noProof/>
        </w:rPr>
        <w:t>1</w:t>
      </w:r>
      <w:r w:rsidR="00FA41BA">
        <w:fldChar w:fldCharType="end"/>
      </w:r>
      <w:r w:rsidR="000D46FA">
        <w:t>)</w:t>
      </w:r>
      <w:r w:rsidR="007867FF">
        <w:t>.</w:t>
      </w:r>
      <w:r w:rsidR="00A32CEF">
        <w:rPr>
          <w:rStyle w:val="FootnoteReference"/>
        </w:rPr>
        <w:footnoteReference w:id="9"/>
      </w:r>
    </w:p>
    <w:p w14:paraId="3B578774" w14:textId="496D9691" w:rsidR="00704B6F" w:rsidRDefault="00862B12" w:rsidP="00246A6C">
      <w:pPr>
        <w:rPr>
          <w:b/>
          <w:bCs/>
          <w:sz w:val="24"/>
          <w:szCs w:val="24"/>
        </w:rPr>
      </w:pPr>
      <w:r>
        <w:t>On occasion,</w:t>
      </w:r>
      <w:r w:rsidR="00674B39">
        <w:t xml:space="preserve"> the</w:t>
      </w:r>
      <w:r w:rsidR="00AF10B1">
        <w:t xml:space="preserve"> report also uses the</w:t>
      </w:r>
      <w:r w:rsidR="00674B39">
        <w:t xml:space="preserve"> term</w:t>
      </w:r>
      <w:r w:rsidR="00C728B6">
        <w:t>s</w:t>
      </w:r>
      <w:r w:rsidR="00674B39">
        <w:t xml:space="preserve"> </w:t>
      </w:r>
      <w:r>
        <w:t>“</w:t>
      </w:r>
      <w:r w:rsidR="00674B39">
        <w:t>innovati</w:t>
      </w:r>
      <w:r>
        <w:t xml:space="preserve">on” </w:t>
      </w:r>
      <w:r w:rsidR="00C728B6">
        <w:t>and</w:t>
      </w:r>
      <w:r>
        <w:t xml:space="preserve"> “innovation-related”</w:t>
      </w:r>
      <w:r w:rsidR="00674B39">
        <w:t xml:space="preserve"> </w:t>
      </w:r>
      <w:r w:rsidR="00593720">
        <w:t xml:space="preserve">in connection with activities that may fall outside the Oslo </w:t>
      </w:r>
      <w:r>
        <w:t>definition</w:t>
      </w:r>
      <w:r w:rsidR="001275BE">
        <w:t xml:space="preserve">. </w:t>
      </w:r>
      <w:r w:rsidR="00593720">
        <w:t>For example, the report cites evidence o</w:t>
      </w:r>
      <w:r w:rsidR="00AF10B1">
        <w:t>n</w:t>
      </w:r>
      <w:r w:rsidR="00593720">
        <w:t xml:space="preserve"> firms’</w:t>
      </w:r>
      <w:r>
        <w:t xml:space="preserve"> intangible assets</w:t>
      </w:r>
      <w:r w:rsidR="00593720">
        <w:t xml:space="preserve"> </w:t>
      </w:r>
      <w:r w:rsidRPr="0007672A">
        <w:t xml:space="preserve">and on their </w:t>
      </w:r>
      <w:r w:rsidR="00593720" w:rsidRPr="0007672A">
        <w:t>investment in information technology</w:t>
      </w:r>
      <w:r w:rsidR="00E14E06" w:rsidRPr="0007672A">
        <w:t xml:space="preserve"> and</w:t>
      </w:r>
      <w:r w:rsidR="00E14E06">
        <w:t xml:space="preserve"> adoption of new processes such as online software applications</w:t>
      </w:r>
      <w:r w:rsidR="00593720">
        <w:t>. Such</w:t>
      </w:r>
      <w:r w:rsidR="00E14E06">
        <w:t xml:space="preserve"> measures</w:t>
      </w:r>
      <w:r w:rsidR="00593720">
        <w:t xml:space="preserve"> can provide insights into innovation-related activity</w:t>
      </w:r>
      <w:r w:rsidR="00E14E06">
        <w:t xml:space="preserve">, but they </w:t>
      </w:r>
      <w:r w:rsidR="00AF10B1">
        <w:t>are likely to be noisier indicators of innovation. For example,</w:t>
      </w:r>
      <w:r w:rsidR="00D37A50">
        <w:t xml:space="preserve"> intangible</w:t>
      </w:r>
      <w:r w:rsidR="00AF10B1">
        <w:t xml:space="preserve"> investment </w:t>
      </w:r>
      <w:r w:rsidR="00607B5B">
        <w:t>encom</w:t>
      </w:r>
      <w:r w:rsidR="00607B5B" w:rsidRPr="00D37A50">
        <w:t>passes</w:t>
      </w:r>
      <w:r w:rsidR="00AF10B1" w:rsidRPr="00D37A50">
        <w:t xml:space="preserve"> </w:t>
      </w:r>
      <w:r w:rsidR="004300B7">
        <w:t xml:space="preserve">a broad range of activities, including </w:t>
      </w:r>
      <w:r w:rsidR="001275BE" w:rsidRPr="00D37A50">
        <w:t xml:space="preserve">R&amp;D, </w:t>
      </w:r>
      <w:r w:rsidR="00D37A50" w:rsidRPr="00D37A50">
        <w:t xml:space="preserve">non-R&amp;D </w:t>
      </w:r>
      <w:r w:rsidR="00AF10B1" w:rsidRPr="00D37A50">
        <w:t>innovation</w:t>
      </w:r>
      <w:r w:rsidR="001275BE" w:rsidRPr="00D37A50">
        <w:t>,</w:t>
      </w:r>
      <w:r w:rsidR="00D37A50" w:rsidRPr="00D37A50">
        <w:t xml:space="preserve"> </w:t>
      </w:r>
      <w:r w:rsidR="001275BE" w:rsidRPr="00D37A50">
        <w:t xml:space="preserve">and </w:t>
      </w:r>
      <w:r w:rsidR="00D37A50" w:rsidRPr="00D37A50">
        <w:t xml:space="preserve">non-innovation </w:t>
      </w:r>
      <w:r w:rsidR="004300B7">
        <w:t xml:space="preserve">related </w:t>
      </w:r>
      <w:r w:rsidR="00D37A50" w:rsidRPr="00D37A50">
        <w:t>advertising and staff training</w:t>
      </w:r>
      <w:r w:rsidR="001275BE" w:rsidRPr="00D37A50">
        <w:t>.</w:t>
      </w:r>
      <w:r w:rsidR="00936D54" w:rsidRPr="00D37A50">
        <w:rPr>
          <w:rStyle w:val="FootnoteReference"/>
        </w:rPr>
        <w:footnoteReference w:id="10"/>
      </w:r>
      <w:r w:rsidR="00936D54" w:rsidRPr="00D37A50">
        <w:t xml:space="preserve"> </w:t>
      </w:r>
    </w:p>
    <w:p w14:paraId="7D2F58D8" w14:textId="2F8A1F13" w:rsidR="00444241" w:rsidRDefault="00704B6F" w:rsidP="00A3276C">
      <w:pPr>
        <w:pStyle w:val="Caption"/>
      </w:pPr>
      <w:bookmarkStart w:id="22" w:name="_Ref12955112"/>
      <w:r w:rsidRPr="00A3276C">
        <w:lastRenderedPageBreak/>
        <w:t xml:space="preserve">Exhibit </w:t>
      </w:r>
      <w:r w:rsidRPr="00A3276C">
        <w:fldChar w:fldCharType="begin"/>
      </w:r>
      <w:r w:rsidRPr="00A3276C">
        <w:instrText xml:space="preserve"> SEQ Exhibit \* ARABIC </w:instrText>
      </w:r>
      <w:r w:rsidRPr="00A3276C">
        <w:fldChar w:fldCharType="separate"/>
      </w:r>
      <w:r w:rsidR="005407CC">
        <w:rPr>
          <w:noProof/>
        </w:rPr>
        <w:t>1</w:t>
      </w:r>
      <w:r w:rsidRPr="00A3276C">
        <w:fldChar w:fldCharType="end"/>
      </w:r>
      <w:bookmarkEnd w:id="22"/>
    </w:p>
    <w:p w14:paraId="5C1889FF" w14:textId="3472D9AC" w:rsidR="00F332C4" w:rsidRPr="00F332C4" w:rsidRDefault="00F332C4" w:rsidP="00F332C4">
      <w:pPr>
        <w:rPr>
          <w:lang w:val="en-US"/>
        </w:rPr>
      </w:pPr>
      <w:r w:rsidRPr="00EB68A4">
        <w:rPr>
          <w:noProof/>
          <w:lang w:eastAsia="en-AU"/>
        </w:rPr>
        <w:drawing>
          <wp:inline distT="0" distB="0" distL="0" distR="0" wp14:anchorId="351573C0" wp14:editId="256BE9C2">
            <wp:extent cx="5623200" cy="3769200"/>
            <wp:effectExtent l="0" t="0" r="0" b="3175"/>
            <wp:docPr id="11" name="Picture 11" descr="Exhibit 1 is a graphic showing example activities for R&amp;D and Non-R&amp;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3200" cy="3769200"/>
                    </a:xfrm>
                    <a:prstGeom prst="rect">
                      <a:avLst/>
                    </a:prstGeom>
                    <a:noFill/>
                    <a:ln>
                      <a:noFill/>
                    </a:ln>
                  </pic:spPr>
                </pic:pic>
              </a:graphicData>
            </a:graphic>
          </wp:inline>
        </w:drawing>
      </w:r>
    </w:p>
    <w:p w14:paraId="50E58BF1" w14:textId="528ABB8F" w:rsidR="00444241" w:rsidRDefault="005813B2" w:rsidP="00444241">
      <w:pPr>
        <w:rPr>
          <w:rStyle w:val="SubtleEmphasis"/>
        </w:rPr>
      </w:pPr>
      <w:r>
        <w:rPr>
          <w:rStyle w:val="SubtleEmphasis"/>
        </w:rPr>
        <w:t xml:space="preserve">Source: </w:t>
      </w:r>
      <w:r w:rsidR="00444241" w:rsidRPr="0055695C">
        <w:rPr>
          <w:rStyle w:val="SubtleEmphasis"/>
        </w:rPr>
        <w:t xml:space="preserve">1. OECD (2015) Frascati Manual. 2. OECD (2018) Oslo Manual. </w:t>
      </w:r>
    </w:p>
    <w:p w14:paraId="7E6CC5CA" w14:textId="77777777" w:rsidR="00CF7568" w:rsidRDefault="00CF7568">
      <w:pPr>
        <w:spacing w:before="0" w:after="160"/>
        <w:jc w:val="left"/>
        <w:rPr>
          <w:rFonts w:asciiTheme="majorHAnsi" w:eastAsiaTheme="majorEastAsia" w:hAnsiTheme="majorHAnsi" w:cstheme="majorHAnsi"/>
          <w:b/>
          <w:color w:val="4CB8C1" w:themeColor="accent5"/>
          <w:sz w:val="36"/>
          <w:szCs w:val="36"/>
          <w:highlight w:val="lightGray"/>
          <w:lang w:val="en-US"/>
        </w:rPr>
      </w:pPr>
      <w:bookmarkStart w:id="23" w:name="_Toc13478285"/>
      <w:r>
        <w:rPr>
          <w:highlight w:val="lightGray"/>
        </w:rPr>
        <w:br w:type="page"/>
      </w:r>
    </w:p>
    <w:p w14:paraId="42FD6659" w14:textId="02D8FDD7" w:rsidR="00D508AF" w:rsidRDefault="007867FF" w:rsidP="00C11884">
      <w:pPr>
        <w:pStyle w:val="Heading2"/>
      </w:pPr>
      <w:bookmarkStart w:id="24" w:name="_Toc13064925"/>
      <w:bookmarkStart w:id="25" w:name="_Toc13070200"/>
      <w:bookmarkStart w:id="26" w:name="_Toc13478286"/>
      <w:bookmarkStart w:id="27" w:name="_Toc30148068"/>
      <w:bookmarkEnd w:id="23"/>
      <w:r>
        <w:lastRenderedPageBreak/>
        <w:t xml:space="preserve">R&amp;D accounts for half of Australian businesses’ innovation </w:t>
      </w:r>
      <w:bookmarkEnd w:id="24"/>
      <w:bookmarkEnd w:id="25"/>
      <w:r w:rsidR="00654C91">
        <w:t>expenditure</w:t>
      </w:r>
      <w:bookmarkEnd w:id="26"/>
      <w:bookmarkEnd w:id="27"/>
    </w:p>
    <w:p w14:paraId="3249ED7C" w14:textId="3CCBFC84" w:rsidR="00F332C4" w:rsidRDefault="004E343F">
      <w:r>
        <w:t xml:space="preserve">While BERD is the focus of much discussion on business investment in innovation, it only tells half the story. </w:t>
      </w:r>
      <w:r w:rsidR="00D508AF">
        <w:t xml:space="preserve">Australian businesses </w:t>
      </w:r>
      <w:r w:rsidR="00302DA8">
        <w:t>spent</w:t>
      </w:r>
      <w:r w:rsidR="00D508AF">
        <w:t xml:space="preserve"> an estimated $32-36 </w:t>
      </w:r>
      <w:r w:rsidR="00D508AF" w:rsidRPr="0007672A">
        <w:t xml:space="preserve">billion, or </w:t>
      </w:r>
      <w:r w:rsidR="0016548C" w:rsidRPr="0007672A">
        <w:t xml:space="preserve">just under </w:t>
      </w:r>
      <w:r w:rsidR="00D508AF" w:rsidRPr="0007672A">
        <w:t xml:space="preserve">2 per cent of GDP, </w:t>
      </w:r>
      <w:r w:rsidR="007867FF" w:rsidRPr="0007672A">
        <w:t xml:space="preserve">on innovation </w:t>
      </w:r>
      <w:r w:rsidR="00D508AF" w:rsidRPr="0007672A">
        <w:t xml:space="preserve">in 2016-17 </w:t>
      </w:r>
      <w:bookmarkStart w:id="28" w:name="_Hlk14272065"/>
      <w:r w:rsidR="00D508AF" w:rsidRPr="0007672A">
        <w:t>(</w:t>
      </w:r>
      <w:r w:rsidR="00526259" w:rsidRPr="0007672A">
        <w:fldChar w:fldCharType="begin"/>
      </w:r>
      <w:r w:rsidR="00526259" w:rsidRPr="0007672A">
        <w:instrText xml:space="preserve"> REF _Ref12529894 \h </w:instrText>
      </w:r>
      <w:r w:rsidR="0007672A">
        <w:instrText xml:space="preserve"> \* MERGEFORMAT </w:instrText>
      </w:r>
      <w:r w:rsidR="00526259" w:rsidRPr="0007672A">
        <w:fldChar w:fldCharType="separate"/>
      </w:r>
      <w:r w:rsidR="005407CC" w:rsidRPr="002F7695">
        <w:t xml:space="preserve">Exhibit </w:t>
      </w:r>
      <w:r w:rsidR="005407CC">
        <w:rPr>
          <w:noProof/>
        </w:rPr>
        <w:t>2</w:t>
      </w:r>
      <w:r w:rsidR="00526259" w:rsidRPr="0007672A">
        <w:fldChar w:fldCharType="end"/>
      </w:r>
      <w:r w:rsidR="00D508AF" w:rsidRPr="0007672A">
        <w:t>)</w:t>
      </w:r>
      <w:r w:rsidRPr="0007672A">
        <w:t>.</w:t>
      </w:r>
      <w:r w:rsidRPr="0007672A">
        <w:rPr>
          <w:rStyle w:val="FootnoteReference"/>
        </w:rPr>
        <w:footnoteReference w:id="11"/>
      </w:r>
      <w:r w:rsidR="00D508AF" w:rsidRPr="0007672A">
        <w:t xml:space="preserve"> </w:t>
      </w:r>
      <w:bookmarkEnd w:id="28"/>
      <w:r w:rsidR="004B76A9">
        <w:t>About half of that investment</w:t>
      </w:r>
      <w:r w:rsidR="0029416E">
        <w:t xml:space="preserve"> is likely to have been R&amp;D</w:t>
      </w:r>
      <w:r w:rsidR="004B76A9">
        <w:t xml:space="preserve"> </w:t>
      </w:r>
      <w:r w:rsidR="0029416E">
        <w:t xml:space="preserve">– </w:t>
      </w:r>
      <w:r w:rsidR="004B76A9">
        <w:t>$17 billion</w:t>
      </w:r>
      <w:r w:rsidR="0029416E">
        <w:t xml:space="preserve"> </w:t>
      </w:r>
      <w:r w:rsidR="004B76A9">
        <w:t>or just under 1 per cent of GDP.</w:t>
      </w:r>
      <w:r w:rsidR="004B76A9">
        <w:rPr>
          <w:rStyle w:val="FootnoteReference"/>
        </w:rPr>
        <w:footnoteReference w:id="12"/>
      </w:r>
      <w:r w:rsidR="002332A9" w:rsidRPr="00E4773B">
        <w:t xml:space="preserve"> </w:t>
      </w:r>
    </w:p>
    <w:p w14:paraId="1EAC27A4" w14:textId="30C66FC4" w:rsidR="00D508AF" w:rsidRDefault="00D508AF" w:rsidP="00D508AF">
      <w:pPr>
        <w:pStyle w:val="Caption"/>
      </w:pPr>
      <w:bookmarkStart w:id="29" w:name="_Ref12529894"/>
      <w:r w:rsidRPr="002F7695">
        <w:t xml:space="preserve">Exhibit </w:t>
      </w:r>
      <w:r w:rsidRPr="002F7695">
        <w:fldChar w:fldCharType="begin"/>
      </w:r>
      <w:r w:rsidRPr="002F7695">
        <w:instrText xml:space="preserve"> SEQ Exhibit \* ARABIC </w:instrText>
      </w:r>
      <w:r w:rsidRPr="002F7695">
        <w:fldChar w:fldCharType="separate"/>
      </w:r>
      <w:r w:rsidR="005407CC">
        <w:rPr>
          <w:noProof/>
        </w:rPr>
        <w:t>2</w:t>
      </w:r>
      <w:r w:rsidRPr="002F7695">
        <w:fldChar w:fldCharType="end"/>
      </w:r>
      <w:bookmarkEnd w:id="29"/>
    </w:p>
    <w:p w14:paraId="0B5AE8D1" w14:textId="39A242C3" w:rsidR="00F332C4" w:rsidRPr="00F332C4" w:rsidRDefault="00F332C4" w:rsidP="00F332C4">
      <w:pPr>
        <w:rPr>
          <w:lang w:val="en-US"/>
        </w:rPr>
      </w:pPr>
      <w:r w:rsidRPr="00EB68A4">
        <w:rPr>
          <w:noProof/>
          <w:lang w:eastAsia="en-AU"/>
        </w:rPr>
        <w:drawing>
          <wp:inline distT="0" distB="0" distL="0" distR="0" wp14:anchorId="20E80C75" wp14:editId="78A32DB7">
            <wp:extent cx="5623200" cy="3769200"/>
            <wp:effectExtent l="0" t="0" r="0" b="3175"/>
            <wp:docPr id="18" name="Picture 18" descr="Exhibit 2 is a chart showing a breakdown of Australian business investment in innovation in terms of R&amp;D investment and Non-R&amp;D investment. It shows that of a total of 32 to 36 billion dollars in expenditure, 17 goes to R&amp;D and 15 to 19 goes to Non-R&amp;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3200" cy="3769200"/>
                    </a:xfrm>
                    <a:prstGeom prst="rect">
                      <a:avLst/>
                    </a:prstGeom>
                    <a:noFill/>
                    <a:ln>
                      <a:noFill/>
                    </a:ln>
                  </pic:spPr>
                </pic:pic>
              </a:graphicData>
            </a:graphic>
          </wp:inline>
        </w:drawing>
      </w:r>
    </w:p>
    <w:p w14:paraId="14C769B2" w14:textId="34319FA9" w:rsidR="00A85568" w:rsidRPr="0055695C" w:rsidRDefault="0055695C" w:rsidP="0055695C">
      <w:pPr>
        <w:rPr>
          <w:rStyle w:val="SubtleEmphasis"/>
        </w:rPr>
      </w:pPr>
      <w:r w:rsidRPr="0055695C">
        <w:rPr>
          <w:rStyle w:val="SubtleEmphasis"/>
          <w:lang w:val="en-US"/>
        </w:rPr>
        <w:t xml:space="preserve">Source: </w:t>
      </w:r>
      <w:r w:rsidR="00433B60">
        <w:rPr>
          <w:rStyle w:val="SubtleEmphasis"/>
          <w:lang w:val="en-US"/>
        </w:rPr>
        <w:t xml:space="preserve">BERD: </w:t>
      </w:r>
      <w:r w:rsidRPr="0055695C">
        <w:rPr>
          <w:rStyle w:val="SubtleEmphasis"/>
        </w:rPr>
        <w:t>ABS (</w:t>
      </w:r>
      <w:r w:rsidRPr="00667A4C">
        <w:rPr>
          <w:rStyle w:val="SubtleEmphasis"/>
        </w:rPr>
        <w:t>2017</w:t>
      </w:r>
      <w:r w:rsidR="00EB68A4" w:rsidRPr="00667A4C">
        <w:rPr>
          <w:rStyle w:val="SubtleEmphasis"/>
        </w:rPr>
        <w:t>, 2019</w:t>
      </w:r>
      <w:r w:rsidRPr="00667A4C">
        <w:rPr>
          <w:rStyle w:val="SubtleEmphasis"/>
        </w:rPr>
        <w:t>),</w:t>
      </w:r>
      <w:r w:rsidR="00EB68A4" w:rsidRPr="00667A4C">
        <w:rPr>
          <w:rStyle w:val="SubtleEmphasis"/>
        </w:rPr>
        <w:t xml:space="preserve"> </w:t>
      </w:r>
      <w:r w:rsidRPr="00667A4C">
        <w:rPr>
          <w:rStyle w:val="SubtleEmphasis"/>
        </w:rPr>
        <w:t>8104</w:t>
      </w:r>
      <w:r w:rsidR="00E4773B">
        <w:rPr>
          <w:rStyle w:val="SubtleEmphasis"/>
        </w:rPr>
        <w:t xml:space="preserve"> (m</w:t>
      </w:r>
      <w:r w:rsidR="00EB68A4" w:rsidRPr="00667A4C">
        <w:rPr>
          <w:rStyle w:val="SubtleEmphasis"/>
        </w:rPr>
        <w:t>ean of 2015-16 and 2017-18 values</w:t>
      </w:r>
      <w:r w:rsidR="00E4773B">
        <w:rPr>
          <w:rStyle w:val="SubtleEmphasis"/>
        </w:rPr>
        <w:t>)</w:t>
      </w:r>
      <w:r w:rsidRPr="00667A4C">
        <w:rPr>
          <w:rStyle w:val="SubtleEmphasis"/>
        </w:rPr>
        <w:t xml:space="preserve">; </w:t>
      </w:r>
      <w:r w:rsidR="00433B60" w:rsidRPr="00667A4C">
        <w:rPr>
          <w:rStyle w:val="SubtleEmphasis"/>
        </w:rPr>
        <w:t xml:space="preserve">Total business investment in innovation: </w:t>
      </w:r>
      <w:r w:rsidRPr="00667A4C">
        <w:rPr>
          <w:rStyle w:val="SubtleEmphasis"/>
        </w:rPr>
        <w:t xml:space="preserve">ABS (2018) 8158.0 </w:t>
      </w:r>
      <w:r w:rsidR="00DD6E7F" w:rsidRPr="00667A4C">
        <w:rPr>
          <w:rStyle w:val="SubtleEmphasis"/>
        </w:rPr>
        <w:t xml:space="preserve">Appendix 1: </w:t>
      </w:r>
      <w:r w:rsidR="0044124C" w:rsidRPr="00667A4C">
        <w:rPr>
          <w:rStyle w:val="SubtleEmphasis"/>
        </w:rPr>
        <w:t>Explanatory Notes: Innovation Expenditure</w:t>
      </w:r>
      <w:r w:rsidR="00DD6E7F" w:rsidRPr="00667A4C">
        <w:rPr>
          <w:rStyle w:val="SubtleEmphasis"/>
        </w:rPr>
        <w:t xml:space="preserve"> by Dollar Ranges</w:t>
      </w:r>
      <w:r w:rsidR="007C5011" w:rsidRPr="00667A4C">
        <w:rPr>
          <w:rStyle w:val="SubtleEmphasis"/>
        </w:rPr>
        <w:t xml:space="preserve"> (for 2016-17)</w:t>
      </w:r>
      <w:r w:rsidR="00433B60" w:rsidRPr="00667A4C">
        <w:rPr>
          <w:rStyle w:val="SubtleEmphasis"/>
        </w:rPr>
        <w:t xml:space="preserve">; Non-R&amp;D innovation calculated as the difference between </w:t>
      </w:r>
      <w:r w:rsidR="003E308C" w:rsidRPr="00667A4C">
        <w:rPr>
          <w:rStyle w:val="SubtleEmphasis"/>
        </w:rPr>
        <w:t>BERD and Innovation</w:t>
      </w:r>
      <w:r w:rsidR="00433B60" w:rsidRPr="00667A4C">
        <w:rPr>
          <w:rStyle w:val="SubtleEmphasis"/>
        </w:rPr>
        <w:t>.</w:t>
      </w:r>
      <w:r w:rsidR="002C5D29" w:rsidRPr="00667A4C">
        <w:rPr>
          <w:rStyle w:val="SubtleEmphasis"/>
        </w:rPr>
        <w:t xml:space="preserve"> (As explained in</w:t>
      </w:r>
      <w:r w:rsidR="007071B6" w:rsidRPr="00667A4C">
        <w:rPr>
          <w:rStyle w:val="SubtleEmphasis"/>
        </w:rPr>
        <w:t xml:space="preserve"> footnote 8, </w:t>
      </w:r>
      <w:r w:rsidR="002C5D29" w:rsidRPr="00667A4C">
        <w:rPr>
          <w:rStyle w:val="SubtleEmphasis"/>
        </w:rPr>
        <w:t>it is likely that the measure of R&amp;D in ABS 8104 is more reliable than any measure that could be inferred from ABS 8159.)</w:t>
      </w:r>
    </w:p>
    <w:p w14:paraId="4B84D845" w14:textId="311C73F1" w:rsidR="004966B4" w:rsidRDefault="003E308C" w:rsidP="00C11884">
      <w:pPr>
        <w:pStyle w:val="Heading2"/>
      </w:pPr>
      <w:bookmarkStart w:id="30" w:name="_Toc13064926"/>
      <w:bookmarkStart w:id="31" w:name="_Toc13070201"/>
      <w:bookmarkStart w:id="32" w:name="_Toc13478287"/>
      <w:bookmarkStart w:id="33" w:name="_Toc30148069"/>
      <w:r>
        <w:lastRenderedPageBreak/>
        <w:t>M</w:t>
      </w:r>
      <w:r w:rsidR="00FE78C8">
        <w:t>any m</w:t>
      </w:r>
      <w:r>
        <w:t xml:space="preserve">ore </w:t>
      </w:r>
      <w:r w:rsidR="004966B4">
        <w:t xml:space="preserve">Australian firms </w:t>
      </w:r>
      <w:r>
        <w:t>invest in innovation than in</w:t>
      </w:r>
      <w:r w:rsidR="00FE78C8">
        <w:t xml:space="preserve"> </w:t>
      </w:r>
      <w:r w:rsidR="004966B4">
        <w:t>R&amp;D</w:t>
      </w:r>
      <w:bookmarkEnd w:id="30"/>
      <w:bookmarkEnd w:id="31"/>
      <w:bookmarkEnd w:id="32"/>
      <w:r>
        <w:t xml:space="preserve"> alone</w:t>
      </w:r>
      <w:bookmarkEnd w:id="33"/>
    </w:p>
    <w:p w14:paraId="569FA919" w14:textId="199A1298" w:rsidR="007077EA" w:rsidRDefault="008C1B71" w:rsidP="007077EA">
      <w:r>
        <w:t>Almost a third</w:t>
      </w:r>
      <w:r w:rsidRPr="00EF51E7">
        <w:t xml:space="preserve"> </w:t>
      </w:r>
      <w:r>
        <w:t>of</w:t>
      </w:r>
      <w:r w:rsidRPr="00EB4B8A">
        <w:t xml:space="preserve"> Australian firms </w:t>
      </w:r>
      <w:r w:rsidR="003F216D">
        <w:t xml:space="preserve">invest in </w:t>
      </w:r>
      <w:r>
        <w:t>some form of innovation</w:t>
      </w:r>
      <w:r w:rsidR="003F216D">
        <w:t>, while</w:t>
      </w:r>
      <w:r>
        <w:t xml:space="preserve"> </w:t>
      </w:r>
      <w:r w:rsidR="003F216D">
        <w:t xml:space="preserve">just </w:t>
      </w:r>
      <w:r>
        <w:t xml:space="preserve">5.8 per cent </w:t>
      </w:r>
      <w:r w:rsidR="004B33CE">
        <w:t>of firms</w:t>
      </w:r>
      <w:r>
        <w:t xml:space="preserve"> </w:t>
      </w:r>
      <w:r w:rsidR="003F216D">
        <w:t xml:space="preserve">invest </w:t>
      </w:r>
      <w:r>
        <w:t>in R&amp;D</w:t>
      </w:r>
      <w:r w:rsidR="003F216D">
        <w:t xml:space="preserve"> (</w:t>
      </w:r>
      <w:r w:rsidR="003F216D">
        <w:fldChar w:fldCharType="begin"/>
      </w:r>
      <w:r w:rsidR="003F216D">
        <w:instrText xml:space="preserve"> REF _Ref12530750 \h </w:instrText>
      </w:r>
      <w:r w:rsidR="003F216D">
        <w:fldChar w:fldCharType="separate"/>
      </w:r>
      <w:r w:rsidR="005407CC" w:rsidRPr="002F7695">
        <w:t xml:space="preserve">Exhibit </w:t>
      </w:r>
      <w:r w:rsidR="005407CC">
        <w:rPr>
          <w:noProof/>
        </w:rPr>
        <w:t>3</w:t>
      </w:r>
      <w:r w:rsidR="003F216D">
        <w:fldChar w:fldCharType="end"/>
      </w:r>
      <w:r w:rsidR="003F216D">
        <w:t>)</w:t>
      </w:r>
      <w:r>
        <w:t>.</w:t>
      </w:r>
      <w:r w:rsidR="007077EA" w:rsidRPr="007077EA">
        <w:t xml:space="preserve"> </w:t>
      </w:r>
      <w:r w:rsidR="00C728B6">
        <w:t>O</w:t>
      </w:r>
      <w:r w:rsidR="003F216D">
        <w:t>f</w:t>
      </w:r>
      <w:r w:rsidR="007077EA">
        <w:t xml:space="preserve"> th</w:t>
      </w:r>
      <w:r w:rsidR="00C728B6">
        <w:t>e</w:t>
      </w:r>
      <w:r w:rsidR="007077EA">
        <w:t xml:space="preserve"> firms that do invest in R&amp;D, four in five spend more than half their total innovation budget on non-R&amp;D activity.  </w:t>
      </w:r>
    </w:p>
    <w:p w14:paraId="0E4607F1" w14:textId="4196099A" w:rsidR="00D508AF" w:rsidRDefault="008B3367" w:rsidP="00D508AF">
      <w:r>
        <w:t xml:space="preserve">When Australian firms invest in </w:t>
      </w:r>
      <w:r w:rsidR="00951D43">
        <w:t xml:space="preserve">non-R&amp;D innovation, </w:t>
      </w:r>
      <w:r>
        <w:t xml:space="preserve">many of them invest in </w:t>
      </w:r>
      <w:r w:rsidR="00951D43">
        <w:t>t</w:t>
      </w:r>
      <w:r w:rsidR="00694474">
        <w:t>echnology</w:t>
      </w:r>
      <w:r>
        <w:t>. A</w:t>
      </w:r>
      <w:r w:rsidR="00D508AF">
        <w:t xml:space="preserve">lmost </w:t>
      </w:r>
      <w:r w:rsidR="003B0DA5">
        <w:t>one in five firms purchas</w:t>
      </w:r>
      <w:r>
        <w:t>ed</w:t>
      </w:r>
      <w:r w:rsidR="003B0DA5">
        <w:t xml:space="preserve"> </w:t>
      </w:r>
      <w:r w:rsidR="00D508AF">
        <w:t>machinery or equipment for innovation in 2017</w:t>
      </w:r>
      <w:r w:rsidR="00694474">
        <w:t>. Around</w:t>
      </w:r>
      <w:r w:rsidR="00D508AF">
        <w:t xml:space="preserve"> 14 per cent </w:t>
      </w:r>
      <w:r w:rsidR="00694474">
        <w:t>of firms</w:t>
      </w:r>
      <w:r w:rsidR="00D508AF">
        <w:t xml:space="preserve"> spent money on </w:t>
      </w:r>
      <w:r w:rsidR="00B80966">
        <w:t>internal business re-</w:t>
      </w:r>
      <w:r w:rsidR="00D508AF">
        <w:t>organisation for innovation. About the same proportion of firms report spending on marketing or training related to innovation (</w:t>
      </w:r>
      <w:r w:rsidR="00B80966">
        <w:fldChar w:fldCharType="begin"/>
      </w:r>
      <w:r w:rsidR="00B80966">
        <w:instrText xml:space="preserve"> REF _Ref12530750 \h </w:instrText>
      </w:r>
      <w:r w:rsidR="00B80966">
        <w:fldChar w:fldCharType="separate"/>
      </w:r>
      <w:r w:rsidR="005407CC" w:rsidRPr="002F7695">
        <w:t xml:space="preserve">Exhibit </w:t>
      </w:r>
      <w:r w:rsidR="005407CC">
        <w:rPr>
          <w:noProof/>
        </w:rPr>
        <w:t>3</w:t>
      </w:r>
      <w:r w:rsidR="00B80966">
        <w:fldChar w:fldCharType="end"/>
      </w:r>
      <w:r w:rsidR="00D508AF">
        <w:t xml:space="preserve">). </w:t>
      </w:r>
    </w:p>
    <w:p w14:paraId="2FAB641F" w14:textId="54767F18" w:rsidR="00D508AF" w:rsidRDefault="00D508AF" w:rsidP="00D508AF">
      <w:pPr>
        <w:pStyle w:val="Caption"/>
      </w:pPr>
      <w:bookmarkStart w:id="34" w:name="_Ref12530750"/>
      <w:r w:rsidRPr="002F7695">
        <w:t xml:space="preserve">Exhibit </w:t>
      </w:r>
      <w:r w:rsidRPr="002F7695">
        <w:fldChar w:fldCharType="begin"/>
      </w:r>
      <w:r w:rsidRPr="002F7695">
        <w:instrText xml:space="preserve"> SEQ Exhibit \* ARABIC </w:instrText>
      </w:r>
      <w:r w:rsidRPr="002F7695">
        <w:fldChar w:fldCharType="separate"/>
      </w:r>
      <w:r w:rsidR="005407CC">
        <w:rPr>
          <w:noProof/>
        </w:rPr>
        <w:t>3</w:t>
      </w:r>
      <w:r w:rsidRPr="002F7695">
        <w:fldChar w:fldCharType="end"/>
      </w:r>
      <w:bookmarkEnd w:id="34"/>
    </w:p>
    <w:p w14:paraId="47EE7B4F" w14:textId="22FD6828" w:rsidR="00F332C4" w:rsidRPr="00F332C4" w:rsidRDefault="00F332C4" w:rsidP="00F332C4">
      <w:pPr>
        <w:rPr>
          <w:lang w:val="en-US"/>
        </w:rPr>
      </w:pPr>
      <w:r w:rsidRPr="00A433B7">
        <w:rPr>
          <w:noProof/>
          <w:lang w:eastAsia="en-AU"/>
        </w:rPr>
        <w:drawing>
          <wp:inline distT="0" distB="0" distL="0" distR="0" wp14:anchorId="6E9193EE" wp14:editId="5935CE7C">
            <wp:extent cx="5727600" cy="3794400"/>
            <wp:effectExtent l="0" t="0" r="6985" b="0"/>
            <wp:docPr id="449" name="Picture 449" descr="Exhibit 3 is a chart showing that 5 times as many Australian businesses invest in innovation than in R&amp;D alone. More detail of the figures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600" cy="3794400"/>
                    </a:xfrm>
                    <a:prstGeom prst="rect">
                      <a:avLst/>
                    </a:prstGeom>
                    <a:noFill/>
                    <a:ln>
                      <a:noFill/>
                    </a:ln>
                  </pic:spPr>
                </pic:pic>
              </a:graphicData>
            </a:graphic>
          </wp:inline>
        </w:drawing>
      </w:r>
    </w:p>
    <w:p w14:paraId="3B5B1E55" w14:textId="03A5E230" w:rsidR="00EF51E7" w:rsidRDefault="00D9709E" w:rsidP="00D23B90">
      <w:pPr>
        <w:rPr>
          <w:rFonts w:eastAsia="Times New Roman"/>
          <w:lang w:val="en-US"/>
        </w:rPr>
      </w:pPr>
      <w:r w:rsidRPr="00D9709E">
        <w:rPr>
          <w:rStyle w:val="SubtleEmphasis"/>
          <w:lang w:val="en-US"/>
        </w:rPr>
        <w:t xml:space="preserve">Source: </w:t>
      </w:r>
      <w:r w:rsidRPr="00D9709E">
        <w:rPr>
          <w:rStyle w:val="SubtleEmphasis"/>
        </w:rPr>
        <w:t>ABS (2018), 8158.0</w:t>
      </w:r>
      <w:r w:rsidR="004A4E22">
        <w:rPr>
          <w:rStyle w:val="SubtleEmphasis"/>
        </w:rPr>
        <w:t xml:space="preserve">. </w:t>
      </w:r>
      <w:r w:rsidR="00667A4C">
        <w:rPr>
          <w:rStyle w:val="SubtleEmphasis"/>
        </w:rPr>
        <w:t xml:space="preserve">Excludes responses of firms that say they are innovation-active but report no </w:t>
      </w:r>
      <w:r w:rsidR="004A4E22">
        <w:rPr>
          <w:rStyle w:val="SubtleEmphasis"/>
        </w:rPr>
        <w:t>expenditure on innovatio</w:t>
      </w:r>
      <w:r w:rsidR="00667A4C">
        <w:rPr>
          <w:rStyle w:val="SubtleEmphasis"/>
        </w:rPr>
        <w:t>n</w:t>
      </w:r>
      <w:r w:rsidR="004A4E22">
        <w:rPr>
          <w:rStyle w:val="SubtleEmphasis"/>
        </w:rPr>
        <w:t xml:space="preserve">. </w:t>
      </w:r>
    </w:p>
    <w:p w14:paraId="6E566512" w14:textId="77777777" w:rsidR="0009153E" w:rsidRDefault="0009153E">
      <w:pPr>
        <w:spacing w:before="0" w:after="160"/>
        <w:jc w:val="left"/>
        <w:rPr>
          <w:rFonts w:asciiTheme="majorHAnsi" w:eastAsiaTheme="majorEastAsia" w:hAnsiTheme="majorHAnsi" w:cstheme="majorHAnsi"/>
          <w:b/>
          <w:caps/>
          <w:color w:val="4CB8C1" w:themeColor="accent5"/>
          <w:sz w:val="44"/>
          <w:szCs w:val="44"/>
          <w:lang w:val="en-US"/>
        </w:rPr>
      </w:pPr>
      <w:bookmarkStart w:id="35" w:name="_Hlk13243677"/>
      <w:r>
        <w:br w:type="page"/>
      </w:r>
    </w:p>
    <w:p w14:paraId="59ED5F4B" w14:textId="63618E8B" w:rsidR="00D508AF" w:rsidRDefault="00267D36" w:rsidP="00CF28BB">
      <w:pPr>
        <w:pStyle w:val="Heading1"/>
      </w:pPr>
      <w:bookmarkStart w:id="36" w:name="_Toc30148070"/>
      <w:r>
        <w:lastRenderedPageBreak/>
        <w:t xml:space="preserve">Recent </w:t>
      </w:r>
      <w:r w:rsidR="00CF28BB">
        <w:t>b</w:t>
      </w:r>
      <w:r w:rsidR="00405E13">
        <w:t>usiness R&amp;D</w:t>
      </w:r>
      <w:bookmarkStart w:id="37" w:name="_Toc12460392"/>
      <w:bookmarkStart w:id="38" w:name="_Toc13478288"/>
      <w:r w:rsidRPr="00267D36">
        <w:t xml:space="preserve"> </w:t>
      </w:r>
      <w:r w:rsidR="0022692C">
        <w:t xml:space="preserve">declines </w:t>
      </w:r>
      <w:r>
        <w:t xml:space="preserve">are mostly due to the mining cycle and changing </w:t>
      </w:r>
      <w:r w:rsidR="00901FF9">
        <w:t>sector</w:t>
      </w:r>
      <w:r w:rsidR="00117390">
        <w:t xml:space="preserve"> mix</w:t>
      </w:r>
      <w:bookmarkEnd w:id="36"/>
      <w:r>
        <w:t xml:space="preserve"> </w:t>
      </w:r>
      <w:bookmarkEnd w:id="37"/>
      <w:bookmarkEnd w:id="38"/>
    </w:p>
    <w:bookmarkEnd w:id="35"/>
    <w:p w14:paraId="6C4F51C5" w14:textId="48379F71" w:rsidR="00D508AF" w:rsidRPr="00B25A8C" w:rsidRDefault="00D508AF" w:rsidP="00C11884">
      <w:r>
        <w:t>Australia</w:t>
      </w:r>
      <w:r w:rsidR="00AD4FDF">
        <w:t xml:space="preserve">n BERD has declined by over 30 per cent since its 2008-09 peak. This is mostly due to its </w:t>
      </w:r>
      <w:r w:rsidR="00654C91">
        <w:t>changing</w:t>
      </w:r>
      <w:r>
        <w:t xml:space="preserve"> industry mix </w:t>
      </w:r>
      <w:r w:rsidR="004D30DB">
        <w:t xml:space="preserve">and macroeconomic factors, </w:t>
      </w:r>
      <w:r w:rsidR="009F1E5A">
        <w:t>such as</w:t>
      </w:r>
      <w:r w:rsidR="004D30DB">
        <w:t xml:space="preserve"> the decline of mining exploration</w:t>
      </w:r>
      <w:r>
        <w:t xml:space="preserve">. </w:t>
      </w:r>
    </w:p>
    <w:p w14:paraId="08FED38D" w14:textId="53ED048E" w:rsidR="00B56B1A" w:rsidRDefault="00B56B1A" w:rsidP="009E0ADB">
      <w:pPr>
        <w:pStyle w:val="Heading2"/>
      </w:pPr>
      <w:bookmarkStart w:id="39" w:name="_Toc30148071"/>
      <w:r>
        <w:t>Australia’s business R&amp;D has declined 30</w:t>
      </w:r>
      <w:r w:rsidR="00515F15">
        <w:t xml:space="preserve"> per cent</w:t>
      </w:r>
      <w:r>
        <w:t xml:space="preserve"> as a share of GDP since </w:t>
      </w:r>
      <w:r w:rsidR="005059B6">
        <w:t>its peak</w:t>
      </w:r>
      <w:bookmarkEnd w:id="39"/>
    </w:p>
    <w:p w14:paraId="4FC4D474" w14:textId="5AF2D14A" w:rsidR="00D508AF" w:rsidRDefault="00D508AF" w:rsidP="00D508AF">
      <w:r w:rsidRPr="00B900CA">
        <w:t>Australian BERD</w:t>
      </w:r>
      <w:r w:rsidR="00CF5B11">
        <w:t xml:space="preserve"> peaked in 2008-0</w:t>
      </w:r>
      <w:r w:rsidR="00543066">
        <w:t>9</w:t>
      </w:r>
      <w:r w:rsidR="00F134E6">
        <w:t xml:space="preserve"> </w:t>
      </w:r>
      <w:r w:rsidR="00975DE7">
        <w:t>as a share of GDP</w:t>
      </w:r>
      <w:r w:rsidR="00F134E6">
        <w:t xml:space="preserve"> at 1.37 per cent</w:t>
      </w:r>
      <w:r w:rsidR="00975DE7">
        <w:t xml:space="preserve">, </w:t>
      </w:r>
      <w:r w:rsidR="00543066">
        <w:t xml:space="preserve">and </w:t>
      </w:r>
      <w:r w:rsidR="00975DE7">
        <w:t xml:space="preserve">has since </w:t>
      </w:r>
      <w:r w:rsidRPr="00B900CA">
        <w:t>declined by</w:t>
      </w:r>
      <w:r w:rsidR="00E4773B">
        <w:t xml:space="preserve"> </w:t>
      </w:r>
      <w:r w:rsidR="00E4773B" w:rsidRPr="00515F15">
        <w:t>over</w:t>
      </w:r>
      <w:r w:rsidRPr="00515F15">
        <w:t xml:space="preserve"> 30 per</w:t>
      </w:r>
      <w:r w:rsidR="00241686" w:rsidRPr="00515F15">
        <w:t xml:space="preserve"> </w:t>
      </w:r>
      <w:r w:rsidRPr="00515F15">
        <w:t>cent</w:t>
      </w:r>
      <w:r w:rsidR="00F134E6">
        <w:t>, to 0.94 per cent of GDP</w:t>
      </w:r>
      <w:r w:rsidR="00543066" w:rsidRPr="00515F15">
        <w:t>.</w:t>
      </w:r>
      <w:r w:rsidR="00543066">
        <w:t xml:space="preserve"> </w:t>
      </w:r>
      <w:r>
        <w:t xml:space="preserve">Australia’s BERD is </w:t>
      </w:r>
      <w:r w:rsidR="00543066">
        <w:t xml:space="preserve">also </w:t>
      </w:r>
      <w:r>
        <w:t xml:space="preserve">low by OECD standards. These facts have created concern about the causes and effects of declining BERD, and </w:t>
      </w:r>
      <w:r w:rsidR="00F134E6">
        <w:t xml:space="preserve">about how </w:t>
      </w:r>
      <w:r w:rsidR="005024DD">
        <w:t>Australia</w:t>
      </w:r>
      <w:r w:rsidR="00F134E6">
        <w:t>n policymakers</w:t>
      </w:r>
      <w:r w:rsidR="005024DD">
        <w:t xml:space="preserve"> should </w:t>
      </w:r>
      <w:r w:rsidR="00F134E6">
        <w:t>respond</w:t>
      </w:r>
      <w:r w:rsidRPr="00B900CA">
        <w:t>.</w:t>
      </w:r>
      <w:r>
        <w:rPr>
          <w:rStyle w:val="FootnoteReference"/>
        </w:rPr>
        <w:footnoteReference w:id="13"/>
      </w:r>
      <w:r w:rsidR="00405E13">
        <w:t xml:space="preserve"> </w:t>
      </w:r>
    </w:p>
    <w:p w14:paraId="3F3A5DA3" w14:textId="43B031B8" w:rsidR="006F0B57" w:rsidRDefault="006F0B57" w:rsidP="006F0B57">
      <w:pPr>
        <w:pStyle w:val="Caption"/>
      </w:pPr>
      <w:bookmarkStart w:id="40" w:name="_Ref14698121"/>
      <w:r w:rsidRPr="002F7695">
        <w:t xml:space="preserve">Exhibit </w:t>
      </w:r>
      <w:r w:rsidRPr="002F7695">
        <w:fldChar w:fldCharType="begin"/>
      </w:r>
      <w:r w:rsidRPr="002F7695">
        <w:instrText xml:space="preserve"> SEQ Exhibit \* ARABIC </w:instrText>
      </w:r>
      <w:r w:rsidRPr="002F7695">
        <w:fldChar w:fldCharType="separate"/>
      </w:r>
      <w:r w:rsidR="005407CC">
        <w:rPr>
          <w:noProof/>
        </w:rPr>
        <w:t>4</w:t>
      </w:r>
      <w:r w:rsidRPr="002F7695">
        <w:fldChar w:fldCharType="end"/>
      </w:r>
      <w:bookmarkEnd w:id="40"/>
    </w:p>
    <w:p w14:paraId="29DBB701" w14:textId="6D086BEA" w:rsidR="00F332C4" w:rsidRPr="00F332C4" w:rsidRDefault="00F332C4" w:rsidP="00F332C4">
      <w:pPr>
        <w:rPr>
          <w:lang w:val="en-US"/>
        </w:rPr>
      </w:pPr>
      <w:r w:rsidRPr="00757911">
        <w:rPr>
          <w:noProof/>
          <w:lang w:eastAsia="en-AU"/>
        </w:rPr>
        <w:drawing>
          <wp:inline distT="0" distB="0" distL="0" distR="0" wp14:anchorId="7720E5F1" wp14:editId="04653155">
            <wp:extent cx="5732145" cy="3606417"/>
            <wp:effectExtent l="0" t="0" r="0" b="0"/>
            <wp:docPr id="452" name="Picture 452" descr="Exhibit 4 is a chart showing business investment in R&amp;D (BERD) as a share of GDP, for total BERD and Non-Mining BERD. A relevant interpretation is included in the paragraph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3606417"/>
                    </a:xfrm>
                    <a:prstGeom prst="rect">
                      <a:avLst/>
                    </a:prstGeom>
                    <a:noFill/>
                    <a:ln>
                      <a:noFill/>
                    </a:ln>
                  </pic:spPr>
                </pic:pic>
              </a:graphicData>
            </a:graphic>
          </wp:inline>
        </w:drawing>
      </w:r>
    </w:p>
    <w:p w14:paraId="74C700F4" w14:textId="625D73E7" w:rsidR="00CF5B11" w:rsidRPr="00133D55" w:rsidRDefault="00955086" w:rsidP="00CF5B11">
      <w:pPr>
        <w:rPr>
          <w:i/>
          <w:iCs/>
          <w:color w:val="808080" w:themeColor="text1" w:themeTint="7F"/>
          <w:sz w:val="18"/>
          <w:szCs w:val="18"/>
        </w:rPr>
      </w:pPr>
      <w:r w:rsidRPr="00133D55">
        <w:rPr>
          <w:i/>
          <w:iCs/>
          <w:color w:val="808080" w:themeColor="text1" w:themeTint="7F"/>
          <w:sz w:val="18"/>
          <w:szCs w:val="18"/>
          <w:lang w:val="en-US"/>
        </w:rPr>
        <w:t>S</w:t>
      </w:r>
      <w:r w:rsidR="00CF5B11" w:rsidRPr="00133D55">
        <w:rPr>
          <w:i/>
          <w:iCs/>
          <w:color w:val="808080" w:themeColor="text1" w:themeTint="7F"/>
          <w:sz w:val="18"/>
          <w:szCs w:val="18"/>
          <w:lang w:val="en-US"/>
        </w:rPr>
        <w:t>ource: ABS 8104 and 5204, AlphaBeta analysis</w:t>
      </w:r>
      <w:r w:rsidR="00543066" w:rsidRPr="00133D55">
        <w:rPr>
          <w:i/>
          <w:iCs/>
          <w:color w:val="808080" w:themeColor="text1" w:themeTint="7F"/>
          <w:sz w:val="18"/>
          <w:szCs w:val="18"/>
          <w:lang w:val="en-US"/>
        </w:rPr>
        <w:t xml:space="preserve">. </w:t>
      </w:r>
      <w:r w:rsidR="00901FF9" w:rsidRPr="00133D55">
        <w:rPr>
          <w:i/>
          <w:iCs/>
          <w:color w:val="808080" w:themeColor="text1" w:themeTint="7F"/>
          <w:sz w:val="18"/>
          <w:szCs w:val="18"/>
          <w:lang w:val="en-US"/>
        </w:rPr>
        <w:t>20</w:t>
      </w:r>
      <w:r w:rsidR="00A433B7" w:rsidRPr="00133D55">
        <w:rPr>
          <w:i/>
          <w:iCs/>
          <w:color w:val="808080" w:themeColor="text1" w:themeTint="7F"/>
          <w:sz w:val="18"/>
          <w:szCs w:val="18"/>
          <w:lang w:val="en-US"/>
        </w:rPr>
        <w:t>12-13, 14-15</w:t>
      </w:r>
      <w:r w:rsidR="00901FF9" w:rsidRPr="00133D55">
        <w:rPr>
          <w:i/>
          <w:iCs/>
          <w:color w:val="808080" w:themeColor="text1" w:themeTint="7F"/>
          <w:sz w:val="18"/>
          <w:szCs w:val="18"/>
          <w:lang w:val="en-US"/>
        </w:rPr>
        <w:t xml:space="preserve"> and </w:t>
      </w:r>
      <w:r w:rsidR="00A433B7" w:rsidRPr="00133D55">
        <w:rPr>
          <w:i/>
          <w:iCs/>
          <w:color w:val="808080" w:themeColor="text1" w:themeTint="7F"/>
          <w:sz w:val="18"/>
          <w:szCs w:val="18"/>
          <w:lang w:val="en-US"/>
        </w:rPr>
        <w:t>16-17</w:t>
      </w:r>
      <w:r w:rsidR="00901FF9" w:rsidRPr="00133D55">
        <w:rPr>
          <w:i/>
          <w:iCs/>
          <w:color w:val="808080" w:themeColor="text1" w:themeTint="7F"/>
          <w:sz w:val="18"/>
          <w:szCs w:val="18"/>
          <w:lang w:val="en-US"/>
        </w:rPr>
        <w:t xml:space="preserve"> BERD linearly interpolated</w:t>
      </w:r>
      <w:r w:rsidR="00A433B7" w:rsidRPr="00133D55">
        <w:rPr>
          <w:i/>
          <w:iCs/>
          <w:color w:val="808080" w:themeColor="text1" w:themeTint="7F"/>
          <w:sz w:val="18"/>
          <w:szCs w:val="18"/>
          <w:lang w:val="en-US"/>
        </w:rPr>
        <w:t>.</w:t>
      </w:r>
    </w:p>
    <w:p w14:paraId="392ADB8E" w14:textId="51ED920E" w:rsidR="006075A6" w:rsidRDefault="006075A6" w:rsidP="006075A6">
      <w:r w:rsidRPr="00FC4DA7">
        <w:lastRenderedPageBreak/>
        <w:t xml:space="preserve">Australian BERD </w:t>
      </w:r>
      <w:r w:rsidR="003F216D" w:rsidRPr="00FC4DA7">
        <w:t>peaked at</w:t>
      </w:r>
      <w:r w:rsidRPr="00FC4DA7">
        <w:t xml:space="preserve"> 1.</w:t>
      </w:r>
      <w:r w:rsidR="00757911" w:rsidRPr="00FC4DA7">
        <w:t>37</w:t>
      </w:r>
      <w:r w:rsidRPr="00FC4DA7">
        <w:t xml:space="preserve"> per cent of GDP in 2008-09</w:t>
      </w:r>
      <w:r w:rsidR="009F1E5A">
        <w:t>, and</w:t>
      </w:r>
      <w:r w:rsidR="004B76A9">
        <w:t xml:space="preserve"> </w:t>
      </w:r>
      <w:r w:rsidRPr="00FC4DA7">
        <w:t xml:space="preserve">declined to </w:t>
      </w:r>
      <w:r w:rsidR="00A433B7" w:rsidRPr="00FC4DA7">
        <w:t>0.9</w:t>
      </w:r>
      <w:r w:rsidR="00757911" w:rsidRPr="00FC4DA7">
        <w:t>4</w:t>
      </w:r>
      <w:r w:rsidR="00A433B7" w:rsidRPr="00FC4DA7">
        <w:t xml:space="preserve"> per cent </w:t>
      </w:r>
      <w:r w:rsidRPr="00FC4DA7">
        <w:t>by 201</w:t>
      </w:r>
      <w:r w:rsidR="00A433B7" w:rsidRPr="00FC4DA7">
        <w:t>7</w:t>
      </w:r>
      <w:r w:rsidRPr="00FC4DA7">
        <w:t>-1</w:t>
      </w:r>
      <w:r w:rsidR="00A433B7" w:rsidRPr="00FC4DA7">
        <w:t>8</w:t>
      </w:r>
      <w:r w:rsidRPr="00FC4DA7">
        <w:t xml:space="preserve"> (</w:t>
      </w:r>
      <w:r w:rsidRPr="00FC4DA7">
        <w:fldChar w:fldCharType="begin"/>
      </w:r>
      <w:r w:rsidRPr="00FC4DA7">
        <w:instrText xml:space="preserve"> REF _Ref14698121 \h </w:instrText>
      </w:r>
      <w:r w:rsidR="00973B43" w:rsidRPr="00FC4DA7">
        <w:instrText xml:space="preserve"> \* MERGEFORMAT </w:instrText>
      </w:r>
      <w:r w:rsidRPr="00FC4DA7">
        <w:fldChar w:fldCharType="separate"/>
      </w:r>
      <w:r w:rsidR="005407CC" w:rsidRPr="002F7695">
        <w:t xml:space="preserve">Exhibit </w:t>
      </w:r>
      <w:r w:rsidR="005407CC">
        <w:rPr>
          <w:noProof/>
        </w:rPr>
        <w:t>4</w:t>
      </w:r>
      <w:r w:rsidRPr="00FC4DA7">
        <w:fldChar w:fldCharType="end"/>
      </w:r>
      <w:r w:rsidRPr="00FC4DA7">
        <w:t>). Non-mining BERD also peaked in 2008-09</w:t>
      </w:r>
      <w:r w:rsidR="00A433B7" w:rsidRPr="00FC4DA7">
        <w:t>,</w:t>
      </w:r>
      <w:r w:rsidRPr="00FC4DA7">
        <w:t xml:space="preserve"> at 1.</w:t>
      </w:r>
      <w:r w:rsidR="00757911" w:rsidRPr="00FC4DA7">
        <w:t>03</w:t>
      </w:r>
      <w:r w:rsidRPr="00FC4DA7">
        <w:t xml:space="preserve"> per cent of GDP</w:t>
      </w:r>
      <w:r w:rsidR="009F1E5A">
        <w:t>. It</w:t>
      </w:r>
      <w:r w:rsidRPr="00FC4DA7">
        <w:t xml:space="preserve"> declined to 0.</w:t>
      </w:r>
      <w:r w:rsidR="00757911" w:rsidRPr="00FC4DA7">
        <w:t>89</w:t>
      </w:r>
      <w:r w:rsidRPr="00FC4DA7">
        <w:t xml:space="preserve"> per cent by 2015-16</w:t>
      </w:r>
      <w:r w:rsidR="00757911" w:rsidRPr="00FC4DA7">
        <w:t>, where it remained in 2017-18, the latest year for which there is data</w:t>
      </w:r>
      <w:r w:rsidRPr="00FC4DA7">
        <w:t>.</w:t>
      </w:r>
      <w:r>
        <w:t xml:space="preserve">  </w:t>
      </w:r>
    </w:p>
    <w:p w14:paraId="4D17429A" w14:textId="6D89C487" w:rsidR="00D508AF" w:rsidRDefault="00BE5F85">
      <w:r>
        <w:t>Over 90</w:t>
      </w:r>
      <w:r w:rsidR="00CF49C8">
        <w:t xml:space="preserve"> per cent of the decline </w:t>
      </w:r>
      <w:r w:rsidR="007077EA">
        <w:t xml:space="preserve">in BERD as a share of GDP </w:t>
      </w:r>
      <w:r w:rsidR="008B43CB">
        <w:t xml:space="preserve">since </w:t>
      </w:r>
      <w:r w:rsidR="007077EA">
        <w:t>it</w:t>
      </w:r>
      <w:r w:rsidR="005947BE">
        <w:t xml:space="preserve"> peaked </w:t>
      </w:r>
      <w:r w:rsidR="008B43CB">
        <w:t xml:space="preserve">has been </w:t>
      </w:r>
      <w:r w:rsidR="00CF49C8">
        <w:t>due to macroeconomic factors</w:t>
      </w:r>
      <w:r w:rsidR="005947BE">
        <w:t xml:space="preserve"> – </w:t>
      </w:r>
      <w:r w:rsidR="00A62439">
        <w:t>primarily a</w:t>
      </w:r>
      <w:r w:rsidR="00CF49C8">
        <w:t xml:space="preserve"> decline of mining exploration</w:t>
      </w:r>
      <w:r w:rsidR="00584A20">
        <w:t xml:space="preserve"> and development after the boom of the late 2000s</w:t>
      </w:r>
      <w:r w:rsidR="005947BE">
        <w:t xml:space="preserve"> – </w:t>
      </w:r>
      <w:r w:rsidR="00CF49C8">
        <w:t>and Australia’s changing industry mix</w:t>
      </w:r>
      <w:r w:rsidR="006F0B57">
        <w:t xml:space="preserve"> (</w:t>
      </w:r>
      <w:r w:rsidR="008E7104">
        <w:fldChar w:fldCharType="begin"/>
      </w:r>
      <w:r w:rsidR="008E7104">
        <w:instrText xml:space="preserve"> REF _Ref14698099 \h </w:instrText>
      </w:r>
      <w:r w:rsidR="008E7104">
        <w:fldChar w:fldCharType="separate"/>
      </w:r>
      <w:r w:rsidR="005407CC">
        <w:t xml:space="preserve">Exhibit </w:t>
      </w:r>
      <w:r w:rsidR="005407CC">
        <w:rPr>
          <w:noProof/>
        </w:rPr>
        <w:t>5</w:t>
      </w:r>
      <w:r w:rsidR="008E7104">
        <w:fldChar w:fldCharType="end"/>
      </w:r>
      <w:r w:rsidR="008E7104">
        <w:t xml:space="preserve">). </w:t>
      </w:r>
      <w:r w:rsidR="00757911">
        <w:t>Under 10</w:t>
      </w:r>
      <w:r w:rsidR="00D508AF">
        <w:t xml:space="preserve"> per cent of the drop was due to other factors, </w:t>
      </w:r>
      <w:r w:rsidR="005024DD">
        <w:t xml:space="preserve">such as </w:t>
      </w:r>
      <w:r w:rsidR="00D508AF">
        <w:t>declining BERD intensity at an industry level</w:t>
      </w:r>
      <w:r w:rsidR="00CF49C8">
        <w:t>.</w:t>
      </w:r>
    </w:p>
    <w:p w14:paraId="424FC5D7" w14:textId="6042578C" w:rsidR="005024DD" w:rsidRDefault="008E7104" w:rsidP="008E7104">
      <w:pPr>
        <w:pStyle w:val="Caption"/>
      </w:pPr>
      <w:bookmarkStart w:id="41" w:name="_Ref14698099"/>
      <w:bookmarkStart w:id="42" w:name="_Hlk14637848"/>
      <w:r>
        <w:t xml:space="preserve">Exhibit </w:t>
      </w:r>
      <w:r>
        <w:fldChar w:fldCharType="begin"/>
      </w:r>
      <w:r>
        <w:instrText xml:space="preserve"> SEQ Exhibit \* ARABIC </w:instrText>
      </w:r>
      <w:r>
        <w:fldChar w:fldCharType="separate"/>
      </w:r>
      <w:r w:rsidR="005407CC">
        <w:rPr>
          <w:noProof/>
        </w:rPr>
        <w:t>5</w:t>
      </w:r>
      <w:r>
        <w:fldChar w:fldCharType="end"/>
      </w:r>
      <w:bookmarkEnd w:id="41"/>
    </w:p>
    <w:p w14:paraId="46A17432" w14:textId="3AF3872B" w:rsidR="00F332C4" w:rsidRPr="00F332C4" w:rsidRDefault="00F332C4" w:rsidP="00F332C4">
      <w:pPr>
        <w:rPr>
          <w:lang w:val="en-US"/>
        </w:rPr>
      </w:pPr>
      <w:r w:rsidRPr="00757911">
        <w:rPr>
          <w:noProof/>
          <w:lang w:eastAsia="en-AU"/>
        </w:rPr>
        <w:drawing>
          <wp:inline distT="0" distB="0" distL="0" distR="0" wp14:anchorId="2B9550C4" wp14:editId="1DF3CB5C">
            <wp:extent cx="5659200" cy="3787200"/>
            <wp:effectExtent l="0" t="0" r="0" b="3810"/>
            <wp:docPr id="453" name="Picture 453" descr="Exhibit 5 shows a chart depicting how Australia’s industry mix and macroeconomic factors account for over 90% of the change in BERD. A relevant interpretation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9200" cy="3787200"/>
                    </a:xfrm>
                    <a:prstGeom prst="rect">
                      <a:avLst/>
                    </a:prstGeom>
                    <a:noFill/>
                    <a:ln>
                      <a:noFill/>
                    </a:ln>
                  </pic:spPr>
                </pic:pic>
              </a:graphicData>
            </a:graphic>
          </wp:inline>
        </w:drawing>
      </w:r>
    </w:p>
    <w:bookmarkEnd w:id="42"/>
    <w:p w14:paraId="300E7035" w14:textId="77777777" w:rsidR="005024DD" w:rsidRPr="00AC38CF" w:rsidRDefault="005024DD" w:rsidP="005024DD">
      <w:pPr>
        <w:rPr>
          <w:rStyle w:val="SubtleEmphasis"/>
        </w:rPr>
      </w:pPr>
      <w:r w:rsidRPr="00AC38CF">
        <w:rPr>
          <w:rStyle w:val="SubtleEmphasis"/>
        </w:rPr>
        <w:t>Source: ABS 8104 and 5204, AlphaBeta analysis</w:t>
      </w:r>
    </w:p>
    <w:p w14:paraId="084AD1CF" w14:textId="77777777" w:rsidR="0009153E" w:rsidRDefault="0009153E">
      <w:pPr>
        <w:spacing w:before="0" w:after="160"/>
        <w:jc w:val="left"/>
        <w:rPr>
          <w:rFonts w:asciiTheme="majorHAnsi" w:eastAsiaTheme="majorEastAsia" w:hAnsiTheme="majorHAnsi" w:cstheme="majorHAnsi"/>
          <w:b/>
          <w:color w:val="4CB8C1" w:themeColor="accent5"/>
          <w:sz w:val="36"/>
          <w:szCs w:val="36"/>
          <w:lang w:val="en-US"/>
        </w:rPr>
      </w:pPr>
      <w:bookmarkStart w:id="43" w:name="_Toc13064929"/>
      <w:bookmarkStart w:id="44" w:name="_Toc13478290"/>
      <w:r>
        <w:br w:type="page"/>
      </w:r>
    </w:p>
    <w:p w14:paraId="58D794BB" w14:textId="03705A74" w:rsidR="005E06DD" w:rsidRDefault="0002378F" w:rsidP="00C11884">
      <w:pPr>
        <w:pStyle w:val="Heading2"/>
      </w:pPr>
      <w:bookmarkStart w:id="45" w:name="_Toc30148072"/>
      <w:r>
        <w:lastRenderedPageBreak/>
        <w:t>The</w:t>
      </w:r>
      <w:r w:rsidR="00E767AA">
        <w:t xml:space="preserve"> mining cycle explain</w:t>
      </w:r>
      <w:r>
        <w:t>s</w:t>
      </w:r>
      <w:r w:rsidR="00E767AA">
        <w:t xml:space="preserve"> </w:t>
      </w:r>
      <w:r w:rsidR="00747620">
        <w:t>70 per cent of</w:t>
      </w:r>
      <w:r w:rsidR="00E767AA">
        <w:t xml:space="preserve"> </w:t>
      </w:r>
      <w:r>
        <w:t xml:space="preserve">the decline in </w:t>
      </w:r>
      <w:r w:rsidR="00E767AA">
        <w:t>Australia</w:t>
      </w:r>
      <w:r>
        <w:t xml:space="preserve">n </w:t>
      </w:r>
      <w:r w:rsidR="00E767AA">
        <w:t>BERD</w:t>
      </w:r>
      <w:bookmarkEnd w:id="43"/>
      <w:bookmarkEnd w:id="44"/>
      <w:bookmarkEnd w:id="45"/>
    </w:p>
    <w:p w14:paraId="40898177" w14:textId="79289E06" w:rsidR="00A34900" w:rsidRDefault="00917953" w:rsidP="00A34900">
      <w:r>
        <w:t xml:space="preserve">The mining cycle </w:t>
      </w:r>
      <w:r w:rsidR="005947BE">
        <w:t>explain</w:t>
      </w:r>
      <w:r>
        <w:t xml:space="preserve">s </w:t>
      </w:r>
      <w:r w:rsidRPr="00BE5F85">
        <w:t>about</w:t>
      </w:r>
      <w:r w:rsidR="00A62837" w:rsidRPr="00BE5F85">
        <w:t xml:space="preserve"> </w:t>
      </w:r>
      <w:r w:rsidR="00757911" w:rsidRPr="00BE5F85">
        <w:t>7</w:t>
      </w:r>
      <w:r w:rsidR="00A34900" w:rsidRPr="00BE5F85">
        <w:t>0 per</w:t>
      </w:r>
      <w:r w:rsidR="005024DD" w:rsidRPr="00BE5F85">
        <w:t xml:space="preserve"> </w:t>
      </w:r>
      <w:r w:rsidR="00A34900" w:rsidRPr="00BE5F85">
        <w:t>cent</w:t>
      </w:r>
      <w:r w:rsidR="00A34900" w:rsidRPr="00685617">
        <w:t xml:space="preserve"> </w:t>
      </w:r>
      <w:r w:rsidR="00A34900">
        <w:t xml:space="preserve">of the decline in BERD’s share of </w:t>
      </w:r>
      <w:r>
        <w:t xml:space="preserve">Australian </w:t>
      </w:r>
      <w:r w:rsidR="00A34900">
        <w:t xml:space="preserve">GDP since </w:t>
      </w:r>
      <w:r w:rsidR="00C875AD">
        <w:t xml:space="preserve">it peaked in </w:t>
      </w:r>
      <w:r w:rsidR="00A34900">
        <w:t>2008-09</w:t>
      </w:r>
      <w:r w:rsidR="00A62837">
        <w:t xml:space="preserve">. </w:t>
      </w:r>
      <w:r w:rsidR="00FF55A4">
        <w:t>M</w:t>
      </w:r>
      <w:r w:rsidR="00A34900">
        <w:t xml:space="preserve">ining contributed </w:t>
      </w:r>
      <w:r w:rsidR="005E4CBE">
        <w:t>a quarter</w:t>
      </w:r>
      <w:r w:rsidR="00A34900">
        <w:t xml:space="preserve"> of </w:t>
      </w:r>
      <w:r w:rsidR="00A62837">
        <w:t>total Australian BERD</w:t>
      </w:r>
      <w:r w:rsidR="00FF55A4">
        <w:t xml:space="preserve"> in 2008-09, or about 0.37</w:t>
      </w:r>
      <w:r w:rsidR="00515F15">
        <w:t xml:space="preserve"> per cent</w:t>
      </w:r>
      <w:r w:rsidR="00FF55A4">
        <w:t xml:space="preserve"> of GDP</w:t>
      </w:r>
      <w:r w:rsidR="00A34900">
        <w:t xml:space="preserve">. </w:t>
      </w:r>
      <w:r w:rsidR="005E4CBE">
        <w:t xml:space="preserve">As </w:t>
      </w:r>
      <w:r w:rsidR="00A62439">
        <w:t xml:space="preserve">Australia’s </w:t>
      </w:r>
      <w:r w:rsidR="005E4CBE">
        <w:t xml:space="preserve">mining cycle moved from </w:t>
      </w:r>
      <w:r w:rsidR="00A62439">
        <w:t xml:space="preserve">its </w:t>
      </w:r>
      <w:r w:rsidR="005E4CBE">
        <w:t xml:space="preserve">development </w:t>
      </w:r>
      <w:r w:rsidR="00A62439">
        <w:t xml:space="preserve">phase </w:t>
      </w:r>
      <w:r w:rsidR="005E4CBE">
        <w:t xml:space="preserve">to production, mining </w:t>
      </w:r>
      <w:r w:rsidR="00A62837">
        <w:t>sector BERD</w:t>
      </w:r>
      <w:r w:rsidR="00A34900">
        <w:t xml:space="preserve"> fell 63</w:t>
      </w:r>
      <w:r w:rsidR="005024DD">
        <w:t xml:space="preserve"> per cent</w:t>
      </w:r>
      <w:r w:rsidR="00A62439">
        <w:t>,</w:t>
      </w:r>
      <w:r w:rsidR="005E4CBE">
        <w:t xml:space="preserve"> </w:t>
      </w:r>
      <w:r w:rsidR="00D11061">
        <w:t xml:space="preserve">to </w:t>
      </w:r>
      <w:r w:rsidR="00CC01A4" w:rsidRPr="00D63C19">
        <w:t xml:space="preserve">comprise </w:t>
      </w:r>
      <w:r w:rsidR="005E4CBE" w:rsidRPr="00D63C19">
        <w:t xml:space="preserve">only </w:t>
      </w:r>
      <w:r w:rsidR="00D63C19" w:rsidRPr="00D63C19">
        <w:t>6</w:t>
      </w:r>
      <w:r w:rsidR="00D11061" w:rsidRPr="00D63C19">
        <w:t xml:space="preserve"> per cent of </w:t>
      </w:r>
      <w:r w:rsidR="00A62837" w:rsidRPr="00D63C19">
        <w:t xml:space="preserve">total </w:t>
      </w:r>
      <w:r w:rsidR="00D11061" w:rsidRPr="00D63C19">
        <w:t>BERD in 201</w:t>
      </w:r>
      <w:r w:rsidR="00D63C19" w:rsidRPr="00D63C19">
        <w:t>7</w:t>
      </w:r>
      <w:r w:rsidR="00FF55A4" w:rsidRPr="00D63C19">
        <w:t>-1</w:t>
      </w:r>
      <w:r w:rsidR="00D63C19" w:rsidRPr="00D63C19">
        <w:t>8</w:t>
      </w:r>
      <w:r w:rsidR="00A34900" w:rsidRPr="00D63C19">
        <w:t xml:space="preserve"> </w:t>
      </w:r>
      <w:r w:rsidR="008E7104" w:rsidRPr="00D63C19">
        <w:t>(</w:t>
      </w:r>
      <w:r w:rsidR="008E7104" w:rsidRPr="00D63C19">
        <w:fldChar w:fldCharType="begin"/>
      </w:r>
      <w:r w:rsidR="008E7104" w:rsidRPr="00D63C19">
        <w:instrText xml:space="preserve"> REF _Ref12536212 \h </w:instrText>
      </w:r>
      <w:r w:rsidR="00D63C19">
        <w:instrText xml:space="preserve"> \* MERGEFORMAT </w:instrText>
      </w:r>
      <w:r w:rsidR="008E7104" w:rsidRPr="00D63C19">
        <w:fldChar w:fldCharType="separate"/>
      </w:r>
      <w:r w:rsidR="005407CC" w:rsidRPr="002F7695">
        <w:t xml:space="preserve">Exhibit </w:t>
      </w:r>
      <w:r w:rsidR="005407CC">
        <w:rPr>
          <w:noProof/>
        </w:rPr>
        <w:t>6</w:t>
      </w:r>
      <w:r w:rsidR="008E7104" w:rsidRPr="00D63C19">
        <w:fldChar w:fldCharType="end"/>
      </w:r>
      <w:r w:rsidR="008E7104" w:rsidRPr="00D63C19">
        <w:t>)</w:t>
      </w:r>
      <w:r w:rsidR="00FF55A4" w:rsidRPr="00D63C19">
        <w:t xml:space="preserve">, and </w:t>
      </w:r>
      <w:r w:rsidR="00F332C4" w:rsidRPr="00D63C19">
        <w:t xml:space="preserve">just </w:t>
      </w:r>
      <w:r w:rsidR="00F332C4">
        <w:t>0.06</w:t>
      </w:r>
      <w:r w:rsidR="00515F15" w:rsidRPr="00D63C19">
        <w:t xml:space="preserve"> per cent</w:t>
      </w:r>
      <w:r w:rsidR="00FF55A4">
        <w:t xml:space="preserve"> of that year’s GDP</w:t>
      </w:r>
      <w:r w:rsidR="008E7104">
        <w:t>.</w:t>
      </w:r>
      <w:r w:rsidR="00A62837">
        <w:t xml:space="preserve"> </w:t>
      </w:r>
      <w:r w:rsidR="008E7104">
        <w:t xml:space="preserve">Lower </w:t>
      </w:r>
      <w:r w:rsidR="00A62837">
        <w:t xml:space="preserve">economic growth </w:t>
      </w:r>
      <w:r w:rsidR="00A62439">
        <w:t xml:space="preserve">since </w:t>
      </w:r>
      <w:r w:rsidR="00A62837">
        <w:t>2008-09 is</w:t>
      </w:r>
      <w:r w:rsidR="00D0593A">
        <w:t xml:space="preserve"> also</w:t>
      </w:r>
      <w:r w:rsidR="00A62837">
        <w:t xml:space="preserve"> likely to have </w:t>
      </w:r>
      <w:r w:rsidR="002F0E42">
        <w:t xml:space="preserve">contributed </w:t>
      </w:r>
      <w:r w:rsidR="00A62837">
        <w:t>to the reduction</w:t>
      </w:r>
      <w:r w:rsidR="006114F0">
        <w:t xml:space="preserve"> in BERD/GDP</w:t>
      </w:r>
      <w:r w:rsidR="005947BE">
        <w:t>, but</w:t>
      </w:r>
      <w:r w:rsidR="005947BE" w:rsidRPr="005947BE">
        <w:t xml:space="preserve"> </w:t>
      </w:r>
      <w:r w:rsidR="005947BE">
        <w:t>only modestly</w:t>
      </w:r>
      <w:r w:rsidR="005024DD">
        <w:t>.</w:t>
      </w:r>
      <w:r w:rsidR="00A62837">
        <w:rPr>
          <w:rStyle w:val="FootnoteReference"/>
        </w:rPr>
        <w:footnoteReference w:id="14"/>
      </w:r>
    </w:p>
    <w:p w14:paraId="03ABE5FA" w14:textId="723D5194" w:rsidR="005024DD" w:rsidRDefault="005024DD" w:rsidP="005024DD">
      <w:pPr>
        <w:pStyle w:val="Caption"/>
      </w:pPr>
      <w:bookmarkStart w:id="46" w:name="_Ref12536212"/>
      <w:r w:rsidRPr="002F7695">
        <w:t xml:space="preserve">Exhibit </w:t>
      </w:r>
      <w:r w:rsidRPr="002F7695">
        <w:fldChar w:fldCharType="begin"/>
      </w:r>
      <w:r w:rsidRPr="002F7695">
        <w:instrText xml:space="preserve"> SEQ Exhibit \* ARABIC </w:instrText>
      </w:r>
      <w:r w:rsidRPr="002F7695">
        <w:fldChar w:fldCharType="separate"/>
      </w:r>
      <w:r w:rsidR="005407CC">
        <w:rPr>
          <w:noProof/>
        </w:rPr>
        <w:t>6</w:t>
      </w:r>
      <w:r w:rsidRPr="002F7695">
        <w:fldChar w:fldCharType="end"/>
      </w:r>
      <w:bookmarkEnd w:id="46"/>
    </w:p>
    <w:p w14:paraId="18090582" w14:textId="2D25161B" w:rsidR="00F332C4" w:rsidRPr="00F332C4" w:rsidRDefault="00F332C4" w:rsidP="00F332C4">
      <w:pPr>
        <w:rPr>
          <w:lang w:val="en-US"/>
        </w:rPr>
      </w:pPr>
      <w:r w:rsidRPr="00FC4DA7">
        <w:rPr>
          <w:noProof/>
          <w:lang w:eastAsia="en-AU"/>
        </w:rPr>
        <w:drawing>
          <wp:inline distT="0" distB="0" distL="0" distR="0" wp14:anchorId="02CDE766" wp14:editId="6C63AB70">
            <wp:extent cx="5659200" cy="3787200"/>
            <wp:effectExtent l="0" t="0" r="0" b="3810"/>
            <wp:docPr id="456" name="Picture 456" descr="Exhibit 6 shows mining BERD figures over time, indicating how mining BERD accounts for 0.25 percentage points or over half the decline of total BERD since 2008. A relevant interpretation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9200" cy="3787200"/>
                    </a:xfrm>
                    <a:prstGeom prst="rect">
                      <a:avLst/>
                    </a:prstGeom>
                    <a:noFill/>
                    <a:ln>
                      <a:noFill/>
                    </a:ln>
                  </pic:spPr>
                </pic:pic>
              </a:graphicData>
            </a:graphic>
          </wp:inline>
        </w:drawing>
      </w:r>
    </w:p>
    <w:p w14:paraId="5855752F" w14:textId="4FB19121" w:rsidR="005024DD" w:rsidRDefault="005024DD" w:rsidP="005024DD">
      <w:pPr>
        <w:jc w:val="left"/>
        <w:rPr>
          <w:rStyle w:val="SubtleEmphasis"/>
          <w:lang w:val="en-US"/>
        </w:rPr>
      </w:pPr>
      <w:r w:rsidRPr="00AC38CF">
        <w:rPr>
          <w:rStyle w:val="SubtleEmphasis"/>
        </w:rPr>
        <w:t xml:space="preserve">Source: ABS 5204, Table 1 and 52; ABS 8104. BERD is </w:t>
      </w:r>
      <w:r w:rsidR="00515F15" w:rsidRPr="00AC38CF">
        <w:rPr>
          <w:rStyle w:val="SubtleEmphasis"/>
        </w:rPr>
        <w:t>per cent</w:t>
      </w:r>
      <w:r w:rsidRPr="00AC38CF">
        <w:rPr>
          <w:rStyle w:val="SubtleEmphasis"/>
        </w:rPr>
        <w:t xml:space="preserve"> GDP; Investment is Gross Fixed Capital Formation, </w:t>
      </w:r>
      <w:r w:rsidR="00515F15" w:rsidRPr="00AC38CF">
        <w:rPr>
          <w:rStyle w:val="SubtleEmphasis"/>
        </w:rPr>
        <w:t>per cent</w:t>
      </w:r>
      <w:r w:rsidRPr="00AC38CF">
        <w:rPr>
          <w:rStyle w:val="SubtleEmphasis"/>
        </w:rPr>
        <w:t xml:space="preserve"> GDP. </w:t>
      </w:r>
      <w:r w:rsidR="008A74E6" w:rsidRPr="00AC38CF">
        <w:rPr>
          <w:rStyle w:val="SubtleEmphasis"/>
        </w:rPr>
        <w:t xml:space="preserve">Output </w:t>
      </w:r>
      <w:r w:rsidRPr="00AC38CF">
        <w:rPr>
          <w:rStyle w:val="SubtleEmphasis"/>
        </w:rPr>
        <w:t xml:space="preserve">is chain volume </w:t>
      </w:r>
      <w:r w:rsidR="008A74E6" w:rsidRPr="00AC38CF">
        <w:rPr>
          <w:rStyle w:val="SubtleEmphasis"/>
        </w:rPr>
        <w:t>Gross Value Added</w:t>
      </w:r>
      <w:r w:rsidRPr="00D9709E">
        <w:rPr>
          <w:rStyle w:val="SubtleEmphasis"/>
          <w:lang w:val="en-US"/>
        </w:rPr>
        <w:t>.</w:t>
      </w:r>
      <w:r w:rsidR="00125E40" w:rsidRPr="00125E40">
        <w:t xml:space="preserve"> </w:t>
      </w:r>
      <w:r w:rsidR="00125E40" w:rsidRPr="00125E40">
        <w:rPr>
          <w:i/>
          <w:iCs/>
          <w:color w:val="808080" w:themeColor="text1" w:themeTint="7F"/>
          <w:sz w:val="18"/>
          <w:lang w:val="en-US"/>
        </w:rPr>
        <w:t xml:space="preserve">BERD data linearly interpreted for FY12-13, FY14-15, </w:t>
      </w:r>
      <w:r w:rsidR="00F332C4" w:rsidRPr="00125E40">
        <w:rPr>
          <w:i/>
          <w:iCs/>
          <w:color w:val="808080" w:themeColor="text1" w:themeTint="7F"/>
          <w:sz w:val="18"/>
          <w:lang w:val="en-US"/>
        </w:rPr>
        <w:t>and FY16</w:t>
      </w:r>
      <w:r w:rsidR="00125E40" w:rsidRPr="00125E40">
        <w:rPr>
          <w:i/>
          <w:iCs/>
          <w:color w:val="808080" w:themeColor="text1" w:themeTint="7F"/>
          <w:sz w:val="18"/>
          <w:lang w:val="en-US"/>
        </w:rPr>
        <w:t>-17</w:t>
      </w:r>
      <w:r w:rsidRPr="00D9709E">
        <w:rPr>
          <w:rStyle w:val="SubtleEmphasis"/>
          <w:lang w:val="en-US"/>
        </w:rPr>
        <w:t xml:space="preserve"> </w:t>
      </w:r>
    </w:p>
    <w:p w14:paraId="6A197FB8" w14:textId="77777777" w:rsidR="00F332C4" w:rsidRDefault="00F332C4" w:rsidP="00F332C4"/>
    <w:p w14:paraId="6F45A2C9" w14:textId="77777777" w:rsidR="00F332C4" w:rsidRPr="005024DD" w:rsidRDefault="00F332C4" w:rsidP="00F332C4"/>
    <w:p w14:paraId="16027608" w14:textId="7429B3B5" w:rsidR="004613F7" w:rsidRDefault="0002378F" w:rsidP="00C11884">
      <w:pPr>
        <w:pStyle w:val="Heading2"/>
      </w:pPr>
      <w:bookmarkStart w:id="47" w:name="_Toc13064930"/>
      <w:bookmarkStart w:id="48" w:name="_Toc13478291"/>
      <w:bookmarkStart w:id="49" w:name="_Toc30148073"/>
      <w:bookmarkStart w:id="50" w:name="_Ref12534758"/>
      <w:r>
        <w:lastRenderedPageBreak/>
        <w:t>Changing</w:t>
      </w:r>
      <w:r w:rsidR="005E4CBE">
        <w:t xml:space="preserve"> </w:t>
      </w:r>
      <w:r w:rsidR="008B7094">
        <w:t xml:space="preserve">industry mix explains </w:t>
      </w:r>
      <w:r w:rsidR="00747620">
        <w:t>a fifth</w:t>
      </w:r>
      <w:r w:rsidR="008B7094">
        <w:t xml:space="preserve"> of BERD</w:t>
      </w:r>
      <w:r w:rsidR="0094165A">
        <w:t>’s</w:t>
      </w:r>
      <w:r w:rsidR="008B7094">
        <w:t xml:space="preserve"> decline</w:t>
      </w:r>
      <w:bookmarkEnd w:id="47"/>
      <w:bookmarkEnd w:id="48"/>
      <w:bookmarkEnd w:id="49"/>
      <w:r w:rsidR="008B7094">
        <w:t xml:space="preserve"> </w:t>
      </w:r>
    </w:p>
    <w:p w14:paraId="2429D342" w14:textId="4320B653" w:rsidR="00766AF8" w:rsidRDefault="00ED0558" w:rsidP="00766AF8">
      <w:r>
        <w:t xml:space="preserve">Changes in </w:t>
      </w:r>
      <w:r w:rsidR="00161F07">
        <w:t xml:space="preserve">industry mix account </w:t>
      </w:r>
      <w:r w:rsidR="00747620">
        <w:t xml:space="preserve">for a further fifth </w:t>
      </w:r>
      <w:r w:rsidR="00161F07">
        <w:t>of Australia’s decline in BERD’s share of GDP</w:t>
      </w:r>
      <w:r w:rsidR="00161F07" w:rsidRPr="00A10174">
        <w:t xml:space="preserve"> </w:t>
      </w:r>
      <w:r w:rsidR="00161F07">
        <w:t>between</w:t>
      </w:r>
      <w:r w:rsidR="00161F07" w:rsidRPr="00A10174">
        <w:t xml:space="preserve"> 2008</w:t>
      </w:r>
      <w:r w:rsidR="00161F07" w:rsidRPr="00747620">
        <w:t>-09 and 201</w:t>
      </w:r>
      <w:r w:rsidR="00747620" w:rsidRPr="00747620">
        <w:t>7-18</w:t>
      </w:r>
      <w:r w:rsidR="00161F07" w:rsidRPr="00747620">
        <w:t>, or a reduction of 0.</w:t>
      </w:r>
      <w:r w:rsidR="00747620" w:rsidRPr="00747620">
        <w:t>09</w:t>
      </w:r>
      <w:r w:rsidR="00161F07" w:rsidRPr="00747620">
        <w:t xml:space="preserve"> percentage points of GDP. </w:t>
      </w:r>
      <w:r w:rsidR="00794337" w:rsidRPr="00747620">
        <w:t xml:space="preserve">The main cause is a decline in manufacturing and an increase in services. </w:t>
      </w:r>
      <w:r w:rsidRPr="00747620">
        <w:t>M</w:t>
      </w:r>
      <w:r w:rsidR="00161F07" w:rsidRPr="00747620">
        <w:t xml:space="preserve">anufacturing sector BERD </w:t>
      </w:r>
      <w:r w:rsidRPr="00747620">
        <w:t xml:space="preserve">declined </w:t>
      </w:r>
      <w:r w:rsidR="00161F07" w:rsidRPr="00747620">
        <w:t>from $5.2 billion to $4.</w:t>
      </w:r>
      <w:r w:rsidR="00747620" w:rsidRPr="00747620">
        <w:t>6</w:t>
      </w:r>
      <w:r w:rsidR="00161F07" w:rsidRPr="00747620">
        <w:t xml:space="preserve"> billion </w:t>
      </w:r>
      <w:r w:rsidRPr="00747620">
        <w:t>(</w:t>
      </w:r>
      <w:r w:rsidRPr="00747620">
        <w:fldChar w:fldCharType="begin"/>
      </w:r>
      <w:r w:rsidRPr="00747620">
        <w:instrText xml:space="preserve"> REF _Ref12534742 \h </w:instrText>
      </w:r>
      <w:r w:rsidR="00747620">
        <w:instrText xml:space="preserve"> \* MERGEFORMAT </w:instrText>
      </w:r>
      <w:r w:rsidRPr="00747620">
        <w:fldChar w:fldCharType="separate"/>
      </w:r>
      <w:r w:rsidR="005407CC" w:rsidRPr="00FA41BA">
        <w:t xml:space="preserve">Exhibit </w:t>
      </w:r>
      <w:r w:rsidR="005407CC">
        <w:rPr>
          <w:noProof/>
        </w:rPr>
        <w:t>7</w:t>
      </w:r>
      <w:r w:rsidRPr="00747620">
        <w:fldChar w:fldCharType="end"/>
      </w:r>
      <w:r w:rsidR="004B0A9C">
        <w:t xml:space="preserve">).  BERD did </w:t>
      </w:r>
      <w:r w:rsidR="004B0A9C" w:rsidRPr="00747620">
        <w:t xml:space="preserve">increase </w:t>
      </w:r>
      <w:r w:rsidR="00A85568">
        <w:t xml:space="preserve">in </w:t>
      </w:r>
      <w:r w:rsidR="004B0A9C" w:rsidRPr="00747620">
        <w:t>service sectors</w:t>
      </w:r>
      <w:r w:rsidR="004B0A9C">
        <w:t xml:space="preserve"> </w:t>
      </w:r>
      <w:r w:rsidR="004B0A9C" w:rsidRPr="00747620">
        <w:t>by $2.2 billion, while non-services BERD fell $5.5 billion between 2008</w:t>
      </w:r>
      <w:r w:rsidR="004B0A9C">
        <w:t>-09</w:t>
      </w:r>
      <w:r w:rsidR="004B0A9C" w:rsidRPr="00747620">
        <w:t xml:space="preserve"> and 201</w:t>
      </w:r>
      <w:r w:rsidR="004B0A9C">
        <w:t>7-18</w:t>
      </w:r>
      <w:r w:rsidR="004B0A9C" w:rsidRPr="00747620">
        <w:t xml:space="preserve"> (and by $1.</w:t>
      </w:r>
      <w:r w:rsidR="00A85568">
        <w:t>3</w:t>
      </w:r>
      <w:r w:rsidR="004B0A9C" w:rsidRPr="00747620">
        <w:t xml:space="preserve"> billion excluding mining).</w:t>
      </w:r>
      <w:r w:rsidR="004B0A9C">
        <w:t xml:space="preserve"> </w:t>
      </w:r>
    </w:p>
    <w:p w14:paraId="3E135527" w14:textId="1CB1AF12" w:rsidR="00ED0558" w:rsidRDefault="00ED0558" w:rsidP="00ED0558">
      <w:pPr>
        <w:pStyle w:val="Caption"/>
      </w:pPr>
      <w:bookmarkStart w:id="51" w:name="_Ref12534742"/>
      <w:r w:rsidRPr="00FA41BA">
        <w:t xml:space="preserve">Exhibit </w:t>
      </w:r>
      <w:r w:rsidRPr="00FA41BA">
        <w:fldChar w:fldCharType="begin"/>
      </w:r>
      <w:r w:rsidRPr="00FA41BA">
        <w:instrText xml:space="preserve"> SEQ Exhibit \* ARABIC </w:instrText>
      </w:r>
      <w:r w:rsidRPr="00FA41BA">
        <w:fldChar w:fldCharType="separate"/>
      </w:r>
      <w:r w:rsidR="005407CC">
        <w:rPr>
          <w:noProof/>
        </w:rPr>
        <w:t>7</w:t>
      </w:r>
      <w:r w:rsidRPr="00FA41BA">
        <w:fldChar w:fldCharType="end"/>
      </w:r>
      <w:bookmarkEnd w:id="51"/>
    </w:p>
    <w:p w14:paraId="14F8E521" w14:textId="2B7AF0C4" w:rsidR="00F332C4" w:rsidRPr="00F332C4" w:rsidRDefault="00F332C4" w:rsidP="00F332C4">
      <w:pPr>
        <w:rPr>
          <w:lang w:val="en-US"/>
        </w:rPr>
      </w:pPr>
      <w:r w:rsidRPr="00764461">
        <w:rPr>
          <w:noProof/>
          <w:lang w:eastAsia="en-AU"/>
        </w:rPr>
        <w:drawing>
          <wp:inline distT="0" distB="0" distL="0" distR="0" wp14:anchorId="26735783" wp14:editId="3A592015">
            <wp:extent cx="5587200" cy="3740400"/>
            <wp:effectExtent l="0" t="0" r="0" b="0"/>
            <wp:docPr id="477" name="Picture 477" descr="Exhibit 7 shows Australia’s changing industry mix, in terms of BERD, with non-service BERD falling $5.5 billion and service BERD growing $2.2 billion. A relevant interpretation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7200" cy="3740400"/>
                    </a:xfrm>
                    <a:prstGeom prst="rect">
                      <a:avLst/>
                    </a:prstGeom>
                    <a:noFill/>
                    <a:ln>
                      <a:noFill/>
                    </a:ln>
                  </pic:spPr>
                </pic:pic>
              </a:graphicData>
            </a:graphic>
          </wp:inline>
        </w:drawing>
      </w:r>
    </w:p>
    <w:p w14:paraId="618B3DF7" w14:textId="2D47BBEC" w:rsidR="00ED0558" w:rsidRPr="00AC38CF" w:rsidRDefault="00ED0558" w:rsidP="00ED0558">
      <w:pPr>
        <w:rPr>
          <w:rStyle w:val="SubtleEmphasis"/>
        </w:rPr>
      </w:pPr>
      <w:r w:rsidRPr="00AC38CF">
        <w:rPr>
          <w:rStyle w:val="SubtleEmphasis"/>
        </w:rPr>
        <w:t xml:space="preserve">Source: ABS (2019), 8104.0; ABS (2019), 5204.0 Tables 1 and 4. Deflated by CPI. </w:t>
      </w:r>
      <w:r w:rsidR="00764461" w:rsidRPr="00AC38CF">
        <w:rPr>
          <w:rStyle w:val="SubtleEmphasis"/>
        </w:rPr>
        <w:t>BERD data linearly interpreted for FY12-13, FY14-15, FY16-17</w:t>
      </w:r>
      <w:r w:rsidR="00AC38CF">
        <w:rPr>
          <w:rStyle w:val="SubtleEmphasis"/>
        </w:rPr>
        <w:t>.</w:t>
      </w:r>
    </w:p>
    <w:p w14:paraId="35FBDE51" w14:textId="1B13706B" w:rsidR="003C00F7" w:rsidRDefault="004B0A9C" w:rsidP="003C00F7">
      <w:r>
        <w:t xml:space="preserve">Changes in the relative size of sectors contributed to these changes in BERD. Manufacturing’s contribution </w:t>
      </w:r>
      <w:r w:rsidRPr="00747620">
        <w:t xml:space="preserve">to Gross Value Added (GVA) </w:t>
      </w:r>
      <w:r>
        <w:t xml:space="preserve">decline from </w:t>
      </w:r>
      <w:r w:rsidRPr="00747620">
        <w:t>11 to 7 per cent</w:t>
      </w:r>
      <w:r>
        <w:t xml:space="preserve"> between 2008-09 and 2017-18</w:t>
      </w:r>
      <w:r w:rsidRPr="00747620">
        <w:t xml:space="preserve"> (</w:t>
      </w:r>
      <w:r w:rsidRPr="00747620">
        <w:fldChar w:fldCharType="begin"/>
      </w:r>
      <w:r w:rsidRPr="00747620">
        <w:instrText xml:space="preserve"> REF _Ref12955262 \h </w:instrText>
      </w:r>
      <w:r>
        <w:instrText xml:space="preserve"> \* MERGEFORMAT </w:instrText>
      </w:r>
      <w:r w:rsidRPr="00747620">
        <w:fldChar w:fldCharType="separate"/>
      </w:r>
      <w:r w:rsidR="005407CC">
        <w:t xml:space="preserve">Exhibit </w:t>
      </w:r>
      <w:r w:rsidR="005407CC">
        <w:rPr>
          <w:noProof/>
        </w:rPr>
        <w:t>8</w:t>
      </w:r>
      <w:r w:rsidRPr="00747620">
        <w:fldChar w:fldCharType="end"/>
      </w:r>
      <w:r w:rsidRPr="00747620">
        <w:t>)</w:t>
      </w:r>
      <w:r w:rsidR="001B79E7">
        <w:t xml:space="preserve">. </w:t>
      </w:r>
    </w:p>
    <w:p w14:paraId="1922F87D" w14:textId="65D55373" w:rsidR="003C00F7" w:rsidRPr="001B79E7" w:rsidRDefault="003C00F7" w:rsidP="003C00F7">
      <w:pPr>
        <w:rPr>
          <w:rStyle w:val="SubtleEmphasis"/>
          <w:i w:val="0"/>
          <w:iCs w:val="0"/>
          <w:color w:val="auto"/>
        </w:rPr>
      </w:pPr>
      <w:r>
        <w:t>Differences in sector mix also account for much – but not all – of the difference in the BERD share of GDP between A</w:t>
      </w:r>
      <w:r w:rsidRPr="007F0981">
        <w:t xml:space="preserve">ustralia </w:t>
      </w:r>
      <w:r>
        <w:t xml:space="preserve">and its OECD peers. Australia has relatively small manufacturing and IMT sectors. They are also less BERD-intensive than their global competitors (Section </w:t>
      </w:r>
      <w:r>
        <w:fldChar w:fldCharType="begin"/>
      </w:r>
      <w:r>
        <w:instrText xml:space="preserve"> REF _Ref16761646 \r \h </w:instrText>
      </w:r>
      <w:r>
        <w:fldChar w:fldCharType="separate"/>
      </w:r>
      <w:r w:rsidR="005407CC">
        <w:t>3.1</w:t>
      </w:r>
      <w:r>
        <w:fldChar w:fldCharType="end"/>
      </w:r>
      <w:r>
        <w:t xml:space="preserve"> below). </w:t>
      </w:r>
    </w:p>
    <w:p w14:paraId="67127DAA" w14:textId="47A497A2" w:rsidR="004B0A9C" w:rsidRDefault="004B0A9C" w:rsidP="00ED0558"/>
    <w:p w14:paraId="56EBCBB6" w14:textId="77777777" w:rsidR="00ED0558" w:rsidRDefault="00ED0558" w:rsidP="00766AF8"/>
    <w:p w14:paraId="6F9528C0" w14:textId="255809FC" w:rsidR="00FA41BA" w:rsidRDefault="00FA41BA" w:rsidP="00FA41BA">
      <w:pPr>
        <w:pStyle w:val="Caption"/>
      </w:pPr>
      <w:bookmarkStart w:id="52" w:name="_Ref12955262"/>
      <w:bookmarkEnd w:id="50"/>
      <w:r>
        <w:lastRenderedPageBreak/>
        <w:t xml:space="preserve">Exhibit </w:t>
      </w:r>
      <w:r>
        <w:fldChar w:fldCharType="begin"/>
      </w:r>
      <w:r>
        <w:instrText xml:space="preserve"> SEQ Exhibit \* ARABIC </w:instrText>
      </w:r>
      <w:r>
        <w:fldChar w:fldCharType="separate"/>
      </w:r>
      <w:r w:rsidR="005407CC">
        <w:rPr>
          <w:noProof/>
        </w:rPr>
        <w:t>8</w:t>
      </w:r>
      <w:r>
        <w:fldChar w:fldCharType="end"/>
      </w:r>
      <w:bookmarkEnd w:id="52"/>
    </w:p>
    <w:p w14:paraId="0DD1F1D4" w14:textId="4A370FE8" w:rsidR="00F332C4" w:rsidRPr="00F332C4" w:rsidRDefault="00F332C4" w:rsidP="00F332C4">
      <w:pPr>
        <w:rPr>
          <w:lang w:val="en-US"/>
        </w:rPr>
      </w:pPr>
      <w:r w:rsidRPr="00764461">
        <w:rPr>
          <w:noProof/>
          <w:lang w:eastAsia="en-AU"/>
        </w:rPr>
        <w:drawing>
          <wp:inline distT="0" distB="0" distL="0" distR="0" wp14:anchorId="3D6A1278" wp14:editId="4EC5D58D">
            <wp:extent cx="5659200" cy="3744000"/>
            <wp:effectExtent l="0" t="0" r="0" b="8890"/>
            <wp:docPr id="478" name="Picture 478" descr="Exhibit 8 shows Australian industries as a share of gross value added (GVA). A relevant interpretation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9200" cy="3744000"/>
                    </a:xfrm>
                    <a:prstGeom prst="rect">
                      <a:avLst/>
                    </a:prstGeom>
                    <a:noFill/>
                    <a:ln>
                      <a:noFill/>
                    </a:ln>
                  </pic:spPr>
                </pic:pic>
              </a:graphicData>
            </a:graphic>
          </wp:inline>
        </w:drawing>
      </w:r>
    </w:p>
    <w:p w14:paraId="3CCF4E81" w14:textId="1D2AA126" w:rsidR="00175E90" w:rsidRDefault="00175E90" w:rsidP="00175E90">
      <w:pPr>
        <w:rPr>
          <w:rStyle w:val="SubtleEmphasis"/>
          <w:lang w:val="en-US"/>
        </w:rPr>
      </w:pPr>
      <w:r w:rsidRPr="00B156CA">
        <w:rPr>
          <w:rStyle w:val="SubtleEmphasis"/>
          <w:lang w:val="en-US"/>
        </w:rPr>
        <w:t>Source: ABS 5204,</w:t>
      </w:r>
      <w:r w:rsidR="0029416E">
        <w:rPr>
          <w:rStyle w:val="SubtleEmphasis"/>
          <w:lang w:val="en-US"/>
        </w:rPr>
        <w:t xml:space="preserve"> current price GVA.</w:t>
      </w:r>
      <w:r w:rsidRPr="00B156CA">
        <w:rPr>
          <w:rStyle w:val="SubtleEmphasis"/>
          <w:lang w:val="en-US"/>
        </w:rPr>
        <w:t xml:space="preserve"> AlphaBeta analysis</w:t>
      </w:r>
      <w:r w:rsidR="0029416E">
        <w:rPr>
          <w:rStyle w:val="SubtleEmphasis"/>
          <w:lang w:val="en-US"/>
        </w:rPr>
        <w:t>.</w:t>
      </w:r>
    </w:p>
    <w:p w14:paraId="366906C3" w14:textId="77777777" w:rsidR="00F332C4" w:rsidRDefault="00F332C4" w:rsidP="00175E90">
      <w:pPr>
        <w:rPr>
          <w:rStyle w:val="SubtleEmphasis"/>
          <w:lang w:val="en-US"/>
        </w:rPr>
      </w:pPr>
    </w:p>
    <w:p w14:paraId="76353AD5" w14:textId="77777777" w:rsidR="00F332C4" w:rsidRDefault="00F332C4" w:rsidP="00175E90">
      <w:pPr>
        <w:rPr>
          <w:rStyle w:val="SubtleEmphasis"/>
          <w:lang w:val="en-US"/>
        </w:rPr>
      </w:pPr>
    </w:p>
    <w:p w14:paraId="731EEEF8" w14:textId="77777777" w:rsidR="00F332C4" w:rsidRDefault="00F332C4" w:rsidP="00175E90">
      <w:pPr>
        <w:rPr>
          <w:rStyle w:val="SubtleEmphasis"/>
          <w:lang w:val="en-US"/>
        </w:rPr>
      </w:pPr>
    </w:p>
    <w:p w14:paraId="04C28806" w14:textId="77777777" w:rsidR="00F332C4" w:rsidRDefault="00F332C4" w:rsidP="00175E90">
      <w:pPr>
        <w:rPr>
          <w:rStyle w:val="SubtleEmphasis"/>
          <w:lang w:val="en-US"/>
        </w:rPr>
      </w:pPr>
    </w:p>
    <w:p w14:paraId="35E8FF42" w14:textId="77777777" w:rsidR="00F332C4" w:rsidRDefault="00F332C4" w:rsidP="00175E90">
      <w:pPr>
        <w:rPr>
          <w:rStyle w:val="SubtleEmphasis"/>
          <w:lang w:val="en-US"/>
        </w:rPr>
      </w:pPr>
    </w:p>
    <w:p w14:paraId="46955FD7" w14:textId="77777777" w:rsidR="00F332C4" w:rsidRDefault="00F332C4" w:rsidP="00175E90">
      <w:pPr>
        <w:rPr>
          <w:rStyle w:val="SubtleEmphasis"/>
          <w:lang w:val="en-US"/>
        </w:rPr>
      </w:pPr>
    </w:p>
    <w:p w14:paraId="6B8AA547" w14:textId="77777777" w:rsidR="00F332C4" w:rsidRDefault="00F332C4" w:rsidP="00175E90">
      <w:pPr>
        <w:rPr>
          <w:rStyle w:val="SubtleEmphasis"/>
          <w:lang w:val="en-US"/>
        </w:rPr>
      </w:pPr>
    </w:p>
    <w:p w14:paraId="1EB18088" w14:textId="77777777" w:rsidR="00F332C4" w:rsidRDefault="00F332C4" w:rsidP="00175E90">
      <w:pPr>
        <w:rPr>
          <w:rStyle w:val="SubtleEmphasis"/>
          <w:lang w:val="en-US"/>
        </w:rPr>
      </w:pPr>
    </w:p>
    <w:p w14:paraId="1A9CACB6" w14:textId="77777777" w:rsidR="00F332C4" w:rsidRDefault="00F332C4" w:rsidP="00175E90">
      <w:pPr>
        <w:rPr>
          <w:rStyle w:val="SubtleEmphasis"/>
          <w:lang w:val="en-US"/>
        </w:rPr>
      </w:pPr>
    </w:p>
    <w:p w14:paraId="079A8AA7" w14:textId="77777777" w:rsidR="00F332C4" w:rsidRDefault="00F332C4" w:rsidP="00175E90">
      <w:pPr>
        <w:rPr>
          <w:rStyle w:val="SubtleEmphasis"/>
          <w:lang w:val="en-US"/>
        </w:rPr>
      </w:pPr>
    </w:p>
    <w:p w14:paraId="4DAD756B" w14:textId="66BFE83B" w:rsidR="00DC0743" w:rsidRDefault="00C058E3" w:rsidP="00C11884">
      <w:pPr>
        <w:pStyle w:val="Heading2"/>
      </w:pPr>
      <w:bookmarkStart w:id="53" w:name="_Toc13064931"/>
      <w:bookmarkStart w:id="54" w:name="_Toc13478292"/>
      <w:bookmarkStart w:id="55" w:name="_Toc30148074"/>
      <w:r>
        <w:lastRenderedPageBreak/>
        <w:t>Declines in s</w:t>
      </w:r>
      <w:r w:rsidR="00917953">
        <w:t xml:space="preserve">ector-level R&amp;D intensity </w:t>
      </w:r>
      <w:r w:rsidR="00F328E8">
        <w:t xml:space="preserve">explain </w:t>
      </w:r>
      <w:r w:rsidR="00747620">
        <w:t>about 10 per cent</w:t>
      </w:r>
      <w:r w:rsidR="00F328E8">
        <w:t xml:space="preserve"> </w:t>
      </w:r>
      <w:r w:rsidR="00917953">
        <w:t xml:space="preserve">of </w:t>
      </w:r>
      <w:r w:rsidR="00DC0743">
        <w:t>BERD’s decline</w:t>
      </w:r>
      <w:bookmarkEnd w:id="53"/>
      <w:bookmarkEnd w:id="54"/>
      <w:bookmarkEnd w:id="55"/>
      <w:r w:rsidR="00D21501">
        <w:t xml:space="preserve"> </w:t>
      </w:r>
    </w:p>
    <w:p w14:paraId="72364696" w14:textId="164EBF95" w:rsidR="00C1711C" w:rsidRDefault="00DD3544" w:rsidP="00271C61">
      <w:r w:rsidRPr="00755AA4">
        <w:t xml:space="preserve">Only </w:t>
      </w:r>
      <w:r w:rsidR="00747620">
        <w:t>a tenth</w:t>
      </w:r>
      <w:r w:rsidRPr="00755AA4">
        <w:t xml:space="preserve"> of the decline in BERD as a share of GDP since 2008-09 is </w:t>
      </w:r>
      <w:r w:rsidR="00C23873" w:rsidRPr="00755AA4">
        <w:t>due</w:t>
      </w:r>
      <w:r w:rsidR="00F42CE5" w:rsidRPr="00755AA4">
        <w:t xml:space="preserve"> </w:t>
      </w:r>
      <w:r w:rsidR="00C12176" w:rsidRPr="00755AA4">
        <w:t>a decline</w:t>
      </w:r>
      <w:r w:rsidR="00F42CE5" w:rsidRPr="00755AA4">
        <w:t xml:space="preserve"> </w:t>
      </w:r>
      <w:r w:rsidR="00C23873" w:rsidRPr="00755AA4">
        <w:t>in</w:t>
      </w:r>
      <w:r w:rsidR="00F42CE5" w:rsidRPr="00755AA4">
        <w:t xml:space="preserve"> non-mining</w:t>
      </w:r>
      <w:r w:rsidR="00C23873" w:rsidRPr="00755AA4">
        <w:t xml:space="preserve"> R&amp;D intensity at the industry leve</w:t>
      </w:r>
      <w:r w:rsidR="00C12176" w:rsidRPr="00755AA4">
        <w:t>l.</w:t>
      </w:r>
      <w:r w:rsidR="00C12176" w:rsidRPr="00755AA4">
        <w:rPr>
          <w:rStyle w:val="FootnoteReference"/>
        </w:rPr>
        <w:footnoteReference w:id="15"/>
      </w:r>
      <w:r w:rsidR="00F328E8">
        <w:t xml:space="preserve"> </w:t>
      </w:r>
      <w:r w:rsidR="009059AE">
        <w:t xml:space="preserve">Non-mining BERD peaked in 2008-09 at 1.03 per cent of GDP, and </w:t>
      </w:r>
      <w:r w:rsidR="00A85568">
        <w:t xml:space="preserve">has then declined </w:t>
      </w:r>
      <w:r w:rsidR="009059AE">
        <w:t xml:space="preserve">to 0.89 per cent of GDP by 2017-18. Of that decline, most was explained by the shift in industry mix discussed above. Only the remaining 0.04 percentage point fall in BERD/GDP </w:t>
      </w:r>
      <w:r w:rsidR="00BE5F85">
        <w:t xml:space="preserve">(about a tenth of the total) </w:t>
      </w:r>
      <w:r w:rsidR="009059AE">
        <w:t>is due to a fall in non-mining R&amp;D intensity</w:t>
      </w:r>
      <w:r w:rsidR="00BE5F85">
        <w:t xml:space="preserve"> within non-mining sectors</w:t>
      </w:r>
      <w:r w:rsidR="009059AE">
        <w:t xml:space="preserve">. </w:t>
      </w:r>
    </w:p>
    <w:p w14:paraId="55BBBE4B" w14:textId="62BAD1D7" w:rsidR="00CC7AE9" w:rsidRDefault="00271C61" w:rsidP="00271C61">
      <w:r w:rsidRPr="00747620">
        <w:t>And even that decline may not represent a fall in</w:t>
      </w:r>
      <w:r w:rsidR="009059AE">
        <w:t xml:space="preserve"> overall</w:t>
      </w:r>
      <w:r w:rsidRPr="00747620">
        <w:t xml:space="preserve"> innovation effort: there is evidence </w:t>
      </w:r>
      <w:r w:rsidR="004F31CB" w:rsidRPr="00747620">
        <w:t>for a</w:t>
      </w:r>
      <w:r w:rsidR="004F31CB" w:rsidRPr="00747620">
        <w:rPr>
          <w:b/>
          <w:bCs/>
        </w:rPr>
        <w:t xml:space="preserve"> </w:t>
      </w:r>
      <w:r w:rsidR="00CC7AE9" w:rsidRPr="00747620">
        <w:rPr>
          <w:b/>
          <w:bCs/>
        </w:rPr>
        <w:t xml:space="preserve">shift </w:t>
      </w:r>
      <w:r w:rsidRPr="00747620">
        <w:rPr>
          <w:b/>
          <w:bCs/>
        </w:rPr>
        <w:t xml:space="preserve">from R&amp;D </w:t>
      </w:r>
      <w:r w:rsidR="00CC7AE9" w:rsidRPr="00747620">
        <w:rPr>
          <w:b/>
          <w:bCs/>
        </w:rPr>
        <w:t>to non-R&amp;D forms of innovation</w:t>
      </w:r>
      <w:r w:rsidR="00F328E8" w:rsidRPr="00747620">
        <w:rPr>
          <w:b/>
          <w:bCs/>
        </w:rPr>
        <w:t xml:space="preserve"> </w:t>
      </w:r>
      <w:r w:rsidR="00CC7AE9" w:rsidRPr="00747620">
        <w:t>(</w:t>
      </w:r>
      <w:r w:rsidR="00CC7AE9" w:rsidRPr="00747620">
        <w:fldChar w:fldCharType="begin"/>
      </w:r>
      <w:r w:rsidR="00CC7AE9" w:rsidRPr="00747620">
        <w:instrText xml:space="preserve"> REF _Ref14701927 \h </w:instrText>
      </w:r>
      <w:r w:rsidR="00747620">
        <w:instrText xml:space="preserve"> \* MERGEFORMAT </w:instrText>
      </w:r>
      <w:r w:rsidR="00CC7AE9" w:rsidRPr="00747620">
        <w:fldChar w:fldCharType="separate"/>
      </w:r>
      <w:r w:rsidR="005407CC">
        <w:t xml:space="preserve">Exhibit </w:t>
      </w:r>
      <w:r w:rsidR="005407CC">
        <w:rPr>
          <w:noProof/>
        </w:rPr>
        <w:t>9</w:t>
      </w:r>
      <w:r w:rsidR="00CC7AE9" w:rsidRPr="00747620">
        <w:fldChar w:fldCharType="end"/>
      </w:r>
      <w:r w:rsidR="00CC7AE9" w:rsidRPr="00747620">
        <w:t>)</w:t>
      </w:r>
      <w:r w:rsidR="003F1CC3" w:rsidRPr="00747620">
        <w:t>.</w:t>
      </w:r>
      <w:r w:rsidR="00CC7AE9" w:rsidRPr="00747620" w:rsidDel="00DF793B">
        <w:t xml:space="preserve"> </w:t>
      </w:r>
      <w:r w:rsidR="002E63CE" w:rsidRPr="00747620">
        <w:t xml:space="preserve">The </w:t>
      </w:r>
      <w:r w:rsidR="00F328E8" w:rsidRPr="00747620">
        <w:t xml:space="preserve">ABS’s </w:t>
      </w:r>
      <w:r w:rsidR="00380706" w:rsidRPr="00747620">
        <w:t>estimates of aggregate innovation expenditure have not changed much</w:t>
      </w:r>
      <w:r w:rsidR="0004791C" w:rsidRPr="00747620">
        <w:t>,</w:t>
      </w:r>
      <w:r w:rsidR="00380706" w:rsidRPr="00747620">
        <w:t xml:space="preserve"> </w:t>
      </w:r>
      <w:r w:rsidR="00826603" w:rsidRPr="00747620">
        <w:t>averaging 1.</w:t>
      </w:r>
      <w:r w:rsidR="009059AE">
        <w:t>7</w:t>
      </w:r>
      <w:r w:rsidR="00826603" w:rsidRPr="00747620">
        <w:t xml:space="preserve">-1.9 per cent of </w:t>
      </w:r>
      <w:r w:rsidR="00380706" w:rsidRPr="00747620">
        <w:t>GDP</w:t>
      </w:r>
      <w:r w:rsidR="009059AE">
        <w:t xml:space="preserve"> since 2011-12. </w:t>
      </w:r>
    </w:p>
    <w:p w14:paraId="2697D362" w14:textId="3111BFD4" w:rsidR="00DF793B" w:rsidRDefault="00DF793B" w:rsidP="00DF793B">
      <w:pPr>
        <w:pStyle w:val="Caption"/>
      </w:pPr>
      <w:bookmarkStart w:id="56" w:name="_Ref14701927"/>
      <w:r>
        <w:t xml:space="preserve">Exhibit </w:t>
      </w:r>
      <w:r>
        <w:fldChar w:fldCharType="begin"/>
      </w:r>
      <w:r>
        <w:instrText xml:space="preserve"> SEQ Exhibit \* ARABIC </w:instrText>
      </w:r>
      <w:r>
        <w:fldChar w:fldCharType="separate"/>
      </w:r>
      <w:r w:rsidR="005407CC">
        <w:rPr>
          <w:noProof/>
        </w:rPr>
        <w:t>9</w:t>
      </w:r>
      <w:r>
        <w:fldChar w:fldCharType="end"/>
      </w:r>
      <w:bookmarkEnd w:id="56"/>
    </w:p>
    <w:p w14:paraId="42F6DC7E" w14:textId="1375A7D7" w:rsidR="00F332C4" w:rsidRPr="00F332C4" w:rsidRDefault="00F332C4" w:rsidP="00F332C4">
      <w:pPr>
        <w:rPr>
          <w:lang w:val="en-US"/>
        </w:rPr>
      </w:pPr>
      <w:r w:rsidRPr="00747620">
        <w:rPr>
          <w:noProof/>
          <w:lang w:eastAsia="en-AU"/>
        </w:rPr>
        <w:drawing>
          <wp:inline distT="0" distB="0" distL="0" distR="0" wp14:anchorId="23B4A352" wp14:editId="4C4F370A">
            <wp:extent cx="5659200" cy="3794400"/>
            <wp:effectExtent l="0" t="0" r="0" b="0"/>
            <wp:docPr id="459" name="Picture 459" descr="Exhibit 9 shows how business investment in innovation has not declined as much as business investment in R&amp;D, as a share of GDP. A relevant interpretation is included in the paragraph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9200" cy="3794400"/>
                    </a:xfrm>
                    <a:prstGeom prst="rect">
                      <a:avLst/>
                    </a:prstGeom>
                    <a:noFill/>
                    <a:ln>
                      <a:noFill/>
                    </a:ln>
                  </pic:spPr>
                </pic:pic>
              </a:graphicData>
            </a:graphic>
          </wp:inline>
        </w:drawing>
      </w:r>
    </w:p>
    <w:p w14:paraId="1C2C8BA2" w14:textId="2CFCC904" w:rsidR="00C1711C" w:rsidRPr="00AC38CF" w:rsidRDefault="00DF793B" w:rsidP="00DF793B">
      <w:pPr>
        <w:spacing w:before="0" w:after="160"/>
        <w:jc w:val="left"/>
        <w:rPr>
          <w:rStyle w:val="SubtleEmphasis"/>
        </w:rPr>
      </w:pPr>
      <w:r w:rsidRPr="00AC38CF">
        <w:rPr>
          <w:rStyle w:val="SubtleEmphasis"/>
        </w:rPr>
        <w:t>Source: BERD: ABS 8104; Business Innovation: ABS 8158 appendices; GDP: ABS 5204. 2013 and 2015 nominal BERD values are linearly interpolated. Innovation values are midpoints of the ABS estimated business innovation expenditure ranges that are represented by the grey bars on the chart.</w:t>
      </w:r>
    </w:p>
    <w:p w14:paraId="69E7FE84" w14:textId="01CAF3CC" w:rsidR="00FC1A19" w:rsidRPr="00F825C4" w:rsidRDefault="001D2E12" w:rsidP="00FC1A19">
      <w:r>
        <w:t>The</w:t>
      </w:r>
      <w:r w:rsidR="00FC1A19" w:rsidRPr="00F825C4">
        <w:t xml:space="preserve"> proportion of firms that report being innovation-active increased </w:t>
      </w:r>
      <w:r>
        <w:t>in this period</w:t>
      </w:r>
      <w:r w:rsidR="00F825C4" w:rsidRPr="00F825C4">
        <w:t>, from</w:t>
      </w:r>
      <w:r w:rsidR="00FC1A19" w:rsidRPr="00F825C4">
        <w:t xml:space="preserve"> about 40 per cent to </w:t>
      </w:r>
      <w:r w:rsidR="009059AE" w:rsidRPr="00F825C4">
        <w:t>45-</w:t>
      </w:r>
      <w:r w:rsidR="00FC1A19" w:rsidRPr="00F825C4">
        <w:t>50 per cent in the decade to 2015-16 (</w:t>
      </w:r>
      <w:r w:rsidR="00FC1A19" w:rsidRPr="00F825C4">
        <w:fldChar w:fldCharType="begin"/>
      </w:r>
      <w:r w:rsidR="00FC1A19" w:rsidRPr="00F825C4">
        <w:instrText xml:space="preserve"> REF _Ref12955351 \h </w:instrText>
      </w:r>
      <w:r w:rsidR="00F825C4">
        <w:instrText xml:space="preserve"> \* MERGEFORMAT </w:instrText>
      </w:r>
      <w:r w:rsidR="00FC1A19" w:rsidRPr="00F825C4">
        <w:fldChar w:fldCharType="separate"/>
      </w:r>
      <w:r w:rsidR="005407CC" w:rsidRPr="002F7695">
        <w:t xml:space="preserve">Exhibit </w:t>
      </w:r>
      <w:r w:rsidR="005407CC">
        <w:rPr>
          <w:noProof/>
        </w:rPr>
        <w:t>10</w:t>
      </w:r>
      <w:r w:rsidR="00FC1A19" w:rsidRPr="00F825C4">
        <w:fldChar w:fldCharType="end"/>
      </w:r>
      <w:r w:rsidR="00FC1A19" w:rsidRPr="00F825C4">
        <w:t xml:space="preserve">). Firms may be reallocating a stable or growing innovation budget from R&amp;D to non-R&amp;D innovation. </w:t>
      </w:r>
    </w:p>
    <w:p w14:paraId="5384D99D" w14:textId="191F991C" w:rsidR="00C1711C" w:rsidRDefault="00C1711C" w:rsidP="00C1711C">
      <w:r w:rsidRPr="00F825C4">
        <w:lastRenderedPageBreak/>
        <w:t>While the share of Australian firms that actively innovate has risen in the last decade, relatively few are producing innovations that are new to Australia and the world. Only 28 per cent of innovations introduced by Australian firms in 2014-15 were new to market</w:t>
      </w:r>
      <w:r w:rsidRPr="00F825C4">
        <w:rPr>
          <w:rFonts w:eastAsia="Times New Roman"/>
          <w:lang w:val="en-US"/>
        </w:rPr>
        <w:t xml:space="preserve">, and only </w:t>
      </w:r>
      <w:r w:rsidRPr="00F825C4">
        <w:t xml:space="preserve">8 per cent of innovations introduced in that year were new to </w:t>
      </w:r>
      <w:r w:rsidR="00FF7E2A">
        <w:t xml:space="preserve">the </w:t>
      </w:r>
      <w:r w:rsidRPr="00F825C4">
        <w:t xml:space="preserve">world. Australia’s performance in innovation novelty was </w:t>
      </w:r>
      <w:r w:rsidR="009C333C">
        <w:t xml:space="preserve">ranked </w:t>
      </w:r>
      <w:r w:rsidRPr="00F825C4">
        <w:t>23rd out of 31 countries in the OECD in 2012-13 (</w:t>
      </w:r>
      <w:r w:rsidRPr="00F825C4">
        <w:fldChar w:fldCharType="begin"/>
      </w:r>
      <w:r w:rsidRPr="00F825C4">
        <w:instrText xml:space="preserve"> REF _Ref12955351 \h  \* MERGEFORMAT </w:instrText>
      </w:r>
      <w:r w:rsidRPr="00F825C4">
        <w:fldChar w:fldCharType="separate"/>
      </w:r>
      <w:r w:rsidR="005407CC" w:rsidRPr="002F7695">
        <w:t xml:space="preserve">Exhibit </w:t>
      </w:r>
      <w:r w:rsidR="005407CC">
        <w:rPr>
          <w:noProof/>
        </w:rPr>
        <w:t>10</w:t>
      </w:r>
      <w:r w:rsidRPr="00F825C4">
        <w:fldChar w:fldCharType="end"/>
      </w:r>
      <w:r w:rsidRPr="00F825C4">
        <w:t>), raising the question of whether accelerating product or novel innovation is sufficiently incentivised or prioritised.</w:t>
      </w:r>
    </w:p>
    <w:p w14:paraId="2A9D39C6" w14:textId="5D162507" w:rsidR="00C1711C" w:rsidRDefault="00C1711C" w:rsidP="00C1711C">
      <w:pPr>
        <w:pStyle w:val="Caption"/>
      </w:pPr>
      <w:bookmarkStart w:id="57" w:name="_Ref12955351"/>
      <w:r w:rsidRPr="002F7695">
        <w:t xml:space="preserve">Exhibit </w:t>
      </w:r>
      <w:r w:rsidRPr="002F7695">
        <w:fldChar w:fldCharType="begin"/>
      </w:r>
      <w:r w:rsidRPr="002F7695">
        <w:instrText xml:space="preserve"> SEQ Exhibit \* ARABIC </w:instrText>
      </w:r>
      <w:r w:rsidRPr="002F7695">
        <w:fldChar w:fldCharType="separate"/>
      </w:r>
      <w:r w:rsidR="005407CC">
        <w:rPr>
          <w:noProof/>
        </w:rPr>
        <w:t>10</w:t>
      </w:r>
      <w:r w:rsidRPr="002F7695">
        <w:fldChar w:fldCharType="end"/>
      </w:r>
      <w:bookmarkEnd w:id="57"/>
    </w:p>
    <w:p w14:paraId="6035AEFF" w14:textId="06874E1F" w:rsidR="00F332C4" w:rsidRPr="00F332C4" w:rsidRDefault="00F332C4" w:rsidP="00F332C4">
      <w:pPr>
        <w:rPr>
          <w:lang w:val="en-US"/>
        </w:rPr>
      </w:pPr>
      <w:r w:rsidRPr="009059AE">
        <w:rPr>
          <w:noProof/>
          <w:lang w:eastAsia="en-AU"/>
        </w:rPr>
        <w:drawing>
          <wp:inline distT="0" distB="0" distL="0" distR="0" wp14:anchorId="0FCCBACE" wp14:editId="17F299EB">
            <wp:extent cx="5652000" cy="3765600"/>
            <wp:effectExtent l="0" t="0" r="6350" b="6350"/>
            <wp:docPr id="479" name="Picture 479" descr="Exhibit 10 shows that more Australian firms are innovating now than were in the past, though few of them make new to world innovation. A relevant interpretation with some extra information is included in the paragraph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2000" cy="3765600"/>
                    </a:xfrm>
                    <a:prstGeom prst="rect">
                      <a:avLst/>
                    </a:prstGeom>
                    <a:noFill/>
                    <a:ln>
                      <a:noFill/>
                    </a:ln>
                  </pic:spPr>
                </pic:pic>
              </a:graphicData>
            </a:graphic>
          </wp:inline>
        </w:drawing>
      </w:r>
    </w:p>
    <w:p w14:paraId="10769399" w14:textId="6D20DC3C" w:rsidR="00C1711C" w:rsidRPr="00AC38CF" w:rsidRDefault="005813B2" w:rsidP="00C1711C">
      <w:pPr>
        <w:rPr>
          <w:rStyle w:val="SubtleEmphasis"/>
        </w:rPr>
      </w:pPr>
      <w:r>
        <w:rPr>
          <w:rStyle w:val="SubtleEmphasis"/>
        </w:rPr>
        <w:t xml:space="preserve">Source: </w:t>
      </w:r>
      <w:r w:rsidR="0029416E" w:rsidRPr="00AC38CF">
        <w:rPr>
          <w:rStyle w:val="SubtleEmphasis"/>
        </w:rPr>
        <w:t>ABS 8158</w:t>
      </w:r>
      <w:r w:rsidR="00C1711C" w:rsidRPr="00AC38CF">
        <w:rPr>
          <w:rStyle w:val="SubtleEmphasis"/>
        </w:rPr>
        <w:t xml:space="preserve">. </w:t>
      </w:r>
      <w:r w:rsidR="003C00F7" w:rsidRPr="00AC38CF">
        <w:rPr>
          <w:rStyle w:val="SubtleEmphasis"/>
        </w:rPr>
        <w:t>I</w:t>
      </w:r>
      <w:r w:rsidR="00C1711C" w:rsidRPr="00AC38CF">
        <w:rPr>
          <w:rStyle w:val="SubtleEmphasis"/>
        </w:rPr>
        <w:t xml:space="preserve">ncludes some firms that do not report any expenditure on innovation. </w:t>
      </w:r>
      <w:r w:rsidR="009059AE" w:rsidRPr="00AC38CF">
        <w:rPr>
          <w:rStyle w:val="SubtleEmphasis"/>
        </w:rPr>
        <w:t>Innovation activity is linearly interpolated for FY15-16</w:t>
      </w:r>
      <w:r w:rsidR="003C00F7" w:rsidRPr="00AC38CF">
        <w:rPr>
          <w:rStyle w:val="SubtleEmphasis"/>
        </w:rPr>
        <w:t>.</w:t>
      </w:r>
      <w:r w:rsidR="00CB73FF" w:rsidRPr="00AC38CF">
        <w:rPr>
          <w:rStyle w:val="SubtleEmphasis"/>
        </w:rPr>
        <w:t xml:space="preserve"> </w:t>
      </w:r>
      <w:r w:rsidR="009059AE" w:rsidRPr="00AC38CF">
        <w:rPr>
          <w:rStyle w:val="SubtleEmphasis"/>
        </w:rPr>
        <w:t>“</w:t>
      </w:r>
      <w:r w:rsidR="003C00F7" w:rsidRPr="00AC38CF">
        <w:rPr>
          <w:rStyle w:val="SubtleEmphasis"/>
        </w:rPr>
        <w:t>I</w:t>
      </w:r>
      <w:r w:rsidR="009059AE" w:rsidRPr="00AC38CF">
        <w:rPr>
          <w:rStyle w:val="SubtleEmphasis"/>
        </w:rPr>
        <w:t>nnovating firms” introduced a</w:t>
      </w:r>
      <w:r w:rsidR="00902D8A" w:rsidRPr="00AC38CF">
        <w:rPr>
          <w:rStyle w:val="SubtleEmphasis"/>
        </w:rPr>
        <w:t xml:space="preserve">n </w:t>
      </w:r>
      <w:r w:rsidR="009059AE" w:rsidRPr="00AC38CF">
        <w:rPr>
          <w:rStyle w:val="SubtleEmphasis"/>
        </w:rPr>
        <w:t>innovation in the financial year</w:t>
      </w:r>
      <w:r w:rsidR="003C00F7" w:rsidRPr="00AC38CF">
        <w:rPr>
          <w:rStyle w:val="SubtleEmphasis"/>
        </w:rPr>
        <w:t xml:space="preserve">, </w:t>
      </w:r>
      <w:r w:rsidR="002A2AE5" w:rsidRPr="00AC38CF">
        <w:rPr>
          <w:rStyle w:val="SubtleEmphasis"/>
        </w:rPr>
        <w:t xml:space="preserve">except if the innovation is </w:t>
      </w:r>
      <w:r w:rsidR="009059AE" w:rsidRPr="00AC38CF">
        <w:rPr>
          <w:rStyle w:val="SubtleEmphasis"/>
        </w:rPr>
        <w:t>in development or abandoned</w:t>
      </w:r>
      <w:r w:rsidR="00CB73FF" w:rsidRPr="00AC38CF">
        <w:rPr>
          <w:rStyle w:val="SubtleEmphasis"/>
        </w:rPr>
        <w:t xml:space="preserve">. </w:t>
      </w:r>
      <w:r w:rsidR="002A2AE5" w:rsidRPr="00AC38CF">
        <w:rPr>
          <w:rStyle w:val="SubtleEmphasis"/>
        </w:rPr>
        <w:t>An o</w:t>
      </w:r>
      <w:r w:rsidR="009059AE" w:rsidRPr="00AC38CF">
        <w:rPr>
          <w:rStyle w:val="SubtleEmphasis"/>
        </w:rPr>
        <w:t xml:space="preserve">verall process innovation rate </w:t>
      </w:r>
      <w:r w:rsidR="002A2AE5" w:rsidRPr="00AC38CF">
        <w:rPr>
          <w:rStyle w:val="SubtleEmphasis"/>
        </w:rPr>
        <w:t xml:space="preserve">cannot </w:t>
      </w:r>
      <w:r w:rsidR="009059AE" w:rsidRPr="00AC38CF">
        <w:rPr>
          <w:rStyle w:val="SubtleEmphasis"/>
        </w:rPr>
        <w:t xml:space="preserve">be </w:t>
      </w:r>
      <w:r w:rsidR="002A2AE5" w:rsidRPr="00AC38CF">
        <w:rPr>
          <w:rStyle w:val="SubtleEmphasis"/>
        </w:rPr>
        <w:t xml:space="preserve">extracted from reported data: chart shows </w:t>
      </w:r>
      <w:r w:rsidR="009059AE" w:rsidRPr="00AC38CF">
        <w:rPr>
          <w:rStyle w:val="SubtleEmphasis"/>
        </w:rPr>
        <w:t>largest process innovation categor</w:t>
      </w:r>
      <w:r w:rsidR="003C00F7" w:rsidRPr="00AC38CF">
        <w:rPr>
          <w:rStyle w:val="SubtleEmphasis"/>
        </w:rPr>
        <w:t>y in each year.</w:t>
      </w:r>
    </w:p>
    <w:p w14:paraId="67D3B1B1" w14:textId="2F3BDB7A" w:rsidR="003E4AAC" w:rsidRDefault="0004791C" w:rsidP="00271C61">
      <w:r>
        <w:rPr>
          <w:b/>
          <w:bCs/>
        </w:rPr>
        <w:t>P</w:t>
      </w:r>
      <w:r w:rsidR="003E4AAC" w:rsidRPr="007D47E9">
        <w:rPr>
          <w:b/>
          <w:bCs/>
        </w:rPr>
        <w:t>olicy</w:t>
      </w:r>
      <w:r w:rsidR="00F14E64">
        <w:rPr>
          <w:b/>
          <w:bCs/>
        </w:rPr>
        <w:t xml:space="preserve"> change</w:t>
      </w:r>
      <w:r>
        <w:t xml:space="preserve"> </w:t>
      </w:r>
      <w:r w:rsidR="008C218C">
        <w:t xml:space="preserve">to R&amp;D tax incentives </w:t>
      </w:r>
      <w:r>
        <w:t xml:space="preserve">may have prompted some firms to cut R&amp;D, </w:t>
      </w:r>
      <w:r w:rsidR="00755AA4">
        <w:t xml:space="preserve">though evidence is </w:t>
      </w:r>
      <w:r w:rsidR="008C218C">
        <w:t>not clear cut</w:t>
      </w:r>
      <w:r w:rsidR="003E4AAC">
        <w:t>.</w:t>
      </w:r>
      <w:r w:rsidR="003E4AAC">
        <w:rPr>
          <w:rStyle w:val="FootnoteReference"/>
        </w:rPr>
        <w:footnoteReference w:id="16"/>
      </w:r>
      <w:r w:rsidR="003E4AAC">
        <w:t xml:space="preserve"> </w:t>
      </w:r>
      <w:r w:rsidR="008C218C">
        <w:t>Perceptions</w:t>
      </w:r>
      <w:r w:rsidR="00C20339">
        <w:t xml:space="preserve"> of announced but unlegislated policy changes could </w:t>
      </w:r>
      <w:r w:rsidR="001B79E7">
        <w:t xml:space="preserve">also </w:t>
      </w:r>
      <w:r w:rsidR="00C20339">
        <w:t>change innovation effort</w:t>
      </w:r>
      <w:r w:rsidR="00C20339" w:rsidRPr="00D21501">
        <w:t>.</w:t>
      </w:r>
      <w:r w:rsidR="00C20339" w:rsidRPr="00D21501">
        <w:rPr>
          <w:rStyle w:val="FootnoteReference"/>
        </w:rPr>
        <w:footnoteReference w:id="17"/>
      </w:r>
      <w:r w:rsidR="00C20339" w:rsidRPr="00C20339">
        <w:t xml:space="preserve"> </w:t>
      </w:r>
      <w:r w:rsidR="00C20339">
        <w:t xml:space="preserve">However, it is difficult to </w:t>
      </w:r>
      <w:r w:rsidR="002E63CE">
        <w:t>detect such impacts</w:t>
      </w:r>
      <w:r w:rsidR="00C20339">
        <w:t xml:space="preserve"> on the overall BERD rate (</w:t>
      </w:r>
      <w:r w:rsidR="00C20339">
        <w:fldChar w:fldCharType="begin"/>
      </w:r>
      <w:r w:rsidR="00C20339">
        <w:instrText xml:space="preserve"> REF _Ref12625147 \h </w:instrText>
      </w:r>
      <w:r w:rsidR="00C20339">
        <w:fldChar w:fldCharType="separate"/>
      </w:r>
      <w:r w:rsidR="005407CC" w:rsidRPr="002F7695">
        <w:t xml:space="preserve">Exhibit </w:t>
      </w:r>
      <w:r w:rsidR="005407CC">
        <w:rPr>
          <w:noProof/>
        </w:rPr>
        <w:t>11</w:t>
      </w:r>
      <w:r w:rsidR="00C20339">
        <w:fldChar w:fldCharType="end"/>
      </w:r>
      <w:r w:rsidR="00C20339">
        <w:t>)</w:t>
      </w:r>
      <w:r w:rsidR="003E4AAC">
        <w:t>.</w:t>
      </w:r>
      <w:r w:rsidR="00391BF7">
        <w:rPr>
          <w:rStyle w:val="FootnoteReference"/>
        </w:rPr>
        <w:footnoteReference w:id="18"/>
      </w:r>
      <w:r w:rsidR="00391BF7">
        <w:t xml:space="preserve"> </w:t>
      </w:r>
    </w:p>
    <w:p w14:paraId="3F54CB09" w14:textId="3F2ADB38" w:rsidR="003E4AAC" w:rsidRDefault="003E4AAC" w:rsidP="003E4AAC">
      <w:pPr>
        <w:pStyle w:val="Caption"/>
      </w:pPr>
      <w:bookmarkStart w:id="58" w:name="_Ref12625147"/>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11</w:t>
      </w:r>
      <w:r w:rsidRPr="002F7695">
        <w:fldChar w:fldCharType="end"/>
      </w:r>
      <w:bookmarkEnd w:id="58"/>
    </w:p>
    <w:p w14:paraId="16D99DA1" w14:textId="3580EC07" w:rsidR="00F332C4" w:rsidRPr="00F332C4" w:rsidRDefault="00F332C4" w:rsidP="00F332C4">
      <w:pPr>
        <w:rPr>
          <w:lang w:val="en-US"/>
        </w:rPr>
      </w:pPr>
      <w:r w:rsidRPr="00DE35DF">
        <w:rPr>
          <w:rStyle w:val="CommentReference"/>
          <w:noProof/>
          <w:sz w:val="20"/>
          <w:szCs w:val="20"/>
          <w:lang w:eastAsia="en-AU"/>
        </w:rPr>
        <w:drawing>
          <wp:inline distT="0" distB="0" distL="0" distR="0" wp14:anchorId="2DEB8769" wp14:editId="2B354362">
            <wp:extent cx="5659200" cy="3805200"/>
            <wp:effectExtent l="0" t="0" r="0" b="5080"/>
            <wp:docPr id="250" name="Picture 250" descr="Exhibit 11 maps BERD trends against R&amp;D tax incentive policy changes to see if these changes impact on BERD. The evidence is not clear and it is difficult to detect such impacts. A relevant interpretation is included in the paragraph above and further discussion around possible future changes in the paragraph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9200" cy="3805200"/>
                    </a:xfrm>
                    <a:prstGeom prst="rect">
                      <a:avLst/>
                    </a:prstGeom>
                    <a:noFill/>
                    <a:ln>
                      <a:noFill/>
                    </a:ln>
                  </pic:spPr>
                </pic:pic>
              </a:graphicData>
            </a:graphic>
          </wp:inline>
        </w:drawing>
      </w:r>
    </w:p>
    <w:p w14:paraId="42B5BE35" w14:textId="12ABD785" w:rsidR="003E4AAC" w:rsidRPr="00AC38CF" w:rsidRDefault="00571A9A" w:rsidP="003E4AAC">
      <w:pPr>
        <w:rPr>
          <w:rStyle w:val="SubtleEmphasis"/>
        </w:rPr>
      </w:pPr>
      <w:r>
        <w:rPr>
          <w:rStyle w:val="SubtleEmphasis"/>
        </w:rPr>
        <w:t xml:space="preserve">Source: </w:t>
      </w:r>
      <w:r w:rsidR="003E4AAC" w:rsidRPr="00AC38CF">
        <w:rPr>
          <w:rStyle w:val="SubtleEmphasis"/>
        </w:rPr>
        <w:t>ABS 8104.0; DIIS, History of the R&amp;D Tax Concession; Office of the Chief Economist (2019), Comparison of R&amp;D expenditure from BERD, RDTI and BIT data sources</w:t>
      </w:r>
      <w:r w:rsidR="00403CA7" w:rsidRPr="00AC38CF">
        <w:rPr>
          <w:rStyle w:val="SubtleEmphasis"/>
        </w:rPr>
        <w:t xml:space="preserve">. Annual BERD growth rates </w:t>
      </w:r>
      <w:r w:rsidR="00CF7DD3" w:rsidRPr="00AC38CF">
        <w:rPr>
          <w:rStyle w:val="SubtleEmphasis"/>
        </w:rPr>
        <w:t>starting in FY2012 are based on biannual data</w:t>
      </w:r>
      <w:r w:rsidR="001A6626" w:rsidRPr="00AC38CF">
        <w:rPr>
          <w:rStyle w:val="SubtleEmphasis"/>
        </w:rPr>
        <w:t>:</w:t>
      </w:r>
      <w:r w:rsidR="00CF7DD3" w:rsidRPr="00AC38CF">
        <w:rPr>
          <w:rStyle w:val="SubtleEmphasis"/>
        </w:rPr>
        <w:t xml:space="preserve"> values for FY2013, FY2015 and FY2017 </w:t>
      </w:r>
      <w:r w:rsidR="001A6626" w:rsidRPr="00AC38CF">
        <w:rPr>
          <w:rStyle w:val="SubtleEmphasis"/>
        </w:rPr>
        <w:t xml:space="preserve">linearly interpolated from </w:t>
      </w:r>
      <w:r w:rsidR="00CF7DD3" w:rsidRPr="00AC38CF">
        <w:rPr>
          <w:rStyle w:val="SubtleEmphasis"/>
        </w:rPr>
        <w:t xml:space="preserve">adjacent years. </w:t>
      </w:r>
      <w:r w:rsidR="00403CA7" w:rsidRPr="00AC38CF">
        <w:rPr>
          <w:rStyle w:val="SubtleEmphasis"/>
        </w:rPr>
        <w:t xml:space="preserve"> </w:t>
      </w:r>
    </w:p>
    <w:p w14:paraId="2E013FCE" w14:textId="3CB744EF" w:rsidR="00271C61" w:rsidRDefault="00660536" w:rsidP="00271C61">
      <w:pPr>
        <w:pStyle w:val="01squarebullet"/>
        <w:numPr>
          <w:ilvl w:val="0"/>
          <w:numId w:val="0"/>
        </w:numPr>
      </w:pPr>
      <w:r>
        <w:t>A</w:t>
      </w:r>
      <w:r w:rsidR="004F31CB">
        <w:t xml:space="preserve"> </w:t>
      </w:r>
      <w:r w:rsidR="00C20339" w:rsidRPr="00436017">
        <w:rPr>
          <w:b/>
          <w:bCs/>
        </w:rPr>
        <w:t>shift from innovation to scale-up</w:t>
      </w:r>
      <w:r>
        <w:t xml:space="preserve"> could also cause R&amp;D to decline</w:t>
      </w:r>
      <w:r w:rsidR="00755AA4">
        <w:t xml:space="preserve"> </w:t>
      </w:r>
      <w:r w:rsidR="00F328E8">
        <w:t xml:space="preserve">at the sector level. </w:t>
      </w:r>
      <w:r w:rsidR="00D0593A">
        <w:t xml:space="preserve">Neither </w:t>
      </w:r>
      <w:r w:rsidR="00C20339">
        <w:t xml:space="preserve">BERD </w:t>
      </w:r>
      <w:r w:rsidR="00D0593A">
        <w:t xml:space="preserve">nor the Oslo measure of </w:t>
      </w:r>
      <w:r w:rsidR="00C20339">
        <w:t xml:space="preserve">innovation </w:t>
      </w:r>
      <w:r w:rsidR="00D0593A">
        <w:t>include efforts to scale</w:t>
      </w:r>
      <w:r w:rsidR="00C20339">
        <w:t xml:space="preserve"> up existing innovations for production, so measured innovation may stagnate even as firms invest to scale up and roll out innovations through the economy. </w:t>
      </w:r>
      <w:r w:rsidR="00F328E8">
        <w:t>But o</w:t>
      </w:r>
      <w:r w:rsidR="00C20339">
        <w:t>utside of the mining sector</w:t>
      </w:r>
      <w:r w:rsidR="009B06CB">
        <w:t xml:space="preserve"> (shown in </w:t>
      </w:r>
      <w:r w:rsidR="009B06CB">
        <w:fldChar w:fldCharType="begin"/>
      </w:r>
      <w:r w:rsidR="009B06CB">
        <w:instrText xml:space="preserve"> REF _Ref12536212 \h </w:instrText>
      </w:r>
      <w:r w:rsidR="009B06CB">
        <w:fldChar w:fldCharType="separate"/>
      </w:r>
      <w:r w:rsidR="005407CC" w:rsidRPr="002F7695">
        <w:t xml:space="preserve">Exhibit </w:t>
      </w:r>
      <w:r w:rsidR="005407CC">
        <w:rPr>
          <w:noProof/>
        </w:rPr>
        <w:t>6</w:t>
      </w:r>
      <w:r w:rsidR="009B06CB">
        <w:fldChar w:fldCharType="end"/>
      </w:r>
      <w:r w:rsidR="009B06CB">
        <w:t xml:space="preserve"> above) there is little evidence </w:t>
      </w:r>
      <w:r w:rsidR="00826603">
        <w:t>for a shift from R&amp;D to expansion</w:t>
      </w:r>
      <w:r w:rsidR="009B06CB">
        <w:t>: A</w:t>
      </w:r>
      <w:r w:rsidR="00C20339">
        <w:t xml:space="preserve">ustralian capital investment has been weak in recent years, suggesting that firms have </w:t>
      </w:r>
      <w:r w:rsidR="009B06CB">
        <w:t xml:space="preserve">probably </w:t>
      </w:r>
      <w:r w:rsidR="00C20339">
        <w:t xml:space="preserve">not </w:t>
      </w:r>
      <w:r w:rsidR="00BE5F85">
        <w:t>intensified</w:t>
      </w:r>
      <w:r w:rsidR="00C20339">
        <w:t xml:space="preserve"> their efforts to scale up previously made innovations.</w:t>
      </w:r>
      <w:r w:rsidR="00F328E8">
        <w:rPr>
          <w:rStyle w:val="FootnoteReference"/>
        </w:rPr>
        <w:footnoteReference w:id="19"/>
      </w:r>
    </w:p>
    <w:p w14:paraId="514ED151" w14:textId="64D4C229" w:rsidR="003E4AAC" w:rsidRDefault="00F328E8" w:rsidP="00271C61">
      <w:pPr>
        <w:pStyle w:val="01squarebullet"/>
        <w:numPr>
          <w:ilvl w:val="0"/>
          <w:numId w:val="0"/>
        </w:numPr>
      </w:pPr>
      <w:r>
        <w:t xml:space="preserve">Finally, </w:t>
      </w:r>
      <w:r w:rsidR="00826603">
        <w:t xml:space="preserve">while </w:t>
      </w:r>
      <w:r w:rsidR="004F31CB" w:rsidRPr="00271C61">
        <w:rPr>
          <w:b/>
          <w:bCs/>
        </w:rPr>
        <w:t>c</w:t>
      </w:r>
      <w:r w:rsidR="003E4AAC" w:rsidRPr="00271C61">
        <w:rPr>
          <w:b/>
          <w:bCs/>
        </w:rPr>
        <w:t>hanges to measurement or reporting</w:t>
      </w:r>
      <w:r>
        <w:rPr>
          <w:b/>
          <w:bCs/>
        </w:rPr>
        <w:t xml:space="preserve"> </w:t>
      </w:r>
      <w:r>
        <w:t xml:space="preserve">could explain changes in R&amp;D at the sector level, </w:t>
      </w:r>
      <w:r w:rsidR="00755AA4">
        <w:t xml:space="preserve">again evidence is lacking. </w:t>
      </w:r>
      <w:r w:rsidR="003E4AAC">
        <w:t xml:space="preserve">For example, if </w:t>
      </w:r>
      <w:r w:rsidR="009B06CB">
        <w:t xml:space="preserve">expenditure on R&amp;D-related intangible assets is less completely reported than expenditure on tangible assets, then </w:t>
      </w:r>
      <w:r w:rsidR="00826603">
        <w:t xml:space="preserve">a shift towards intangibles </w:t>
      </w:r>
      <w:r w:rsidR="009B06CB">
        <w:t xml:space="preserve">might explain </w:t>
      </w:r>
      <w:r w:rsidR="00826603">
        <w:t xml:space="preserve">the </w:t>
      </w:r>
      <w:r w:rsidR="009B06CB">
        <w:t xml:space="preserve">decline in </w:t>
      </w:r>
      <w:r w:rsidR="00826603">
        <w:t>reported R&amp;D</w:t>
      </w:r>
      <w:r w:rsidR="009B06CB">
        <w:t xml:space="preserve">. </w:t>
      </w:r>
      <w:r w:rsidR="00826603">
        <w:t>I</w:t>
      </w:r>
      <w:r w:rsidR="00271C61">
        <w:t xml:space="preserve">ntangible assets have increased as a share of </w:t>
      </w:r>
      <w:r w:rsidR="00E06D60">
        <w:t xml:space="preserve">the </w:t>
      </w:r>
      <w:r w:rsidR="00271C61">
        <w:t xml:space="preserve">overall capital stock, </w:t>
      </w:r>
      <w:r w:rsidR="00826603">
        <w:t>and (</w:t>
      </w:r>
      <w:r w:rsidR="009B06CB">
        <w:t>at least in the US</w:t>
      </w:r>
      <w:r w:rsidR="00826603">
        <w:t>)</w:t>
      </w:r>
      <w:r w:rsidR="009B06CB">
        <w:t xml:space="preserve"> </w:t>
      </w:r>
      <w:r w:rsidR="00271C61">
        <w:t xml:space="preserve">firms </w:t>
      </w:r>
      <w:r w:rsidR="00826603">
        <w:t xml:space="preserve">do not report all their efforts to build such </w:t>
      </w:r>
      <w:r w:rsidR="00271C61" w:rsidRPr="00826603">
        <w:t xml:space="preserve">assets </w:t>
      </w:r>
      <w:r w:rsidR="00826603" w:rsidRPr="00826603">
        <w:t xml:space="preserve">as part of </w:t>
      </w:r>
      <w:r w:rsidR="00271C61" w:rsidRPr="00826603">
        <w:t xml:space="preserve">their </w:t>
      </w:r>
      <w:r w:rsidR="00271C61" w:rsidRPr="00826603">
        <w:lastRenderedPageBreak/>
        <w:t>capital investment</w:t>
      </w:r>
      <w:r w:rsidR="00FA01DA" w:rsidRPr="00826603">
        <w:t>.</w:t>
      </w:r>
      <w:r w:rsidR="00FA01DA" w:rsidRPr="00826603">
        <w:rPr>
          <w:rStyle w:val="FootnoteReference"/>
        </w:rPr>
        <w:footnoteReference w:id="20"/>
      </w:r>
      <w:r w:rsidR="009B06CB" w:rsidRPr="00826603">
        <w:t xml:space="preserve"> </w:t>
      </w:r>
      <w:r w:rsidR="00826603">
        <w:t xml:space="preserve">But there is no evidence on whether </w:t>
      </w:r>
      <w:r w:rsidR="00ED57A9">
        <w:t xml:space="preserve">the </w:t>
      </w:r>
      <w:r w:rsidR="00826603">
        <w:t>economy</w:t>
      </w:r>
      <w:r w:rsidR="004D2CB8">
        <w:t>-</w:t>
      </w:r>
      <w:r w:rsidR="00826603">
        <w:t xml:space="preserve">wide shift towards intangibles </w:t>
      </w:r>
      <w:r w:rsidR="00ED57A9">
        <w:t xml:space="preserve">has changed how much of firms’ </w:t>
      </w:r>
      <w:r w:rsidR="00826603">
        <w:t xml:space="preserve">R&amp;D expenditure </w:t>
      </w:r>
      <w:r w:rsidR="00E06D60">
        <w:t>is</w:t>
      </w:r>
      <w:r w:rsidR="00ED57A9">
        <w:t xml:space="preserve"> </w:t>
      </w:r>
      <w:r w:rsidR="00826603">
        <w:t>report</w:t>
      </w:r>
      <w:r w:rsidR="00E06D60">
        <w:t>ed</w:t>
      </w:r>
      <w:r w:rsidR="00826603">
        <w:t>.</w:t>
      </w:r>
      <w:r w:rsidR="00E06D60">
        <w:t xml:space="preserve"> Without further research, there is little reason to think that measurement or reporting changes account for changes in sector-level R&amp;D intensity.</w:t>
      </w:r>
      <w:r w:rsidR="00826603">
        <w:t xml:space="preserve"> </w:t>
      </w:r>
    </w:p>
    <w:p w14:paraId="32C9F38C" w14:textId="3FF83F79" w:rsidR="003F216D" w:rsidRDefault="00755AA4" w:rsidP="00DF793B">
      <w:pPr>
        <w:spacing w:before="0" w:after="160"/>
        <w:jc w:val="left"/>
      </w:pPr>
      <w:r>
        <w:t xml:space="preserve">Overall, the mining cycle and </w:t>
      </w:r>
      <w:r w:rsidR="00200966">
        <w:t xml:space="preserve">economic </w:t>
      </w:r>
      <w:r>
        <w:t>structural change in Australia account for most of the decline in BERD since it peaked in 2008-09</w:t>
      </w:r>
      <w:r w:rsidR="003F216D">
        <w:t>, with a minor contribution from s</w:t>
      </w:r>
      <w:r>
        <w:t xml:space="preserve">lower economic growth. The modest decrease in R&amp;D intensity at the sector level </w:t>
      </w:r>
      <w:r w:rsidR="003F216D">
        <w:t xml:space="preserve">seems likely to reflect </w:t>
      </w:r>
      <w:r>
        <w:t xml:space="preserve">a shift towards non-R&amp;D innovation investment. </w:t>
      </w:r>
    </w:p>
    <w:p w14:paraId="563A3266" w14:textId="77777777" w:rsidR="00B45250" w:rsidRDefault="00B45250">
      <w:pPr>
        <w:spacing w:before="0" w:after="160"/>
        <w:jc w:val="left"/>
        <w:rPr>
          <w:rFonts w:asciiTheme="majorHAnsi" w:eastAsiaTheme="majorEastAsia" w:hAnsiTheme="majorHAnsi" w:cstheme="majorHAnsi"/>
          <w:b/>
          <w:caps/>
          <w:color w:val="4CB8C1" w:themeColor="accent5"/>
          <w:sz w:val="44"/>
          <w:szCs w:val="44"/>
          <w:lang w:val="en-US"/>
        </w:rPr>
      </w:pPr>
      <w:bookmarkStart w:id="59" w:name="_Toc13478293"/>
      <w:r>
        <w:br w:type="page"/>
      </w:r>
    </w:p>
    <w:p w14:paraId="3DB9C28C" w14:textId="6C2AFFEC" w:rsidR="0063411F" w:rsidRPr="00253E15" w:rsidRDefault="008D2796" w:rsidP="00CF28BB">
      <w:pPr>
        <w:pStyle w:val="Heading1"/>
      </w:pPr>
      <w:bookmarkStart w:id="60" w:name="_Toc30148075"/>
      <w:r>
        <w:lastRenderedPageBreak/>
        <w:t>Australian b</w:t>
      </w:r>
      <w:r w:rsidR="00DC60FB" w:rsidRPr="00253E15">
        <w:t xml:space="preserve">usiness investment in innovation </w:t>
      </w:r>
      <w:r w:rsidR="005059B6">
        <w:t>reflects</w:t>
      </w:r>
      <w:r w:rsidR="00F95202">
        <w:t xml:space="preserve"> </w:t>
      </w:r>
      <w:r w:rsidR="00DC60FB" w:rsidRPr="00253E15">
        <w:t xml:space="preserve">sector </w:t>
      </w:r>
      <w:r w:rsidR="005059B6">
        <w:t xml:space="preserve">mix </w:t>
      </w:r>
      <w:r w:rsidR="00DC60FB" w:rsidRPr="00253E15">
        <w:t>and firm size</w:t>
      </w:r>
      <w:bookmarkEnd w:id="59"/>
      <w:bookmarkEnd w:id="60"/>
    </w:p>
    <w:p w14:paraId="419630FE" w14:textId="7130C374" w:rsidR="00CB73FF" w:rsidRDefault="00EC2622" w:rsidP="00EC2622">
      <w:pPr>
        <w:rPr>
          <w:lang w:val="en-US"/>
        </w:rPr>
      </w:pPr>
      <w:r>
        <w:rPr>
          <w:lang w:val="en-US"/>
        </w:rPr>
        <w:t>While Australian businesses and industries are not laggards at innovation investment, they are also not reali</w:t>
      </w:r>
      <w:r w:rsidR="000F6E38">
        <w:rPr>
          <w:lang w:val="en-US"/>
        </w:rPr>
        <w:t>s</w:t>
      </w:r>
      <w:r>
        <w:rPr>
          <w:lang w:val="en-US"/>
        </w:rPr>
        <w:t xml:space="preserve">ing their full potential or the full benefits of innovation investment. </w:t>
      </w:r>
      <w:r w:rsidR="007A6A81">
        <w:rPr>
          <w:lang w:val="en-US"/>
        </w:rPr>
        <w:t xml:space="preserve">Compared to </w:t>
      </w:r>
      <w:r w:rsidR="00DB7DC8">
        <w:rPr>
          <w:lang w:val="en-US"/>
        </w:rPr>
        <w:t xml:space="preserve">their </w:t>
      </w:r>
      <w:r w:rsidR="007A6A81">
        <w:rPr>
          <w:lang w:val="en-US"/>
        </w:rPr>
        <w:t>global peers, Australia</w:t>
      </w:r>
      <w:r w:rsidR="00DB7DC8">
        <w:rPr>
          <w:lang w:val="en-US"/>
        </w:rPr>
        <w:t>n firms as a group</w:t>
      </w:r>
      <w:r w:rsidR="005039A3">
        <w:rPr>
          <w:lang w:val="en-US"/>
        </w:rPr>
        <w:t xml:space="preserve"> invest </w:t>
      </w:r>
      <w:r w:rsidR="00DB7DC8">
        <w:rPr>
          <w:lang w:val="en-US"/>
        </w:rPr>
        <w:t xml:space="preserve">less </w:t>
      </w:r>
      <w:r w:rsidR="005039A3">
        <w:rPr>
          <w:lang w:val="en-US"/>
        </w:rPr>
        <w:t xml:space="preserve">in </w:t>
      </w:r>
      <w:r w:rsidR="007A6A81">
        <w:rPr>
          <w:lang w:val="en-US"/>
        </w:rPr>
        <w:t>R&amp;D</w:t>
      </w:r>
      <w:r w:rsidR="005039A3">
        <w:rPr>
          <w:lang w:val="en-US"/>
        </w:rPr>
        <w:t xml:space="preserve">, </w:t>
      </w:r>
      <w:r w:rsidR="007A6A81">
        <w:rPr>
          <w:lang w:val="en-US"/>
        </w:rPr>
        <w:t xml:space="preserve">and </w:t>
      </w:r>
      <w:r w:rsidR="00DB7DC8">
        <w:rPr>
          <w:lang w:val="en-US"/>
        </w:rPr>
        <w:t>the</w:t>
      </w:r>
      <w:r w:rsidR="007C3634">
        <w:rPr>
          <w:lang w:val="en-US"/>
        </w:rPr>
        <w:t xml:space="preserve">re is evidence that </w:t>
      </w:r>
      <w:r w:rsidR="00096F7C">
        <w:rPr>
          <w:lang w:val="en-US"/>
        </w:rPr>
        <w:t>large firm</w:t>
      </w:r>
      <w:r w:rsidR="00DB7DC8">
        <w:rPr>
          <w:lang w:val="en-US"/>
        </w:rPr>
        <w:t xml:space="preserve"> balance sheets are less rich in </w:t>
      </w:r>
      <w:r w:rsidR="007A6A81">
        <w:rPr>
          <w:lang w:val="en-US"/>
        </w:rPr>
        <w:t>intangible</w:t>
      </w:r>
      <w:r w:rsidR="00DB7DC8">
        <w:rPr>
          <w:lang w:val="en-US"/>
        </w:rPr>
        <w:t xml:space="preserve"> assets such as patents and trademarks</w:t>
      </w:r>
      <w:r w:rsidR="00CB73FF">
        <w:rPr>
          <w:lang w:val="en-US"/>
        </w:rPr>
        <w:t>.</w:t>
      </w:r>
    </w:p>
    <w:p w14:paraId="01F4F154" w14:textId="37F843D5" w:rsidR="00EC2622" w:rsidRPr="00CB73FF" w:rsidRDefault="00DB7DC8" w:rsidP="00EC2622">
      <w:pPr>
        <w:rPr>
          <w:lang w:val="en-US"/>
        </w:rPr>
      </w:pPr>
      <w:r>
        <w:rPr>
          <w:lang w:val="en-US"/>
        </w:rPr>
        <w:t xml:space="preserve">Much of the gap to peers is due to </w:t>
      </w:r>
      <w:r w:rsidR="007A6A81">
        <w:rPr>
          <w:lang w:val="en-US"/>
        </w:rPr>
        <w:t>industry mix</w:t>
      </w:r>
      <w:r>
        <w:rPr>
          <w:lang w:val="en-US"/>
        </w:rPr>
        <w:t>:</w:t>
      </w:r>
      <w:r w:rsidR="007A6A81">
        <w:rPr>
          <w:lang w:val="en-US"/>
        </w:rPr>
        <w:t xml:space="preserve"> manufacturing and ICT </w:t>
      </w:r>
      <w:r w:rsidR="00F2709F">
        <w:rPr>
          <w:lang w:val="en-US"/>
        </w:rPr>
        <w:t xml:space="preserve">comprise a smaller share of the </w:t>
      </w:r>
      <w:r w:rsidR="00F4757A">
        <w:rPr>
          <w:lang w:val="en-US"/>
        </w:rPr>
        <w:t xml:space="preserve">Australian </w:t>
      </w:r>
      <w:r w:rsidR="00F2709F">
        <w:rPr>
          <w:lang w:val="en-US"/>
        </w:rPr>
        <w:t>economy</w:t>
      </w:r>
      <w:r w:rsidR="00F2709F" w:rsidRPr="00F2709F">
        <w:rPr>
          <w:lang w:val="en-US"/>
        </w:rPr>
        <w:t xml:space="preserve"> </w:t>
      </w:r>
      <w:r w:rsidR="00F2709F">
        <w:rPr>
          <w:lang w:val="en-US"/>
        </w:rPr>
        <w:t xml:space="preserve">than in peer economies. But the sectoral intensity of R&amp;D and innovation in Australia also differs from peer economies. For example, many </w:t>
      </w:r>
      <w:r w:rsidR="00E06D60">
        <w:rPr>
          <w:lang w:val="en-US"/>
        </w:rPr>
        <w:t xml:space="preserve">Australian </w:t>
      </w:r>
      <w:r w:rsidR="005039A3">
        <w:rPr>
          <w:lang w:val="en-US"/>
        </w:rPr>
        <w:t>service</w:t>
      </w:r>
      <w:r w:rsidR="00E06D60">
        <w:rPr>
          <w:lang w:val="en-US"/>
        </w:rPr>
        <w:t>s</w:t>
      </w:r>
      <w:r w:rsidR="005039A3">
        <w:rPr>
          <w:lang w:val="en-US"/>
        </w:rPr>
        <w:t xml:space="preserve"> firms</w:t>
      </w:r>
      <w:r w:rsidR="00F2709F">
        <w:rPr>
          <w:lang w:val="en-US"/>
        </w:rPr>
        <w:t xml:space="preserve"> </w:t>
      </w:r>
      <w:r w:rsidR="005039A3">
        <w:rPr>
          <w:lang w:val="en-US"/>
        </w:rPr>
        <w:t xml:space="preserve">invest </w:t>
      </w:r>
      <w:r w:rsidR="007C3634">
        <w:rPr>
          <w:lang w:val="en-US"/>
        </w:rPr>
        <w:t xml:space="preserve">relatively </w:t>
      </w:r>
      <w:r w:rsidR="005039A3">
        <w:rPr>
          <w:lang w:val="en-US"/>
        </w:rPr>
        <w:t>strongly in innovation</w:t>
      </w:r>
      <w:r w:rsidR="007A6A81">
        <w:rPr>
          <w:lang w:val="en-US"/>
        </w:rPr>
        <w:t>.</w:t>
      </w:r>
      <w:r w:rsidR="005039A3">
        <w:rPr>
          <w:lang w:val="en-US"/>
        </w:rPr>
        <w:t xml:space="preserve"> </w:t>
      </w:r>
      <w:r w:rsidR="007A6A81">
        <w:rPr>
          <w:lang w:val="en-US"/>
        </w:rPr>
        <w:t>One pro</w:t>
      </w:r>
      <w:r w:rsidR="00EC2622">
        <w:rPr>
          <w:iCs/>
          <w:lang w:val="en-US"/>
        </w:rPr>
        <w:t xml:space="preserve">mising area for Australia is business services, including professional services and financial services, and segments within ICT, such as business-to-business (B2B) software and services. </w:t>
      </w:r>
    </w:p>
    <w:p w14:paraId="5170A391" w14:textId="564408FA" w:rsidR="00716547" w:rsidRDefault="00B278B7" w:rsidP="00253E15">
      <w:pPr>
        <w:pStyle w:val="Heading2"/>
      </w:pPr>
      <w:bookmarkStart w:id="61" w:name="_Toc13478294"/>
      <w:bookmarkStart w:id="62" w:name="_Ref16761632"/>
      <w:bookmarkStart w:id="63" w:name="_Ref16761646"/>
      <w:bookmarkStart w:id="64" w:name="_Ref17395217"/>
      <w:bookmarkStart w:id="65" w:name="_Toc30148076"/>
      <w:r>
        <w:t>Australia</w:t>
      </w:r>
      <w:r w:rsidR="00526635">
        <w:t xml:space="preserve">n firms invest </w:t>
      </w:r>
      <w:r w:rsidR="00F15D15">
        <w:t xml:space="preserve">less </w:t>
      </w:r>
      <w:r w:rsidR="00526635">
        <w:t xml:space="preserve">in </w:t>
      </w:r>
      <w:r w:rsidR="004D08E2">
        <w:t>R&amp;D</w:t>
      </w:r>
      <w:r w:rsidR="005337F8">
        <w:t xml:space="preserve"> </w:t>
      </w:r>
      <w:r w:rsidR="00526635">
        <w:t>than peers, mostly due to industry mix</w:t>
      </w:r>
      <w:bookmarkEnd w:id="61"/>
      <w:bookmarkEnd w:id="62"/>
      <w:bookmarkEnd w:id="63"/>
      <w:bookmarkEnd w:id="64"/>
      <w:bookmarkEnd w:id="65"/>
    </w:p>
    <w:p w14:paraId="63DA9010" w14:textId="3BA16E46" w:rsidR="00A85568" w:rsidRDefault="00877BB1" w:rsidP="00A85568">
      <w:pPr>
        <w:spacing w:before="0" w:after="160"/>
        <w:jc w:val="left"/>
      </w:pPr>
      <w:r w:rsidRPr="00FC534F">
        <w:t>Australia’s business expenditure on research &amp; development (</w:t>
      </w:r>
      <w:r w:rsidRPr="005E7C02">
        <w:t>BERD)</w:t>
      </w:r>
      <w:r w:rsidR="00774FBE">
        <w:t xml:space="preserve"> is low compared with OECD countries. BERD is </w:t>
      </w:r>
      <w:r w:rsidR="005E7C02" w:rsidRPr="005E7C02">
        <w:t>under 1</w:t>
      </w:r>
      <w:r w:rsidR="003533E0" w:rsidRPr="005E7C02">
        <w:t xml:space="preserve"> per cent of GDP,</w:t>
      </w:r>
      <w:r w:rsidRPr="005E7C02">
        <w:t xml:space="preserve"> </w:t>
      </w:r>
      <w:r w:rsidR="00FC534F" w:rsidRPr="005E7C02">
        <w:t>less</w:t>
      </w:r>
      <w:r w:rsidR="00FC534F" w:rsidRPr="00FC534F">
        <w:t xml:space="preserve"> than two-thirds of</w:t>
      </w:r>
      <w:r w:rsidRPr="00FC534F">
        <w:t xml:space="preserve"> the OECD average</w:t>
      </w:r>
      <w:r w:rsidR="003533E0">
        <w:t xml:space="preserve"> of 1.67</w:t>
      </w:r>
      <w:r w:rsidR="00774FBE">
        <w:t xml:space="preserve"> per cent</w:t>
      </w:r>
      <w:r w:rsidR="00FC534F" w:rsidRPr="00FC534F">
        <w:t xml:space="preserve"> as a share of GDP </w:t>
      </w:r>
      <w:r w:rsidRPr="00FC534F">
        <w:t>(</w:t>
      </w:r>
      <w:r w:rsidRPr="00FC534F">
        <w:fldChar w:fldCharType="begin"/>
      </w:r>
      <w:r w:rsidRPr="00FC534F">
        <w:instrText xml:space="preserve"> REF _Ref17802397 \h </w:instrText>
      </w:r>
      <w:r w:rsidR="00FC534F">
        <w:instrText xml:space="preserve"> \* MERGEFORMAT </w:instrText>
      </w:r>
      <w:r w:rsidRPr="00FC534F">
        <w:fldChar w:fldCharType="separate"/>
      </w:r>
      <w:r w:rsidR="005407CC">
        <w:t xml:space="preserve">Exhibit </w:t>
      </w:r>
      <w:r w:rsidR="005407CC">
        <w:rPr>
          <w:noProof/>
        </w:rPr>
        <w:t>12</w:t>
      </w:r>
      <w:r w:rsidRPr="00FC534F">
        <w:fldChar w:fldCharType="end"/>
      </w:r>
      <w:r w:rsidRPr="00FC534F">
        <w:t>).</w:t>
      </w:r>
      <w:r>
        <w:t xml:space="preserve"> </w:t>
      </w:r>
      <w:r w:rsidR="00F4757A">
        <w:t>For comparison, b</w:t>
      </w:r>
      <w:r w:rsidR="00A85568">
        <w:t>usinesses in Israel and South Korea invest over 3.5 per cent of GDP in innovation. The US and Germany invest just over 2 per cent of GDP. Australia invest</w:t>
      </w:r>
      <w:r w:rsidR="00F4757A">
        <w:t>s</w:t>
      </w:r>
      <w:r w:rsidR="00A85568">
        <w:t xml:space="preserve"> a higher proportion of GDP in R&amp;D than Italy, Canada, New Zealand, Portugal, Spain and Greece. </w:t>
      </w:r>
    </w:p>
    <w:p w14:paraId="6BA4F9B6" w14:textId="6B0F986B" w:rsidR="00405E13" w:rsidRDefault="00405E13" w:rsidP="00E6397B">
      <w:pPr>
        <w:spacing w:before="0" w:after="160"/>
        <w:jc w:val="left"/>
      </w:pPr>
    </w:p>
    <w:p w14:paraId="3E93980E" w14:textId="5FA9EE94" w:rsidR="00405E13" w:rsidRDefault="00877BB1" w:rsidP="00877BB1">
      <w:pPr>
        <w:pStyle w:val="Caption"/>
      </w:pPr>
      <w:bookmarkStart w:id="66" w:name="_Ref17802397"/>
      <w:r>
        <w:lastRenderedPageBreak/>
        <w:t xml:space="preserve">Exhibit </w:t>
      </w:r>
      <w:r>
        <w:fldChar w:fldCharType="begin"/>
      </w:r>
      <w:r>
        <w:instrText xml:space="preserve"> SEQ Exhibit \* ARABIC </w:instrText>
      </w:r>
      <w:r>
        <w:fldChar w:fldCharType="separate"/>
      </w:r>
      <w:r w:rsidR="005407CC">
        <w:rPr>
          <w:noProof/>
        </w:rPr>
        <w:t>12</w:t>
      </w:r>
      <w:r>
        <w:fldChar w:fldCharType="end"/>
      </w:r>
      <w:bookmarkEnd w:id="66"/>
    </w:p>
    <w:p w14:paraId="104C6821" w14:textId="5E4374CE" w:rsidR="008E7B80" w:rsidRPr="008E7B80" w:rsidRDefault="008E7B80" w:rsidP="008E7B80">
      <w:pPr>
        <w:rPr>
          <w:lang w:val="en-US"/>
        </w:rPr>
      </w:pPr>
      <w:r w:rsidRPr="00A85568">
        <w:rPr>
          <w:noProof/>
          <w:lang w:eastAsia="en-AU"/>
        </w:rPr>
        <w:drawing>
          <wp:inline distT="0" distB="0" distL="0" distR="0" wp14:anchorId="5CE4F33A" wp14:editId="4F2FE50B">
            <wp:extent cx="5655600" cy="3700800"/>
            <wp:effectExtent l="0" t="0" r="2540" b="0"/>
            <wp:docPr id="231" name="Picture 231" descr="Exhibit 12 compares Australian BERD figures with the OECD Average and individual nations. A relevant interpretation is included in the paragraph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5600" cy="3700800"/>
                    </a:xfrm>
                    <a:prstGeom prst="rect">
                      <a:avLst/>
                    </a:prstGeom>
                    <a:noFill/>
                    <a:ln>
                      <a:noFill/>
                    </a:ln>
                  </pic:spPr>
                </pic:pic>
              </a:graphicData>
            </a:graphic>
          </wp:inline>
        </w:drawing>
      </w:r>
    </w:p>
    <w:p w14:paraId="2C23DFA5" w14:textId="4B2E6D9C" w:rsidR="00405E13" w:rsidRPr="00AC38CF" w:rsidRDefault="008E7B80" w:rsidP="00E6397B">
      <w:pPr>
        <w:spacing w:before="0" w:after="160"/>
        <w:jc w:val="left"/>
        <w:rPr>
          <w:rStyle w:val="SubtleEmphasis"/>
        </w:rPr>
      </w:pPr>
      <w:r>
        <w:rPr>
          <w:rStyle w:val="SubtleEmphasis"/>
        </w:rPr>
        <w:t>Source</w:t>
      </w:r>
      <w:r w:rsidR="00877BB1" w:rsidRPr="00AC38CF">
        <w:rPr>
          <w:rStyle w:val="SubtleEmphasis"/>
        </w:rPr>
        <w:t>: BERD as a percentage of GDP, OECD Main science and technology indicators; ABS.</w:t>
      </w:r>
    </w:p>
    <w:p w14:paraId="6EF167B2" w14:textId="77777777" w:rsidR="001C0B19" w:rsidRDefault="005E7C02" w:rsidP="001C0B19">
      <w:pPr>
        <w:spacing w:before="0" w:after="160"/>
        <w:jc w:val="left"/>
      </w:pPr>
      <w:bookmarkStart w:id="67" w:name="_Ref12955481"/>
      <w:r>
        <w:t xml:space="preserve">The two sectors that contribute most to BERD in other advanced economies contribute significantly less in Australia. Manufacturing drives 70 per cent of BERD in a group of peer </w:t>
      </w:r>
      <w:r w:rsidRPr="00CB73FF">
        <w:t xml:space="preserve">economies </w:t>
      </w:r>
      <w:r w:rsidRPr="00CB73FF">
        <w:rPr>
          <w:lang w:val="en-US"/>
        </w:rPr>
        <w:t>– Canada, the US, UK, Korea, Japan, and Germany –</w:t>
      </w:r>
      <w:r w:rsidRPr="00CB73FF">
        <w:t xml:space="preserve"> but only about a quarter of BERD in Australia.</w:t>
      </w:r>
      <w:r w:rsidRPr="00CB73FF">
        <w:rPr>
          <w:rStyle w:val="FootnoteReference"/>
        </w:rPr>
        <w:footnoteReference w:id="21"/>
      </w:r>
      <w:r w:rsidRPr="00CB73FF">
        <w:t xml:space="preserve"> Similarly, the IMT sector accounts for 24 per cent of BERD in the OECD, but just </w:t>
      </w:r>
      <w:r w:rsidR="00CB73FF" w:rsidRPr="00CB73FF">
        <w:t>3.5</w:t>
      </w:r>
      <w:r w:rsidRPr="00CB73FF">
        <w:t xml:space="preserve"> per cent in Australia.</w:t>
      </w:r>
    </w:p>
    <w:p w14:paraId="499FC657" w14:textId="2AE83DBB" w:rsidR="001C0B19" w:rsidRDefault="001C0B19" w:rsidP="001C0B19">
      <w:pPr>
        <w:spacing w:before="0" w:after="160"/>
        <w:jc w:val="left"/>
      </w:pPr>
      <w:r>
        <w:t xml:space="preserve">In </w:t>
      </w:r>
      <w:r w:rsidRPr="00477989">
        <w:t>part, this is because the Manufacturing and IMT sectors are less BERD-intense in Australia than they are in the rest of OECD</w:t>
      </w:r>
      <w:r>
        <w:t xml:space="preserve">, as shown in </w:t>
      </w:r>
      <w:r>
        <w:fldChar w:fldCharType="begin"/>
      </w:r>
      <w:r>
        <w:instrText xml:space="preserve"> REF _Ref21580462 \h </w:instrText>
      </w:r>
      <w:r>
        <w:fldChar w:fldCharType="separate"/>
      </w:r>
      <w:r w:rsidR="005407CC" w:rsidRPr="002F7695">
        <w:t xml:space="preserve">Exhibit </w:t>
      </w:r>
      <w:r w:rsidR="005407CC">
        <w:rPr>
          <w:noProof/>
        </w:rPr>
        <w:t>13</w:t>
      </w:r>
      <w:r>
        <w:fldChar w:fldCharType="end"/>
      </w:r>
      <w:r w:rsidRPr="00477989">
        <w:t>. Australian manufacturers invest 4.3 per cent of Gross Value Added (GVA) in R&amp;D; elsewhere in the OECD, manufacturers invest 5.9 per cent. Australian IMT firms invest 1.4 per cent of GVA in R&amp;D, but on average in the OECD IMT firms invest 5.9 per cent of GVA.</w:t>
      </w:r>
    </w:p>
    <w:p w14:paraId="44A9F3D2" w14:textId="1188D2CC" w:rsidR="005E7C02" w:rsidRDefault="005E7C02" w:rsidP="005E7C02">
      <w:pPr>
        <w:spacing w:before="0" w:after="160"/>
        <w:jc w:val="left"/>
      </w:pPr>
    </w:p>
    <w:p w14:paraId="2C636837" w14:textId="2FA95B91" w:rsidR="001545B5" w:rsidRDefault="001545B5" w:rsidP="001545B5">
      <w:pPr>
        <w:pStyle w:val="Caption"/>
      </w:pPr>
      <w:bookmarkStart w:id="68" w:name="_Ref21580462"/>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13</w:t>
      </w:r>
      <w:r w:rsidRPr="002F7695">
        <w:fldChar w:fldCharType="end"/>
      </w:r>
      <w:bookmarkEnd w:id="67"/>
      <w:bookmarkEnd w:id="68"/>
    </w:p>
    <w:p w14:paraId="415BCD70" w14:textId="79E515E7" w:rsidR="00995D00" w:rsidRPr="00995D00" w:rsidRDefault="00995D00" w:rsidP="00995D00">
      <w:pPr>
        <w:rPr>
          <w:lang w:val="en-US"/>
        </w:rPr>
      </w:pPr>
      <w:r w:rsidRPr="00B06CDB">
        <w:rPr>
          <w:noProof/>
          <w:lang w:eastAsia="en-AU"/>
        </w:rPr>
        <w:drawing>
          <wp:inline distT="0" distB="0" distL="0" distR="0" wp14:anchorId="6486456A" wp14:editId="123FF438">
            <wp:extent cx="5655600" cy="3848400"/>
            <wp:effectExtent l="0" t="0" r="2540" b="0"/>
            <wp:docPr id="17" name="Picture 17" descr="Exhibit 13 shows a sector breakdown of BERD for Australia and an aggregate of peer nations. It shows that manufacturing and ICT drive BERD globally, but that the R&amp;D intensity of these sectors is lower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5600" cy="3848400"/>
                    </a:xfrm>
                    <a:prstGeom prst="rect">
                      <a:avLst/>
                    </a:prstGeom>
                    <a:noFill/>
                    <a:ln>
                      <a:noFill/>
                    </a:ln>
                  </pic:spPr>
                </pic:pic>
              </a:graphicData>
            </a:graphic>
          </wp:inline>
        </w:drawing>
      </w:r>
    </w:p>
    <w:p w14:paraId="50BC39CA" w14:textId="06FB0389" w:rsidR="00477989" w:rsidRPr="00AC38CF" w:rsidRDefault="001545B5" w:rsidP="00477989">
      <w:pPr>
        <w:spacing w:after="160"/>
        <w:jc w:val="left"/>
        <w:rPr>
          <w:rStyle w:val="SubtleEmphasis"/>
        </w:rPr>
      </w:pPr>
      <w:r w:rsidRPr="00AC38CF">
        <w:rPr>
          <w:rStyle w:val="SubtleEmphasis"/>
        </w:rPr>
        <w:t>Source: ABS (2019), 8104.0; ABS (2019), 5204.0; OECD (2016) ANBERD databases</w:t>
      </w:r>
      <w:r w:rsidR="001E5AEA" w:rsidRPr="00AC38CF">
        <w:rPr>
          <w:rStyle w:val="SubtleEmphasis"/>
        </w:rPr>
        <w:t xml:space="preserve">. </w:t>
      </w:r>
      <w:r w:rsidR="00477989" w:rsidRPr="00AC38CF">
        <w:rPr>
          <w:rStyle w:val="SubtleEmphasis"/>
        </w:rPr>
        <w:br/>
        <w:t xml:space="preserve">Note: Latest available is 2017-18 for Australia and 2015-16 in most other cases. </w:t>
      </w:r>
      <w:r w:rsidR="003C00F7" w:rsidRPr="00AC38CF">
        <w:rPr>
          <w:rStyle w:val="SubtleEmphasis"/>
        </w:rPr>
        <w:t xml:space="preserve">Global peers are the US, Canada, Korea, Japan, UK and Germany. </w:t>
      </w:r>
      <w:r w:rsidR="00477989" w:rsidRPr="00AC38CF">
        <w:rPr>
          <w:rStyle w:val="SubtleEmphasis"/>
        </w:rPr>
        <w:t xml:space="preserve">BERD intensity is GVA-weighted average of BERD intensity of each country’s industries. </w:t>
      </w:r>
    </w:p>
    <w:p w14:paraId="5CC332C7" w14:textId="2E6D5743" w:rsidR="00531EE9" w:rsidRDefault="007D5D20" w:rsidP="007D5D20">
      <w:pPr>
        <w:spacing w:before="0" w:after="160"/>
        <w:jc w:val="left"/>
      </w:pPr>
      <w:bookmarkStart w:id="69" w:name="_Hlk12709963"/>
      <w:r>
        <w:t xml:space="preserve">However, Australian firms in all other sectors report higher R&amp;D intensity than firms. </w:t>
      </w:r>
      <w:r w:rsidR="00704C0D" w:rsidRPr="00477989">
        <w:t xml:space="preserve">In </w:t>
      </w:r>
      <w:r w:rsidR="00531EE9" w:rsidRPr="00477989">
        <w:t xml:space="preserve">particular, </w:t>
      </w:r>
      <w:r w:rsidR="00704C0D" w:rsidRPr="00477989">
        <w:t xml:space="preserve">the </w:t>
      </w:r>
      <w:r w:rsidR="00531EE9" w:rsidRPr="00477989">
        <w:t xml:space="preserve">Australian </w:t>
      </w:r>
      <w:r w:rsidR="00704C0D" w:rsidRPr="00477989">
        <w:t>F</w:t>
      </w:r>
      <w:r w:rsidR="00531EE9" w:rsidRPr="00477989">
        <w:t>inance</w:t>
      </w:r>
      <w:r>
        <w:t xml:space="preserve">, </w:t>
      </w:r>
      <w:r w:rsidR="00704C0D" w:rsidRPr="00477989">
        <w:t>P</w:t>
      </w:r>
      <w:r w:rsidR="00531EE9" w:rsidRPr="00477989">
        <w:t>rofessional</w:t>
      </w:r>
      <w:r w:rsidR="00704C0D" w:rsidRPr="00477989">
        <w:t xml:space="preserve">, Scientific and Technical </w:t>
      </w:r>
      <w:r w:rsidR="00CD329C" w:rsidRPr="00477989">
        <w:t>S</w:t>
      </w:r>
      <w:r w:rsidR="00531EE9" w:rsidRPr="00477989">
        <w:t>ervices</w:t>
      </w:r>
      <w:r>
        <w:t xml:space="preserve">, and Wholesale &amp; Retail Trade </w:t>
      </w:r>
      <w:r w:rsidR="00704C0D" w:rsidRPr="00477989">
        <w:t xml:space="preserve">sectors </w:t>
      </w:r>
      <w:r w:rsidR="00531EE9" w:rsidRPr="00477989">
        <w:t xml:space="preserve">report much higher R&amp;D intensity than </w:t>
      </w:r>
      <w:r w:rsidR="00704C0D" w:rsidRPr="00477989">
        <w:t xml:space="preserve">do </w:t>
      </w:r>
      <w:r w:rsidR="00531EE9" w:rsidRPr="00477989">
        <w:t>those same sectors in leading peer economies.</w:t>
      </w:r>
      <w:r w:rsidR="00CD329C">
        <w:t xml:space="preserve"> </w:t>
      </w:r>
    </w:p>
    <w:p w14:paraId="270DB33D" w14:textId="574E1859" w:rsidR="003736D8" w:rsidRDefault="00647058" w:rsidP="0073322B">
      <w:pPr>
        <w:spacing w:before="0" w:after="160"/>
        <w:jc w:val="left"/>
      </w:pPr>
      <w:r>
        <w:t xml:space="preserve">Australia’s sector mix also strongly affects </w:t>
      </w:r>
      <w:r w:rsidR="007D5D20">
        <w:t>its</w:t>
      </w:r>
      <w:r>
        <w:t xml:space="preserve"> overall</w:t>
      </w:r>
      <w:r w:rsidR="00884AB9">
        <w:t xml:space="preserve"> R&amp;D intensity</w:t>
      </w:r>
      <w:r w:rsidR="0016310C">
        <w:t xml:space="preserve">. </w:t>
      </w:r>
      <w:r w:rsidR="0073322B">
        <w:fldChar w:fldCharType="begin"/>
      </w:r>
      <w:r w:rsidR="0073322B">
        <w:instrText xml:space="preserve"> REF _Ref12444449 \h </w:instrText>
      </w:r>
      <w:r w:rsidR="0073322B">
        <w:fldChar w:fldCharType="separate"/>
      </w:r>
      <w:r w:rsidR="005407CC" w:rsidRPr="002F7695">
        <w:t xml:space="preserve">Exhibit </w:t>
      </w:r>
      <w:r w:rsidR="005407CC">
        <w:rPr>
          <w:noProof/>
        </w:rPr>
        <w:t>14</w:t>
      </w:r>
      <w:r w:rsidR="0073322B">
        <w:fldChar w:fldCharType="end"/>
      </w:r>
      <w:r w:rsidR="0016310C">
        <w:t xml:space="preserve"> combines</w:t>
      </w:r>
      <w:r w:rsidR="007D5D20">
        <w:t xml:space="preserve"> each sector’s </w:t>
      </w:r>
      <w:r w:rsidR="00CA2883">
        <w:t>R</w:t>
      </w:r>
      <w:r w:rsidR="007D5D20">
        <w:t xml:space="preserve">&amp;D </w:t>
      </w:r>
      <w:r w:rsidR="00CA2883">
        <w:t xml:space="preserve">intensity </w:t>
      </w:r>
      <w:r w:rsidR="007D5D20">
        <w:t xml:space="preserve">with its size, both for </w:t>
      </w:r>
      <w:r w:rsidR="0013328E">
        <w:t xml:space="preserve">Australia and </w:t>
      </w:r>
      <w:r w:rsidR="007D5D20">
        <w:t xml:space="preserve">for a set of high-performing </w:t>
      </w:r>
      <w:r w:rsidR="0013328E">
        <w:t>peer</w:t>
      </w:r>
      <w:r w:rsidR="001E5AEA">
        <w:t xml:space="preserve"> economies</w:t>
      </w:r>
      <w:r w:rsidR="007D5D20">
        <w:t xml:space="preserve">: </w:t>
      </w:r>
      <w:r w:rsidR="007D5D20">
        <w:rPr>
          <w:lang w:val="en-US"/>
        </w:rPr>
        <w:t>Canada, the US, the UK, Korea, Japan, and Germany</w:t>
      </w:r>
      <w:r w:rsidR="0013328E">
        <w:t xml:space="preserve">. </w:t>
      </w:r>
      <w:r w:rsidR="00884AB9">
        <w:t xml:space="preserve">The height of each block in </w:t>
      </w:r>
      <w:r w:rsidR="00884AB9">
        <w:fldChar w:fldCharType="begin"/>
      </w:r>
      <w:r w:rsidR="00884AB9">
        <w:instrText xml:space="preserve"> REF _Ref12444449 \h </w:instrText>
      </w:r>
      <w:r w:rsidR="00884AB9">
        <w:fldChar w:fldCharType="separate"/>
      </w:r>
      <w:r w:rsidR="005407CC" w:rsidRPr="002F7695">
        <w:t xml:space="preserve">Exhibit </w:t>
      </w:r>
      <w:r w:rsidR="005407CC">
        <w:rPr>
          <w:noProof/>
        </w:rPr>
        <w:t>14</w:t>
      </w:r>
      <w:r w:rsidR="00884AB9">
        <w:fldChar w:fldCharType="end"/>
      </w:r>
      <w:r w:rsidR="00884AB9">
        <w:t xml:space="preserve"> is a sector’s BERD intensity, and its width denotes its share of GVA</w:t>
      </w:r>
      <w:r w:rsidR="00704C0D">
        <w:t>, so the</w:t>
      </w:r>
      <w:r>
        <w:t xml:space="preserve"> </w:t>
      </w:r>
      <w:r w:rsidR="001E5AEA">
        <w:t>area</w:t>
      </w:r>
      <w:r>
        <w:t xml:space="preserve"> of </w:t>
      </w:r>
      <w:r w:rsidR="001E5AEA">
        <w:t>each</w:t>
      </w:r>
      <w:r>
        <w:t xml:space="preserve"> “block” </w:t>
      </w:r>
      <w:r w:rsidR="001E5AEA">
        <w:t xml:space="preserve">is </w:t>
      </w:r>
      <w:r>
        <w:t xml:space="preserve">proportional to </w:t>
      </w:r>
      <w:r w:rsidR="00704C0D">
        <w:t xml:space="preserve">that </w:t>
      </w:r>
      <w:r>
        <w:t>sector</w:t>
      </w:r>
      <w:r w:rsidR="00704C0D">
        <w:t>’s total contribution to BERD</w:t>
      </w:r>
      <w:r>
        <w:t xml:space="preserve">. Manufacturing and IMT </w:t>
      </w:r>
      <w:r w:rsidR="008D2796">
        <w:t xml:space="preserve">are significantly smaller </w:t>
      </w:r>
      <w:r w:rsidR="001E5AEA">
        <w:t>in Australi</w:t>
      </w:r>
      <w:r w:rsidR="008D2796">
        <w:t>a</w:t>
      </w:r>
      <w:r>
        <w:t xml:space="preserve"> </w:t>
      </w:r>
      <w:r w:rsidR="008D2796">
        <w:t xml:space="preserve">(as well as being less BERD-intense, </w:t>
      </w:r>
      <w:r>
        <w:t>as shown above</w:t>
      </w:r>
      <w:r w:rsidR="008D2796">
        <w:t>)</w:t>
      </w:r>
      <w:r w:rsidR="00884AB9">
        <w:t>, so their contribution to overall BERD is much lower in Australia than elsewhere</w:t>
      </w:r>
      <w:r w:rsidR="00704C0D">
        <w:t>. By contrast,</w:t>
      </w:r>
      <w:r w:rsidR="00704C0D" w:rsidRPr="00704C0D">
        <w:t xml:space="preserve"> </w:t>
      </w:r>
      <w:r w:rsidR="00704C0D">
        <w:t xml:space="preserve">the Finance, Professional, Scientific and Technical Services </w:t>
      </w:r>
      <w:r>
        <w:t xml:space="preserve">are </w:t>
      </w:r>
      <w:r w:rsidR="0073322B">
        <w:t>larger and more BERD-intense in Australia than in international peer economies</w:t>
      </w:r>
      <w:r>
        <w:t xml:space="preserve">, and </w:t>
      </w:r>
      <w:r w:rsidR="00704C0D">
        <w:t xml:space="preserve">so </w:t>
      </w:r>
      <w:r>
        <w:t xml:space="preserve">they contribute much more of overall BERD in Australia than </w:t>
      </w:r>
      <w:r w:rsidR="00FB29C7">
        <w:t xml:space="preserve">they do </w:t>
      </w:r>
      <w:r>
        <w:t xml:space="preserve">in </w:t>
      </w:r>
      <w:r w:rsidR="0013328E">
        <w:t>our peers</w:t>
      </w:r>
      <w:r w:rsidR="0073322B">
        <w:t>.</w:t>
      </w:r>
      <w:r w:rsidR="0073322B">
        <w:rPr>
          <w:rStyle w:val="FootnoteReference"/>
        </w:rPr>
        <w:footnoteReference w:id="22"/>
      </w:r>
    </w:p>
    <w:p w14:paraId="4F1E8CF7" w14:textId="5D9860B9" w:rsidR="0073322B" w:rsidRDefault="0073322B" w:rsidP="0073322B">
      <w:pPr>
        <w:pStyle w:val="Caption"/>
      </w:pPr>
      <w:bookmarkStart w:id="70" w:name="_Ref12444449"/>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14</w:t>
      </w:r>
      <w:r w:rsidRPr="002F7695">
        <w:fldChar w:fldCharType="end"/>
      </w:r>
      <w:bookmarkEnd w:id="70"/>
    </w:p>
    <w:p w14:paraId="29BA9C8B" w14:textId="7714577C" w:rsidR="00995D00" w:rsidRPr="00995D00" w:rsidRDefault="00995D00" w:rsidP="00995D00">
      <w:pPr>
        <w:rPr>
          <w:lang w:val="en-US"/>
        </w:rPr>
      </w:pPr>
      <w:r w:rsidRPr="00B06CDB">
        <w:rPr>
          <w:noProof/>
          <w:lang w:eastAsia="en-AU"/>
        </w:rPr>
        <w:drawing>
          <wp:inline distT="0" distB="0" distL="0" distR="0" wp14:anchorId="626D2BD4" wp14:editId="07CF34C7">
            <wp:extent cx="5659200" cy="3654000"/>
            <wp:effectExtent l="0" t="0" r="0" b="3810"/>
            <wp:docPr id="21" name="Picture 21" descr="Exhibit 14 shows the composition of Australia’s BERD and how its output differs from peer nations. A detailed analysis is includ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9200" cy="3654000"/>
                    </a:xfrm>
                    <a:prstGeom prst="rect">
                      <a:avLst/>
                    </a:prstGeom>
                    <a:noFill/>
                    <a:ln>
                      <a:noFill/>
                    </a:ln>
                  </pic:spPr>
                </pic:pic>
              </a:graphicData>
            </a:graphic>
          </wp:inline>
        </w:drawing>
      </w:r>
    </w:p>
    <w:p w14:paraId="2DE2783C" w14:textId="295191E9" w:rsidR="00B06CDB" w:rsidRPr="00AC38CF" w:rsidRDefault="0073322B" w:rsidP="00B06CDB">
      <w:pPr>
        <w:spacing w:before="0" w:after="160"/>
        <w:jc w:val="left"/>
        <w:rPr>
          <w:rStyle w:val="SubtleEmphasis"/>
        </w:rPr>
      </w:pPr>
      <w:r w:rsidRPr="00AC38CF">
        <w:rPr>
          <w:rStyle w:val="SubtleEmphasis"/>
        </w:rPr>
        <w:t xml:space="preserve">Source: ABS (2019), 8104.0; ABS (2019), 5204.0; OECD (2016) ANBERD databases. </w:t>
      </w:r>
      <w:r w:rsidR="001E5AEA" w:rsidRPr="00AC38CF">
        <w:rPr>
          <w:rStyle w:val="SubtleEmphasis"/>
        </w:rPr>
        <w:t xml:space="preserve">Peers are </w:t>
      </w:r>
      <w:bookmarkStart w:id="71" w:name="_Hlk17708816"/>
      <w:r w:rsidR="001E5AEA" w:rsidRPr="00AC38CF">
        <w:rPr>
          <w:rStyle w:val="SubtleEmphasis"/>
        </w:rPr>
        <w:t>Canada, the US, UK, Korea, Japan, and Germany</w:t>
      </w:r>
      <w:bookmarkEnd w:id="71"/>
      <w:r w:rsidR="00B06CDB" w:rsidRPr="00AC38CF">
        <w:rPr>
          <w:rStyle w:val="SubtleEmphasis"/>
        </w:rPr>
        <w:br/>
        <w:t xml:space="preserve">Note: Latest available is 2017-18 for Australia and 2015-16 in most other cases. </w:t>
      </w:r>
      <w:r w:rsidR="003C00F7" w:rsidRPr="00AC38CF">
        <w:rPr>
          <w:rStyle w:val="SubtleEmphasis"/>
        </w:rPr>
        <w:t xml:space="preserve">Global peers </w:t>
      </w:r>
      <w:r w:rsidR="004964C8" w:rsidRPr="00AC38CF">
        <w:rPr>
          <w:rStyle w:val="SubtleEmphasis"/>
        </w:rPr>
        <w:t xml:space="preserve">are </w:t>
      </w:r>
      <w:r w:rsidR="003C00F7" w:rsidRPr="00AC38CF">
        <w:rPr>
          <w:rStyle w:val="SubtleEmphasis"/>
        </w:rPr>
        <w:t>the US, Canada, Korea, Japan, UK and Germany. E</w:t>
      </w:r>
      <w:r w:rsidR="00B06CDB" w:rsidRPr="00AC38CF">
        <w:rPr>
          <w:rStyle w:val="SubtleEmphasis"/>
        </w:rPr>
        <w:t>xcludes</w:t>
      </w:r>
      <w:bookmarkStart w:id="72" w:name="_Hlk21574563"/>
      <w:r w:rsidR="00B06CDB" w:rsidRPr="00AC38CF">
        <w:rPr>
          <w:rStyle w:val="SubtleEmphasis"/>
        </w:rPr>
        <w:t xml:space="preserve"> public administration, health and education</w:t>
      </w:r>
      <w:bookmarkEnd w:id="72"/>
      <w:r w:rsidR="00477989" w:rsidRPr="00AC38CF">
        <w:rPr>
          <w:rStyle w:val="SubtleEmphasis"/>
        </w:rPr>
        <w:t xml:space="preserve">. </w:t>
      </w:r>
    </w:p>
    <w:p w14:paraId="26363D7B" w14:textId="0435FDD4" w:rsidR="0009153E" w:rsidRDefault="00D0590D" w:rsidP="00D0590D">
      <w:pPr>
        <w:spacing w:before="0" w:after="160"/>
        <w:jc w:val="left"/>
      </w:pPr>
      <w:r>
        <w:fldChar w:fldCharType="begin"/>
      </w:r>
      <w:r>
        <w:instrText xml:space="preserve"> REF _Ref12375062 \h </w:instrText>
      </w:r>
      <w:r>
        <w:fldChar w:fldCharType="separate"/>
      </w:r>
      <w:r w:rsidR="005407CC" w:rsidRPr="002F7695">
        <w:t xml:space="preserve">Exhibit </w:t>
      </w:r>
      <w:r w:rsidR="005407CC">
        <w:rPr>
          <w:noProof/>
        </w:rPr>
        <w:t>15</w:t>
      </w:r>
      <w:r>
        <w:fldChar w:fldCharType="end"/>
      </w:r>
      <w:r>
        <w:t xml:space="preserve"> </w:t>
      </w:r>
      <w:r w:rsidR="0013328E">
        <w:t>combines industry mix and intensity and show</w:t>
      </w:r>
      <w:r w:rsidR="00B06CDB">
        <w:t>s</w:t>
      </w:r>
      <w:r w:rsidR="0013328E">
        <w:t xml:space="preserve"> how they </w:t>
      </w:r>
      <w:r w:rsidR="00647058">
        <w:t xml:space="preserve">contribute to the overall gap between </w:t>
      </w:r>
      <w:r>
        <w:t>Australia</w:t>
      </w:r>
      <w:r w:rsidR="00BF0844">
        <w:t xml:space="preserve">’s </w:t>
      </w:r>
      <w:r w:rsidR="00647058">
        <w:t xml:space="preserve">BERD rate and that of its leading global peers. It shows how </w:t>
      </w:r>
      <w:r w:rsidR="00704C0D">
        <w:t xml:space="preserve">the Australian </w:t>
      </w:r>
      <w:r w:rsidR="00BF0844">
        <w:t xml:space="preserve">economy-wide </w:t>
      </w:r>
      <w:r w:rsidRPr="00477989">
        <w:t xml:space="preserve">BERD rate would change if </w:t>
      </w:r>
      <w:r w:rsidR="00BF0844" w:rsidRPr="00477989">
        <w:t xml:space="preserve">Australia </w:t>
      </w:r>
      <w:r w:rsidRPr="00477989">
        <w:t xml:space="preserve">had the same industry mix as </w:t>
      </w:r>
      <w:r w:rsidR="00467EAE" w:rsidRPr="00477989">
        <w:t>leading global peers</w:t>
      </w:r>
      <w:r w:rsidRPr="00477989">
        <w:t>.</w:t>
      </w:r>
      <w:r w:rsidR="0013328E" w:rsidRPr="00477989">
        <w:t xml:space="preserve"> </w:t>
      </w:r>
    </w:p>
    <w:p w14:paraId="461B6EB5" w14:textId="5B807132" w:rsidR="00D0590D" w:rsidRDefault="0009153E" w:rsidP="00D0590D">
      <w:pPr>
        <w:spacing w:before="0" w:after="160"/>
        <w:jc w:val="left"/>
      </w:pPr>
      <w:r>
        <w:t xml:space="preserve">It is Australia’s industry mix, not its BERD intensity at the sector </w:t>
      </w:r>
      <w:r w:rsidR="00CE2BB8">
        <w:t>level, which</w:t>
      </w:r>
      <w:r>
        <w:t xml:space="preserve"> explains why its BERD level is below global peers. </w:t>
      </w:r>
      <w:r w:rsidR="0013328E" w:rsidRPr="00477989">
        <w:t xml:space="preserve">On the left of </w:t>
      </w:r>
      <w:r w:rsidR="0013328E" w:rsidRPr="00477989">
        <w:fldChar w:fldCharType="begin"/>
      </w:r>
      <w:r w:rsidR="0013328E" w:rsidRPr="00477989">
        <w:instrText xml:space="preserve"> REF _Ref12375062 \h </w:instrText>
      </w:r>
      <w:r w:rsidR="00477989">
        <w:instrText xml:space="preserve"> \* MERGEFORMAT </w:instrText>
      </w:r>
      <w:r w:rsidR="0013328E" w:rsidRPr="00477989">
        <w:fldChar w:fldCharType="separate"/>
      </w:r>
      <w:r w:rsidR="005407CC" w:rsidRPr="002F7695">
        <w:t xml:space="preserve">Exhibit </w:t>
      </w:r>
      <w:r w:rsidR="005407CC">
        <w:rPr>
          <w:noProof/>
        </w:rPr>
        <w:t>15</w:t>
      </w:r>
      <w:r w:rsidR="0013328E" w:rsidRPr="00477989">
        <w:fldChar w:fldCharType="end"/>
      </w:r>
      <w:r w:rsidR="0013328E" w:rsidRPr="00477989">
        <w:t xml:space="preserve"> is </w:t>
      </w:r>
      <w:r w:rsidR="00477989" w:rsidRPr="00477989">
        <w:t>the</w:t>
      </w:r>
      <w:r w:rsidR="0013328E" w:rsidRPr="00477989">
        <w:t xml:space="preserve"> BERD</w:t>
      </w:r>
      <w:r w:rsidR="002A2AE5">
        <w:t xml:space="preserve"> </w:t>
      </w:r>
      <w:r w:rsidR="00477989" w:rsidRPr="00477989">
        <w:t>/</w:t>
      </w:r>
      <w:r w:rsidR="002A2AE5">
        <w:t xml:space="preserve"> </w:t>
      </w:r>
      <w:r w:rsidR="00477989" w:rsidRPr="00477989">
        <w:t>GVA rati</w:t>
      </w:r>
      <w:r w:rsidR="00902D8A">
        <w:t xml:space="preserve">o for the market sector </w:t>
      </w:r>
      <w:r w:rsidR="00477989" w:rsidRPr="00477989">
        <w:t>in Australia</w:t>
      </w:r>
      <w:r w:rsidR="00902D8A">
        <w:t xml:space="preserve"> (that is, </w:t>
      </w:r>
      <w:r w:rsidR="00902D8A" w:rsidRPr="00477989">
        <w:t>all industries except public administration, health and education, and also excluding owner-occupied hous</w:t>
      </w:r>
      <w:r w:rsidR="00902D8A">
        <w:t>ing)</w:t>
      </w:r>
      <w:r w:rsidR="007D5D20">
        <w:t>, at 1.45 per cent of GVA</w:t>
      </w:r>
      <w:r w:rsidR="0013328E" w:rsidRPr="00477989">
        <w:t>.</w:t>
      </w:r>
      <w:r w:rsidR="002A2AE5">
        <w:rPr>
          <w:rStyle w:val="FootnoteReference"/>
        </w:rPr>
        <w:footnoteReference w:id="23"/>
      </w:r>
      <w:r w:rsidR="0013328E" w:rsidRPr="00477989">
        <w:t xml:space="preserve"> On</w:t>
      </w:r>
      <w:r w:rsidR="0013328E">
        <w:t xml:space="preserve"> the right is the</w:t>
      </w:r>
      <w:r w:rsidR="00477989">
        <w:t xml:space="preserve"> </w:t>
      </w:r>
      <w:r w:rsidR="00902D8A">
        <w:t xml:space="preserve">average for the market sector </w:t>
      </w:r>
      <w:r w:rsidR="007D5D20">
        <w:t xml:space="preserve">in the same </w:t>
      </w:r>
      <w:r w:rsidR="0013328E">
        <w:t>six leading peer</w:t>
      </w:r>
      <w:r w:rsidR="00902D8A">
        <w:t xml:space="preserve"> economies</w:t>
      </w:r>
      <w:r w:rsidR="007D5D20">
        <w:t xml:space="preserve"> discussed above,</w:t>
      </w:r>
      <w:r w:rsidR="0013328E">
        <w:rPr>
          <w:lang w:val="en-US"/>
        </w:rPr>
        <w:t xml:space="preserve"> at an average </w:t>
      </w:r>
      <w:r w:rsidR="0013328E" w:rsidRPr="00477989">
        <w:rPr>
          <w:lang w:val="en-US"/>
        </w:rPr>
        <w:t xml:space="preserve">of </w:t>
      </w:r>
      <w:r w:rsidR="00477989" w:rsidRPr="00477989">
        <w:rPr>
          <w:lang w:val="en-US"/>
        </w:rPr>
        <w:t>2.15</w:t>
      </w:r>
      <w:r w:rsidR="0013328E" w:rsidRPr="00477989">
        <w:rPr>
          <w:lang w:val="en-US"/>
        </w:rPr>
        <w:t xml:space="preserve"> per cent of </w:t>
      </w:r>
      <w:r w:rsidR="00477989" w:rsidRPr="00477989">
        <w:rPr>
          <w:lang w:val="en-US"/>
        </w:rPr>
        <w:t>GVA</w:t>
      </w:r>
      <w:r w:rsidR="0013328E" w:rsidRPr="00477989">
        <w:rPr>
          <w:lang w:val="en-US"/>
        </w:rPr>
        <w:t>. D</w:t>
      </w:r>
      <w:r w:rsidR="0013328E">
        <w:rPr>
          <w:lang w:val="en-US"/>
        </w:rPr>
        <w:t xml:space="preserve">ifferences in sector mix account </w:t>
      </w:r>
      <w:r w:rsidR="00375A0E">
        <w:rPr>
          <w:lang w:val="en-US"/>
        </w:rPr>
        <w:t xml:space="preserve">for the </w:t>
      </w:r>
      <w:r w:rsidR="0013328E">
        <w:rPr>
          <w:lang w:val="en-US"/>
        </w:rPr>
        <w:t>difference between the two</w:t>
      </w:r>
      <w:r w:rsidR="00375A0E">
        <w:rPr>
          <w:lang w:val="en-US"/>
        </w:rPr>
        <w:t xml:space="preserve">. </w:t>
      </w:r>
      <w:r w:rsidR="00BF0844">
        <w:t>Australia’s</w:t>
      </w:r>
      <w:r w:rsidR="00D0590D">
        <w:t xml:space="preserve"> overall BERD rate would rise </w:t>
      </w:r>
      <w:r w:rsidR="00BF0844">
        <w:t xml:space="preserve">to </w:t>
      </w:r>
      <w:r w:rsidR="007D5D20">
        <w:t>about</w:t>
      </w:r>
      <w:r w:rsidR="00D0590D">
        <w:t xml:space="preserve"> the current global peers’ average</w:t>
      </w:r>
      <w:r w:rsidR="0013328E">
        <w:t xml:space="preserve"> if Australia had their industry mix and retained Australian BERD intensities</w:t>
      </w:r>
      <w:r w:rsidR="007D5D20">
        <w:t>, or if the peers had Australia’s current industry mix and retained their BERD intensities</w:t>
      </w:r>
      <w:r w:rsidR="0013328E">
        <w:t xml:space="preserve">. </w:t>
      </w:r>
    </w:p>
    <w:p w14:paraId="2572F19E" w14:textId="1E54A154" w:rsidR="00D0590D" w:rsidRDefault="00D0590D" w:rsidP="00D0590D">
      <w:pPr>
        <w:pStyle w:val="Caption"/>
      </w:pPr>
      <w:bookmarkStart w:id="73" w:name="_Ref12375062"/>
      <w:bookmarkEnd w:id="69"/>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15</w:t>
      </w:r>
      <w:r w:rsidRPr="002F7695">
        <w:fldChar w:fldCharType="end"/>
      </w:r>
      <w:bookmarkEnd w:id="73"/>
    </w:p>
    <w:p w14:paraId="23ED4177" w14:textId="5FF53EE1" w:rsidR="00CE2BB8" w:rsidRPr="00CE2BB8" w:rsidRDefault="00CE2BB8" w:rsidP="00CE2BB8">
      <w:pPr>
        <w:rPr>
          <w:lang w:val="en-US"/>
        </w:rPr>
      </w:pPr>
      <w:r w:rsidRPr="00902D8A">
        <w:rPr>
          <w:rStyle w:val="CommentReference"/>
          <w:noProof/>
          <w:sz w:val="20"/>
          <w:szCs w:val="20"/>
          <w:lang w:eastAsia="en-AU"/>
        </w:rPr>
        <w:drawing>
          <wp:inline distT="0" distB="0" distL="0" distR="0" wp14:anchorId="5E7A36F9" wp14:editId="17ABFAD2">
            <wp:extent cx="5655600" cy="3632400"/>
            <wp:effectExtent l="0" t="0" r="2540" b="6350"/>
            <wp:docPr id="23" name="Picture 23" descr="Exhibit 15 shows how Australia’s unique sector mix accounts for the gap in BERD as a share of GVA between peer nations. A relevant interpretation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5600" cy="3632400"/>
                    </a:xfrm>
                    <a:prstGeom prst="rect">
                      <a:avLst/>
                    </a:prstGeom>
                    <a:noFill/>
                    <a:ln>
                      <a:noFill/>
                    </a:ln>
                  </pic:spPr>
                </pic:pic>
              </a:graphicData>
            </a:graphic>
          </wp:inline>
        </w:drawing>
      </w:r>
    </w:p>
    <w:p w14:paraId="7B768C2F" w14:textId="357FF38D" w:rsidR="00477989" w:rsidRPr="00AC38CF" w:rsidRDefault="00EB1372" w:rsidP="00477989">
      <w:pPr>
        <w:spacing w:after="160"/>
        <w:jc w:val="left"/>
        <w:rPr>
          <w:rStyle w:val="SubtleEmphasis"/>
        </w:rPr>
      </w:pPr>
      <w:r w:rsidRPr="00AC38CF">
        <w:rPr>
          <w:rStyle w:val="SubtleEmphasis"/>
        </w:rPr>
        <w:t>Source: ABS (2019), 8104.0; ABS (2019), 5204.0; OECD (2016) ANBERD databases</w:t>
      </w:r>
      <w:r w:rsidR="001E5AEA" w:rsidRPr="00AC38CF">
        <w:rPr>
          <w:rStyle w:val="SubtleEmphasis"/>
        </w:rPr>
        <w:t xml:space="preserve">. </w:t>
      </w:r>
      <w:r w:rsidR="00EF7E18" w:rsidRPr="00AC38CF">
        <w:rPr>
          <w:rStyle w:val="SubtleEmphasis"/>
        </w:rPr>
        <w:br/>
      </w:r>
      <w:r w:rsidR="00477989" w:rsidRPr="00AC38CF">
        <w:rPr>
          <w:rStyle w:val="SubtleEmphasis"/>
        </w:rPr>
        <w:t xml:space="preserve">Note: Latest available is 2017-18 for Australia and 2015-16 in most other cases. </w:t>
      </w:r>
      <w:r w:rsidR="00375A0E" w:rsidRPr="00AC38CF">
        <w:rPr>
          <w:rStyle w:val="SubtleEmphasis"/>
        </w:rPr>
        <w:t xml:space="preserve">Global peers are US, Canada, Korea, Japan, UK and Germany. </w:t>
      </w:r>
      <w:r w:rsidR="00477989" w:rsidRPr="00AC38CF">
        <w:rPr>
          <w:rStyle w:val="SubtleEmphasis"/>
        </w:rPr>
        <w:t xml:space="preserve">BERD intensity is GVA-weighted average of BERD intensity of each country’s industries. Sector mix attribution is the average of applying Australia’s sector mix to peer BERD intensity, and </w:t>
      </w:r>
      <w:r w:rsidR="00375A0E" w:rsidRPr="00AC38CF">
        <w:rPr>
          <w:rStyle w:val="SubtleEmphasis"/>
        </w:rPr>
        <w:t>vice versa</w:t>
      </w:r>
      <w:r w:rsidR="00477989" w:rsidRPr="00AC38CF">
        <w:rPr>
          <w:rStyle w:val="SubtleEmphasis"/>
        </w:rPr>
        <w:t xml:space="preserve">. </w:t>
      </w:r>
      <w:r w:rsidR="004964C8" w:rsidRPr="00AC38CF">
        <w:rPr>
          <w:rStyle w:val="SubtleEmphasis"/>
        </w:rPr>
        <w:t>E</w:t>
      </w:r>
      <w:r w:rsidR="00477989" w:rsidRPr="00AC38CF">
        <w:rPr>
          <w:rStyle w:val="SubtleEmphasis"/>
        </w:rPr>
        <w:t>xcludes public administration, health and education</w:t>
      </w:r>
      <w:r w:rsidR="004964C8" w:rsidRPr="00AC38CF">
        <w:rPr>
          <w:rStyle w:val="SubtleEmphasis"/>
        </w:rPr>
        <w:t>.</w:t>
      </w:r>
    </w:p>
    <w:p w14:paraId="626BF96B" w14:textId="68CC87A1" w:rsidR="00955086" w:rsidRDefault="00955086">
      <w:pPr>
        <w:spacing w:before="0" w:after="160"/>
        <w:jc w:val="left"/>
        <w:rPr>
          <w:rFonts w:asciiTheme="majorHAnsi" w:eastAsiaTheme="majorEastAsia" w:hAnsiTheme="majorHAnsi" w:cstheme="majorHAnsi"/>
          <w:b/>
          <w:color w:val="4CB8C1" w:themeColor="accent5"/>
          <w:sz w:val="36"/>
          <w:szCs w:val="36"/>
          <w:lang w:val="en-US"/>
        </w:rPr>
      </w:pPr>
      <w:r>
        <w:t xml:space="preserve">That Australia’s industry mix accounts for its BERD shortfall to peers should not, however, be taken to mean that Australia’s BERD is unchangeable or optimal. Australia’s industry mix may partly reflect Australian business R&amp;D capabilities. Policy changes that strengthen Australian education, research and innovation capabilities and incentives can affect </w:t>
      </w:r>
      <w:r w:rsidR="00011618">
        <w:t xml:space="preserve">both industry mix and industry </w:t>
      </w:r>
      <w:r w:rsidR="00CD329C">
        <w:t>R&amp;D intensity</w:t>
      </w:r>
      <w:r>
        <w:t>.</w:t>
      </w:r>
      <w:r>
        <w:br w:type="page"/>
      </w:r>
    </w:p>
    <w:p w14:paraId="4D3581FE" w14:textId="2F8D3C0B" w:rsidR="00457DF3" w:rsidRPr="006656D4" w:rsidRDefault="006656D4" w:rsidP="00253E15">
      <w:pPr>
        <w:pStyle w:val="Heading2"/>
      </w:pPr>
      <w:bookmarkStart w:id="74" w:name="_Toc30148077"/>
      <w:r w:rsidRPr="006656D4">
        <w:lastRenderedPageBreak/>
        <w:t>Australi</w:t>
      </w:r>
      <w:r w:rsidR="00526635">
        <w:t xml:space="preserve">an firms also invest less in </w:t>
      </w:r>
      <w:r w:rsidR="00CF28BB">
        <w:t xml:space="preserve">broader </w:t>
      </w:r>
      <w:r w:rsidRPr="006656D4">
        <w:t>innovation</w:t>
      </w:r>
      <w:bookmarkEnd w:id="74"/>
      <w:r>
        <w:t xml:space="preserve"> </w:t>
      </w:r>
    </w:p>
    <w:p w14:paraId="0354F61F" w14:textId="1CF38B28" w:rsidR="00694E1F" w:rsidRDefault="00246A6C" w:rsidP="00246A6C">
      <w:r w:rsidRPr="00246A6C">
        <w:t>Australia</w:t>
      </w:r>
      <w:r w:rsidR="006D38E0">
        <w:t>n policymakers</w:t>
      </w:r>
      <w:r w:rsidRPr="00246A6C">
        <w:t xml:space="preserve"> </w:t>
      </w:r>
      <w:r w:rsidR="006D38E0">
        <w:t xml:space="preserve">have </w:t>
      </w:r>
      <w:r w:rsidRPr="00246A6C">
        <w:t xml:space="preserve">historically </w:t>
      </w:r>
      <w:r w:rsidR="006D38E0">
        <w:t xml:space="preserve">tended to </w:t>
      </w:r>
      <w:r w:rsidR="00694E1F">
        <w:t xml:space="preserve">monitor </w:t>
      </w:r>
      <w:r w:rsidRPr="00246A6C">
        <w:t xml:space="preserve">BERD as the main private sector innovation measure and a key proxy for business investment in innovation. </w:t>
      </w:r>
      <w:r w:rsidR="00694E1F" w:rsidRPr="00246A6C">
        <w:t>There is</w:t>
      </w:r>
      <w:r w:rsidR="00694E1F">
        <w:t xml:space="preserve">, however, increasing </w:t>
      </w:r>
      <w:r w:rsidR="00694E1F" w:rsidRPr="00246A6C">
        <w:t xml:space="preserve">acknowledgement that BERD </w:t>
      </w:r>
      <w:r w:rsidR="00884AB9">
        <w:t xml:space="preserve">gives an incomplete picture of </w:t>
      </w:r>
      <w:r w:rsidR="00694E1F" w:rsidRPr="00246A6C">
        <w:t>innovation performed by Australian businesses.</w:t>
      </w:r>
      <w:r w:rsidR="00694E1F" w:rsidRPr="00246A6C">
        <w:rPr>
          <w:rStyle w:val="FootnoteReference"/>
        </w:rPr>
        <w:footnoteReference w:id="24"/>
      </w:r>
    </w:p>
    <w:p w14:paraId="625774CA" w14:textId="7E468FEA" w:rsidR="00F15D15" w:rsidRDefault="00FC534F" w:rsidP="00405E13">
      <w:pPr>
        <w:spacing w:before="0" w:after="160"/>
        <w:jc w:val="left"/>
      </w:pPr>
      <w:r w:rsidRPr="00FC534F">
        <w:t xml:space="preserve">Australia’s business </w:t>
      </w:r>
      <w:r>
        <w:t xml:space="preserve">investment </w:t>
      </w:r>
      <w:r w:rsidRPr="00FC534F">
        <w:t xml:space="preserve">on </w:t>
      </w:r>
      <w:r>
        <w:t>broader innovation lags developed country averages</w:t>
      </w:r>
      <w:r w:rsidR="006656D4">
        <w:t>,</w:t>
      </w:r>
      <w:r>
        <w:t xml:space="preserve"> much as does Austra</w:t>
      </w:r>
      <w:r w:rsidR="006656D4">
        <w:t>l</w:t>
      </w:r>
      <w:r>
        <w:t>ia’s business R&amp;D expenditure. Australian business innovation as a share of GDP, at 1.9</w:t>
      </w:r>
      <w:r w:rsidR="00515F15">
        <w:t xml:space="preserve"> per cent</w:t>
      </w:r>
      <w:r>
        <w:t xml:space="preserve">, </w:t>
      </w:r>
      <w:r w:rsidRPr="00FC534F">
        <w:t xml:space="preserve">is </w:t>
      </w:r>
      <w:r>
        <w:t xml:space="preserve">just </w:t>
      </w:r>
      <w:r w:rsidRPr="00FC534F">
        <w:t xml:space="preserve">two-thirds of the </w:t>
      </w:r>
      <w:r>
        <w:t xml:space="preserve">European </w:t>
      </w:r>
      <w:r w:rsidRPr="00FC534F">
        <w:t>average</w:t>
      </w:r>
      <w:r>
        <w:t xml:space="preserve"> of 2.9</w:t>
      </w:r>
      <w:r w:rsidR="00515F15">
        <w:t xml:space="preserve"> per cent</w:t>
      </w:r>
      <w:r w:rsidRPr="00FC534F">
        <w:t xml:space="preserve"> (</w:t>
      </w:r>
      <w:r>
        <w:fldChar w:fldCharType="begin"/>
      </w:r>
      <w:r>
        <w:instrText xml:space="preserve"> REF _Ref17803029 \h </w:instrText>
      </w:r>
      <w:r>
        <w:fldChar w:fldCharType="separate"/>
      </w:r>
      <w:r w:rsidR="005407CC" w:rsidRPr="002F7695">
        <w:t xml:space="preserve">Exhibit </w:t>
      </w:r>
      <w:r w:rsidR="005407CC">
        <w:rPr>
          <w:noProof/>
        </w:rPr>
        <w:t>16</w:t>
      </w:r>
      <w:r>
        <w:fldChar w:fldCharType="end"/>
      </w:r>
      <w:r w:rsidRPr="00FC534F">
        <w:t>)</w:t>
      </w:r>
      <w:r>
        <w:t xml:space="preserve">. </w:t>
      </w:r>
      <w:r w:rsidR="006656D4">
        <w:t>Some economies invest far more:</w:t>
      </w:r>
      <w:r w:rsidR="00B95BE3">
        <w:t xml:space="preserve"> </w:t>
      </w:r>
      <w:r w:rsidR="006656D4">
        <w:t>G</w:t>
      </w:r>
      <w:r>
        <w:t xml:space="preserve">erman businesses </w:t>
      </w:r>
      <w:r w:rsidR="00B95BE3">
        <w:t>report that</w:t>
      </w:r>
      <w:r>
        <w:t xml:space="preserve"> they spend almost 5</w:t>
      </w:r>
      <w:r w:rsidR="00515F15">
        <w:t xml:space="preserve"> per cent</w:t>
      </w:r>
      <w:r>
        <w:t xml:space="preserve"> of GDP on innovation.</w:t>
      </w:r>
    </w:p>
    <w:p w14:paraId="7AF8454F" w14:textId="2C8FFA2F" w:rsidR="00405E13" w:rsidRDefault="00405E13" w:rsidP="00405E13">
      <w:pPr>
        <w:pStyle w:val="Caption"/>
      </w:pPr>
      <w:bookmarkStart w:id="76" w:name="_Ref17803029"/>
      <w:r w:rsidRPr="002F7695">
        <w:t xml:space="preserve">Exhibit </w:t>
      </w:r>
      <w:r w:rsidRPr="002F7695">
        <w:fldChar w:fldCharType="begin"/>
      </w:r>
      <w:r w:rsidRPr="002F7695">
        <w:instrText xml:space="preserve"> SEQ Exhibit \* ARABIC </w:instrText>
      </w:r>
      <w:r w:rsidRPr="002F7695">
        <w:fldChar w:fldCharType="separate"/>
      </w:r>
      <w:r w:rsidR="005407CC">
        <w:rPr>
          <w:noProof/>
        </w:rPr>
        <w:t>16</w:t>
      </w:r>
      <w:r w:rsidRPr="002F7695">
        <w:fldChar w:fldCharType="end"/>
      </w:r>
      <w:bookmarkEnd w:id="76"/>
    </w:p>
    <w:p w14:paraId="7603201C" w14:textId="70F3CFAD" w:rsidR="00CE2BB8" w:rsidRPr="00CE2BB8" w:rsidRDefault="00CE2BB8" w:rsidP="00CE2BB8">
      <w:pPr>
        <w:rPr>
          <w:lang w:val="en-US"/>
        </w:rPr>
      </w:pPr>
      <w:r w:rsidRPr="001F3CC8">
        <w:rPr>
          <w:noProof/>
          <w:lang w:eastAsia="en-AU"/>
        </w:rPr>
        <w:drawing>
          <wp:inline distT="0" distB="0" distL="0" distR="0" wp14:anchorId="54730347" wp14:editId="04EEA662">
            <wp:extent cx="5659200" cy="3726000"/>
            <wp:effectExtent l="0" t="0" r="0" b="8255"/>
            <wp:docPr id="235" name="Picture 235" descr="Exhibit 16 shows Australian business investment in innovation is less than many of our OECD peer nations. A relevant interpretation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9200" cy="3726000"/>
                    </a:xfrm>
                    <a:prstGeom prst="rect">
                      <a:avLst/>
                    </a:prstGeom>
                    <a:noFill/>
                    <a:ln>
                      <a:noFill/>
                    </a:ln>
                  </pic:spPr>
                </pic:pic>
              </a:graphicData>
            </a:graphic>
          </wp:inline>
        </w:drawing>
      </w:r>
    </w:p>
    <w:p w14:paraId="4B339C6D" w14:textId="6355E243" w:rsidR="00405E13" w:rsidRPr="00AC38CF" w:rsidRDefault="00CE2BB8" w:rsidP="00405E13">
      <w:pPr>
        <w:spacing w:after="160"/>
        <w:jc w:val="left"/>
        <w:rPr>
          <w:rStyle w:val="SubtleEmphasis"/>
        </w:rPr>
      </w:pPr>
      <w:r>
        <w:rPr>
          <w:rStyle w:val="SubtleEmphasis"/>
        </w:rPr>
        <w:t xml:space="preserve">Source: </w:t>
      </w:r>
      <w:r w:rsidR="00405E13" w:rsidRPr="00AC38CF">
        <w:rPr>
          <w:rStyle w:val="SubtleEmphasis"/>
        </w:rPr>
        <w:t>Eurostat Community Innovation Survey (CIS) 2016, Eurostat National accounts and</w:t>
      </w:r>
      <w:r w:rsidR="005E7C02" w:rsidRPr="00AC38CF">
        <w:rPr>
          <w:rStyle w:val="SubtleEmphasis"/>
        </w:rPr>
        <w:t xml:space="preserve"> ABS</w:t>
      </w:r>
      <w:r w:rsidR="00405E13" w:rsidRPr="00AC38CF">
        <w:rPr>
          <w:rStyle w:val="SubtleEmphasis"/>
        </w:rPr>
        <w:t xml:space="preserve">. Defined as ‘Expenditure on innovation’ as measured by Oslo manual-style surveys in the EU (CIS) and Australia (BCS). Average is weighted by GDP across all reporting countries with available Eurostat or ABS data. Only the largest 15 countries by GDP are shown. </w:t>
      </w:r>
      <w:r w:rsidR="005E7C02" w:rsidRPr="00AC38CF">
        <w:rPr>
          <w:rStyle w:val="SubtleEmphasis"/>
        </w:rPr>
        <w:t>Australia</w:t>
      </w:r>
      <w:r w:rsidR="00375A0E" w:rsidRPr="00AC38CF">
        <w:rPr>
          <w:rStyle w:val="SubtleEmphasis"/>
        </w:rPr>
        <w:t>’s innovation expenditure</w:t>
      </w:r>
      <w:r w:rsidR="005E7C02" w:rsidRPr="00AC38CF">
        <w:rPr>
          <w:rStyle w:val="SubtleEmphasis"/>
        </w:rPr>
        <w:t xml:space="preserve"> is</w:t>
      </w:r>
      <w:r w:rsidR="00375A0E" w:rsidRPr="00AC38CF">
        <w:rPr>
          <w:rStyle w:val="SubtleEmphasis"/>
        </w:rPr>
        <w:t xml:space="preserve"> the</w:t>
      </w:r>
      <w:r w:rsidR="005E7C02" w:rsidRPr="00AC38CF">
        <w:rPr>
          <w:rStyle w:val="SubtleEmphasis"/>
        </w:rPr>
        <w:t xml:space="preserve"> midpoint of </w:t>
      </w:r>
      <w:r w:rsidR="00375A0E" w:rsidRPr="00AC38CF">
        <w:rPr>
          <w:rStyle w:val="SubtleEmphasis"/>
        </w:rPr>
        <w:t xml:space="preserve">most recent </w:t>
      </w:r>
      <w:r w:rsidR="005E7C02" w:rsidRPr="00AC38CF">
        <w:rPr>
          <w:rStyle w:val="SubtleEmphasis"/>
        </w:rPr>
        <w:t>ABS estimates.</w:t>
      </w:r>
    </w:p>
    <w:p w14:paraId="59D3427F" w14:textId="7A9F4017" w:rsidR="00680822" w:rsidRPr="00246A6C" w:rsidRDefault="00680822" w:rsidP="00680822">
      <w:r w:rsidRPr="00730692">
        <w:t>BERD by itself is not a good predictor of other forms of business innovation. While the two are correlated,</w:t>
      </w:r>
      <w:bookmarkStart w:id="77" w:name="_Hlk17710498"/>
      <w:r w:rsidRPr="00730692">
        <w:t xml:space="preserve"> much variation in non-R&amp;D is not explained by variation in R&amp;D (</w:t>
      </w:r>
      <w:r w:rsidRPr="00730692">
        <w:fldChar w:fldCharType="begin"/>
      </w:r>
      <w:r w:rsidRPr="00730692">
        <w:instrText xml:space="preserve"> REF _Ref12955937 \h  \* MERGEFORMAT </w:instrText>
      </w:r>
      <w:r w:rsidRPr="00730692">
        <w:fldChar w:fldCharType="separate"/>
      </w:r>
      <w:r w:rsidR="005407CC" w:rsidRPr="00246A6C">
        <w:t xml:space="preserve">Exhibit </w:t>
      </w:r>
      <w:r w:rsidR="005407CC">
        <w:rPr>
          <w:noProof/>
        </w:rPr>
        <w:t>17</w:t>
      </w:r>
      <w:r w:rsidRPr="00730692">
        <w:fldChar w:fldCharType="end"/>
      </w:r>
      <w:bookmarkEnd w:id="77"/>
      <w:r w:rsidRPr="00730692">
        <w:t>).</w:t>
      </w:r>
      <w:r w:rsidR="00730692" w:rsidRPr="00730692">
        <w:t xml:space="preserve"> </w:t>
      </w:r>
      <w:r w:rsidR="00730692">
        <w:t xml:space="preserve">In addition, </w:t>
      </w:r>
      <w:r w:rsidR="00730692" w:rsidRPr="00730692">
        <w:t xml:space="preserve">non-R&amp;D innovation may play a role in the economy that is complementary to R&amp;D investment. </w:t>
      </w:r>
      <w:r w:rsidR="00730692">
        <w:t xml:space="preserve">For example, </w:t>
      </w:r>
      <w:r w:rsidR="00730692" w:rsidRPr="00730692">
        <w:t xml:space="preserve">R&amp;D may generate significant local process or product innovations, while non-R&amp;D innovation diffuses global and local innovations through the economy, and boosts business </w:t>
      </w:r>
      <w:r w:rsidR="00730692" w:rsidRPr="00730692">
        <w:lastRenderedPageBreak/>
        <w:t xml:space="preserve">performance through many small improvements. Section </w:t>
      </w:r>
      <w:r w:rsidR="00730692" w:rsidRPr="00730692">
        <w:fldChar w:fldCharType="begin"/>
      </w:r>
      <w:r w:rsidR="00730692" w:rsidRPr="00730692">
        <w:instrText xml:space="preserve"> REF _Ref19926175 \r \h </w:instrText>
      </w:r>
      <w:r w:rsidR="00730692">
        <w:instrText xml:space="preserve"> \* MERGEFORMAT </w:instrText>
      </w:r>
      <w:r w:rsidR="00730692" w:rsidRPr="00730692">
        <w:fldChar w:fldCharType="separate"/>
      </w:r>
      <w:r w:rsidR="005407CC">
        <w:t>4.3</w:t>
      </w:r>
      <w:r w:rsidR="00730692" w:rsidRPr="00730692">
        <w:fldChar w:fldCharType="end"/>
      </w:r>
      <w:r w:rsidR="00730692" w:rsidRPr="00730692">
        <w:t xml:space="preserve"> </w:t>
      </w:r>
      <w:r w:rsidR="00730692">
        <w:t xml:space="preserve">below </w:t>
      </w:r>
      <w:r w:rsidR="00730692" w:rsidRPr="00730692">
        <w:t xml:space="preserve">reviews some evidence that sector-level productivity is more strongly correlated with broader innovation than </w:t>
      </w:r>
      <w:r w:rsidR="00730692">
        <w:t xml:space="preserve">with </w:t>
      </w:r>
      <w:r w:rsidR="00730692" w:rsidRPr="00730692">
        <w:t>R&amp;D.</w:t>
      </w:r>
      <w:r w:rsidR="00730692">
        <w:t xml:space="preserve"> </w:t>
      </w:r>
    </w:p>
    <w:p w14:paraId="18AAEE69" w14:textId="1B593DA9" w:rsidR="00680822" w:rsidRDefault="00680822" w:rsidP="00680822">
      <w:pPr>
        <w:pStyle w:val="Caption"/>
      </w:pPr>
      <w:bookmarkStart w:id="78" w:name="_Ref12955937"/>
      <w:r w:rsidRPr="00246A6C">
        <w:t xml:space="preserve">Exhibit </w:t>
      </w:r>
      <w:r w:rsidRPr="00246A6C">
        <w:fldChar w:fldCharType="begin"/>
      </w:r>
      <w:r w:rsidRPr="00246A6C">
        <w:instrText xml:space="preserve"> SEQ Exhibit \* ARABIC </w:instrText>
      </w:r>
      <w:r w:rsidRPr="00246A6C">
        <w:fldChar w:fldCharType="separate"/>
      </w:r>
      <w:r w:rsidR="005407CC">
        <w:rPr>
          <w:noProof/>
        </w:rPr>
        <w:t>17</w:t>
      </w:r>
      <w:r w:rsidRPr="00246A6C">
        <w:fldChar w:fldCharType="end"/>
      </w:r>
      <w:bookmarkEnd w:id="78"/>
    </w:p>
    <w:p w14:paraId="0D8A453E" w14:textId="0C8F02F0" w:rsidR="00CE2BB8" w:rsidRPr="00CE2BB8" w:rsidRDefault="00CE2BB8" w:rsidP="00CE2BB8">
      <w:pPr>
        <w:rPr>
          <w:lang w:val="en-US"/>
        </w:rPr>
      </w:pPr>
      <w:r w:rsidRPr="001F3CC8">
        <w:rPr>
          <w:rStyle w:val="CommentReference"/>
          <w:noProof/>
          <w:sz w:val="20"/>
          <w:szCs w:val="20"/>
          <w:lang w:eastAsia="en-AU"/>
        </w:rPr>
        <w:drawing>
          <wp:inline distT="0" distB="0" distL="0" distR="0" wp14:anchorId="6570797E" wp14:editId="5271A7C9">
            <wp:extent cx="5659200" cy="3610800"/>
            <wp:effectExtent l="0" t="0" r="0" b="8890"/>
            <wp:docPr id="237" name="Picture 237" descr="Exhibit 17 shows that investment in R&amp;D is not highly correlated with other innovation expenditure or activity. See paragraph above for a high level interpr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9200" cy="3610800"/>
                    </a:xfrm>
                    <a:prstGeom prst="rect">
                      <a:avLst/>
                    </a:prstGeom>
                    <a:noFill/>
                    <a:ln>
                      <a:noFill/>
                    </a:ln>
                  </pic:spPr>
                </pic:pic>
              </a:graphicData>
            </a:graphic>
          </wp:inline>
        </w:drawing>
      </w:r>
    </w:p>
    <w:p w14:paraId="3B2E1D83" w14:textId="7438F37E" w:rsidR="00680822" w:rsidRPr="00AC38CF" w:rsidRDefault="00680822" w:rsidP="009E0ADB">
      <w:pPr>
        <w:jc w:val="left"/>
        <w:rPr>
          <w:rStyle w:val="SubtleEmphasis"/>
        </w:rPr>
      </w:pPr>
      <w:r w:rsidRPr="00AC38CF">
        <w:rPr>
          <w:rStyle w:val="SubtleEmphasis"/>
        </w:rPr>
        <w:t>Source: ABS (2018</w:t>
      </w:r>
      <w:r w:rsidR="00B82BAF" w:rsidRPr="00AC38CF">
        <w:rPr>
          <w:rStyle w:val="SubtleEmphasis"/>
        </w:rPr>
        <w:t xml:space="preserve"> and 2019</w:t>
      </w:r>
      <w:r w:rsidRPr="00AC38CF">
        <w:rPr>
          <w:rStyle w:val="SubtleEmphasis"/>
        </w:rPr>
        <w:t xml:space="preserve">) 8158.0 and 8104.0 </w:t>
      </w:r>
      <w:r w:rsidRPr="00AC38CF">
        <w:rPr>
          <w:rStyle w:val="SubtleEmphasis"/>
        </w:rPr>
        <w:br/>
        <w:t xml:space="preserve">Notes: The largest non-R&amp;D innovation expenditure category for all sectors is Acquisition of Machinery, Equipment and Technology, except the Accommodation sector where it is Marketing </w:t>
      </w:r>
      <w:r w:rsidR="008D2C12" w:rsidRPr="00AC38CF">
        <w:rPr>
          <w:rStyle w:val="SubtleEmphasis"/>
        </w:rPr>
        <w:t>I</w:t>
      </w:r>
      <w:r w:rsidRPr="00AC38CF">
        <w:rPr>
          <w:rStyle w:val="SubtleEmphasis"/>
        </w:rPr>
        <w:t>nnovation, and the Finance &amp; Insurance sector where it is Innovation-related Training. GVA is gross value added. The measure of non-R&amp;D innovation expenditure is likely to have significant measurement error, as firms only report their expenditure in ranges.</w:t>
      </w:r>
    </w:p>
    <w:p w14:paraId="6ED5C65B" w14:textId="77777777" w:rsidR="00B47C4E" w:rsidRDefault="00B47C4E" w:rsidP="00B47C4E">
      <w:pPr>
        <w:pStyle w:val="Heading2"/>
      </w:pPr>
      <w:bookmarkStart w:id="79" w:name="_Ref12625306"/>
      <w:bookmarkStart w:id="80" w:name="_Ref12625337"/>
      <w:bookmarkStart w:id="81" w:name="_Toc13478298"/>
      <w:bookmarkStart w:id="82" w:name="_Ref17717284"/>
      <w:bookmarkStart w:id="83" w:name="_Toc30148078"/>
      <w:r>
        <w:t>Large firms are most innovation-active in Australia</w:t>
      </w:r>
      <w:bookmarkEnd w:id="79"/>
      <w:bookmarkEnd w:id="80"/>
      <w:bookmarkEnd w:id="81"/>
      <w:bookmarkEnd w:id="82"/>
      <w:bookmarkEnd w:id="83"/>
    </w:p>
    <w:p w14:paraId="427B6932" w14:textId="3F0C334D" w:rsidR="00713453" w:rsidRDefault="00B47C4E" w:rsidP="00B47C4E">
      <w:pPr>
        <w:rPr>
          <w:lang w:val="en-US"/>
        </w:rPr>
      </w:pPr>
      <w:r w:rsidRPr="00B933CF">
        <w:rPr>
          <w:lang w:val="en-US"/>
        </w:rPr>
        <w:t>In Australia</w:t>
      </w:r>
      <w:r>
        <w:rPr>
          <w:lang w:val="en-US"/>
        </w:rPr>
        <w:t>,</w:t>
      </w:r>
      <w:r w:rsidRPr="00B933CF">
        <w:rPr>
          <w:lang w:val="en-US"/>
        </w:rPr>
        <w:t xml:space="preserve"> </w:t>
      </w:r>
      <w:r>
        <w:rPr>
          <w:lang w:val="en-US"/>
        </w:rPr>
        <w:t xml:space="preserve">larger firms are more likely to invest </w:t>
      </w:r>
      <w:r w:rsidRPr="00B933CF">
        <w:rPr>
          <w:lang w:val="en-US"/>
        </w:rPr>
        <w:t xml:space="preserve">in R&amp;D or other innovation </w:t>
      </w:r>
      <w:r>
        <w:rPr>
          <w:lang w:val="en-US"/>
        </w:rPr>
        <w:t xml:space="preserve">than </w:t>
      </w:r>
      <w:r w:rsidRPr="00B933CF">
        <w:rPr>
          <w:lang w:val="en-US"/>
        </w:rPr>
        <w:t xml:space="preserve">small </w:t>
      </w:r>
      <w:r>
        <w:rPr>
          <w:lang w:val="en-US"/>
        </w:rPr>
        <w:t xml:space="preserve">firms </w:t>
      </w:r>
      <w:r w:rsidRPr="00B933CF">
        <w:rPr>
          <w:lang w:val="en-US"/>
        </w:rPr>
        <w:t>(</w:t>
      </w:r>
      <w:r w:rsidRPr="00B933CF">
        <w:rPr>
          <w:lang w:val="en-US"/>
        </w:rPr>
        <w:fldChar w:fldCharType="begin"/>
      </w:r>
      <w:r w:rsidRPr="00B933CF">
        <w:rPr>
          <w:lang w:val="en-US"/>
        </w:rPr>
        <w:instrText xml:space="preserve"> REF _Ref12376083 \h </w:instrText>
      </w:r>
      <w:r>
        <w:rPr>
          <w:lang w:val="en-US"/>
        </w:rPr>
        <w:instrText xml:space="preserve"> \* MERGEFORMAT </w:instrText>
      </w:r>
      <w:r w:rsidRPr="00B933CF">
        <w:rPr>
          <w:lang w:val="en-US"/>
        </w:rPr>
      </w:r>
      <w:r w:rsidRPr="00B933CF">
        <w:rPr>
          <w:lang w:val="en-US"/>
        </w:rPr>
        <w:fldChar w:fldCharType="separate"/>
      </w:r>
      <w:r w:rsidR="005407CC" w:rsidRPr="002F7695">
        <w:t xml:space="preserve">Exhibit </w:t>
      </w:r>
      <w:r w:rsidR="005407CC">
        <w:rPr>
          <w:noProof/>
        </w:rPr>
        <w:t>18</w:t>
      </w:r>
      <w:r w:rsidRPr="00B933CF">
        <w:rPr>
          <w:lang w:val="en-US"/>
        </w:rPr>
        <w:fldChar w:fldCharType="end"/>
      </w:r>
      <w:r>
        <w:rPr>
          <w:lang w:val="en-US"/>
        </w:rPr>
        <w:t xml:space="preserve">). </w:t>
      </w:r>
      <w:r w:rsidR="00713453">
        <w:rPr>
          <w:lang w:val="en-US"/>
        </w:rPr>
        <w:t>The e</w:t>
      </w:r>
      <w:r>
        <w:rPr>
          <w:lang w:val="en-US"/>
        </w:rPr>
        <w:t xml:space="preserve">stimated </w:t>
      </w:r>
      <w:r w:rsidRPr="00B933CF">
        <w:rPr>
          <w:lang w:val="en-US"/>
        </w:rPr>
        <w:t xml:space="preserve">mean expenditure of innovation-active businesses with over 200 employees is $18-25 </w:t>
      </w:r>
      <w:r w:rsidRPr="00B933CF">
        <w:rPr>
          <w:color w:val="000000" w:themeColor="text1"/>
          <w:lang w:val="en-US"/>
        </w:rPr>
        <w:t>million, about ten times as much as firms with 20-199 employees, and 100 times as much as firms with 5-19 employees</w:t>
      </w:r>
      <w:r>
        <w:rPr>
          <w:color w:val="000000" w:themeColor="text1"/>
          <w:lang w:val="en-US"/>
        </w:rPr>
        <w:t xml:space="preserve">, as shown in </w:t>
      </w:r>
      <w:r w:rsidRPr="00B933CF">
        <w:rPr>
          <w:lang w:val="en-US"/>
        </w:rPr>
        <w:fldChar w:fldCharType="begin"/>
      </w:r>
      <w:r w:rsidRPr="00B933CF">
        <w:rPr>
          <w:lang w:val="en-US"/>
        </w:rPr>
        <w:instrText xml:space="preserve"> REF _Ref12376083 \h </w:instrText>
      </w:r>
      <w:r>
        <w:rPr>
          <w:lang w:val="en-US"/>
        </w:rPr>
        <w:instrText xml:space="preserve"> \* MERGEFORMAT </w:instrText>
      </w:r>
      <w:r w:rsidRPr="00B933CF">
        <w:rPr>
          <w:lang w:val="en-US"/>
        </w:rPr>
      </w:r>
      <w:r w:rsidRPr="00B933CF">
        <w:rPr>
          <w:lang w:val="en-US"/>
        </w:rPr>
        <w:fldChar w:fldCharType="separate"/>
      </w:r>
      <w:r w:rsidR="005407CC" w:rsidRPr="002F7695">
        <w:t xml:space="preserve">Exhibit </w:t>
      </w:r>
      <w:r w:rsidR="005407CC">
        <w:rPr>
          <w:noProof/>
        </w:rPr>
        <w:t>18</w:t>
      </w:r>
      <w:r w:rsidRPr="00B933CF">
        <w:rPr>
          <w:lang w:val="en-US"/>
        </w:rPr>
        <w:fldChar w:fldCharType="end"/>
      </w:r>
      <w:r>
        <w:rPr>
          <w:lang w:val="en-US"/>
        </w:rPr>
        <w:t xml:space="preserve">. </w:t>
      </w:r>
    </w:p>
    <w:p w14:paraId="763F7FA9" w14:textId="1A6FBF51" w:rsidR="00B47C4E" w:rsidRPr="00367A2E" w:rsidRDefault="00B47C4E" w:rsidP="00B47C4E">
      <w:pPr>
        <w:rPr>
          <w:color w:val="000000" w:themeColor="text1"/>
          <w:lang w:val="en-US"/>
        </w:rPr>
      </w:pPr>
      <w:r w:rsidRPr="00B933CF">
        <w:rPr>
          <w:color w:val="000000" w:themeColor="text1"/>
          <w:lang w:val="en-US"/>
        </w:rPr>
        <w:t>However</w:t>
      </w:r>
      <w:r w:rsidRPr="00B933CF">
        <w:rPr>
          <w:lang w:val="en-US"/>
        </w:rPr>
        <w:t xml:space="preserve">, firms of every size make a significant contribution to </w:t>
      </w:r>
      <w:r>
        <w:rPr>
          <w:lang w:val="en-US"/>
        </w:rPr>
        <w:t xml:space="preserve">overall </w:t>
      </w:r>
      <w:r w:rsidRPr="00B933CF">
        <w:rPr>
          <w:lang w:val="en-US"/>
        </w:rPr>
        <w:t>innovation expenditure. Micro firms (with 0-4 employees)</w:t>
      </w:r>
      <w:r>
        <w:rPr>
          <w:lang w:val="en-US"/>
        </w:rPr>
        <w:t xml:space="preserve"> and</w:t>
      </w:r>
      <w:r w:rsidRPr="00B933CF">
        <w:rPr>
          <w:lang w:val="en-US"/>
        </w:rPr>
        <w:t xml:space="preserve"> small firms (5-19 employees) each </w:t>
      </w:r>
      <w:r w:rsidR="001C0B19">
        <w:rPr>
          <w:lang w:val="en-US"/>
        </w:rPr>
        <w:t>contribute</w:t>
      </w:r>
      <w:r w:rsidR="001C0B19" w:rsidRPr="00B933CF">
        <w:rPr>
          <w:lang w:val="en-US"/>
        </w:rPr>
        <w:t xml:space="preserve"> </w:t>
      </w:r>
      <w:r w:rsidRPr="00B933CF">
        <w:rPr>
          <w:lang w:val="en-US"/>
        </w:rPr>
        <w:t>about 20 per cent of total innovation investment</w:t>
      </w:r>
      <w:r>
        <w:rPr>
          <w:lang w:val="en-US"/>
        </w:rPr>
        <w:t>,</w:t>
      </w:r>
      <w:r w:rsidRPr="00B933CF">
        <w:rPr>
          <w:lang w:val="en-US"/>
        </w:rPr>
        <w:t xml:space="preserve"> while medium and large firm</w:t>
      </w:r>
      <w:r>
        <w:rPr>
          <w:lang w:val="en-US"/>
        </w:rPr>
        <w:t>s</w:t>
      </w:r>
      <w:r w:rsidRPr="00B933CF">
        <w:rPr>
          <w:lang w:val="en-US"/>
        </w:rPr>
        <w:t xml:space="preserve"> together contribute the other 60 per cent. </w:t>
      </w:r>
      <w:r w:rsidRPr="00B933CF">
        <w:rPr>
          <w:lang w:val="en-US"/>
        </w:rPr>
        <w:lastRenderedPageBreak/>
        <w:t>Medium firms likely make a larger contribution in total than large firms do, though public data is not sufficient to be certain</w:t>
      </w:r>
      <w:r>
        <w:rPr>
          <w:lang w:val="en-US"/>
        </w:rPr>
        <w:t>.</w:t>
      </w:r>
      <w:r>
        <w:rPr>
          <w:rStyle w:val="FootnoteReference"/>
        </w:rPr>
        <w:footnoteReference w:id="25"/>
      </w:r>
    </w:p>
    <w:p w14:paraId="7D11637D" w14:textId="43E2D9E8" w:rsidR="00B47C4E" w:rsidRDefault="00B47C4E" w:rsidP="00B47C4E">
      <w:pPr>
        <w:pStyle w:val="Caption"/>
      </w:pPr>
      <w:bookmarkStart w:id="85" w:name="_Ref12376083"/>
      <w:r w:rsidRPr="002F7695">
        <w:t xml:space="preserve">Exhibit </w:t>
      </w:r>
      <w:r w:rsidRPr="002F7695">
        <w:fldChar w:fldCharType="begin"/>
      </w:r>
      <w:r w:rsidRPr="002F7695">
        <w:instrText xml:space="preserve"> SEQ Exhibit \* ARABIC </w:instrText>
      </w:r>
      <w:r w:rsidRPr="002F7695">
        <w:fldChar w:fldCharType="separate"/>
      </w:r>
      <w:r w:rsidR="005407CC">
        <w:rPr>
          <w:noProof/>
        </w:rPr>
        <w:t>18</w:t>
      </w:r>
      <w:r w:rsidRPr="002F7695">
        <w:fldChar w:fldCharType="end"/>
      </w:r>
      <w:bookmarkEnd w:id="85"/>
    </w:p>
    <w:p w14:paraId="4B4A827F" w14:textId="047D28A5" w:rsidR="00CE2BB8" w:rsidRPr="00CE2BB8" w:rsidRDefault="00CE2BB8" w:rsidP="00CE2BB8">
      <w:pPr>
        <w:rPr>
          <w:lang w:val="en-US"/>
        </w:rPr>
      </w:pPr>
      <w:r w:rsidRPr="00E246C1">
        <w:rPr>
          <w:noProof/>
          <w:lang w:eastAsia="en-AU"/>
        </w:rPr>
        <w:drawing>
          <wp:inline distT="0" distB="0" distL="0" distR="0" wp14:anchorId="508CE1A3" wp14:editId="445ABDD6">
            <wp:extent cx="5644800" cy="3816000"/>
            <wp:effectExtent l="0" t="0" r="0" b="0"/>
            <wp:docPr id="13" name="Picture 13" descr="Exhibit 18 shows that firms of all sizes contribute to aggregate innovation, however large firms innovate more than small firms do. A relevant interpretation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4800" cy="3816000"/>
                    </a:xfrm>
                    <a:prstGeom prst="rect">
                      <a:avLst/>
                    </a:prstGeom>
                    <a:noFill/>
                    <a:ln>
                      <a:noFill/>
                    </a:ln>
                  </pic:spPr>
                </pic:pic>
              </a:graphicData>
            </a:graphic>
          </wp:inline>
        </w:drawing>
      </w:r>
    </w:p>
    <w:p w14:paraId="0F4610C2" w14:textId="18A50F23" w:rsidR="00B47C4E" w:rsidRPr="00AC38CF" w:rsidRDefault="00CE2BB8" w:rsidP="00B47C4E">
      <w:pPr>
        <w:rPr>
          <w:rStyle w:val="SubtleEmphasis"/>
        </w:rPr>
      </w:pPr>
      <w:bookmarkStart w:id="86" w:name="_Ref12533721"/>
      <w:r>
        <w:rPr>
          <w:rStyle w:val="SubtleEmphasis"/>
        </w:rPr>
        <w:t>Source</w:t>
      </w:r>
      <w:r w:rsidR="00B47C4E" w:rsidRPr="00AC38CF">
        <w:rPr>
          <w:rStyle w:val="SubtleEmphasis"/>
        </w:rPr>
        <w:t xml:space="preserve">: ABS (2018), 8158.0 Appendix, Summary Statistics &amp; Financial Indicators; AlphaBeta analysis. Note: Non-R&amp;D category is a minimum calculated from the other two categories as if no firms have expenditures on both R&amp;D and non-R&amp;D. </w:t>
      </w:r>
    </w:p>
    <w:p w14:paraId="0DFD9368" w14:textId="7F4BC73F" w:rsidR="00B47C4E" w:rsidRPr="00CB4F81" w:rsidRDefault="00B47C4E" w:rsidP="00B47C4E">
      <w:pPr>
        <w:rPr>
          <w:color w:val="808080" w:themeColor="text1" w:themeTint="7F"/>
        </w:rPr>
      </w:pPr>
      <w:r>
        <w:rPr>
          <w:lang w:val="en-US"/>
        </w:rPr>
        <w:t>Innovation investment is, however, highly concentrated. Just the 14 Australian firms listed in the top 2,500 industrial innovators worldwide in 2017-18 collectively spent around $4.8 billion on R&amp;D, or about 30 per cent of Australia’s total BERD.</w:t>
      </w:r>
      <w:r>
        <w:t xml:space="preserve"> But </w:t>
      </w:r>
      <w:r>
        <w:rPr>
          <w:lang w:val="en-US"/>
        </w:rPr>
        <w:t>more than 90 per cent of innovation-active Australian businesses spend less than $100,000 per year on innovation (</w:t>
      </w:r>
      <w:r>
        <w:rPr>
          <w:lang w:val="en-US"/>
        </w:rPr>
        <w:fldChar w:fldCharType="begin"/>
      </w:r>
      <w:r>
        <w:rPr>
          <w:lang w:val="en-US"/>
        </w:rPr>
        <w:instrText xml:space="preserve"> REF _Ref12450297 \h </w:instrText>
      </w:r>
      <w:r>
        <w:rPr>
          <w:lang w:val="en-US"/>
        </w:rPr>
      </w:r>
      <w:r>
        <w:rPr>
          <w:lang w:val="en-US"/>
        </w:rPr>
        <w:fldChar w:fldCharType="separate"/>
      </w:r>
      <w:r w:rsidR="005407CC" w:rsidRPr="002F7695">
        <w:t xml:space="preserve">Exhibit </w:t>
      </w:r>
      <w:r w:rsidR="005407CC">
        <w:rPr>
          <w:noProof/>
        </w:rPr>
        <w:t>20</w:t>
      </w:r>
      <w:r>
        <w:rPr>
          <w:lang w:val="en-US"/>
        </w:rPr>
        <w:fldChar w:fldCharType="end"/>
      </w:r>
      <w:r>
        <w:rPr>
          <w:lang w:val="en-US"/>
        </w:rPr>
        <w:t>).</w:t>
      </w:r>
      <w:r>
        <w:rPr>
          <w:rStyle w:val="FootnoteReference"/>
          <w:lang w:val="en-US"/>
        </w:rPr>
        <w:footnoteReference w:id="26"/>
      </w:r>
      <w:r>
        <w:rPr>
          <w:lang w:val="en-US"/>
        </w:rPr>
        <w:t xml:space="preserve"> </w:t>
      </w:r>
      <w:r>
        <w:t xml:space="preserve">47 per cent </w:t>
      </w:r>
      <w:r>
        <w:rPr>
          <w:lang w:val="en-US"/>
        </w:rPr>
        <w:t xml:space="preserve">of </w:t>
      </w:r>
      <w:r>
        <w:t>large firms that invest in innovation spend less than $100,000, and 30 per cent spend less than $25,000 per year</w:t>
      </w:r>
      <w:r>
        <w:rPr>
          <w:lang w:val="en-US"/>
        </w:rPr>
        <w:t>.</w:t>
      </w:r>
      <w:r>
        <w:rPr>
          <w:rStyle w:val="FootnoteReference"/>
          <w:lang w:val="en-US"/>
        </w:rPr>
        <w:footnoteReference w:id="27"/>
      </w:r>
      <w:r w:rsidRPr="00367A2E">
        <w:rPr>
          <w:lang w:val="en-US"/>
        </w:rPr>
        <w:t xml:space="preserve"> </w:t>
      </w:r>
      <w:r>
        <w:t xml:space="preserve">Most businesses with fewer than 200 employees spend less than $25,000 per year on innovation. Among the small businesses that do spend money on innovation, less than a quarter spend more than </w:t>
      </w:r>
      <w:r>
        <w:lastRenderedPageBreak/>
        <w:t>$25,000 per year, while about 45 per cent of medium-sized businesses do.</w:t>
      </w:r>
      <w:r w:rsidRPr="009871B1">
        <w:rPr>
          <w:iCs/>
          <w:lang w:val="en-US"/>
        </w:rPr>
        <w:t xml:space="preserve"> </w:t>
      </w:r>
      <w:r>
        <w:rPr>
          <w:iCs/>
          <w:lang w:val="en-US"/>
        </w:rPr>
        <w:t xml:space="preserve">Many </w:t>
      </w:r>
      <w:r w:rsidRPr="009871B1">
        <w:rPr>
          <w:iCs/>
          <w:lang w:val="en-US"/>
        </w:rPr>
        <w:t>small</w:t>
      </w:r>
      <w:r>
        <w:rPr>
          <w:iCs/>
          <w:lang w:val="en-US"/>
        </w:rPr>
        <w:t>er</w:t>
      </w:r>
      <w:r w:rsidRPr="009871B1">
        <w:rPr>
          <w:iCs/>
          <w:lang w:val="en-US"/>
        </w:rPr>
        <w:t xml:space="preserve"> firms do invest, </w:t>
      </w:r>
      <w:r>
        <w:rPr>
          <w:iCs/>
          <w:lang w:val="en-US"/>
        </w:rPr>
        <w:t xml:space="preserve">however, </w:t>
      </w:r>
      <w:r w:rsidRPr="009871B1">
        <w:rPr>
          <w:iCs/>
          <w:lang w:val="en-US"/>
        </w:rPr>
        <w:t>including rapidly growing technology startups. In addition, digital app adoption patterns suggest there is willingness to adopt new technology for the right reasons</w:t>
      </w:r>
      <w:r>
        <w:rPr>
          <w:iCs/>
          <w:lang w:val="en-US"/>
        </w:rPr>
        <w:t>, as discussed below</w:t>
      </w:r>
      <w:r w:rsidRPr="009871B1">
        <w:rPr>
          <w:iCs/>
          <w:lang w:val="en-US"/>
        </w:rPr>
        <w:t>.</w:t>
      </w:r>
    </w:p>
    <w:p w14:paraId="540CC7B5" w14:textId="47516093" w:rsidR="00B47C4E" w:rsidRDefault="00B47C4E" w:rsidP="00B47C4E">
      <w:pPr>
        <w:pStyle w:val="Caption"/>
      </w:pPr>
      <w:bookmarkStart w:id="88" w:name="_Ref12955551"/>
      <w:r w:rsidRPr="002F7695">
        <w:t xml:space="preserve">Exhibit </w:t>
      </w:r>
      <w:r w:rsidRPr="002F7695">
        <w:fldChar w:fldCharType="begin"/>
      </w:r>
      <w:r w:rsidRPr="002F7695">
        <w:instrText xml:space="preserve"> SEQ Exhibit \* ARABIC </w:instrText>
      </w:r>
      <w:r w:rsidRPr="002F7695">
        <w:fldChar w:fldCharType="separate"/>
      </w:r>
      <w:r w:rsidR="005407CC">
        <w:rPr>
          <w:noProof/>
        </w:rPr>
        <w:t>19</w:t>
      </w:r>
      <w:r w:rsidRPr="002F7695">
        <w:fldChar w:fldCharType="end"/>
      </w:r>
      <w:bookmarkEnd w:id="86"/>
      <w:bookmarkEnd w:id="88"/>
    </w:p>
    <w:p w14:paraId="4362FE02" w14:textId="47B77136" w:rsidR="00CE2BB8" w:rsidRPr="00CE2BB8" w:rsidRDefault="00CE2BB8" w:rsidP="00CE2BB8">
      <w:pPr>
        <w:rPr>
          <w:lang w:val="en-US"/>
        </w:rPr>
      </w:pPr>
      <w:r w:rsidRPr="006D252D">
        <w:rPr>
          <w:noProof/>
          <w:lang w:eastAsia="en-AU"/>
        </w:rPr>
        <w:drawing>
          <wp:inline distT="0" distB="0" distL="0" distR="0" wp14:anchorId="637F0054" wp14:editId="5B00D79F">
            <wp:extent cx="5659200" cy="3751200"/>
            <wp:effectExtent l="0" t="0" r="0" b="1905"/>
            <wp:docPr id="244" name="Picture 244" descr="Exhibit 19 shows that fewer than 10 per cent of innovative firms spend more than $100, 000 per year on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9200" cy="3751200"/>
                    </a:xfrm>
                    <a:prstGeom prst="rect">
                      <a:avLst/>
                    </a:prstGeom>
                    <a:noFill/>
                    <a:ln>
                      <a:noFill/>
                    </a:ln>
                  </pic:spPr>
                </pic:pic>
              </a:graphicData>
            </a:graphic>
          </wp:inline>
        </w:drawing>
      </w:r>
    </w:p>
    <w:p w14:paraId="4AD44C5B" w14:textId="075670F5" w:rsidR="00B47C4E" w:rsidRPr="00AC38CF" w:rsidRDefault="00CE2BB8" w:rsidP="00B47C4E">
      <w:pPr>
        <w:spacing w:before="0" w:after="160"/>
        <w:jc w:val="left"/>
        <w:rPr>
          <w:rStyle w:val="SubtleEmphasis"/>
        </w:rPr>
      </w:pPr>
      <w:r>
        <w:rPr>
          <w:rStyle w:val="SubtleEmphasis"/>
        </w:rPr>
        <w:t>Source</w:t>
      </w:r>
      <w:r w:rsidR="00B47C4E" w:rsidRPr="00AC38CF">
        <w:rPr>
          <w:rStyle w:val="SubtleEmphasis"/>
        </w:rPr>
        <w:t>: ABS (2016), 8158.0 Financial Indicators</w:t>
      </w:r>
    </w:p>
    <w:p w14:paraId="4D821513" w14:textId="77777777" w:rsidR="00B47C4E" w:rsidRDefault="00B47C4E" w:rsidP="00B47C4E">
      <w:pPr>
        <w:spacing w:before="0" w:after="160"/>
        <w:jc w:val="left"/>
        <w:rPr>
          <w:rFonts w:asciiTheme="majorHAnsi" w:eastAsiaTheme="majorEastAsia" w:hAnsiTheme="majorHAnsi" w:cstheme="majorHAnsi"/>
          <w:b/>
          <w:color w:val="4CB8C1" w:themeColor="accent5"/>
          <w:sz w:val="36"/>
          <w:szCs w:val="36"/>
          <w:lang w:val="en-US"/>
        </w:rPr>
      </w:pPr>
      <w:r>
        <w:br w:type="page"/>
      </w:r>
    </w:p>
    <w:p w14:paraId="6DA13889" w14:textId="41BA6301" w:rsidR="00B47C4E" w:rsidRDefault="009E0ADB" w:rsidP="00B47C4E">
      <w:pPr>
        <w:pStyle w:val="Heading2"/>
      </w:pPr>
      <w:bookmarkStart w:id="89" w:name="_Toc30148079"/>
      <w:r>
        <w:lastRenderedPageBreak/>
        <w:t xml:space="preserve">Large </w:t>
      </w:r>
      <w:r w:rsidR="00B47C4E">
        <w:t xml:space="preserve">firm innovation reflects </w:t>
      </w:r>
      <w:r>
        <w:t xml:space="preserve">Australia’s </w:t>
      </w:r>
      <w:r w:rsidR="00B47C4E">
        <w:t>industry mix</w:t>
      </w:r>
      <w:bookmarkEnd w:id="89"/>
    </w:p>
    <w:p w14:paraId="5D02C67F" w14:textId="58A5C8B8" w:rsidR="00B47C4E" w:rsidRDefault="00B47C4E" w:rsidP="00B47C4E">
      <w:pPr>
        <w:rPr>
          <w:lang w:val="en-US"/>
        </w:rPr>
      </w:pPr>
      <w:r>
        <w:rPr>
          <w:lang w:val="en-US"/>
        </w:rPr>
        <w:t>Australia’s large firms, as a group, nevertheless invest less in innovation than their global peers do. ASX200 firms (the most valuable 200 firms on the Australian Stock Exchange) spend only 3 per cent of their revenue on R&amp;D, compared to a global weighted average of 7 per cent.</w:t>
      </w:r>
      <w:r>
        <w:rPr>
          <w:rStyle w:val="FootnoteReference"/>
          <w:lang w:val="en-US"/>
        </w:rPr>
        <w:footnoteReference w:id="28"/>
      </w:r>
      <w:r>
        <w:rPr>
          <w:lang w:val="en-US"/>
        </w:rPr>
        <w:t xml:space="preserve"> Australian firms also appear to have accumulated lower stocks of innovation assets: intangible assets (including intellectual property such as patents and copyrights, but excluding goodwill) account for under 9 per cent of total assets among ASX200 companies, compared to a weighted average of almost 13 per cent for large firms on other major exchanges </w:t>
      </w:r>
      <w:r>
        <w:t xml:space="preserve">(left panel of </w:t>
      </w:r>
      <w:r>
        <w:fldChar w:fldCharType="begin"/>
      </w:r>
      <w:r>
        <w:instrText xml:space="preserve"> REF _Ref12450297 \h </w:instrText>
      </w:r>
      <w:r>
        <w:fldChar w:fldCharType="separate"/>
      </w:r>
      <w:r w:rsidR="005407CC" w:rsidRPr="002F7695">
        <w:t xml:space="preserve">Exhibit </w:t>
      </w:r>
      <w:r w:rsidR="005407CC">
        <w:rPr>
          <w:noProof/>
        </w:rPr>
        <w:t>20</w:t>
      </w:r>
      <w:r>
        <w:fldChar w:fldCharType="end"/>
      </w:r>
      <w:r>
        <w:t>).</w:t>
      </w:r>
      <w:r>
        <w:rPr>
          <w:rStyle w:val="FootnoteReference"/>
          <w:lang w:val="en-US"/>
        </w:rPr>
        <w:footnoteReference w:id="29"/>
      </w:r>
    </w:p>
    <w:p w14:paraId="4E85D12D" w14:textId="059C98D7" w:rsidR="00B47C4E" w:rsidRDefault="00B47C4E" w:rsidP="00B47C4E">
      <w:pPr>
        <w:pStyle w:val="Caption"/>
      </w:pPr>
      <w:bookmarkStart w:id="90" w:name="_Ref12450297"/>
      <w:r w:rsidRPr="002F7695">
        <w:t xml:space="preserve">Exhibit </w:t>
      </w:r>
      <w:r w:rsidRPr="002F7695">
        <w:fldChar w:fldCharType="begin"/>
      </w:r>
      <w:r w:rsidRPr="002F7695">
        <w:instrText xml:space="preserve"> SEQ Exhibit \* ARABIC </w:instrText>
      </w:r>
      <w:r w:rsidRPr="002F7695">
        <w:fldChar w:fldCharType="separate"/>
      </w:r>
      <w:r w:rsidR="005407CC">
        <w:rPr>
          <w:noProof/>
        </w:rPr>
        <w:t>20</w:t>
      </w:r>
      <w:r w:rsidRPr="002F7695">
        <w:fldChar w:fldCharType="end"/>
      </w:r>
      <w:bookmarkEnd w:id="90"/>
    </w:p>
    <w:p w14:paraId="296FEE02" w14:textId="460A9812" w:rsidR="00CE2BB8" w:rsidRPr="00CE2BB8" w:rsidRDefault="00CE2BB8" w:rsidP="00CE2BB8">
      <w:pPr>
        <w:rPr>
          <w:lang w:val="en-US"/>
        </w:rPr>
      </w:pPr>
      <w:r w:rsidRPr="00F82450">
        <w:rPr>
          <w:noProof/>
          <w:lang w:eastAsia="en-AU"/>
        </w:rPr>
        <w:drawing>
          <wp:inline distT="0" distB="0" distL="0" distR="0" wp14:anchorId="1F78C01C" wp14:editId="2C8A194A">
            <wp:extent cx="5652000" cy="3632400"/>
            <wp:effectExtent l="0" t="0" r="6350" b="6350"/>
            <wp:docPr id="57" name="Picture 57" descr="Exhibit 20 shows in Australian large firms that industry mix accounts for the low innovation rate. A relevant interpretation is included in the paragraph above and paragraph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2000" cy="3632400"/>
                    </a:xfrm>
                    <a:prstGeom prst="rect">
                      <a:avLst/>
                    </a:prstGeom>
                    <a:noFill/>
                    <a:ln>
                      <a:noFill/>
                    </a:ln>
                  </pic:spPr>
                </pic:pic>
              </a:graphicData>
            </a:graphic>
          </wp:inline>
        </w:drawing>
      </w:r>
    </w:p>
    <w:p w14:paraId="41189ECD" w14:textId="6BF2EC23" w:rsidR="00B47C4E" w:rsidRPr="00AC38CF" w:rsidRDefault="00B47C4E" w:rsidP="00B47C4E">
      <w:pPr>
        <w:spacing w:after="160"/>
        <w:jc w:val="left"/>
        <w:rPr>
          <w:rStyle w:val="SubtleEmphasis"/>
        </w:rPr>
      </w:pPr>
      <w:r w:rsidRPr="00AC38CF">
        <w:rPr>
          <w:rStyle w:val="SubtleEmphasis"/>
        </w:rPr>
        <w:t>Source: Sentieo data (2019), AlphaBeta analysis.</w:t>
      </w:r>
      <w:r w:rsidRPr="00AC38CF">
        <w:rPr>
          <w:rStyle w:val="SubtleEmphasis"/>
        </w:rPr>
        <w:br/>
        <w:t xml:space="preserve">Note: Peer exchanges include S&amp;P500, EuroNext150, FTSE250, Nikkei225, and Canada 200. Net intangible intensity excludes goodwill. Intangibles </w:t>
      </w:r>
      <w:r w:rsidR="00B82BAF" w:rsidRPr="00AC38CF">
        <w:rPr>
          <w:rStyle w:val="SubtleEmphasis"/>
        </w:rPr>
        <w:t xml:space="preserve">analysis </w:t>
      </w:r>
      <w:r w:rsidRPr="00AC38CF">
        <w:rPr>
          <w:rStyle w:val="SubtleEmphasis"/>
        </w:rPr>
        <w:t>exclude</w:t>
      </w:r>
      <w:r w:rsidR="00226A36" w:rsidRPr="00AC38CF">
        <w:rPr>
          <w:rStyle w:val="SubtleEmphasis"/>
        </w:rPr>
        <w:t>s</w:t>
      </w:r>
      <w:r w:rsidRPr="00AC38CF">
        <w:rPr>
          <w:rStyle w:val="SubtleEmphasis"/>
        </w:rPr>
        <w:t xml:space="preserve"> </w:t>
      </w:r>
      <w:r w:rsidR="00226A36" w:rsidRPr="00AC38CF">
        <w:rPr>
          <w:rStyle w:val="SubtleEmphasis"/>
        </w:rPr>
        <w:t>banks and other financial firms</w:t>
      </w:r>
      <w:r w:rsidRPr="00AC38CF">
        <w:rPr>
          <w:rStyle w:val="SubtleEmphasis"/>
        </w:rPr>
        <w:t>.</w:t>
      </w:r>
    </w:p>
    <w:p w14:paraId="68910592" w14:textId="7A0D5710" w:rsidR="00B47C4E" w:rsidRDefault="006A7F5F" w:rsidP="00B47C4E">
      <w:r>
        <w:rPr>
          <w:lang w:val="en-US"/>
        </w:rPr>
        <w:t>These</w:t>
      </w:r>
      <w:r w:rsidR="00B47C4E">
        <w:rPr>
          <w:lang w:val="en-US"/>
        </w:rPr>
        <w:t xml:space="preserve"> large-firm differences are due mostly to Australia</w:t>
      </w:r>
      <w:r w:rsidR="00B47C4E">
        <w:t xml:space="preserve">’s industry mix, as is the case </w:t>
      </w:r>
      <w:r w:rsidR="00B47C4E">
        <w:rPr>
          <w:lang w:val="en-US"/>
        </w:rPr>
        <w:t xml:space="preserve">for the gap between Australian R&amp;D overall and our global peers (noted in Section </w:t>
      </w:r>
      <w:r w:rsidR="00B47C4E">
        <w:rPr>
          <w:lang w:val="en-US"/>
        </w:rPr>
        <w:fldChar w:fldCharType="begin"/>
      </w:r>
      <w:r w:rsidR="00B47C4E">
        <w:rPr>
          <w:lang w:val="en-US"/>
        </w:rPr>
        <w:instrText xml:space="preserve"> REF _Ref17395217 \r \h </w:instrText>
      </w:r>
      <w:r w:rsidR="00B47C4E">
        <w:rPr>
          <w:lang w:val="en-US"/>
        </w:rPr>
      </w:r>
      <w:r w:rsidR="00B47C4E">
        <w:rPr>
          <w:lang w:val="en-US"/>
        </w:rPr>
        <w:fldChar w:fldCharType="separate"/>
      </w:r>
      <w:r w:rsidR="005407CC">
        <w:rPr>
          <w:lang w:val="en-US"/>
        </w:rPr>
        <w:t>3.1</w:t>
      </w:r>
      <w:r w:rsidR="00B47C4E">
        <w:rPr>
          <w:lang w:val="en-US"/>
        </w:rPr>
        <w:fldChar w:fldCharType="end"/>
      </w:r>
      <w:r w:rsidR="00B47C4E">
        <w:rPr>
          <w:lang w:val="en-US"/>
        </w:rPr>
        <w:t xml:space="preserve"> above). </w:t>
      </w:r>
      <w:r w:rsidR="00B47C4E">
        <w:t xml:space="preserve">Australia’s large firms already invest in R&amp;D at close to the pace of their </w:t>
      </w:r>
      <w:r w:rsidR="00354B49">
        <w:t xml:space="preserve">global </w:t>
      </w:r>
      <w:r w:rsidR="00B47C4E">
        <w:t xml:space="preserve">peers in </w:t>
      </w:r>
      <w:r w:rsidR="00354B49">
        <w:t xml:space="preserve">the same </w:t>
      </w:r>
      <w:r w:rsidR="00B47C4E">
        <w:t xml:space="preserve">sector, but </w:t>
      </w:r>
      <w:r w:rsidR="00B47C4E">
        <w:rPr>
          <w:lang w:val="en-US"/>
        </w:rPr>
        <w:t>R&amp;D-</w:t>
      </w:r>
      <w:r w:rsidR="00B47C4E">
        <w:rPr>
          <w:lang w:val="en-US"/>
        </w:rPr>
        <w:lastRenderedPageBreak/>
        <w:t xml:space="preserve">intense sectors (including </w:t>
      </w:r>
      <w:r w:rsidR="00B47C4E">
        <w:t>IMT and manufacturing) comprise less of the ASX, by value, than they do on peer stock exchanges. If the sector mix of Australia’s large listed firms were to match that of other leading major exchanges, the R&amp;D intensity of the ASX200 would almost double to 6 per cent, almost equal to the averages on those exchanges (</w:t>
      </w:r>
      <w:r w:rsidR="00B47C4E" w:rsidRPr="00D86524">
        <w:t>right</w:t>
      </w:r>
      <w:r w:rsidR="00B47C4E">
        <w:t xml:space="preserve"> panel of </w:t>
      </w:r>
      <w:r w:rsidR="00B47C4E">
        <w:fldChar w:fldCharType="begin"/>
      </w:r>
      <w:r w:rsidR="00B47C4E">
        <w:instrText xml:space="preserve"> REF _Ref12450297 \h </w:instrText>
      </w:r>
      <w:r w:rsidR="00B47C4E">
        <w:fldChar w:fldCharType="separate"/>
      </w:r>
      <w:r w:rsidR="005407CC" w:rsidRPr="002F7695">
        <w:t xml:space="preserve">Exhibit </w:t>
      </w:r>
      <w:r w:rsidR="005407CC">
        <w:rPr>
          <w:noProof/>
        </w:rPr>
        <w:t>20</w:t>
      </w:r>
      <w:r w:rsidR="00B47C4E">
        <w:fldChar w:fldCharType="end"/>
      </w:r>
      <w:r w:rsidR="00B47C4E">
        <w:t xml:space="preserve">). </w:t>
      </w:r>
    </w:p>
    <w:p w14:paraId="1E8FAFD9" w14:textId="369FA36A" w:rsidR="00B47C4E" w:rsidRDefault="00B47C4E" w:rsidP="00B47C4E">
      <w:r>
        <w:t xml:space="preserve">The same </w:t>
      </w:r>
      <w:r w:rsidR="006D252D" w:rsidRPr="00E21023">
        <w:t>may be</w:t>
      </w:r>
      <w:r w:rsidRPr="00E21023">
        <w:t xml:space="preserve"> true for intangible assets (left panel of </w:t>
      </w:r>
      <w:r w:rsidRPr="00E21023">
        <w:fldChar w:fldCharType="begin"/>
      </w:r>
      <w:r w:rsidRPr="00E21023">
        <w:instrText xml:space="preserve"> REF _Ref12450297 \h </w:instrText>
      </w:r>
      <w:r w:rsidR="003C00F7" w:rsidRPr="00E21023">
        <w:instrText xml:space="preserve"> \* MERGEFORMAT </w:instrText>
      </w:r>
      <w:r w:rsidRPr="00E21023">
        <w:fldChar w:fldCharType="separate"/>
      </w:r>
      <w:r w:rsidR="005407CC" w:rsidRPr="002F7695">
        <w:t xml:space="preserve">Exhibit </w:t>
      </w:r>
      <w:r w:rsidR="005407CC">
        <w:rPr>
          <w:noProof/>
        </w:rPr>
        <w:t>20</w:t>
      </w:r>
      <w:r w:rsidRPr="00E21023">
        <w:fldChar w:fldCharType="end"/>
      </w:r>
      <w:r w:rsidRPr="00E21023">
        <w:t xml:space="preserve">). If the sector mix of Australia’s large listed firms were to match that of other leading major exchanges, Australian large firms’ intangible asset ratio would increase by </w:t>
      </w:r>
      <w:r w:rsidR="009E5D2B" w:rsidRPr="00E21023">
        <w:t>an estimated</w:t>
      </w:r>
      <w:r w:rsidRPr="00E21023">
        <w:t xml:space="preserve"> 7 percentage points to over 15 per cent, above the averages on those </w:t>
      </w:r>
      <w:r w:rsidR="006D252D" w:rsidRPr="00E21023">
        <w:t xml:space="preserve">peer </w:t>
      </w:r>
      <w:r w:rsidRPr="00E21023">
        <w:t>exchanges.</w:t>
      </w:r>
      <w:r w:rsidR="009E5D2B" w:rsidRPr="00E21023">
        <w:rPr>
          <w:rStyle w:val="FootnoteReference"/>
        </w:rPr>
        <w:footnoteReference w:id="30"/>
      </w:r>
      <w:r w:rsidRPr="00E21023">
        <w:t xml:space="preserve"> </w:t>
      </w:r>
      <w:r w:rsidR="009E5D2B" w:rsidRPr="00E21023">
        <w:t>See Appendix A for further discussion.</w:t>
      </w:r>
    </w:p>
    <w:p w14:paraId="0959CA56" w14:textId="486A12DD" w:rsidR="00B47C4E" w:rsidRDefault="00B47C4E" w:rsidP="00B47C4E">
      <w:pPr>
        <w:pStyle w:val="Caption"/>
      </w:pPr>
      <w:bookmarkStart w:id="91" w:name="_Ref12378882"/>
      <w:bookmarkStart w:id="92" w:name="_Ref12955627"/>
      <w:r w:rsidRPr="002F7695">
        <w:t xml:space="preserve">Exhibit </w:t>
      </w:r>
      <w:r w:rsidRPr="002F7695">
        <w:fldChar w:fldCharType="begin"/>
      </w:r>
      <w:r w:rsidRPr="002F7695">
        <w:instrText xml:space="preserve"> SEQ Exhibit \* ARABIC </w:instrText>
      </w:r>
      <w:r w:rsidRPr="002F7695">
        <w:fldChar w:fldCharType="separate"/>
      </w:r>
      <w:r w:rsidR="005407CC">
        <w:rPr>
          <w:noProof/>
        </w:rPr>
        <w:t>21</w:t>
      </w:r>
      <w:r w:rsidRPr="002F7695">
        <w:fldChar w:fldCharType="end"/>
      </w:r>
      <w:bookmarkEnd w:id="91"/>
      <w:bookmarkEnd w:id="92"/>
    </w:p>
    <w:p w14:paraId="2E899E16" w14:textId="70827D98" w:rsidR="00CE2BB8" w:rsidRPr="00CE2BB8" w:rsidRDefault="00CE2BB8" w:rsidP="00CE2BB8">
      <w:pPr>
        <w:rPr>
          <w:lang w:val="en-US"/>
        </w:rPr>
      </w:pPr>
      <w:r w:rsidRPr="00226A36">
        <w:rPr>
          <w:noProof/>
          <w:lang w:eastAsia="en-AU"/>
        </w:rPr>
        <w:drawing>
          <wp:inline distT="0" distB="0" distL="0" distR="0" wp14:anchorId="5919149F" wp14:editId="427222B3">
            <wp:extent cx="5655600" cy="3600000"/>
            <wp:effectExtent l="0" t="0" r="2540" b="635"/>
            <wp:docPr id="22" name="Picture 22" descr="Exhibit 21 shows that domestic market concentration is uncorrelated with R&amp;D investment. Further discussion included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5600" cy="3600000"/>
                    </a:xfrm>
                    <a:prstGeom prst="rect">
                      <a:avLst/>
                    </a:prstGeom>
                    <a:noFill/>
                    <a:ln>
                      <a:noFill/>
                    </a:ln>
                  </pic:spPr>
                </pic:pic>
              </a:graphicData>
            </a:graphic>
          </wp:inline>
        </w:drawing>
      </w:r>
    </w:p>
    <w:p w14:paraId="4700D982" w14:textId="77777777" w:rsidR="00B47C4E" w:rsidRPr="00AC38CF" w:rsidRDefault="00B47C4E" w:rsidP="00B47C4E">
      <w:pPr>
        <w:spacing w:after="160"/>
        <w:jc w:val="left"/>
        <w:rPr>
          <w:rStyle w:val="SubtleEmphasis"/>
        </w:rPr>
      </w:pPr>
      <w:r w:rsidRPr="00AC38CF">
        <w:rPr>
          <w:rStyle w:val="SubtleEmphasis"/>
        </w:rPr>
        <w:t xml:space="preserve">Source: AlphaBeta analysis of ABS, Morningstar and IBIS data. Note: Market shares at the ANZSIC subdivision are averaged to division level by weighting subdivision-level concentration by each subdivision’s share of division book equity. Tradable sectors are noted in the chart as firms in those sectors face international competitors even where they are concentrated domestically. </w:t>
      </w:r>
    </w:p>
    <w:p w14:paraId="06A52367" w14:textId="0EF0D90B" w:rsidR="00B47C4E" w:rsidRDefault="00B47C4E" w:rsidP="00B47C4E">
      <w:pPr>
        <w:spacing w:before="0" w:after="160"/>
        <w:jc w:val="left"/>
      </w:pPr>
      <w:r>
        <w:t xml:space="preserve">Some </w:t>
      </w:r>
      <w:r w:rsidR="004353A9">
        <w:t xml:space="preserve">economists have argued </w:t>
      </w:r>
      <w:r>
        <w:t>that some Australian corporates invest relatively little in innovation because oligopolistic industry structures mute competitive pressure.</w:t>
      </w:r>
      <w:r>
        <w:rPr>
          <w:rStyle w:val="FootnoteReference"/>
        </w:rPr>
        <w:footnoteReference w:id="31"/>
      </w:r>
      <w:r>
        <w:t xml:space="preserve"> </w:t>
      </w:r>
      <w:r w:rsidR="006A7F5F">
        <w:t xml:space="preserve">However, </w:t>
      </w:r>
      <w:r>
        <w:t xml:space="preserve">this may not be the case. </w:t>
      </w:r>
      <w:r>
        <w:fldChar w:fldCharType="begin"/>
      </w:r>
      <w:r>
        <w:instrText xml:space="preserve"> REF _Ref12955627 \h </w:instrText>
      </w:r>
      <w:r>
        <w:fldChar w:fldCharType="separate"/>
      </w:r>
      <w:r w:rsidR="005407CC" w:rsidRPr="002F7695">
        <w:t xml:space="preserve">Exhibit </w:t>
      </w:r>
      <w:r w:rsidR="005407CC">
        <w:rPr>
          <w:noProof/>
        </w:rPr>
        <w:t>21</w:t>
      </w:r>
      <w:r>
        <w:fldChar w:fldCharType="end"/>
      </w:r>
      <w:r>
        <w:t xml:space="preserve"> shows that R&amp;D investment bears little relation to market concentration: even highly concentrated sectors like Finance and Media have relatively high R&amp;D intensity. The lack of </w:t>
      </w:r>
      <w:r>
        <w:lastRenderedPageBreak/>
        <w:t>correlation does not, however, prove that competition does not affect R&amp;D efforts by firms in concentrated sectors: intensified competition could spur them to innovate more than they do today. But Australian firms in many sectors are about as exposed to competition as firms in other advanced economies are, so it seems unlikely that lack of competition is constraining Australia’s sector-level innovation intensity much, at least compared to peers.</w:t>
      </w:r>
      <w:r>
        <w:rPr>
          <w:rStyle w:val="FootnoteReference"/>
        </w:rPr>
        <w:footnoteReference w:id="32"/>
      </w:r>
      <w:r>
        <w:t xml:space="preserve"> </w:t>
      </w:r>
    </w:p>
    <w:p w14:paraId="0AF24C7A" w14:textId="77777777" w:rsidR="00526635" w:rsidRPr="00B912FB" w:rsidRDefault="00526635" w:rsidP="00526635">
      <w:pPr>
        <w:pStyle w:val="Heading2"/>
      </w:pPr>
      <w:bookmarkStart w:id="93" w:name="_Toc30148080"/>
      <w:bookmarkStart w:id="94" w:name="_Toc13478301"/>
      <w:r>
        <w:t>Small firms focus more on non-R&amp;D innovation</w:t>
      </w:r>
      <w:bookmarkEnd w:id="93"/>
      <w:r w:rsidRPr="00B912FB">
        <w:t xml:space="preserve"> </w:t>
      </w:r>
      <w:bookmarkEnd w:id="94"/>
    </w:p>
    <w:p w14:paraId="0C6C952D" w14:textId="742F2077" w:rsidR="00526635" w:rsidRDefault="00526635" w:rsidP="00526635">
      <w:pPr>
        <w:spacing w:before="0" w:after="160"/>
        <w:jc w:val="left"/>
      </w:pPr>
      <w:r>
        <w:t xml:space="preserve">A </w:t>
      </w:r>
      <w:r w:rsidR="006A7F5F">
        <w:t xml:space="preserve">lesser </w:t>
      </w:r>
      <w:r>
        <w:t>proportion of small businesses invest in innovation, compared to larger businesses (</w:t>
      </w:r>
      <w:r>
        <w:fldChar w:fldCharType="begin"/>
      </w:r>
      <w:r>
        <w:instrText xml:space="preserve"> REF _Ref12376083 \h </w:instrText>
      </w:r>
      <w:r>
        <w:fldChar w:fldCharType="separate"/>
      </w:r>
      <w:r w:rsidR="005407CC" w:rsidRPr="002F7695">
        <w:t xml:space="preserve">Exhibit </w:t>
      </w:r>
      <w:r w:rsidR="005407CC">
        <w:rPr>
          <w:noProof/>
        </w:rPr>
        <w:t>18</w:t>
      </w:r>
      <w:r>
        <w:fldChar w:fldCharType="end"/>
      </w:r>
      <w:r>
        <w:t xml:space="preserve">), and small businesses’ investment in R&amp;D is particularly low. </w:t>
      </w:r>
      <w:r w:rsidR="004353A9">
        <w:t>Only 25-</w:t>
      </w:r>
      <w:r w:rsidRPr="00434727">
        <w:t>40 per cent of Australian small firms</w:t>
      </w:r>
      <w:r>
        <w:t xml:space="preserve"> with fewer than 20 employees</w:t>
      </w:r>
      <w:r w:rsidRPr="00434727">
        <w:t xml:space="preserve"> report engaging in innovation, compared to 50 per cent and 61 per cent for medium </w:t>
      </w:r>
      <w:r>
        <w:t xml:space="preserve">(20-199 employees) </w:t>
      </w:r>
      <w:r w:rsidRPr="00434727">
        <w:t xml:space="preserve">and large </w:t>
      </w:r>
      <w:r w:rsidR="004353A9">
        <w:t xml:space="preserve">businesses </w:t>
      </w:r>
      <w:r>
        <w:t>(over 200 employees)</w:t>
      </w:r>
      <w:r w:rsidRPr="00434727">
        <w:t xml:space="preserve"> (</w:t>
      </w:r>
      <w:r w:rsidRPr="00434727">
        <w:fldChar w:fldCharType="begin"/>
      </w:r>
      <w:r w:rsidRPr="00434727">
        <w:instrText xml:space="preserve"> REF _Ref12376083 \h </w:instrText>
      </w:r>
      <w:r>
        <w:rPr>
          <w:highlight w:val="yellow"/>
        </w:rPr>
        <w:instrText xml:space="preserve"> \* MERGEFORMAT </w:instrText>
      </w:r>
      <w:r w:rsidRPr="00434727">
        <w:fldChar w:fldCharType="separate"/>
      </w:r>
      <w:r w:rsidR="005407CC" w:rsidRPr="002F7695">
        <w:t xml:space="preserve">Exhibit </w:t>
      </w:r>
      <w:r w:rsidR="005407CC">
        <w:rPr>
          <w:noProof/>
        </w:rPr>
        <w:t>18</w:t>
      </w:r>
      <w:r w:rsidRPr="00434727">
        <w:fldChar w:fldCharType="end"/>
      </w:r>
      <w:r w:rsidRPr="00434727">
        <w:t xml:space="preserve">). </w:t>
      </w:r>
    </w:p>
    <w:p w14:paraId="3CA3A34F" w14:textId="77777777" w:rsidR="00526635" w:rsidRDefault="00526635" w:rsidP="00526635">
      <w:pPr>
        <w:spacing w:before="0" w:after="160"/>
        <w:jc w:val="left"/>
      </w:pPr>
      <w:r>
        <w:t>The</w:t>
      </w:r>
      <w:r w:rsidRPr="00434727">
        <w:t xml:space="preserve"> pattern of innovation in small businesses </w:t>
      </w:r>
      <w:r>
        <w:t xml:space="preserve">also </w:t>
      </w:r>
      <w:r w:rsidRPr="00434727">
        <w:t>differ</w:t>
      </w:r>
      <w:r>
        <w:t>s from that in</w:t>
      </w:r>
      <w:r w:rsidRPr="00434727">
        <w:t xml:space="preserve"> large businesses. </w:t>
      </w:r>
      <w:r>
        <w:t xml:space="preserve">Smaller </w:t>
      </w:r>
      <w:r w:rsidRPr="00434727">
        <w:t xml:space="preserve">firms invest </w:t>
      </w:r>
      <w:r>
        <w:t>more of their limited innovation budgets in non-R&amp;D than big firms do.</w:t>
      </w:r>
      <w:r w:rsidRPr="00434727">
        <w:t xml:space="preserve"> </w:t>
      </w:r>
      <w:bookmarkStart w:id="95" w:name="_Hlk12812456"/>
      <w:r>
        <w:t>About five times as many small businesses invest in non-R&amp;D innovation as invest in R&amp;D. Among medium and large businesses, non-R&amp;D innovation is only three times as prevalent as R&amp;D.</w:t>
      </w:r>
    </w:p>
    <w:bookmarkEnd w:id="95"/>
    <w:p w14:paraId="6CBCDDDF" w14:textId="77777777" w:rsidR="00526635" w:rsidRDefault="00526635" w:rsidP="00526635">
      <w:r>
        <w:t xml:space="preserve">Small businesses tend to adopt software applications (“apps”) focused on improving productivity and easing pain points, suggesting that these may be the most significant factors driving small firm innovation more generally. App adoption data from Xero, a small business accounting platform, shows that small businesses are most likely to use apps to automate administrative and operational tasks, improve customer experience, and inform decisions. Usage of new-to-business software tools like these apps can be considered a form of non-R&amp;D innovation. </w:t>
      </w:r>
    </w:p>
    <w:p w14:paraId="24989B7D" w14:textId="1D5BF97A" w:rsidR="00526635" w:rsidRDefault="00526635" w:rsidP="00526635">
      <w:r>
        <w:t>Firms are most likely to use apps for HR management, and finance, administration, legal, and general management. Apps also tend to be adopted by clusters of industries that share a common business pain point, which also suggests that non-R&amp;D innovation such as internal process improvement is most important for small businesses (</w:t>
      </w:r>
      <w:r>
        <w:fldChar w:fldCharType="begin"/>
      </w:r>
      <w:r>
        <w:instrText xml:space="preserve"> REF _Ref12456166 \h </w:instrText>
      </w:r>
      <w:r>
        <w:fldChar w:fldCharType="separate"/>
      </w:r>
      <w:r w:rsidR="005407CC" w:rsidRPr="002F7695">
        <w:t xml:space="preserve">Exhibit </w:t>
      </w:r>
      <w:r w:rsidR="005407CC">
        <w:rPr>
          <w:noProof/>
        </w:rPr>
        <w:t>22</w:t>
      </w:r>
      <w:r>
        <w:fldChar w:fldCharType="end"/>
      </w:r>
      <w:r>
        <w:t>). For example, apps for rostering are most commonly adopted in accommodation and food services; job scheduling and invoicing is most common for construction; and business intelligence apps are most common for small businesses in agriculture, forestry and fishing.</w:t>
      </w:r>
    </w:p>
    <w:p w14:paraId="0D91DE68" w14:textId="4748B8CE" w:rsidR="00526635" w:rsidRDefault="00526635" w:rsidP="00526635">
      <w:pPr>
        <w:pStyle w:val="Caption"/>
      </w:pPr>
      <w:bookmarkStart w:id="96" w:name="_Ref12456166"/>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22</w:t>
      </w:r>
      <w:r w:rsidRPr="002F7695">
        <w:fldChar w:fldCharType="end"/>
      </w:r>
      <w:bookmarkEnd w:id="96"/>
    </w:p>
    <w:p w14:paraId="75A4ADDA" w14:textId="49AE7E41" w:rsidR="00CE2BB8" w:rsidRPr="00CE2BB8" w:rsidRDefault="00CE2BB8" w:rsidP="00CE2BB8">
      <w:pPr>
        <w:rPr>
          <w:lang w:val="en-US"/>
        </w:rPr>
      </w:pPr>
      <w:r w:rsidRPr="0053373E">
        <w:rPr>
          <w:noProof/>
          <w:lang w:eastAsia="en-AU"/>
        </w:rPr>
        <w:drawing>
          <wp:inline distT="0" distB="0" distL="0" distR="0" wp14:anchorId="462E5968" wp14:editId="2BF532B1">
            <wp:extent cx="5659200" cy="3718800"/>
            <wp:effectExtent l="0" t="0" r="0" b="0"/>
            <wp:docPr id="6" name="Picture 6" descr="Exhibit 22 shows that indurates with a common business pain point show similar usage of apps. A relevant interpretation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9200" cy="3718800"/>
                    </a:xfrm>
                    <a:prstGeom prst="rect">
                      <a:avLst/>
                    </a:prstGeom>
                    <a:noFill/>
                    <a:ln>
                      <a:noFill/>
                    </a:ln>
                  </pic:spPr>
                </pic:pic>
              </a:graphicData>
            </a:graphic>
          </wp:inline>
        </w:drawing>
      </w:r>
    </w:p>
    <w:p w14:paraId="33D84109" w14:textId="1E187961" w:rsidR="00526635" w:rsidRPr="00AC38CF" w:rsidRDefault="00526635" w:rsidP="00526635">
      <w:pPr>
        <w:rPr>
          <w:rStyle w:val="SubtleEmphasis"/>
        </w:rPr>
      </w:pPr>
      <w:r w:rsidRPr="00AC38CF">
        <w:rPr>
          <w:rStyle w:val="SubtleEmphasis"/>
        </w:rPr>
        <w:t>S</w:t>
      </w:r>
      <w:r w:rsidR="00CE2BB8">
        <w:rPr>
          <w:rStyle w:val="SubtleEmphasis"/>
        </w:rPr>
        <w:t>ource</w:t>
      </w:r>
      <w:r w:rsidRPr="00AC38CF">
        <w:rPr>
          <w:rStyle w:val="SubtleEmphasis"/>
        </w:rPr>
        <w:t xml:space="preserve">: Xero </w:t>
      </w:r>
      <w:r w:rsidR="003F2ECD">
        <w:rPr>
          <w:rStyle w:val="SubtleEmphasis"/>
        </w:rPr>
        <w:t>SBI</w:t>
      </w:r>
      <w:r w:rsidRPr="00AC38CF">
        <w:rPr>
          <w:rStyle w:val="SubtleEmphasis"/>
        </w:rPr>
        <w:t>; AlphaBeta analysis. Subscriptions per 100 firms can exceed 100 as some firms subscribe to more than one app.</w:t>
      </w:r>
    </w:p>
    <w:p w14:paraId="0A43C82B" w14:textId="0B5FCB5C" w:rsidR="00526635" w:rsidRDefault="00375A0E" w:rsidP="00526635">
      <w:r>
        <w:rPr>
          <w:lang w:val="en-US"/>
        </w:rPr>
        <w:t>App</w:t>
      </w:r>
      <w:r w:rsidR="00526635" w:rsidRPr="00494CB0">
        <w:rPr>
          <w:lang w:val="en-US"/>
        </w:rPr>
        <w:t xml:space="preserve"> usage is higher among larger medium enterprises (SMEs) than among smaller</w:t>
      </w:r>
      <w:bookmarkStart w:id="97" w:name="_Hlk13156656"/>
      <w:r w:rsidR="00526635" w:rsidRPr="00494CB0">
        <w:rPr>
          <w:lang w:val="en-US"/>
        </w:rPr>
        <w:t xml:space="preserve"> firms.</w:t>
      </w:r>
      <w:bookmarkEnd w:id="97"/>
      <w:r w:rsidR="00526635" w:rsidRPr="00494CB0">
        <w:t xml:space="preserve"> </w:t>
      </w:r>
      <w:r w:rsidR="00526635">
        <w:t xml:space="preserve">SMEs </w:t>
      </w:r>
      <w:r w:rsidR="00526635" w:rsidRPr="00494CB0">
        <w:t>with revenue above $2 million are 76 per cent more likely to use apps than those turning over less than $500,000.</w:t>
      </w:r>
    </w:p>
    <w:p w14:paraId="6562E18D" w14:textId="656297C8" w:rsidR="00526635" w:rsidRDefault="00526635" w:rsidP="00526635">
      <w:r w:rsidRPr="00664A91">
        <w:t xml:space="preserve">SMEs in business services are also the largest </w:t>
      </w:r>
      <w:r w:rsidR="00375A0E">
        <w:t xml:space="preserve">technology </w:t>
      </w:r>
      <w:r w:rsidRPr="00664A91">
        <w:t xml:space="preserve">purchasers, measured as a share of revenue. The top </w:t>
      </w:r>
      <w:r w:rsidR="00375A0E">
        <w:t>three</w:t>
      </w:r>
      <w:r w:rsidRPr="00664A91">
        <w:t xml:space="preserve"> sectors by small business spending on </w:t>
      </w:r>
      <w:r w:rsidR="00375A0E">
        <w:t>technology</w:t>
      </w:r>
      <w:r w:rsidR="00375A0E" w:rsidRPr="00664A91">
        <w:t xml:space="preserve"> </w:t>
      </w:r>
      <w:r w:rsidRPr="00664A91">
        <w:t>were all in business services: Professional, scientific and technical services; financial and insurance services</w:t>
      </w:r>
      <w:r w:rsidR="00375A0E">
        <w:t>, and</w:t>
      </w:r>
      <w:r w:rsidRPr="00664A91">
        <w:t xml:space="preserve"> IMT. </w:t>
      </w:r>
      <w:r w:rsidR="00375A0E">
        <w:t xml:space="preserve">Firms in those </w:t>
      </w:r>
      <w:r w:rsidR="00375A0E" w:rsidRPr="00DD432F">
        <w:t xml:space="preserve">sectors </w:t>
      </w:r>
      <w:r w:rsidRPr="00DD432F">
        <w:t>spend 1.</w:t>
      </w:r>
      <w:r w:rsidR="00375A0E" w:rsidRPr="00DD432F">
        <w:t>2</w:t>
      </w:r>
      <w:r w:rsidRPr="00DD432F">
        <w:t>-1.</w:t>
      </w:r>
      <w:r w:rsidR="00375A0E" w:rsidRPr="00DD432F">
        <w:t>3</w:t>
      </w:r>
      <w:r w:rsidRPr="00DD432F">
        <w:t xml:space="preserve"> per cent of revenue on </w:t>
      </w:r>
      <w:r w:rsidR="00375A0E" w:rsidRPr="00DD432F">
        <w:t>technology</w:t>
      </w:r>
      <w:r w:rsidRPr="00DD432F">
        <w:t xml:space="preserve">. Service firms are also heavy app adopters: five of the six high-adopting sectors were in services, both business (IMT, Professional, Scientific &amp; Technical Services) and consumer (Hospitality, Retail, and Education). </w:t>
      </w:r>
    </w:p>
    <w:p w14:paraId="009C0500" w14:textId="62CBD147" w:rsidR="009E0ADB" w:rsidRDefault="009E0ADB" w:rsidP="009E0ADB">
      <w:pPr>
        <w:pStyle w:val="Heading2"/>
      </w:pPr>
      <w:bookmarkStart w:id="98" w:name="_Toc30148081"/>
      <w:bookmarkStart w:id="99" w:name="_Toc13064939"/>
      <w:bookmarkStart w:id="100" w:name="_Toc13478300"/>
      <w:bookmarkStart w:id="101" w:name="_Ref19909270"/>
      <w:r>
        <w:t>Australian business service firms are active investors in innovation</w:t>
      </w:r>
      <w:bookmarkEnd w:id="98"/>
    </w:p>
    <w:p w14:paraId="7C7878B5" w14:textId="29EE1ADE" w:rsidR="009E0ADB" w:rsidRDefault="009E0ADB" w:rsidP="009E0ADB">
      <w:r>
        <w:rPr>
          <w:lang w:val="en-US"/>
        </w:rPr>
        <w:t xml:space="preserve">Australian firms in many service sectors </w:t>
      </w:r>
      <w:r>
        <w:t>are more active innovators – and spend more on innovation – than firms in many non-service sectors.</w:t>
      </w:r>
      <w:r>
        <w:rPr>
          <w:rStyle w:val="FootnoteReference"/>
        </w:rPr>
        <w:footnoteReference w:id="33"/>
      </w:r>
      <w:r>
        <w:t xml:space="preserve"> </w:t>
      </w:r>
      <w:r>
        <w:fldChar w:fldCharType="begin"/>
      </w:r>
      <w:r>
        <w:instrText xml:space="preserve"> REF _Ref483815373 \h </w:instrText>
      </w:r>
      <w:r>
        <w:fldChar w:fldCharType="separate"/>
      </w:r>
      <w:r w:rsidR="005407CC" w:rsidRPr="002F7695">
        <w:t xml:space="preserve">Exhibit </w:t>
      </w:r>
      <w:r w:rsidR="005407CC">
        <w:rPr>
          <w:noProof/>
        </w:rPr>
        <w:t>23</w:t>
      </w:r>
      <w:r>
        <w:fldChar w:fldCharType="end"/>
      </w:r>
      <w:r>
        <w:t xml:space="preserve"> shows that service sectors have the highest share </w:t>
      </w:r>
      <w:r>
        <w:lastRenderedPageBreak/>
        <w:t xml:space="preserve">of innovation-active firms in Australia, as well as the highest levels of industry-level expenditure on broad innovation. The seven industries with the highest share of firms spending on broader innovation (highlighted on the left of </w:t>
      </w:r>
      <w:r>
        <w:fldChar w:fldCharType="begin"/>
      </w:r>
      <w:r>
        <w:instrText xml:space="preserve"> REF _Ref483815373 \h </w:instrText>
      </w:r>
      <w:r>
        <w:fldChar w:fldCharType="separate"/>
      </w:r>
      <w:r w:rsidR="005407CC" w:rsidRPr="002F7695">
        <w:t xml:space="preserve">Exhibit </w:t>
      </w:r>
      <w:r w:rsidR="005407CC">
        <w:rPr>
          <w:noProof/>
        </w:rPr>
        <w:t>23</w:t>
      </w:r>
      <w:r>
        <w:fldChar w:fldCharType="end"/>
      </w:r>
      <w:r>
        <w:t xml:space="preserve">) are in services. The three industries with the highest share of firms investing in R&amp;D are also in services (not shown on the chart). </w:t>
      </w:r>
    </w:p>
    <w:p w14:paraId="34BBC24C" w14:textId="1665ED9D" w:rsidR="009E0ADB" w:rsidRDefault="009E0ADB" w:rsidP="009E0ADB">
      <w:pPr>
        <w:pStyle w:val="Caption"/>
      </w:pPr>
      <w:bookmarkStart w:id="102" w:name="_Ref483815373"/>
      <w:r w:rsidRPr="002F7695">
        <w:t xml:space="preserve">Exhibit </w:t>
      </w:r>
      <w:r w:rsidRPr="002F7695">
        <w:fldChar w:fldCharType="begin"/>
      </w:r>
      <w:r w:rsidRPr="002F7695">
        <w:instrText xml:space="preserve"> SEQ Exhibit \* ARABIC </w:instrText>
      </w:r>
      <w:r w:rsidRPr="002F7695">
        <w:fldChar w:fldCharType="separate"/>
      </w:r>
      <w:r w:rsidR="005407CC">
        <w:rPr>
          <w:noProof/>
        </w:rPr>
        <w:t>23</w:t>
      </w:r>
      <w:r w:rsidRPr="002F7695">
        <w:fldChar w:fldCharType="end"/>
      </w:r>
      <w:bookmarkEnd w:id="102"/>
    </w:p>
    <w:p w14:paraId="6AFD9923" w14:textId="1DE8B546" w:rsidR="00CE2BB8" w:rsidRPr="00CE2BB8" w:rsidRDefault="00CE2BB8" w:rsidP="00CE2BB8">
      <w:pPr>
        <w:rPr>
          <w:lang w:val="en-US"/>
        </w:rPr>
      </w:pPr>
      <w:r w:rsidRPr="00E83F03">
        <w:rPr>
          <w:noProof/>
          <w:lang w:eastAsia="en-AU"/>
        </w:rPr>
        <w:drawing>
          <wp:inline distT="0" distB="0" distL="0" distR="0" wp14:anchorId="037F0517" wp14:editId="6CD13CFE">
            <wp:extent cx="5659200" cy="3816000"/>
            <wp:effectExtent l="0" t="0" r="0" b="0"/>
            <wp:docPr id="9" name="Picture 9" descr="Exhibit 23 shows share of Australian businesses by sector that are active in innovation. It shows that service sector firms are active investor in innovation. See above text for a deeper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9200" cy="3816000"/>
                    </a:xfrm>
                    <a:prstGeom prst="rect">
                      <a:avLst/>
                    </a:prstGeom>
                    <a:noFill/>
                    <a:ln>
                      <a:noFill/>
                    </a:ln>
                  </pic:spPr>
                </pic:pic>
              </a:graphicData>
            </a:graphic>
          </wp:inline>
        </w:drawing>
      </w:r>
    </w:p>
    <w:p w14:paraId="2C43946C" w14:textId="786F9C6F" w:rsidR="009E0ADB" w:rsidRPr="00AC38CF" w:rsidRDefault="009E0ADB" w:rsidP="009E0ADB">
      <w:pPr>
        <w:spacing w:before="0" w:after="160"/>
        <w:jc w:val="left"/>
        <w:rPr>
          <w:rStyle w:val="SubtleEmphasis"/>
        </w:rPr>
      </w:pPr>
      <w:r w:rsidRPr="00AC38CF">
        <w:rPr>
          <w:rStyle w:val="SubtleEmphasis"/>
        </w:rPr>
        <w:t>S</w:t>
      </w:r>
      <w:r w:rsidR="00CE2BB8">
        <w:rPr>
          <w:rStyle w:val="SubtleEmphasis"/>
        </w:rPr>
        <w:t>ource</w:t>
      </w:r>
      <w:r w:rsidRPr="00AC38CF">
        <w:rPr>
          <w:rStyle w:val="SubtleEmphasis"/>
        </w:rPr>
        <w:t>: ABS (2018), 8158.0 Key Summary Statistics &amp; Financial Indicators. AlphaBeta analysis. Right chart number pairs are upper &amp; lower estimates.</w:t>
      </w:r>
    </w:p>
    <w:p w14:paraId="37A1B912" w14:textId="65029F2E" w:rsidR="009E0ADB" w:rsidRDefault="009E0ADB" w:rsidP="009E0ADB">
      <w:bookmarkStart w:id="103" w:name="_Ref12369055"/>
      <w:r w:rsidRPr="0025325C">
        <w:t xml:space="preserve">Business-to-business </w:t>
      </w:r>
      <w:r>
        <w:t>(B2B) service sectors such as Scientific &amp; Technical Services, Wholesale Trade, Administration &amp; Support Services, and some of Information, Media &amp; Telecommunications and Finance &amp; Insurance Services are highly active innovators. B2B service sectors comprise the top three industries for share of firms investing in R&amp;D, and two of the top three industries for non-R&amp;D innovation activity. They also account for two of the top three industries for overall innovation expenditure.</w:t>
      </w:r>
      <w:r>
        <w:rPr>
          <w:rStyle w:val="FootnoteReference"/>
        </w:rPr>
        <w:footnoteReference w:id="34"/>
      </w:r>
      <w:r w:rsidRPr="00592275">
        <w:t xml:space="preserve"> </w:t>
      </w:r>
    </w:p>
    <w:p w14:paraId="5245A61A" w14:textId="05691D88" w:rsidR="009E0ADB" w:rsidRDefault="009E0ADB" w:rsidP="009E0ADB">
      <w:r>
        <w:t>Service sectors in Australia also have higher concentrations of innovation-related occupations than many non-service sectors do (</w:t>
      </w:r>
      <w:r>
        <w:fldChar w:fldCharType="begin"/>
      </w:r>
      <w:r>
        <w:instrText xml:space="preserve"> REF _Ref12955518 \h </w:instrText>
      </w:r>
      <w:r>
        <w:fldChar w:fldCharType="separate"/>
      </w:r>
      <w:r w:rsidR="005407CC" w:rsidRPr="002F7695">
        <w:t xml:space="preserve">Exhibit </w:t>
      </w:r>
      <w:r w:rsidR="005407CC">
        <w:rPr>
          <w:noProof/>
        </w:rPr>
        <w:t>24</w:t>
      </w:r>
      <w:r>
        <w:fldChar w:fldCharType="end"/>
      </w:r>
      <w:r>
        <w:t xml:space="preserve">). The three sectors with the highest concentration of innovation-related occupations (Professional, scientific and technical services, financial services, and </w:t>
      </w:r>
      <w:r>
        <w:lastRenderedPageBreak/>
        <w:t xml:space="preserve">information media, and telecommunications) are wholly or partially B2B services. Manufacturing has the highest concentration of innovation-related occupations of non-service sectors. </w:t>
      </w:r>
    </w:p>
    <w:p w14:paraId="550226FC" w14:textId="307457F6" w:rsidR="009E0ADB" w:rsidRDefault="009E0ADB" w:rsidP="009E0ADB">
      <w:pPr>
        <w:pStyle w:val="Caption"/>
      </w:pPr>
      <w:bookmarkStart w:id="104" w:name="_Ref12955518"/>
      <w:r w:rsidRPr="002F7695">
        <w:t xml:space="preserve">Exhibit </w:t>
      </w:r>
      <w:r w:rsidRPr="002F7695">
        <w:fldChar w:fldCharType="begin"/>
      </w:r>
      <w:r w:rsidRPr="002F7695">
        <w:instrText xml:space="preserve"> SEQ Exhibit \* ARABIC </w:instrText>
      </w:r>
      <w:r w:rsidRPr="002F7695">
        <w:fldChar w:fldCharType="separate"/>
      </w:r>
      <w:r w:rsidR="005407CC">
        <w:rPr>
          <w:noProof/>
        </w:rPr>
        <w:t>24</w:t>
      </w:r>
      <w:r w:rsidRPr="002F7695">
        <w:fldChar w:fldCharType="end"/>
      </w:r>
      <w:bookmarkEnd w:id="103"/>
      <w:bookmarkEnd w:id="104"/>
    </w:p>
    <w:p w14:paraId="5402CB86" w14:textId="0A46B970" w:rsidR="00CE2BB8" w:rsidRPr="00CE2BB8" w:rsidRDefault="00CE2BB8" w:rsidP="00CE2BB8">
      <w:pPr>
        <w:rPr>
          <w:lang w:val="en-US"/>
        </w:rPr>
      </w:pPr>
      <w:r w:rsidRPr="00E83F03">
        <w:rPr>
          <w:noProof/>
          <w:lang w:eastAsia="en-AU"/>
        </w:rPr>
        <w:drawing>
          <wp:inline distT="0" distB="0" distL="0" distR="0" wp14:anchorId="5644A46D" wp14:editId="49086F8C">
            <wp:extent cx="5695200" cy="3643200"/>
            <wp:effectExtent l="0" t="0" r="1270" b="0"/>
            <wp:docPr id="20" name="Picture 20" descr="Exhibit 24 shows firms in the service sector and how many people in innovation related roles they employ. See above paragraph for a relevant interpr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5200" cy="3643200"/>
                    </a:xfrm>
                    <a:prstGeom prst="rect">
                      <a:avLst/>
                    </a:prstGeom>
                    <a:noFill/>
                    <a:ln>
                      <a:noFill/>
                    </a:ln>
                  </pic:spPr>
                </pic:pic>
              </a:graphicData>
            </a:graphic>
          </wp:inline>
        </w:drawing>
      </w:r>
    </w:p>
    <w:p w14:paraId="6402FB93" w14:textId="70D8D24B" w:rsidR="009E0ADB" w:rsidRPr="00AC38CF" w:rsidRDefault="009E0ADB" w:rsidP="009E0ADB">
      <w:pPr>
        <w:spacing w:after="160"/>
        <w:jc w:val="left"/>
        <w:rPr>
          <w:rStyle w:val="SubtleEmphasis"/>
        </w:rPr>
      </w:pPr>
      <w:r w:rsidRPr="00AC38CF">
        <w:rPr>
          <w:rStyle w:val="SubtleEmphasis"/>
        </w:rPr>
        <w:t>S</w:t>
      </w:r>
      <w:r w:rsidR="00CE2BB8">
        <w:rPr>
          <w:rStyle w:val="SubtleEmphasis"/>
        </w:rPr>
        <w:t>ource</w:t>
      </w:r>
      <w:r w:rsidRPr="00AC38CF">
        <w:rPr>
          <w:rStyle w:val="SubtleEmphasis"/>
        </w:rPr>
        <w:t xml:space="preserve">: ABS (2016), Census. </w:t>
      </w:r>
      <w:r w:rsidRPr="00AC38CF">
        <w:rPr>
          <w:rStyle w:val="SubtleEmphasis"/>
        </w:rPr>
        <w:br/>
        <w:t>Note: Employment shares for professional, scientific and technical services are: Other IT innovation-related occupations: 10.5</w:t>
      </w:r>
      <w:r w:rsidR="00515F15" w:rsidRPr="00AC38CF">
        <w:rPr>
          <w:rStyle w:val="SubtleEmphasis"/>
        </w:rPr>
        <w:t xml:space="preserve"> per cent</w:t>
      </w:r>
      <w:r w:rsidRPr="00AC38CF">
        <w:rPr>
          <w:rStyle w:val="SubtleEmphasis"/>
        </w:rPr>
        <w:t>; Software developers</w:t>
      </w:r>
      <w:r w:rsidR="00DD432F" w:rsidRPr="00AC38CF">
        <w:rPr>
          <w:rStyle w:val="SubtleEmphasis"/>
        </w:rPr>
        <w:t>:</w:t>
      </w:r>
      <w:r w:rsidRPr="00AC38CF">
        <w:rPr>
          <w:rStyle w:val="SubtleEmphasis"/>
        </w:rPr>
        <w:t xml:space="preserve"> 15.7</w:t>
      </w:r>
      <w:r w:rsidR="00515F15" w:rsidRPr="00AC38CF">
        <w:rPr>
          <w:rStyle w:val="SubtleEmphasis"/>
        </w:rPr>
        <w:t xml:space="preserve"> per cent</w:t>
      </w:r>
      <w:r w:rsidRPr="00AC38CF">
        <w:rPr>
          <w:rStyle w:val="SubtleEmphasis"/>
        </w:rPr>
        <w:t>; ICT Managers</w:t>
      </w:r>
      <w:r w:rsidR="00DD432F" w:rsidRPr="00AC38CF">
        <w:rPr>
          <w:rStyle w:val="SubtleEmphasis"/>
        </w:rPr>
        <w:t>:</w:t>
      </w:r>
      <w:r w:rsidRPr="00AC38CF">
        <w:rPr>
          <w:rStyle w:val="SubtleEmphasis"/>
        </w:rPr>
        <w:t xml:space="preserve"> 7.6</w:t>
      </w:r>
      <w:r w:rsidR="00515F15" w:rsidRPr="00AC38CF">
        <w:rPr>
          <w:rStyle w:val="SubtleEmphasis"/>
        </w:rPr>
        <w:t xml:space="preserve"> per cent</w:t>
      </w:r>
      <w:r w:rsidRPr="00AC38CF">
        <w:rPr>
          <w:rStyle w:val="SubtleEmphasis"/>
        </w:rPr>
        <w:t>; R&amp;D Managers</w:t>
      </w:r>
      <w:r w:rsidR="00DD432F" w:rsidRPr="00AC38CF">
        <w:rPr>
          <w:rStyle w:val="SubtleEmphasis"/>
        </w:rPr>
        <w:t>:</w:t>
      </w:r>
      <w:r w:rsidRPr="00AC38CF">
        <w:rPr>
          <w:rStyle w:val="SubtleEmphasis"/>
        </w:rPr>
        <w:t xml:space="preserve"> 0.9</w:t>
      </w:r>
      <w:r w:rsidR="00515F15" w:rsidRPr="00AC38CF">
        <w:rPr>
          <w:rStyle w:val="SubtleEmphasis"/>
        </w:rPr>
        <w:t xml:space="preserve"> per cent</w:t>
      </w:r>
      <w:r w:rsidRPr="00AC38CF">
        <w:rPr>
          <w:rStyle w:val="SubtleEmphasis"/>
        </w:rPr>
        <w:t xml:space="preserve">. </w:t>
      </w:r>
    </w:p>
    <w:p w14:paraId="617A15DC" w14:textId="71C03666" w:rsidR="009E0ADB" w:rsidRDefault="009E0ADB" w:rsidP="003D63DB">
      <w:pPr>
        <w:spacing w:before="0" w:after="160"/>
        <w:jc w:val="left"/>
      </w:pPr>
      <w:bookmarkStart w:id="105" w:name="_Toc13064936"/>
      <w:bookmarkStart w:id="106" w:name="_Toc13478297"/>
      <w:r>
        <w:t>The importance of service sector innovation is increasing over time</w:t>
      </w:r>
      <w:bookmarkEnd w:id="105"/>
      <w:bookmarkEnd w:id="106"/>
      <w:r>
        <w:t xml:space="preserve">. </w:t>
      </w:r>
      <w:r w:rsidRPr="006328C5">
        <w:t>Service secto</w:t>
      </w:r>
      <w:r>
        <w:t>r</w:t>
      </w:r>
      <w:r w:rsidRPr="006328C5">
        <w:t xml:space="preserve"> </w:t>
      </w:r>
      <w:r w:rsidRPr="00840938">
        <w:t>innovation has grown as a share of total innovation since 2008 (</w:t>
      </w:r>
      <w:r w:rsidRPr="00840938">
        <w:fldChar w:fldCharType="begin"/>
      </w:r>
      <w:r w:rsidRPr="00840938">
        <w:instrText xml:space="preserve"> REF _Ref12534742 \h </w:instrText>
      </w:r>
      <w:r>
        <w:instrText xml:space="preserve"> \* MERGEFORMAT </w:instrText>
      </w:r>
      <w:r w:rsidRPr="00840938">
        <w:fldChar w:fldCharType="separate"/>
      </w:r>
      <w:r w:rsidR="005407CC" w:rsidRPr="00FA41BA">
        <w:t xml:space="preserve">Exhibit </w:t>
      </w:r>
      <w:r w:rsidR="005407CC">
        <w:rPr>
          <w:noProof/>
        </w:rPr>
        <w:t>7</w:t>
      </w:r>
      <w:r w:rsidRPr="00840938">
        <w:fldChar w:fldCharType="end"/>
      </w:r>
      <w:r w:rsidRPr="00840938">
        <w:t>)</w:t>
      </w:r>
      <w:r>
        <w:t>, due mostly to growth in services as a share of the economy (</w:t>
      </w:r>
      <w:r>
        <w:fldChar w:fldCharType="begin"/>
      </w:r>
      <w:r>
        <w:instrText xml:space="preserve"> REF _Ref12955262 \h </w:instrText>
      </w:r>
      <w:r>
        <w:fldChar w:fldCharType="separate"/>
      </w:r>
      <w:r w:rsidR="005407CC">
        <w:t xml:space="preserve">Exhibit </w:t>
      </w:r>
      <w:r w:rsidR="005407CC">
        <w:rPr>
          <w:noProof/>
        </w:rPr>
        <w:t>8</w:t>
      </w:r>
      <w:r>
        <w:fldChar w:fldCharType="end"/>
      </w:r>
      <w:r>
        <w:t>), and to shifts in BERD intensity</w:t>
      </w:r>
      <w:r w:rsidRPr="005C6FFB">
        <w:t xml:space="preserve"> </w:t>
      </w:r>
      <w:r>
        <w:t>(</w:t>
      </w:r>
      <w:r>
        <w:fldChar w:fldCharType="begin"/>
      </w:r>
      <w:r>
        <w:instrText xml:space="preserve"> REF _Ref12370998 \h </w:instrText>
      </w:r>
      <w:r>
        <w:fldChar w:fldCharType="separate"/>
      </w:r>
      <w:r w:rsidR="005407CC" w:rsidRPr="002F7695">
        <w:t xml:space="preserve">Exhibit </w:t>
      </w:r>
      <w:r w:rsidR="005407CC">
        <w:rPr>
          <w:noProof/>
        </w:rPr>
        <w:t>25</w:t>
      </w:r>
      <w:r>
        <w:fldChar w:fldCharType="end"/>
      </w:r>
      <w:r>
        <w:t xml:space="preserve">). From 2005, the BERD intensity of </w:t>
      </w:r>
      <w:r w:rsidR="00B51438">
        <w:t xml:space="preserve">all </w:t>
      </w:r>
      <w:r>
        <w:t xml:space="preserve">services sectors except IMT has remained steady or increased – with a large increase until 2010 in financial services. By contrast, BERD intensity was stable or decreased in most non-service sectors. The largest contribution was the fall in mining, discussed earlier, and also seen in </w:t>
      </w:r>
      <w:r>
        <w:fldChar w:fldCharType="begin"/>
      </w:r>
      <w:r>
        <w:instrText xml:space="preserve"> REF _Ref12370998 \h </w:instrText>
      </w:r>
      <w:r>
        <w:fldChar w:fldCharType="separate"/>
      </w:r>
      <w:r w:rsidR="005407CC" w:rsidRPr="002F7695">
        <w:t xml:space="preserve">Exhibit </w:t>
      </w:r>
      <w:r w:rsidR="005407CC">
        <w:rPr>
          <w:noProof/>
        </w:rPr>
        <w:t>25</w:t>
      </w:r>
      <w:r>
        <w:fldChar w:fldCharType="end"/>
      </w:r>
      <w:r>
        <w:t>.</w:t>
      </w:r>
    </w:p>
    <w:p w14:paraId="301A5318" w14:textId="7CF29968" w:rsidR="00827C0F" w:rsidRDefault="00827C0F">
      <w:pPr>
        <w:spacing w:before="0" w:after="160"/>
        <w:jc w:val="left"/>
      </w:pPr>
      <w:r>
        <w:br w:type="page"/>
      </w:r>
    </w:p>
    <w:p w14:paraId="01F414E2" w14:textId="77777777" w:rsidR="00827C0F" w:rsidRPr="003D63DB" w:rsidRDefault="00827C0F" w:rsidP="003D63DB">
      <w:pPr>
        <w:spacing w:before="0" w:after="160"/>
        <w:jc w:val="left"/>
        <w:rPr>
          <w:rFonts w:eastAsia="Times New Roman"/>
          <w:b/>
          <w:bCs/>
          <w:sz w:val="24"/>
          <w:szCs w:val="24"/>
          <w:lang w:val="en-US"/>
        </w:rPr>
      </w:pPr>
      <w:bookmarkStart w:id="107" w:name="_GoBack"/>
      <w:bookmarkEnd w:id="107"/>
    </w:p>
    <w:p w14:paraId="23A5827F" w14:textId="1659C31F" w:rsidR="009E0ADB" w:rsidRDefault="009E0ADB" w:rsidP="009E0ADB">
      <w:pPr>
        <w:pStyle w:val="Caption"/>
      </w:pPr>
      <w:bookmarkStart w:id="108" w:name="_Ref12370998"/>
      <w:r w:rsidRPr="002F7695">
        <w:t xml:space="preserve">Exhibit </w:t>
      </w:r>
      <w:r w:rsidRPr="002F7695">
        <w:fldChar w:fldCharType="begin"/>
      </w:r>
      <w:r w:rsidRPr="002F7695">
        <w:instrText xml:space="preserve"> SEQ Exhibit \* ARABIC </w:instrText>
      </w:r>
      <w:r w:rsidRPr="002F7695">
        <w:fldChar w:fldCharType="separate"/>
      </w:r>
      <w:r w:rsidR="005407CC">
        <w:rPr>
          <w:noProof/>
        </w:rPr>
        <w:t>25</w:t>
      </w:r>
      <w:r w:rsidRPr="002F7695">
        <w:fldChar w:fldCharType="end"/>
      </w:r>
      <w:bookmarkEnd w:id="108"/>
    </w:p>
    <w:p w14:paraId="4C8EA6D6" w14:textId="1A0075DB" w:rsidR="00312C72" w:rsidRPr="00312C72" w:rsidRDefault="00312C72" w:rsidP="00312C72">
      <w:pPr>
        <w:ind w:left="340"/>
        <w:rPr>
          <w:b/>
          <w:color w:val="002060"/>
          <w:sz w:val="28"/>
          <w:szCs w:val="28"/>
          <w:lang w:val="en-US"/>
        </w:rPr>
      </w:pPr>
      <w:r w:rsidRPr="00312C72">
        <w:rPr>
          <w:b/>
          <w:color w:val="002060"/>
          <w:sz w:val="28"/>
          <w:szCs w:val="28"/>
          <w:lang w:val="en-US"/>
        </w:rPr>
        <w:t>BERD intensity has tended to fall in non-services, while it remained steady or increased in services</w:t>
      </w:r>
    </w:p>
    <w:p w14:paraId="49766F51" w14:textId="5F994134" w:rsidR="00CE2BB8" w:rsidRPr="00CE2BB8" w:rsidRDefault="00CE2BB8" w:rsidP="00CE2BB8">
      <w:pPr>
        <w:rPr>
          <w:lang w:val="en-US"/>
        </w:rPr>
      </w:pPr>
      <w:r w:rsidRPr="00664A91">
        <w:rPr>
          <w:noProof/>
          <w:lang w:eastAsia="en-AU"/>
        </w:rPr>
        <w:drawing>
          <wp:inline distT="0" distB="0" distL="0" distR="0" wp14:anchorId="15674C5F" wp14:editId="62FB76DB">
            <wp:extent cx="5651500" cy="3191186"/>
            <wp:effectExtent l="0" t="0" r="6350" b="9525"/>
            <wp:docPr id="241" name="Picture 241" descr="Exhibit 25 shows that BERD intensity has tended to fall in non-services industries, while remaining steady or increasing in services industries.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399"/>
                    <a:stretch/>
                  </pic:blipFill>
                  <pic:spPr bwMode="auto">
                    <a:xfrm>
                      <a:off x="0" y="0"/>
                      <a:ext cx="5652000" cy="3191468"/>
                    </a:xfrm>
                    <a:prstGeom prst="rect">
                      <a:avLst/>
                    </a:prstGeom>
                    <a:noFill/>
                    <a:ln>
                      <a:noFill/>
                    </a:ln>
                    <a:extLst>
                      <a:ext uri="{53640926-AAD7-44D8-BBD7-CCE9431645EC}">
                        <a14:shadowObscured xmlns:a14="http://schemas.microsoft.com/office/drawing/2010/main"/>
                      </a:ext>
                    </a:extLst>
                  </pic:spPr>
                </pic:pic>
              </a:graphicData>
            </a:graphic>
          </wp:inline>
        </w:drawing>
      </w:r>
    </w:p>
    <w:p w14:paraId="39639BFE" w14:textId="77777777" w:rsidR="009E0ADB" w:rsidRPr="00955086" w:rsidRDefault="009E0ADB" w:rsidP="009E0ADB">
      <w:pPr>
        <w:spacing w:before="0" w:after="160"/>
        <w:jc w:val="left"/>
        <w:rPr>
          <w:i/>
          <w:iCs/>
          <w:color w:val="808080" w:themeColor="text1" w:themeTint="7F"/>
          <w:lang w:val="en-US"/>
        </w:rPr>
      </w:pPr>
      <w:r w:rsidRPr="00EB1372">
        <w:rPr>
          <w:rStyle w:val="SubtleEmphasis"/>
          <w:lang w:val="en-US"/>
        </w:rPr>
        <w:t>Source: ABS (2019), 8104.0; ABS (2019), 5204.0</w:t>
      </w:r>
      <w:r>
        <w:rPr>
          <w:rStyle w:val="SubtleEmphasis"/>
          <w:lang w:val="en-US"/>
        </w:rPr>
        <w:t xml:space="preserve">. 2012 and 2014 are linearly interpolated from adjacent years. </w:t>
      </w:r>
    </w:p>
    <w:p w14:paraId="1AD5B98A" w14:textId="77777777" w:rsidR="005059B6" w:rsidRDefault="005059B6" w:rsidP="003D63DB">
      <w:pPr>
        <w:rPr>
          <w:lang w:val="en-US"/>
        </w:rPr>
      </w:pPr>
      <w:r>
        <w:br w:type="page"/>
      </w:r>
    </w:p>
    <w:p w14:paraId="13B18F17" w14:textId="3E0682D3" w:rsidR="00D97E62" w:rsidRDefault="00D97E62" w:rsidP="00CF28BB">
      <w:pPr>
        <w:pStyle w:val="Heading1"/>
      </w:pPr>
      <w:bookmarkStart w:id="109" w:name="_Toc30148082"/>
      <w:r>
        <w:lastRenderedPageBreak/>
        <w:t xml:space="preserve">Innovation </w:t>
      </w:r>
      <w:r w:rsidR="005059B6">
        <w:t>can improve</w:t>
      </w:r>
      <w:r w:rsidR="00526635">
        <w:t xml:space="preserve"> firm</w:t>
      </w:r>
      <w:r>
        <w:t xml:space="preserve"> performance</w:t>
      </w:r>
      <w:bookmarkEnd w:id="109"/>
    </w:p>
    <w:p w14:paraId="3EB609C8" w14:textId="2B86DF88" w:rsidR="005059B6" w:rsidRDefault="00FD4ABA" w:rsidP="00F15D15">
      <w:pPr>
        <w:rPr>
          <w:lang w:val="en-US"/>
        </w:rPr>
      </w:pPr>
      <w:r w:rsidRPr="00FD4ABA">
        <w:rPr>
          <w:lang w:val="en-US"/>
        </w:rPr>
        <w:t xml:space="preserve">Business </w:t>
      </w:r>
      <w:r w:rsidR="00F15D15" w:rsidRPr="00FD4ABA">
        <w:rPr>
          <w:lang w:val="en-US"/>
        </w:rPr>
        <w:t>innovation</w:t>
      </w:r>
      <w:r w:rsidRPr="00FD4ABA">
        <w:rPr>
          <w:lang w:val="en-US"/>
        </w:rPr>
        <w:t xml:space="preserve"> </w:t>
      </w:r>
      <w:r w:rsidR="00117390">
        <w:rPr>
          <w:lang w:val="en-US"/>
        </w:rPr>
        <w:t xml:space="preserve">can </w:t>
      </w:r>
      <w:r w:rsidRPr="00FD4ABA">
        <w:rPr>
          <w:lang w:val="en-US"/>
        </w:rPr>
        <w:t>drive</w:t>
      </w:r>
      <w:r w:rsidR="00117390">
        <w:rPr>
          <w:lang w:val="en-US"/>
        </w:rPr>
        <w:t xml:space="preserve"> </w:t>
      </w:r>
      <w:r w:rsidR="00354B49">
        <w:rPr>
          <w:lang w:val="en-US"/>
        </w:rPr>
        <w:t xml:space="preserve">the </w:t>
      </w:r>
      <w:r w:rsidRPr="00FD4ABA">
        <w:rPr>
          <w:lang w:val="en-US"/>
        </w:rPr>
        <w:t>performance</w:t>
      </w:r>
      <w:r w:rsidR="00354B49">
        <w:rPr>
          <w:lang w:val="en-US"/>
        </w:rPr>
        <w:t xml:space="preserve"> of firms</w:t>
      </w:r>
      <w:r w:rsidRPr="00FD4ABA">
        <w:rPr>
          <w:lang w:val="en-US"/>
        </w:rPr>
        <w:t>.</w:t>
      </w:r>
      <w:r w:rsidR="00F15D15" w:rsidRPr="00FD4ABA">
        <w:rPr>
          <w:lang w:val="en-US"/>
        </w:rPr>
        <w:t xml:space="preserve"> </w:t>
      </w:r>
      <w:r w:rsidRPr="00FD4ABA">
        <w:rPr>
          <w:lang w:val="en-US"/>
        </w:rPr>
        <w:t>In trade-exposed sectors like manufacturing</w:t>
      </w:r>
      <w:r w:rsidR="00117390">
        <w:rPr>
          <w:lang w:val="en-US"/>
        </w:rPr>
        <w:t xml:space="preserve">, </w:t>
      </w:r>
      <w:r w:rsidR="00730692">
        <w:rPr>
          <w:lang w:val="en-US"/>
        </w:rPr>
        <w:t xml:space="preserve">innovation is critical to survival in the race with </w:t>
      </w:r>
      <w:r w:rsidR="00117390">
        <w:rPr>
          <w:lang w:val="en-US"/>
        </w:rPr>
        <w:t>global competitors</w:t>
      </w:r>
      <w:r w:rsidRPr="00FD4ABA">
        <w:rPr>
          <w:lang w:val="en-US"/>
        </w:rPr>
        <w:t xml:space="preserve">. </w:t>
      </w:r>
      <w:r w:rsidR="00707CFF">
        <w:rPr>
          <w:lang w:val="en-US"/>
        </w:rPr>
        <w:t>E</w:t>
      </w:r>
      <w:r w:rsidR="00730692">
        <w:rPr>
          <w:lang w:val="en-US"/>
        </w:rPr>
        <w:t xml:space="preserve">ven in sectors where </w:t>
      </w:r>
      <w:r w:rsidR="00117390">
        <w:rPr>
          <w:lang w:val="en-US"/>
        </w:rPr>
        <w:t xml:space="preserve">trade </w:t>
      </w:r>
      <w:r w:rsidR="00730692">
        <w:rPr>
          <w:lang w:val="en-US"/>
        </w:rPr>
        <w:t>exposure is lower</w:t>
      </w:r>
      <w:r w:rsidR="00117390">
        <w:rPr>
          <w:lang w:val="en-US"/>
        </w:rPr>
        <w:t>,</w:t>
      </w:r>
      <w:r w:rsidRPr="00FD4ABA">
        <w:rPr>
          <w:lang w:val="en-US"/>
        </w:rPr>
        <w:t xml:space="preserve"> innovation </w:t>
      </w:r>
      <w:r w:rsidR="00117390">
        <w:rPr>
          <w:lang w:val="en-US"/>
        </w:rPr>
        <w:t>helps</w:t>
      </w:r>
      <w:r w:rsidR="00730692">
        <w:rPr>
          <w:lang w:val="en-US"/>
        </w:rPr>
        <w:t xml:space="preserve"> firms </w:t>
      </w:r>
      <w:r w:rsidRPr="00FD4ABA">
        <w:rPr>
          <w:lang w:val="en-US"/>
        </w:rPr>
        <w:t xml:space="preserve">reduce </w:t>
      </w:r>
      <w:r w:rsidR="00730692">
        <w:rPr>
          <w:lang w:val="en-US"/>
        </w:rPr>
        <w:t xml:space="preserve">costs and </w:t>
      </w:r>
      <w:r w:rsidR="00730692" w:rsidRPr="00FD4ABA">
        <w:rPr>
          <w:lang w:val="en-US"/>
        </w:rPr>
        <w:t>improve</w:t>
      </w:r>
      <w:r w:rsidR="00730692">
        <w:rPr>
          <w:lang w:val="en-US"/>
        </w:rPr>
        <w:t xml:space="preserve"> </w:t>
      </w:r>
      <w:r w:rsidR="00730692" w:rsidRPr="00FD4ABA">
        <w:rPr>
          <w:lang w:val="en-US"/>
        </w:rPr>
        <w:t xml:space="preserve">quality, </w:t>
      </w:r>
      <w:r w:rsidRPr="00FD4ABA">
        <w:rPr>
          <w:lang w:val="en-US"/>
        </w:rPr>
        <w:t xml:space="preserve">and so </w:t>
      </w:r>
      <w:r w:rsidR="00117390">
        <w:rPr>
          <w:lang w:val="en-US"/>
        </w:rPr>
        <w:t>boost</w:t>
      </w:r>
      <w:r w:rsidR="00730692">
        <w:rPr>
          <w:lang w:val="en-US"/>
        </w:rPr>
        <w:t>s</w:t>
      </w:r>
      <w:r w:rsidR="00117390">
        <w:rPr>
          <w:lang w:val="en-US"/>
        </w:rPr>
        <w:t xml:space="preserve"> productivity and </w:t>
      </w:r>
      <w:r w:rsidR="00354B49">
        <w:rPr>
          <w:lang w:val="en-US"/>
        </w:rPr>
        <w:t>living standards across the economy</w:t>
      </w:r>
      <w:r w:rsidRPr="00FD4ABA">
        <w:rPr>
          <w:lang w:val="en-US"/>
        </w:rPr>
        <w:t>.</w:t>
      </w:r>
      <w:r>
        <w:rPr>
          <w:lang w:val="en-US"/>
        </w:rPr>
        <w:t xml:space="preserve"> </w:t>
      </w:r>
    </w:p>
    <w:p w14:paraId="3CFD1124" w14:textId="5A623030" w:rsidR="00FD4ABA" w:rsidRDefault="00267D36" w:rsidP="00F15D15">
      <w:pPr>
        <w:rPr>
          <w:lang w:val="en-US"/>
        </w:rPr>
      </w:pPr>
      <w:r>
        <w:rPr>
          <w:lang w:val="en-US"/>
        </w:rPr>
        <w:t xml:space="preserve">Large and small </w:t>
      </w:r>
      <w:r w:rsidR="00FD4ABA">
        <w:rPr>
          <w:lang w:val="en-US"/>
        </w:rPr>
        <w:t>firms that invest in innovation outperform others</w:t>
      </w:r>
      <w:r w:rsidR="00117390">
        <w:rPr>
          <w:lang w:val="en-US"/>
        </w:rPr>
        <w:t>, on average</w:t>
      </w:r>
      <w:r>
        <w:rPr>
          <w:lang w:val="en-US"/>
        </w:rPr>
        <w:t xml:space="preserve">. </w:t>
      </w:r>
      <w:r w:rsidR="00117390">
        <w:rPr>
          <w:lang w:val="en-US"/>
        </w:rPr>
        <w:t xml:space="preserve">The </w:t>
      </w:r>
      <w:r w:rsidR="00FD4ABA">
        <w:rPr>
          <w:lang w:val="en-US"/>
        </w:rPr>
        <w:t>findings</w:t>
      </w:r>
      <w:r w:rsidR="00117390">
        <w:rPr>
          <w:lang w:val="en-US"/>
        </w:rPr>
        <w:t xml:space="preserve"> reported here</w:t>
      </w:r>
      <w:r w:rsidR="00FD4ABA">
        <w:rPr>
          <w:lang w:val="en-US"/>
        </w:rPr>
        <w:t xml:space="preserve"> are consistent with</w:t>
      </w:r>
      <w:r w:rsidR="00354B49">
        <w:rPr>
          <w:lang w:val="en-US"/>
        </w:rPr>
        <w:t xml:space="preserve">, </w:t>
      </w:r>
      <w:r w:rsidR="00FD4ABA">
        <w:rPr>
          <w:lang w:val="en-US"/>
        </w:rPr>
        <w:t>and add to</w:t>
      </w:r>
      <w:r w:rsidR="00354B49">
        <w:rPr>
          <w:lang w:val="en-US"/>
        </w:rPr>
        <w:t>,</w:t>
      </w:r>
      <w:r w:rsidR="00FD4ABA">
        <w:rPr>
          <w:lang w:val="en-US"/>
        </w:rPr>
        <w:t xml:space="preserve"> a broader literature on how firm-level survival and performance is linked to investments in innovation. </w:t>
      </w:r>
      <w:r w:rsidR="00117390">
        <w:rPr>
          <w:lang w:val="en-US"/>
        </w:rPr>
        <w:t xml:space="preserve">There </w:t>
      </w:r>
      <w:r>
        <w:rPr>
          <w:lang w:val="en-US"/>
        </w:rPr>
        <w:t xml:space="preserve">is </w:t>
      </w:r>
      <w:r w:rsidR="00117390">
        <w:rPr>
          <w:lang w:val="en-US"/>
        </w:rPr>
        <w:t xml:space="preserve">also </w:t>
      </w:r>
      <w:r>
        <w:rPr>
          <w:lang w:val="en-US"/>
        </w:rPr>
        <w:t xml:space="preserve">evidence that sectors </w:t>
      </w:r>
      <w:r w:rsidR="00707CFF">
        <w:rPr>
          <w:lang w:val="en-US"/>
        </w:rPr>
        <w:t xml:space="preserve">experience faster productivity growth </w:t>
      </w:r>
      <w:r>
        <w:rPr>
          <w:lang w:val="en-US"/>
        </w:rPr>
        <w:t>where a large share of firms invest in innovation</w:t>
      </w:r>
      <w:r w:rsidR="00707CFF">
        <w:rPr>
          <w:lang w:val="en-US"/>
        </w:rPr>
        <w:t>.</w:t>
      </w:r>
    </w:p>
    <w:p w14:paraId="0A47D44D" w14:textId="25417D9F" w:rsidR="00683C1C" w:rsidRPr="006656D4" w:rsidRDefault="00683C1C" w:rsidP="00683C1C">
      <w:pPr>
        <w:pStyle w:val="Heading2"/>
      </w:pPr>
      <w:bookmarkStart w:id="110" w:name="_Toc30148083"/>
      <w:bookmarkEnd w:id="99"/>
      <w:bookmarkEnd w:id="100"/>
      <w:bookmarkEnd w:id="101"/>
      <w:r>
        <w:t xml:space="preserve">Innovation </w:t>
      </w:r>
      <w:r w:rsidR="00B742DE">
        <w:t>improves</w:t>
      </w:r>
      <w:r>
        <w:t xml:space="preserve"> large firm performance</w:t>
      </w:r>
      <w:bookmarkEnd w:id="110"/>
    </w:p>
    <w:p w14:paraId="4F8374CB" w14:textId="70F829D8" w:rsidR="00170689" w:rsidRDefault="00707CFF" w:rsidP="00683C1C">
      <w:r>
        <w:t>Evidence suggests</w:t>
      </w:r>
      <w:r w:rsidR="00683C1C">
        <w:t xml:space="preserve"> that </w:t>
      </w:r>
      <w:r w:rsidR="00683C1C" w:rsidRPr="007F0981">
        <w:t>Australian</w:t>
      </w:r>
      <w:r w:rsidR="00683C1C">
        <w:t xml:space="preserve"> large</w:t>
      </w:r>
      <w:r w:rsidR="00683C1C" w:rsidRPr="007F0981">
        <w:t xml:space="preserve"> firms that </w:t>
      </w:r>
      <w:r w:rsidR="00683C1C">
        <w:t xml:space="preserve">invest more in </w:t>
      </w:r>
      <w:r w:rsidR="00683C1C" w:rsidRPr="007F0981">
        <w:t xml:space="preserve">R&amp;D and </w:t>
      </w:r>
      <w:r w:rsidR="00683C1C">
        <w:t xml:space="preserve">are more </w:t>
      </w:r>
      <w:r w:rsidR="00683C1C" w:rsidRPr="007F0981">
        <w:t>intangibles</w:t>
      </w:r>
      <w:r w:rsidR="00683C1C">
        <w:t>-</w:t>
      </w:r>
      <w:r w:rsidR="00683C1C" w:rsidRPr="007F0981">
        <w:t>intense perform better than ASX200 firms that prioritise dividends</w:t>
      </w:r>
      <w:r w:rsidR="00683C1C">
        <w:t xml:space="preserve">. </w:t>
      </w:r>
    </w:p>
    <w:p w14:paraId="7A570D13" w14:textId="0DA39890" w:rsidR="00170689" w:rsidRPr="00B4146C" w:rsidRDefault="00267D36" w:rsidP="00A30591">
      <w:r>
        <w:t>F</w:t>
      </w:r>
      <w:r w:rsidR="00170689" w:rsidRPr="00B4146C">
        <w:t>irms that invest more in R&amp;D or are more intangibles-intense perform better than other surviving firms (</w:t>
      </w:r>
      <w:r w:rsidR="00FC1A19">
        <w:fldChar w:fldCharType="begin"/>
      </w:r>
      <w:r w:rsidR="00FC1A19">
        <w:instrText xml:space="preserve"> REF _Ref19915619 \h </w:instrText>
      </w:r>
      <w:r w:rsidR="00FC1A19">
        <w:fldChar w:fldCharType="separate"/>
      </w:r>
      <w:r w:rsidR="005407CC" w:rsidRPr="002F7695">
        <w:t>Exhibit</w:t>
      </w:r>
      <w:r w:rsidR="005407CC">
        <w:t xml:space="preserve"> </w:t>
      </w:r>
      <w:r w:rsidR="005407CC">
        <w:rPr>
          <w:noProof/>
        </w:rPr>
        <w:t>26</w:t>
      </w:r>
      <w:r w:rsidR="00FC1A19">
        <w:fldChar w:fldCharType="end"/>
      </w:r>
      <w:r w:rsidR="00FC1A19">
        <w:t xml:space="preserve">). </w:t>
      </w:r>
      <w:r w:rsidR="00B4146C" w:rsidRPr="00B4146C">
        <w:t>The average nominal revenue growth for an ASX200 firm over the decade to 2016 was 7.1 per cent</w:t>
      </w:r>
      <w:r w:rsidR="00FC1A19">
        <w:t xml:space="preserve"> per year</w:t>
      </w:r>
      <w:r w:rsidR="00B4146C" w:rsidRPr="00B4146C">
        <w:t xml:space="preserve">. But firms </w:t>
      </w:r>
      <w:r w:rsidR="00170689" w:rsidRPr="00B4146C">
        <w:t xml:space="preserve">in the top </w:t>
      </w:r>
      <w:r w:rsidR="00B4146C" w:rsidRPr="00B4146C">
        <w:t xml:space="preserve">fourth by </w:t>
      </w:r>
      <w:r w:rsidR="00170689" w:rsidRPr="00B4146C">
        <w:t>R&amp;D expenditure</w:t>
      </w:r>
      <w:r w:rsidR="00B4146C" w:rsidRPr="00B4146C">
        <w:t xml:space="preserve"> (as a share of sales)</w:t>
      </w:r>
      <w:r w:rsidR="00170689" w:rsidRPr="00B4146C">
        <w:t xml:space="preserve"> </w:t>
      </w:r>
      <w:r w:rsidR="00B4146C" w:rsidRPr="00B4146C">
        <w:t xml:space="preserve">grew </w:t>
      </w:r>
      <w:r w:rsidR="00170689" w:rsidRPr="00B4146C">
        <w:t xml:space="preserve">revenue 0.6 ppt </w:t>
      </w:r>
      <w:r w:rsidR="00B4146C" w:rsidRPr="00B4146C">
        <w:t>per year faster</w:t>
      </w:r>
      <w:r w:rsidR="00170689" w:rsidRPr="00B4146C">
        <w:t>, at 7.7 per cent</w:t>
      </w:r>
      <w:r w:rsidR="00B4146C" w:rsidRPr="00B4146C">
        <w:t xml:space="preserve">. </w:t>
      </w:r>
      <w:r w:rsidR="00707CFF">
        <w:t>F</w:t>
      </w:r>
      <w:r w:rsidR="00B4146C" w:rsidRPr="00B4146C">
        <w:t xml:space="preserve">irms in </w:t>
      </w:r>
      <w:r w:rsidR="00170689" w:rsidRPr="00B4146C">
        <w:t xml:space="preserve">the top </w:t>
      </w:r>
      <w:r w:rsidR="00B4146C" w:rsidRPr="00B4146C">
        <w:t xml:space="preserve">fourth </w:t>
      </w:r>
      <w:r w:rsidR="00170689" w:rsidRPr="00B4146C">
        <w:t xml:space="preserve">by intangible asset share of total assets </w:t>
      </w:r>
      <w:r w:rsidR="00FC1A19">
        <w:t xml:space="preserve">grew </w:t>
      </w:r>
      <w:r w:rsidR="00B4146C" w:rsidRPr="00B4146C">
        <w:t>revenue</w:t>
      </w:r>
      <w:r w:rsidR="00FC1A19">
        <w:t xml:space="preserve"> </w:t>
      </w:r>
      <w:r w:rsidR="00170689" w:rsidRPr="00B4146C">
        <w:t xml:space="preserve">1.3 ppt </w:t>
      </w:r>
      <w:r w:rsidR="00B4146C" w:rsidRPr="00B4146C">
        <w:t>per year faster</w:t>
      </w:r>
      <w:r w:rsidR="00170689" w:rsidRPr="00B4146C">
        <w:t>, at 8.4 per cen</w:t>
      </w:r>
      <w:r w:rsidR="00B4146C" w:rsidRPr="00B4146C">
        <w:t>t</w:t>
      </w:r>
      <w:r w:rsidR="00170689" w:rsidRPr="00B4146C">
        <w:t>.</w:t>
      </w:r>
      <w:r w:rsidR="00170689" w:rsidRPr="00B4146C">
        <w:rPr>
          <w:rStyle w:val="FootnoteReference"/>
        </w:rPr>
        <w:t xml:space="preserve"> </w:t>
      </w:r>
      <w:r w:rsidR="00170689" w:rsidRPr="00B4146C">
        <w:t xml:space="preserve">By contrast, firms with a dividend payout ratio in the top 25 </w:t>
      </w:r>
      <w:r w:rsidR="00B4146C" w:rsidRPr="00B4146C">
        <w:t xml:space="preserve">quarter </w:t>
      </w:r>
      <w:r w:rsidR="00170689" w:rsidRPr="00B4146C">
        <w:t>grew 0.7 ppt per year more slowly than the average.</w:t>
      </w:r>
      <w:r w:rsidR="00170689" w:rsidRPr="00B4146C">
        <w:rPr>
          <w:rStyle w:val="FootnoteReference"/>
        </w:rPr>
        <w:footnoteReference w:id="35"/>
      </w:r>
    </w:p>
    <w:p w14:paraId="467D9FE1" w14:textId="3CDF56E2" w:rsidR="00683C1C" w:rsidRDefault="00683C1C" w:rsidP="00683C1C">
      <w:pPr>
        <w:pStyle w:val="Caption"/>
      </w:pPr>
      <w:bookmarkStart w:id="111" w:name="_Ref19915619"/>
      <w:r w:rsidRPr="002F7695">
        <w:lastRenderedPageBreak/>
        <w:t>Exhibit</w:t>
      </w:r>
      <w:r>
        <w:t xml:space="preserve"> </w:t>
      </w:r>
      <w:r w:rsidRPr="002F7695">
        <w:fldChar w:fldCharType="begin"/>
      </w:r>
      <w:r w:rsidRPr="002F7695">
        <w:instrText xml:space="preserve"> SEQ Exhibit \* ARABIC </w:instrText>
      </w:r>
      <w:r w:rsidRPr="002F7695">
        <w:fldChar w:fldCharType="separate"/>
      </w:r>
      <w:r w:rsidR="005407CC">
        <w:rPr>
          <w:noProof/>
        </w:rPr>
        <w:t>26</w:t>
      </w:r>
      <w:r w:rsidRPr="002F7695">
        <w:fldChar w:fldCharType="end"/>
      </w:r>
      <w:bookmarkEnd w:id="111"/>
    </w:p>
    <w:p w14:paraId="2D910984" w14:textId="3026CBAB" w:rsidR="00BE6CA9" w:rsidRPr="00BE6CA9" w:rsidRDefault="00BE6CA9" w:rsidP="00BE6CA9">
      <w:pPr>
        <w:rPr>
          <w:lang w:val="en-US"/>
        </w:rPr>
      </w:pPr>
      <w:r w:rsidRPr="00FA2204">
        <w:rPr>
          <w:rStyle w:val="CommentReference"/>
          <w:noProof/>
          <w:sz w:val="20"/>
          <w:szCs w:val="20"/>
          <w:lang w:eastAsia="en-AU"/>
        </w:rPr>
        <w:drawing>
          <wp:inline distT="0" distB="0" distL="0" distR="0" wp14:anchorId="5B603A3C" wp14:editId="1B43CA29">
            <wp:extent cx="5659200" cy="3441600"/>
            <wp:effectExtent l="0" t="0" r="0" b="6985"/>
            <wp:docPr id="28" name="Picture 28" descr="Exhibit 26 shows that firms which prioritise intangible and R&amp;D grow faster than the ASX200 average, while firms that priorities dividend grow less.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59200" cy="3441600"/>
                    </a:xfrm>
                    <a:prstGeom prst="rect">
                      <a:avLst/>
                    </a:prstGeom>
                    <a:noFill/>
                    <a:ln>
                      <a:noFill/>
                    </a:ln>
                  </pic:spPr>
                </pic:pic>
              </a:graphicData>
            </a:graphic>
          </wp:inline>
        </w:drawing>
      </w:r>
    </w:p>
    <w:p w14:paraId="7AF47EF1" w14:textId="6E9BD315" w:rsidR="00683C1C" w:rsidRPr="00AC38CF" w:rsidRDefault="00B97A06" w:rsidP="00683C1C">
      <w:pPr>
        <w:rPr>
          <w:rStyle w:val="SubtleEmphasis"/>
        </w:rPr>
      </w:pPr>
      <w:r>
        <w:rPr>
          <w:rStyle w:val="SubtleEmphasis"/>
        </w:rPr>
        <w:t>Source: S</w:t>
      </w:r>
      <w:r w:rsidR="00683C1C" w:rsidRPr="00AC38CF">
        <w:rPr>
          <w:rStyle w:val="SubtleEmphasis"/>
        </w:rPr>
        <w:t>entieo, AlphaBeta analysis. Regression of revenue growth from 2003-07 to 2014-18 on intangibles share (net intangible assets) / (net intangible assets + net PP&amp;E), dividend payout ratio, and R&amp;D share of sales in 2003-07. Regression includes surviving ASX200 firms from 2005 to 2016 that report intangibles (n = 47). None of the variables are significantly different than 0 at the 5 per cent level (intangibles: p = 0.11; dividend payout: p = 0.13, R&amp;D share: p = 0.11). Does not control for industry sector. (1) R&amp;D result is based on firms who reported R&amp;D (Only 10 of 47 firms).</w:t>
      </w:r>
      <w:r w:rsidR="00707CFF" w:rsidRPr="008101F2">
        <w:rPr>
          <w:rStyle w:val="SubtleEmphasis"/>
          <w:vertAlign w:val="superscript"/>
        </w:rPr>
        <w:footnoteReference w:id="36"/>
      </w:r>
    </w:p>
    <w:p w14:paraId="0D52C402" w14:textId="440143C1" w:rsidR="00A30591" w:rsidRPr="00B4146C" w:rsidRDefault="00A30591" w:rsidP="00683C1C">
      <w:r w:rsidRPr="00111181">
        <w:t xml:space="preserve">Firms that report intangible assets or spending on R&amp;D </w:t>
      </w:r>
      <w:r>
        <w:t>were</w:t>
      </w:r>
      <w:r w:rsidRPr="00111181">
        <w:t xml:space="preserve"> also more likely to survive than those that report neither (</w:t>
      </w:r>
      <w:r w:rsidR="00FC1A19">
        <w:fldChar w:fldCharType="begin"/>
      </w:r>
      <w:r w:rsidR="00FC1A19">
        <w:instrText xml:space="preserve"> REF _Ref19915700 \h </w:instrText>
      </w:r>
      <w:r w:rsidR="00FC1A19">
        <w:fldChar w:fldCharType="separate"/>
      </w:r>
      <w:r w:rsidR="005407CC" w:rsidRPr="00111181">
        <w:t xml:space="preserve">Exhibit </w:t>
      </w:r>
      <w:r w:rsidR="005407CC">
        <w:rPr>
          <w:noProof/>
        </w:rPr>
        <w:t>27</w:t>
      </w:r>
      <w:r w:rsidR="00FC1A19">
        <w:fldChar w:fldCharType="end"/>
      </w:r>
      <w:r w:rsidRPr="00111181">
        <w:t xml:space="preserve">). </w:t>
      </w:r>
      <w:r w:rsidR="00B51438">
        <w:t xml:space="preserve">Over </w:t>
      </w:r>
      <w:r w:rsidR="00D0366E">
        <w:t xml:space="preserve">four-fifths </w:t>
      </w:r>
      <w:r>
        <w:t xml:space="preserve">of </w:t>
      </w:r>
      <w:r w:rsidR="00D463CB">
        <w:t xml:space="preserve">ASX 200 </w:t>
      </w:r>
      <w:r>
        <w:t xml:space="preserve">firms that did not report any R&amp;D or intangible assets in 2005 </w:t>
      </w:r>
      <w:r w:rsidR="00D463CB">
        <w:t xml:space="preserve">survived </w:t>
      </w:r>
      <w:r w:rsidR="00D0366E">
        <w:t xml:space="preserve">as independent </w:t>
      </w:r>
      <w:r w:rsidR="002944DD">
        <w:t>entities</w:t>
      </w:r>
      <w:r w:rsidR="00D0366E">
        <w:t xml:space="preserve"> through </w:t>
      </w:r>
      <w:r w:rsidR="00D0366E" w:rsidRPr="009E5D2B">
        <w:t xml:space="preserve">to </w:t>
      </w:r>
      <w:r w:rsidRPr="009E5D2B">
        <w:t>2018, while</w:t>
      </w:r>
      <w:r>
        <w:t xml:space="preserve"> </w:t>
      </w:r>
      <w:r w:rsidR="00D0366E">
        <w:t>almost all firms that reported both R&amp;D expenditure and intangible assets survived</w:t>
      </w:r>
      <w:r w:rsidR="00D0366E" w:rsidRPr="00B70116">
        <w:t xml:space="preserve">. </w:t>
      </w:r>
      <w:r w:rsidR="00267D36">
        <w:t xml:space="preserve">Again, </w:t>
      </w:r>
      <w:r w:rsidRPr="00B70116">
        <w:t xml:space="preserve">the correlations are </w:t>
      </w:r>
      <w:r w:rsidR="00267D36">
        <w:t xml:space="preserve">relatively </w:t>
      </w:r>
      <w:r w:rsidRPr="00B70116">
        <w:t xml:space="preserve">weak, with a significant risk </w:t>
      </w:r>
      <w:r w:rsidR="002944DD" w:rsidRPr="00B70116">
        <w:t xml:space="preserve">that differences at least as big </w:t>
      </w:r>
      <w:r w:rsidR="00B4146C">
        <w:t xml:space="preserve">would be </w:t>
      </w:r>
      <w:r w:rsidR="002944DD" w:rsidRPr="00B70116">
        <w:t>observed even if there were no underlying connection, just due to random variation in survival rates</w:t>
      </w:r>
      <w:r w:rsidRPr="00B70116">
        <w:t>.</w:t>
      </w:r>
      <w:r w:rsidR="00024B3F" w:rsidRPr="00B70116">
        <w:t xml:space="preserve"> Previous research has</w:t>
      </w:r>
      <w:r w:rsidR="003453DE">
        <w:t xml:space="preserve"> </w:t>
      </w:r>
      <w:r w:rsidR="006C0922" w:rsidRPr="00B70116">
        <w:t>also found that more innovative firms are more likely to survive</w:t>
      </w:r>
      <w:r w:rsidR="00024B3F" w:rsidRPr="00B70116">
        <w:t>.</w:t>
      </w:r>
      <w:r w:rsidR="004B51FE" w:rsidRPr="00B51438">
        <w:rPr>
          <w:rStyle w:val="FootnoteReference"/>
        </w:rPr>
        <w:footnoteReference w:id="37"/>
      </w:r>
      <w:r w:rsidR="00B4146C">
        <w:t xml:space="preserve"> </w:t>
      </w:r>
    </w:p>
    <w:p w14:paraId="51D3A5BA" w14:textId="7EDEDCBE" w:rsidR="00683C1C" w:rsidRDefault="00683C1C" w:rsidP="00683C1C">
      <w:pPr>
        <w:pStyle w:val="Caption"/>
      </w:pPr>
      <w:bookmarkStart w:id="112" w:name="_Ref19915700"/>
      <w:r w:rsidRPr="00111181">
        <w:lastRenderedPageBreak/>
        <w:t xml:space="preserve">Exhibit </w:t>
      </w:r>
      <w:r w:rsidRPr="00111181">
        <w:fldChar w:fldCharType="begin"/>
      </w:r>
      <w:r w:rsidRPr="00111181">
        <w:instrText xml:space="preserve"> SEQ Exhibit \* ARABIC </w:instrText>
      </w:r>
      <w:r w:rsidRPr="00111181">
        <w:fldChar w:fldCharType="separate"/>
      </w:r>
      <w:r w:rsidR="005407CC">
        <w:rPr>
          <w:noProof/>
        </w:rPr>
        <w:t>27</w:t>
      </w:r>
      <w:r w:rsidRPr="00111181">
        <w:fldChar w:fldCharType="end"/>
      </w:r>
      <w:bookmarkEnd w:id="112"/>
    </w:p>
    <w:p w14:paraId="210E739A" w14:textId="42759D1B" w:rsidR="005F3E2F" w:rsidRPr="005F3E2F" w:rsidRDefault="005F3E2F" w:rsidP="005F3E2F">
      <w:pPr>
        <w:rPr>
          <w:lang w:val="en-US"/>
        </w:rPr>
      </w:pPr>
      <w:r w:rsidRPr="00656128">
        <w:rPr>
          <w:noProof/>
          <w:lang w:eastAsia="en-AU"/>
        </w:rPr>
        <w:drawing>
          <wp:inline distT="0" distB="0" distL="0" distR="0" wp14:anchorId="3518FD8F" wp14:editId="7707AEEF">
            <wp:extent cx="5659200" cy="3430800"/>
            <wp:effectExtent l="0" t="0" r="0" b="0"/>
            <wp:docPr id="246" name="Picture 246" descr="Exhibit 27 shows that ASX200 firms reporting intangible assets and R&amp;D expenditure in 2005 were 15% more likely to survive to 2018 than those with neither.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59200" cy="3430800"/>
                    </a:xfrm>
                    <a:prstGeom prst="rect">
                      <a:avLst/>
                    </a:prstGeom>
                    <a:noFill/>
                    <a:ln>
                      <a:noFill/>
                    </a:ln>
                  </pic:spPr>
                </pic:pic>
              </a:graphicData>
            </a:graphic>
          </wp:inline>
        </w:drawing>
      </w:r>
    </w:p>
    <w:p w14:paraId="25F70A1A" w14:textId="3232C7FF" w:rsidR="00683C1C" w:rsidRPr="00AC38CF" w:rsidRDefault="005F3E2F" w:rsidP="00683C1C">
      <w:pPr>
        <w:rPr>
          <w:rStyle w:val="SubtleEmphasis"/>
        </w:rPr>
      </w:pPr>
      <w:r>
        <w:rPr>
          <w:rStyle w:val="SubtleEmphasis"/>
        </w:rPr>
        <w:t xml:space="preserve">Source: </w:t>
      </w:r>
      <w:r w:rsidR="00683C1C" w:rsidRPr="00AC38CF">
        <w:rPr>
          <w:rStyle w:val="SubtleEmphasis"/>
        </w:rPr>
        <w:t xml:space="preserve">Sentieo (2019), AlphaBeta analysis. Analysis controls for size of firms.  Sample is 188 ASX firms from 2005 to 2018 with available data. Dependent variable is firm survival, defined as having market cap throughout the period. Independent variables are zero/nonzero intangibles and zero/nonzero R&amp;D spend in 2005. </w:t>
      </w:r>
      <w:r w:rsidR="00A70158" w:rsidRPr="00AC38CF">
        <w:rPr>
          <w:rStyle w:val="SubtleEmphasis"/>
        </w:rPr>
        <w:t>V</w:t>
      </w:r>
      <w:r w:rsidR="00683C1C" w:rsidRPr="00AC38CF">
        <w:rPr>
          <w:rStyle w:val="SubtleEmphasis"/>
        </w:rPr>
        <w:t>ariables are not statistically significant at the 10 per cent level: intangibles (p = 0.28) and R&amp;D (p = 0.41)</w:t>
      </w:r>
      <w:r w:rsidR="00D463CB" w:rsidRPr="00AC38CF">
        <w:rPr>
          <w:rStyle w:val="SubtleEmphasis"/>
        </w:rPr>
        <w:t xml:space="preserve">. </w:t>
      </w:r>
    </w:p>
    <w:p w14:paraId="21A29593" w14:textId="26F3828A" w:rsidR="00B47C4E" w:rsidRDefault="00B47C4E" w:rsidP="00B47C4E">
      <w:pPr>
        <w:pStyle w:val="Heading2"/>
      </w:pPr>
      <w:bookmarkStart w:id="113" w:name="_Toc14778698"/>
      <w:bookmarkStart w:id="114" w:name="_Toc14780521"/>
      <w:bookmarkStart w:id="115" w:name="_Toc14780605"/>
      <w:bookmarkStart w:id="116" w:name="_Toc14781003"/>
      <w:bookmarkStart w:id="117" w:name="_Toc30148084"/>
      <w:bookmarkEnd w:id="113"/>
      <w:bookmarkEnd w:id="114"/>
      <w:bookmarkEnd w:id="115"/>
      <w:bookmarkEnd w:id="116"/>
      <w:r>
        <w:t>Digital innovation lifts SME performance</w:t>
      </w:r>
      <w:bookmarkEnd w:id="117"/>
    </w:p>
    <w:p w14:paraId="68E3DE56" w14:textId="0C32FC92" w:rsidR="000810A6" w:rsidRDefault="00B930AB" w:rsidP="00436768">
      <w:pPr>
        <w:spacing w:before="0" w:after="160"/>
        <w:jc w:val="left"/>
      </w:pPr>
      <w:r w:rsidRPr="00040707">
        <w:t>I</w:t>
      </w:r>
      <w:r w:rsidR="00A823CA" w:rsidRPr="00040707">
        <w:t>nnovation investment</w:t>
      </w:r>
      <w:r w:rsidRPr="00040707">
        <w:t xml:space="preserve"> is </w:t>
      </w:r>
      <w:r w:rsidR="0002378F">
        <w:t xml:space="preserve">also </w:t>
      </w:r>
      <w:r w:rsidRPr="00040707">
        <w:t>associated with tangible benefits for small businesses</w:t>
      </w:r>
      <w:r w:rsidR="00A823CA" w:rsidRPr="00040707">
        <w:t xml:space="preserve">. Compared to firms without innovation activity or investment, those </w:t>
      </w:r>
      <w:r w:rsidR="00687D13" w:rsidRPr="00040707">
        <w:t xml:space="preserve">that </w:t>
      </w:r>
      <w:r w:rsidR="00134DA9" w:rsidRPr="00040707">
        <w:t xml:space="preserve">accelerate investment in </w:t>
      </w:r>
      <w:r w:rsidR="00B82BAF">
        <w:t>technology</w:t>
      </w:r>
      <w:r w:rsidR="00687D13" w:rsidRPr="00040707">
        <w:t xml:space="preserve"> and </w:t>
      </w:r>
      <w:r w:rsidR="00BA1AC2" w:rsidRPr="00040707">
        <w:t xml:space="preserve">are more sophisticated users of IT </w:t>
      </w:r>
      <w:r w:rsidR="00A823CA" w:rsidRPr="00040707">
        <w:t xml:space="preserve">have higher revenue and employment growth. </w:t>
      </w:r>
      <w:r w:rsidR="00B87B22" w:rsidRPr="00040707">
        <w:t xml:space="preserve">SMEs with high </w:t>
      </w:r>
      <w:r w:rsidR="00B82BAF">
        <w:t>technology</w:t>
      </w:r>
      <w:r w:rsidR="00B87B22" w:rsidRPr="00040707">
        <w:t xml:space="preserve"> spending </w:t>
      </w:r>
      <w:r w:rsidR="00134DA9" w:rsidRPr="00040707">
        <w:t xml:space="preserve">growth </w:t>
      </w:r>
      <w:r w:rsidR="00360957" w:rsidRPr="00040707">
        <w:t xml:space="preserve">also </w:t>
      </w:r>
      <w:r w:rsidR="00B87B22" w:rsidRPr="00040707">
        <w:t>grew revenue 3.5</w:t>
      </w:r>
      <w:r w:rsidR="00687D13" w:rsidRPr="00040707">
        <w:t xml:space="preserve"> </w:t>
      </w:r>
      <w:r w:rsidR="00B87B22" w:rsidRPr="00040707">
        <w:t xml:space="preserve">ppt </w:t>
      </w:r>
      <w:r w:rsidR="00134DA9" w:rsidRPr="00040707">
        <w:t xml:space="preserve">per year faster, </w:t>
      </w:r>
      <w:r w:rsidR="00B87B22" w:rsidRPr="00040707">
        <w:t>and employment 5.2</w:t>
      </w:r>
      <w:r w:rsidR="00687D13" w:rsidRPr="00040707">
        <w:t xml:space="preserve"> </w:t>
      </w:r>
      <w:r w:rsidR="00B87B22" w:rsidRPr="00040707">
        <w:t xml:space="preserve">ppt </w:t>
      </w:r>
      <w:r w:rsidR="00134DA9" w:rsidRPr="00040707">
        <w:t xml:space="preserve">per year </w:t>
      </w:r>
      <w:r w:rsidR="00B87B22" w:rsidRPr="00040707">
        <w:t xml:space="preserve">faster than those with low </w:t>
      </w:r>
      <w:r w:rsidR="005D103D">
        <w:t xml:space="preserve">technology spending </w:t>
      </w:r>
      <w:r w:rsidR="00B87B22" w:rsidRPr="00040707">
        <w:t>growth (</w:t>
      </w:r>
      <w:r w:rsidR="002051AA" w:rsidRPr="00040707">
        <w:fldChar w:fldCharType="begin"/>
      </w:r>
      <w:r w:rsidR="002051AA" w:rsidRPr="00040707">
        <w:instrText xml:space="preserve"> REF _Ref12430218 \h </w:instrText>
      </w:r>
      <w:r w:rsidR="00DD3487" w:rsidRPr="00040707">
        <w:instrText xml:space="preserve"> \* MERGEFORMAT </w:instrText>
      </w:r>
      <w:r w:rsidR="002051AA" w:rsidRPr="00040707">
        <w:fldChar w:fldCharType="separate"/>
      </w:r>
      <w:r w:rsidR="005407CC" w:rsidRPr="00040707">
        <w:t xml:space="preserve">Exhibit </w:t>
      </w:r>
      <w:r w:rsidR="005407CC">
        <w:rPr>
          <w:noProof/>
        </w:rPr>
        <w:t>28</w:t>
      </w:r>
      <w:r w:rsidR="002051AA" w:rsidRPr="00040707">
        <w:fldChar w:fldCharType="end"/>
      </w:r>
      <w:r w:rsidR="00B87B22" w:rsidRPr="00040707">
        <w:t xml:space="preserve">). </w:t>
      </w:r>
      <w:r w:rsidRPr="00040707">
        <w:t xml:space="preserve">Causation is likely to flow in both directions between </w:t>
      </w:r>
      <w:r w:rsidR="005D103D">
        <w:t>technology</w:t>
      </w:r>
      <w:r w:rsidRPr="00040707">
        <w:t xml:space="preserve"> expenditure and</w:t>
      </w:r>
      <w:r w:rsidR="009000B0">
        <w:t xml:space="preserve"> other drivers of</w:t>
      </w:r>
      <w:r w:rsidRPr="00040707">
        <w:t xml:space="preserve"> business growth.</w:t>
      </w:r>
    </w:p>
    <w:p w14:paraId="400512FA" w14:textId="092425E3" w:rsidR="001E05C8" w:rsidRDefault="001E05C8" w:rsidP="001E05C8">
      <w:pPr>
        <w:pStyle w:val="01squarebullet"/>
        <w:numPr>
          <w:ilvl w:val="0"/>
          <w:numId w:val="0"/>
        </w:numPr>
        <w:jc w:val="left"/>
      </w:pPr>
      <w:r>
        <w:t>Firms on the Xero accounting platform that used at least one cloud-based software application (“app”) in FY17-18 increased employment 2.2 ppt faster in that year than others, and revenue growth also increased with the number of apps a business used (</w:t>
      </w:r>
      <w:r>
        <w:fldChar w:fldCharType="begin"/>
      </w:r>
      <w:r>
        <w:instrText xml:space="preserve"> REF _Ref12430227 \h  \* MERGEFORMAT </w:instrText>
      </w:r>
      <w:r>
        <w:fldChar w:fldCharType="separate"/>
      </w:r>
      <w:r w:rsidR="005407CC" w:rsidRPr="002F7695">
        <w:t xml:space="preserve">Exhibit </w:t>
      </w:r>
      <w:r w:rsidR="005407CC">
        <w:rPr>
          <w:noProof/>
        </w:rPr>
        <w:t>29</w:t>
      </w:r>
      <w:r>
        <w:fldChar w:fldCharType="end"/>
      </w:r>
      <w:r>
        <w:t xml:space="preserve">). This holds regardless of the small firm’s overall revenue: faster-growing Xero firms are more likely to use apps, irrespective of their business size. As in the case of technology expenditure, causation may flow in both directions between app usage and business growth more broadly, or from other drivers of business performance to app usage and business </w:t>
      </w:r>
      <w:r w:rsidRPr="00B933CF">
        <w:t>growth. See Appendix B for further analysis and discussion.</w:t>
      </w:r>
    </w:p>
    <w:p w14:paraId="5BD66F5B" w14:textId="77777777" w:rsidR="001E05C8" w:rsidRPr="00040707" w:rsidRDefault="001E05C8" w:rsidP="00436768">
      <w:pPr>
        <w:spacing w:before="0" w:after="160"/>
        <w:jc w:val="left"/>
      </w:pPr>
    </w:p>
    <w:p w14:paraId="492012F7" w14:textId="698BB9EA" w:rsidR="006B4E84" w:rsidRDefault="006B4E84" w:rsidP="006B4E84">
      <w:pPr>
        <w:pStyle w:val="Caption"/>
      </w:pPr>
      <w:bookmarkStart w:id="118" w:name="_Ref12430218"/>
      <w:r w:rsidRPr="00040707">
        <w:lastRenderedPageBreak/>
        <w:t xml:space="preserve">Exhibit </w:t>
      </w:r>
      <w:r w:rsidRPr="00040707">
        <w:fldChar w:fldCharType="begin"/>
      </w:r>
      <w:r w:rsidRPr="00040707">
        <w:instrText xml:space="preserve"> SEQ Exhibit \* ARABIC </w:instrText>
      </w:r>
      <w:r w:rsidRPr="00040707">
        <w:fldChar w:fldCharType="separate"/>
      </w:r>
      <w:r w:rsidR="005407CC">
        <w:rPr>
          <w:noProof/>
        </w:rPr>
        <w:t>28</w:t>
      </w:r>
      <w:r w:rsidRPr="00040707">
        <w:fldChar w:fldCharType="end"/>
      </w:r>
      <w:bookmarkEnd w:id="118"/>
    </w:p>
    <w:p w14:paraId="274251CD" w14:textId="3648DBDF" w:rsidR="005F3E2F" w:rsidRPr="005F3E2F" w:rsidRDefault="005F3E2F" w:rsidP="005F3E2F">
      <w:pPr>
        <w:rPr>
          <w:lang w:val="en-US"/>
        </w:rPr>
      </w:pPr>
      <w:r w:rsidRPr="004942DA">
        <w:rPr>
          <w:noProof/>
          <w:lang w:eastAsia="en-AU"/>
        </w:rPr>
        <w:drawing>
          <wp:inline distT="0" distB="0" distL="0" distR="0" wp14:anchorId="2427CEE8" wp14:editId="439DEE00">
            <wp:extent cx="5495925" cy="3723727"/>
            <wp:effectExtent l="0" t="0" r="0" b="0"/>
            <wp:docPr id="15" name="Picture 15" descr="Exhibit 28 shows that SMEs with high technology spending growth grew revenue and employment faster than those with low technology spending growth.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2446" cy="3728145"/>
                    </a:xfrm>
                    <a:prstGeom prst="rect">
                      <a:avLst/>
                    </a:prstGeom>
                    <a:noFill/>
                    <a:ln>
                      <a:noFill/>
                    </a:ln>
                  </pic:spPr>
                </pic:pic>
              </a:graphicData>
            </a:graphic>
          </wp:inline>
        </w:drawing>
      </w:r>
    </w:p>
    <w:p w14:paraId="0FED2E26" w14:textId="19F66EE8" w:rsidR="00EB1372" w:rsidRDefault="00EB1372" w:rsidP="00EB1372">
      <w:pPr>
        <w:rPr>
          <w:rStyle w:val="SubtleEmphasis"/>
        </w:rPr>
      </w:pPr>
      <w:r w:rsidRPr="00040707">
        <w:rPr>
          <w:rStyle w:val="SubtleEmphasis"/>
        </w:rPr>
        <w:t>S</w:t>
      </w:r>
      <w:r w:rsidR="005F3E2F">
        <w:rPr>
          <w:rStyle w:val="SubtleEmphasis"/>
        </w:rPr>
        <w:t xml:space="preserve">ource: </w:t>
      </w:r>
      <w:r w:rsidR="004942DA">
        <w:rPr>
          <w:rStyle w:val="SubtleEmphasis"/>
        </w:rPr>
        <w:t>A</w:t>
      </w:r>
      <w:r w:rsidR="004942DA" w:rsidRPr="004942DA">
        <w:rPr>
          <w:rStyle w:val="SubtleEmphasis"/>
        </w:rPr>
        <w:t>lphaBeta, Xero Small Business Insights (2019), Connecting Australia: How technology is levelling the playing field for small business, prepared for NBN</w:t>
      </w:r>
    </w:p>
    <w:p w14:paraId="3ECAC48A" w14:textId="484AD7D7" w:rsidR="006B4E84" w:rsidRDefault="006B4E84" w:rsidP="006B4E84">
      <w:pPr>
        <w:pStyle w:val="Caption"/>
      </w:pPr>
      <w:bookmarkStart w:id="119" w:name="_Ref12430227"/>
      <w:r w:rsidRPr="002F7695">
        <w:t xml:space="preserve">Exhibit </w:t>
      </w:r>
      <w:r w:rsidRPr="002F7695">
        <w:fldChar w:fldCharType="begin"/>
      </w:r>
      <w:r w:rsidRPr="002F7695">
        <w:instrText xml:space="preserve"> SEQ Exhibit \* ARABIC </w:instrText>
      </w:r>
      <w:r w:rsidRPr="002F7695">
        <w:fldChar w:fldCharType="separate"/>
      </w:r>
      <w:r w:rsidR="005407CC">
        <w:rPr>
          <w:noProof/>
        </w:rPr>
        <w:t>29</w:t>
      </w:r>
      <w:r w:rsidRPr="002F7695">
        <w:fldChar w:fldCharType="end"/>
      </w:r>
      <w:bookmarkEnd w:id="119"/>
    </w:p>
    <w:p w14:paraId="0BA0A796" w14:textId="2D49E70E" w:rsidR="005F3E2F" w:rsidRPr="005F3E2F" w:rsidRDefault="005F3E2F" w:rsidP="005F3E2F">
      <w:pPr>
        <w:rPr>
          <w:lang w:val="en-US"/>
        </w:rPr>
      </w:pPr>
      <w:r w:rsidRPr="00EF3C6A">
        <w:rPr>
          <w:noProof/>
          <w:lang w:eastAsia="en-AU"/>
        </w:rPr>
        <w:drawing>
          <wp:inline distT="0" distB="0" distL="0" distR="0" wp14:anchorId="0731DB75" wp14:editId="612F5062">
            <wp:extent cx="5533375" cy="3725545"/>
            <wp:effectExtent l="0" t="0" r="0" b="8255"/>
            <wp:docPr id="19" name="Picture 19" descr="Exhibit 29 uses Xero data to show that sophisticated users of IT grow faster than other firms, i.e. firms that used more apps grew faster.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52436" cy="3738379"/>
                    </a:xfrm>
                    <a:prstGeom prst="rect">
                      <a:avLst/>
                    </a:prstGeom>
                    <a:noFill/>
                    <a:ln>
                      <a:noFill/>
                    </a:ln>
                  </pic:spPr>
                </pic:pic>
              </a:graphicData>
            </a:graphic>
          </wp:inline>
        </w:drawing>
      </w:r>
    </w:p>
    <w:p w14:paraId="04B166BC" w14:textId="4BE963E2" w:rsidR="00CF28BB" w:rsidRDefault="00EB1372" w:rsidP="00E246C1">
      <w:pPr>
        <w:rPr>
          <w:rFonts w:asciiTheme="majorHAnsi" w:eastAsiaTheme="majorEastAsia" w:hAnsiTheme="majorHAnsi" w:cstheme="majorHAnsi"/>
          <w:b/>
          <w:caps/>
          <w:color w:val="4CB8C1" w:themeColor="accent5"/>
          <w:sz w:val="44"/>
          <w:szCs w:val="44"/>
          <w:lang w:val="en-US"/>
        </w:rPr>
      </w:pPr>
      <w:r w:rsidRPr="00EB1372">
        <w:rPr>
          <w:rStyle w:val="SubtleEmphasis"/>
          <w:lang w:val="en-US"/>
        </w:rPr>
        <w:t>S</w:t>
      </w:r>
      <w:r w:rsidR="005F3E2F">
        <w:rPr>
          <w:rStyle w:val="SubtleEmphasis"/>
          <w:lang w:val="en-US"/>
        </w:rPr>
        <w:t xml:space="preserve">ource: </w:t>
      </w:r>
      <w:r w:rsidR="00EF3C6A" w:rsidRPr="004E4836">
        <w:rPr>
          <w:rStyle w:val="SubtleEmphasis"/>
          <w:lang w:val="en-US"/>
        </w:rPr>
        <w:t xml:space="preserve">Xero </w:t>
      </w:r>
      <w:r w:rsidR="00EF3C6A">
        <w:rPr>
          <w:rStyle w:val="SubtleEmphasis"/>
          <w:lang w:val="en-US"/>
        </w:rPr>
        <w:t>SBI</w:t>
      </w:r>
      <w:r w:rsidR="00EF3C6A" w:rsidRPr="004E4836">
        <w:rPr>
          <w:rStyle w:val="SubtleEmphasis"/>
          <w:lang w:val="en-US"/>
        </w:rPr>
        <w:t>, AlphaBeta analysis</w:t>
      </w:r>
      <w:r w:rsidR="00EF3C6A">
        <w:rPr>
          <w:rStyle w:val="SubtleEmphasis"/>
          <w:lang w:val="en-US"/>
        </w:rPr>
        <w:t>.</w:t>
      </w:r>
      <w:bookmarkStart w:id="120" w:name="_Toc13478304"/>
    </w:p>
    <w:p w14:paraId="3A1AE9D7" w14:textId="77777777" w:rsidR="00E11FBD" w:rsidRDefault="00E11FBD" w:rsidP="00E11FBD">
      <w:pPr>
        <w:pStyle w:val="Heading2"/>
      </w:pPr>
      <w:bookmarkStart w:id="121" w:name="_Ref19926175"/>
      <w:bookmarkStart w:id="122" w:name="_Toc30148085"/>
      <w:r>
        <w:lastRenderedPageBreak/>
        <w:t xml:space="preserve">Innovation may boost </w:t>
      </w:r>
      <w:r w:rsidRPr="006656D4">
        <w:t>productivity growth</w:t>
      </w:r>
      <w:bookmarkEnd w:id="121"/>
      <w:bookmarkEnd w:id="122"/>
    </w:p>
    <w:p w14:paraId="35899FDE" w14:textId="4089740F" w:rsidR="00E11FBD" w:rsidRDefault="00730692" w:rsidP="00E11FBD">
      <w:r>
        <w:t>There is also evidence that non-R&amp;D investment is also important for broader sectoral performance. Productivity growth is quite strongly</w:t>
      </w:r>
      <w:r w:rsidRPr="00246A6C">
        <w:t xml:space="preserve"> correlated with</w:t>
      </w:r>
      <w:r>
        <w:t xml:space="preserve"> the share of firms that are actively innovating</w:t>
      </w:r>
      <w:r w:rsidR="00D61E80">
        <w:t xml:space="preserve"> </w:t>
      </w:r>
      <w:r>
        <w:t>(</w:t>
      </w:r>
      <w:r w:rsidRPr="00246A6C">
        <w:fldChar w:fldCharType="begin"/>
      </w:r>
      <w:r w:rsidRPr="00246A6C">
        <w:instrText xml:space="preserve"> REF _Ref12955959 \h  \* MERGEFORMAT </w:instrText>
      </w:r>
      <w:r w:rsidRPr="00246A6C">
        <w:fldChar w:fldCharType="separate"/>
      </w:r>
      <w:r w:rsidR="005407CC" w:rsidRPr="00246A6C">
        <w:t xml:space="preserve">Exhibit </w:t>
      </w:r>
      <w:r w:rsidR="005407CC">
        <w:rPr>
          <w:noProof/>
        </w:rPr>
        <w:t>30</w:t>
      </w:r>
      <w:r w:rsidRPr="00246A6C">
        <w:fldChar w:fldCharType="end"/>
      </w:r>
      <w:r>
        <w:t xml:space="preserve">). </w:t>
      </w:r>
      <w:r w:rsidR="00D61E80">
        <w:t xml:space="preserve">Neither BERD intensity, nor </w:t>
      </w:r>
      <w:r>
        <w:t xml:space="preserve">innovation </w:t>
      </w:r>
      <w:r w:rsidR="00D61E80">
        <w:t xml:space="preserve">expenditure </w:t>
      </w:r>
      <w:r>
        <w:t>as a share of GVA</w:t>
      </w:r>
      <w:r w:rsidR="00D61E80">
        <w:t xml:space="preserve">, have much correlation with productivity growth, however. </w:t>
      </w:r>
    </w:p>
    <w:p w14:paraId="7BC6DB6A" w14:textId="29C20374" w:rsidR="00E11FBD" w:rsidRDefault="00E11FBD" w:rsidP="00E11FBD">
      <w:pPr>
        <w:pStyle w:val="Caption"/>
      </w:pPr>
      <w:bookmarkStart w:id="123" w:name="_Ref12955959"/>
      <w:r w:rsidRPr="00246A6C">
        <w:t xml:space="preserve">Exhibit </w:t>
      </w:r>
      <w:r w:rsidRPr="00246A6C">
        <w:fldChar w:fldCharType="begin"/>
      </w:r>
      <w:r w:rsidRPr="00246A6C">
        <w:instrText xml:space="preserve"> SEQ Exhibit \* ARABIC </w:instrText>
      </w:r>
      <w:r w:rsidRPr="00246A6C">
        <w:fldChar w:fldCharType="separate"/>
      </w:r>
      <w:r w:rsidR="005407CC">
        <w:rPr>
          <w:noProof/>
        </w:rPr>
        <w:t>30</w:t>
      </w:r>
      <w:r w:rsidRPr="00246A6C">
        <w:fldChar w:fldCharType="end"/>
      </w:r>
      <w:bookmarkEnd w:id="123"/>
    </w:p>
    <w:p w14:paraId="466C9956" w14:textId="4F4356CD" w:rsidR="00751EFD" w:rsidRPr="00751EFD" w:rsidRDefault="00751EFD" w:rsidP="00751EFD">
      <w:pPr>
        <w:rPr>
          <w:lang w:val="en-US"/>
        </w:rPr>
      </w:pPr>
      <w:r w:rsidRPr="006D252D">
        <w:rPr>
          <w:noProof/>
          <w:lang w:eastAsia="en-AU"/>
        </w:rPr>
        <w:drawing>
          <wp:inline distT="0" distB="0" distL="0" distR="0" wp14:anchorId="6565D927" wp14:editId="472125C5">
            <wp:extent cx="5659200" cy="3693600"/>
            <wp:effectExtent l="0" t="0" r="0" b="2540"/>
            <wp:docPr id="242" name="Picture 242" descr="Exhibit 30 shows that the strongest predictor of productivity growth in a sector is the share of innovation active firms, not R&amp;D or total investment. See text above and below the chart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59200" cy="3693600"/>
                    </a:xfrm>
                    <a:prstGeom prst="rect">
                      <a:avLst/>
                    </a:prstGeom>
                    <a:noFill/>
                    <a:ln>
                      <a:noFill/>
                    </a:ln>
                  </pic:spPr>
                </pic:pic>
              </a:graphicData>
            </a:graphic>
          </wp:inline>
        </w:drawing>
      </w:r>
    </w:p>
    <w:p w14:paraId="4C1DCA7D" w14:textId="4159936C" w:rsidR="00E11FBD" w:rsidRPr="00AC38CF" w:rsidRDefault="00E11FBD" w:rsidP="00E11FBD">
      <w:pPr>
        <w:jc w:val="left"/>
        <w:rPr>
          <w:rStyle w:val="SubtleEmphasis"/>
        </w:rPr>
      </w:pPr>
      <w:r w:rsidRPr="00AC38CF">
        <w:rPr>
          <w:rStyle w:val="SubtleEmphasis"/>
        </w:rPr>
        <w:t>Source: ABS (2019) 8158.0 and 8104.0; AlphaBeta analysis</w:t>
      </w:r>
      <w:r w:rsidRPr="00AC38CF">
        <w:rPr>
          <w:rStyle w:val="SubtleEmphasis"/>
        </w:rPr>
        <w:br/>
      </w:r>
      <w:r w:rsidR="006D252D" w:rsidRPr="00AC38CF">
        <w:rPr>
          <w:rStyle w:val="SubtleEmphasis"/>
        </w:rPr>
        <w:t>Note: BERD</w:t>
      </w:r>
      <w:r w:rsidR="004B0E87" w:rsidRPr="00AC38CF">
        <w:rPr>
          <w:rStyle w:val="SubtleEmphasis"/>
        </w:rPr>
        <w:t xml:space="preserve"> </w:t>
      </w:r>
      <w:r w:rsidR="006D252D" w:rsidRPr="00AC38CF">
        <w:rPr>
          <w:rStyle w:val="SubtleEmphasis"/>
        </w:rPr>
        <w:t>/</w:t>
      </w:r>
      <w:r w:rsidR="004B0E87" w:rsidRPr="00AC38CF">
        <w:rPr>
          <w:rStyle w:val="SubtleEmphasis"/>
        </w:rPr>
        <w:t xml:space="preserve"> </w:t>
      </w:r>
      <w:r w:rsidR="006D252D" w:rsidRPr="00AC38CF">
        <w:rPr>
          <w:rStyle w:val="SubtleEmphasis"/>
        </w:rPr>
        <w:t>GVA is the average for 2011-2016; Innovation</w:t>
      </w:r>
      <w:r w:rsidR="004B0E87" w:rsidRPr="00AC38CF">
        <w:rPr>
          <w:rStyle w:val="SubtleEmphasis"/>
        </w:rPr>
        <w:t xml:space="preserve"> </w:t>
      </w:r>
      <w:r w:rsidR="006D252D" w:rsidRPr="00AC38CF">
        <w:rPr>
          <w:rStyle w:val="SubtleEmphasis"/>
        </w:rPr>
        <w:t>/</w:t>
      </w:r>
      <w:r w:rsidR="004B0E87" w:rsidRPr="00AC38CF">
        <w:rPr>
          <w:rStyle w:val="SubtleEmphasis"/>
        </w:rPr>
        <w:t xml:space="preserve"> </w:t>
      </w:r>
      <w:r w:rsidR="006D252D" w:rsidRPr="00AC38CF">
        <w:rPr>
          <w:rStyle w:val="SubtleEmphasis"/>
        </w:rPr>
        <w:t>GVA is a measure of innovation based on the BCS survey, also expressed as a percentage of GVA in 2016-17; Share of firms innovating is the percentage of firms that spend money on innovation in 2016-17</w:t>
      </w:r>
      <w:r w:rsidR="00AC38CF">
        <w:rPr>
          <w:rStyle w:val="SubtleEmphasis"/>
        </w:rPr>
        <w:t>.</w:t>
      </w:r>
    </w:p>
    <w:p w14:paraId="786461BD" w14:textId="019701E6" w:rsidR="005059B6" w:rsidRDefault="00D61E80" w:rsidP="00664A91">
      <w:pPr>
        <w:rPr>
          <w:rFonts w:asciiTheme="majorHAnsi" w:eastAsiaTheme="majorEastAsia" w:hAnsiTheme="majorHAnsi" w:cstheme="majorHAnsi"/>
          <w:b/>
          <w:caps/>
          <w:color w:val="4CB8C1" w:themeColor="accent5"/>
          <w:sz w:val="44"/>
          <w:szCs w:val="44"/>
          <w:lang w:val="en-US"/>
        </w:rPr>
      </w:pPr>
      <w:r w:rsidRPr="00246A6C">
        <w:t xml:space="preserve">The correlations in </w:t>
      </w:r>
      <w:r w:rsidRPr="00246A6C">
        <w:fldChar w:fldCharType="begin"/>
      </w:r>
      <w:r w:rsidRPr="00246A6C">
        <w:instrText xml:space="preserve"> REF _Ref12955959 \h  \* MERGEFORMAT </w:instrText>
      </w:r>
      <w:r w:rsidRPr="00246A6C">
        <w:fldChar w:fldCharType="separate"/>
      </w:r>
      <w:r w:rsidR="005407CC" w:rsidRPr="00246A6C">
        <w:t xml:space="preserve">Exhibit </w:t>
      </w:r>
      <w:r w:rsidR="005407CC">
        <w:rPr>
          <w:noProof/>
        </w:rPr>
        <w:t>30</w:t>
      </w:r>
      <w:r w:rsidRPr="00246A6C">
        <w:fldChar w:fldCharType="end"/>
      </w:r>
      <w:r w:rsidR="004B0E87">
        <w:t xml:space="preserve"> </w:t>
      </w:r>
      <w:r w:rsidRPr="00246A6C">
        <w:t xml:space="preserve">suggest that </w:t>
      </w:r>
      <w:r>
        <w:t xml:space="preserve">sectors where many firms are </w:t>
      </w:r>
      <w:r w:rsidRPr="00246A6C">
        <w:t xml:space="preserve">actively </w:t>
      </w:r>
      <w:r>
        <w:t xml:space="preserve">innovating </w:t>
      </w:r>
      <w:r w:rsidRPr="00246A6C">
        <w:t xml:space="preserve">are more likely to become more productive, </w:t>
      </w:r>
      <w:r w:rsidR="00751EFD">
        <w:t>whether or not they conduct R&amp;D</w:t>
      </w:r>
      <w:r w:rsidRPr="00246A6C">
        <w:rPr>
          <w:rStyle w:val="FootnoteReference"/>
        </w:rPr>
        <w:footnoteReference w:id="38"/>
      </w:r>
      <w:r w:rsidR="00751EFD">
        <w:t>. That</w:t>
      </w:r>
      <w:r>
        <w:t xml:space="preserve"> may be because productivity in a sector is most likely to grow if many firms are actively adopting and adapting innovations from elsewhere, or actively making new-to-world innovations.</w:t>
      </w:r>
      <w:r w:rsidR="005059B6">
        <w:br w:type="page"/>
      </w:r>
    </w:p>
    <w:p w14:paraId="4F4F1B7A" w14:textId="4392592F" w:rsidR="000F39CC" w:rsidRDefault="00CA2A0D" w:rsidP="00CF28BB">
      <w:pPr>
        <w:pStyle w:val="Heading1"/>
      </w:pPr>
      <w:bookmarkStart w:id="124" w:name="_Toc30148086"/>
      <w:r>
        <w:lastRenderedPageBreak/>
        <w:t xml:space="preserve">Policy </w:t>
      </w:r>
      <w:r w:rsidR="008E1289">
        <w:t xml:space="preserve">choices </w:t>
      </w:r>
      <w:r>
        <w:t>for</w:t>
      </w:r>
      <w:r w:rsidR="008E1289">
        <w:t xml:space="preserve"> </w:t>
      </w:r>
      <w:r w:rsidR="00FD4ABA">
        <w:t xml:space="preserve">Australian </w:t>
      </w:r>
      <w:r w:rsidR="008E1289">
        <w:t>business investment in innovation</w:t>
      </w:r>
      <w:bookmarkEnd w:id="120"/>
      <w:bookmarkEnd w:id="124"/>
    </w:p>
    <w:p w14:paraId="241F0520" w14:textId="2A809061" w:rsidR="00CF2037" w:rsidRDefault="00360957" w:rsidP="000F39CC">
      <w:r>
        <w:t xml:space="preserve">The </w:t>
      </w:r>
      <w:r w:rsidR="00F364C6">
        <w:t xml:space="preserve">analysis </w:t>
      </w:r>
      <w:r w:rsidR="00117390">
        <w:t>reported above show</w:t>
      </w:r>
      <w:r w:rsidR="00F51E70">
        <w:t>s</w:t>
      </w:r>
      <w:r w:rsidR="00117390">
        <w:t xml:space="preserve"> that innovation in Australia varies strongly by sector and firm type</w:t>
      </w:r>
      <w:r w:rsidR="00887EBD">
        <w:t xml:space="preserve"> and adds to existing findings that innovation can boost performance.</w:t>
      </w:r>
      <w:r w:rsidR="00117390">
        <w:t xml:space="preserve"> It </w:t>
      </w:r>
      <w:r w:rsidR="00F51E70">
        <w:t xml:space="preserve">also </w:t>
      </w:r>
      <w:r w:rsidR="00F364C6">
        <w:t xml:space="preserve">suggests </w:t>
      </w:r>
      <w:r w:rsidR="00F51E70">
        <w:t xml:space="preserve">that </w:t>
      </w:r>
      <w:r w:rsidR="00D312FE">
        <w:t xml:space="preserve">policymakers </w:t>
      </w:r>
      <w:r w:rsidR="00F364C6">
        <w:t>should consider</w:t>
      </w:r>
      <w:r w:rsidRPr="00360957">
        <w:t xml:space="preserve"> </w:t>
      </w:r>
      <w:r>
        <w:t>three strategic options</w:t>
      </w:r>
      <w:r w:rsidR="00887EBD">
        <w:t xml:space="preserve"> </w:t>
      </w:r>
      <w:r>
        <w:t>t</w:t>
      </w:r>
      <w:r w:rsidR="00F364C6">
        <w:t>o accelerate high-value business investment in innovation.</w:t>
      </w:r>
      <w:r w:rsidR="00117390">
        <w:t xml:space="preserve"> </w:t>
      </w:r>
    </w:p>
    <w:p w14:paraId="55D1590D" w14:textId="422FBEF5" w:rsidR="000F39CC" w:rsidRPr="000F7C92" w:rsidRDefault="00D70122" w:rsidP="00253E15">
      <w:pPr>
        <w:pStyle w:val="Heading2"/>
      </w:pPr>
      <w:bookmarkStart w:id="125" w:name="_Toc13478305"/>
      <w:bookmarkStart w:id="126" w:name="_Toc30148087"/>
      <w:r>
        <w:t xml:space="preserve">Should Australia </w:t>
      </w:r>
      <w:r w:rsidR="00606401">
        <w:t>rebalance</w:t>
      </w:r>
      <w:r w:rsidR="001113F7">
        <w:t xml:space="preserve"> </w:t>
      </w:r>
      <w:r w:rsidR="00606401">
        <w:t xml:space="preserve">support </w:t>
      </w:r>
      <w:r w:rsidR="004B33CE">
        <w:t>for</w:t>
      </w:r>
      <w:r w:rsidR="00606401">
        <w:t xml:space="preserve"> R&amp;D and </w:t>
      </w:r>
      <w:r w:rsidR="000D12C5">
        <w:t>non-R&amp;D</w:t>
      </w:r>
      <w:r w:rsidR="00606401">
        <w:t xml:space="preserve"> </w:t>
      </w:r>
      <w:r w:rsidR="004B33CE">
        <w:t xml:space="preserve">business </w:t>
      </w:r>
      <w:r w:rsidR="00606401">
        <w:t>innovation</w:t>
      </w:r>
      <w:r>
        <w:t>?</w:t>
      </w:r>
      <w:bookmarkEnd w:id="125"/>
      <w:bookmarkEnd w:id="126"/>
    </w:p>
    <w:p w14:paraId="220C189F" w14:textId="2F084D6D" w:rsidR="00360957" w:rsidRDefault="00E77380" w:rsidP="0054214E">
      <w:r w:rsidRPr="00E23BC8">
        <w:t>Overall</w:t>
      </w:r>
      <w:r w:rsidR="00FA2204" w:rsidRPr="00E23BC8">
        <w:t>,</w:t>
      </w:r>
      <w:r w:rsidRPr="00E23BC8">
        <w:t xml:space="preserve"> </w:t>
      </w:r>
      <w:r w:rsidR="00D312FE" w:rsidRPr="00E23BC8">
        <w:t>Australian</w:t>
      </w:r>
      <w:r w:rsidR="00D312FE">
        <w:t xml:space="preserve"> and international business performance suggests </w:t>
      </w:r>
      <w:r w:rsidR="00806E11">
        <w:t xml:space="preserve">that </w:t>
      </w:r>
      <w:r w:rsidR="00887EBD">
        <w:t>some</w:t>
      </w:r>
      <w:r w:rsidR="00D312FE">
        <w:t xml:space="preserve"> types of innovation investment </w:t>
      </w:r>
      <w:r w:rsidR="00611450">
        <w:t xml:space="preserve">may </w:t>
      </w:r>
      <w:r w:rsidR="00825569">
        <w:t>lead to better outcomes</w:t>
      </w:r>
      <w:r w:rsidR="00611450">
        <w:t xml:space="preserve"> a</w:t>
      </w:r>
      <w:r>
        <w:t>t the firm level</w:t>
      </w:r>
      <w:r w:rsidR="00825569">
        <w:t>.</w:t>
      </w:r>
      <w:r w:rsidR="00360957">
        <w:t xml:space="preserve"> L</w:t>
      </w:r>
      <w:r w:rsidR="00DB0D96">
        <w:t xml:space="preserve">arge firms’ </w:t>
      </w:r>
      <w:r w:rsidR="00825569">
        <w:t xml:space="preserve">intangible asset stocks and R&amp;D </w:t>
      </w:r>
      <w:r w:rsidR="00DB0D96">
        <w:t xml:space="preserve">intensity </w:t>
      </w:r>
      <w:r w:rsidR="00825569">
        <w:t xml:space="preserve">are associated with </w:t>
      </w:r>
      <w:r w:rsidR="00607379">
        <w:t>improved chances of</w:t>
      </w:r>
      <w:r w:rsidR="00DB0D96">
        <w:t xml:space="preserve"> survival and </w:t>
      </w:r>
      <w:r w:rsidR="00607379">
        <w:t xml:space="preserve">faster </w:t>
      </w:r>
      <w:r w:rsidR="00DB0D96">
        <w:t xml:space="preserve">growth. Small </w:t>
      </w:r>
      <w:r w:rsidR="00825569">
        <w:t>firm</w:t>
      </w:r>
      <w:r w:rsidR="00DB0D96">
        <w:t>s’</w:t>
      </w:r>
      <w:r w:rsidR="00825569">
        <w:t xml:space="preserve"> ICT expenditure and app adoption </w:t>
      </w:r>
      <w:r w:rsidR="00360957">
        <w:t>are associated with</w:t>
      </w:r>
      <w:r w:rsidR="00825569">
        <w:t xml:space="preserve"> higher</w:t>
      </w:r>
      <w:r w:rsidR="007904E6">
        <w:t xml:space="preserve"> growth in</w:t>
      </w:r>
      <w:r w:rsidR="00825569">
        <w:t xml:space="preserve"> revenue and employment. </w:t>
      </w:r>
    </w:p>
    <w:p w14:paraId="158D39D9" w14:textId="587F80D5" w:rsidR="00804858" w:rsidRDefault="0090630C" w:rsidP="00804858">
      <w:r>
        <w:t xml:space="preserve">These </w:t>
      </w:r>
      <w:r w:rsidR="004B0E87">
        <w:t>findings</w:t>
      </w:r>
      <w:r>
        <w:t xml:space="preserve"> suggest that </w:t>
      </w:r>
      <w:r w:rsidR="00825569">
        <w:t>Australian policymakers</w:t>
      </w:r>
      <w:r>
        <w:t xml:space="preserve"> should consider </w:t>
      </w:r>
      <w:r w:rsidR="008170B0">
        <w:t xml:space="preserve">whether to </w:t>
      </w:r>
      <w:r w:rsidR="008170B0">
        <w:rPr>
          <w:b/>
          <w:bCs/>
        </w:rPr>
        <w:t xml:space="preserve">identify </w:t>
      </w:r>
      <w:r w:rsidR="000F39CC" w:rsidRPr="00C756B6">
        <w:rPr>
          <w:b/>
          <w:bCs/>
        </w:rPr>
        <w:t>types of innovation that have high payoff</w:t>
      </w:r>
      <w:r w:rsidR="00104617">
        <w:rPr>
          <w:b/>
          <w:bCs/>
        </w:rPr>
        <w:t>s</w:t>
      </w:r>
      <w:r w:rsidR="000F39CC" w:rsidRPr="00C756B6">
        <w:rPr>
          <w:b/>
          <w:bCs/>
        </w:rPr>
        <w:t xml:space="preserve">, </w:t>
      </w:r>
      <w:r w:rsidR="00104617">
        <w:rPr>
          <w:b/>
          <w:bCs/>
        </w:rPr>
        <w:t xml:space="preserve">and to </w:t>
      </w:r>
      <w:r w:rsidR="00104617" w:rsidRPr="00C756B6">
        <w:rPr>
          <w:b/>
          <w:bCs/>
        </w:rPr>
        <w:t xml:space="preserve">focus more </w:t>
      </w:r>
      <w:r w:rsidR="00104617">
        <w:rPr>
          <w:b/>
          <w:bCs/>
        </w:rPr>
        <w:t xml:space="preserve">intensely </w:t>
      </w:r>
      <w:r w:rsidR="00104617" w:rsidRPr="00C756B6">
        <w:rPr>
          <w:b/>
          <w:bCs/>
        </w:rPr>
        <w:t xml:space="preserve">on incentivising and promoting </w:t>
      </w:r>
      <w:r w:rsidR="00104617">
        <w:rPr>
          <w:b/>
          <w:bCs/>
        </w:rPr>
        <w:t xml:space="preserve">them, </w:t>
      </w:r>
      <w:r w:rsidR="008645C3" w:rsidRPr="00C756B6">
        <w:rPr>
          <w:b/>
          <w:bCs/>
        </w:rPr>
        <w:t>or to continue with a more broad-based, indirect approach to innovation incentiv</w:t>
      </w:r>
      <w:r w:rsidR="008170B0">
        <w:rPr>
          <w:b/>
          <w:bCs/>
        </w:rPr>
        <w:t>es</w:t>
      </w:r>
      <w:r w:rsidR="00804858">
        <w:t xml:space="preserve">. For example, policymakers could </w:t>
      </w:r>
      <w:r w:rsidR="008170B0">
        <w:t>seek to sharpen incentives for</w:t>
      </w:r>
      <w:r w:rsidR="00804858">
        <w:t>:</w:t>
      </w:r>
    </w:p>
    <w:p w14:paraId="56F103B1" w14:textId="4488623A" w:rsidR="000F39CC" w:rsidRDefault="000F39CC" w:rsidP="00434727">
      <w:pPr>
        <w:pStyle w:val="01squarebullet"/>
        <w:numPr>
          <w:ilvl w:val="0"/>
          <w:numId w:val="35"/>
        </w:numPr>
      </w:pPr>
      <w:r>
        <w:t xml:space="preserve">Increasing product and business </w:t>
      </w:r>
      <w:r w:rsidR="008331BA">
        <w:t>process</w:t>
      </w:r>
      <w:r>
        <w:t xml:space="preserve"> innovation </w:t>
      </w:r>
      <w:r w:rsidR="009A1D67">
        <w:t>in non-R&amp;D innovation categories (for example</w:t>
      </w:r>
      <w:r w:rsidR="00117390">
        <w:t>,</w:t>
      </w:r>
      <w:r w:rsidR="009A1D67">
        <w:t xml:space="preserve"> in areas related to digital innovation).</w:t>
      </w:r>
    </w:p>
    <w:p w14:paraId="7727872C" w14:textId="104F5117" w:rsidR="000F39CC" w:rsidRDefault="000F39CC" w:rsidP="000F39CC">
      <w:pPr>
        <w:pStyle w:val="01squarebullet"/>
      </w:pPr>
      <w:r w:rsidRPr="00C756B6">
        <w:t xml:space="preserve">Encouraging </w:t>
      </w:r>
      <w:r w:rsidR="009A1D67">
        <w:t>more intangibles investment and R&amp;D expenditure.</w:t>
      </w:r>
    </w:p>
    <w:p w14:paraId="5EE1458A" w14:textId="4DE6A6FD" w:rsidR="009A1D67" w:rsidRDefault="009A1D67" w:rsidP="000F39CC">
      <w:pPr>
        <w:pStyle w:val="01squarebullet"/>
      </w:pPr>
      <w:r>
        <w:t>Raising commercialisation performance.</w:t>
      </w:r>
    </w:p>
    <w:p w14:paraId="34C400AD" w14:textId="1B315151" w:rsidR="00CF2037" w:rsidRDefault="00611450" w:rsidP="00CF2037">
      <w:r>
        <w:t xml:space="preserve">Removing disincentives to the </w:t>
      </w:r>
      <w:r w:rsidR="000F39CC">
        <w:t xml:space="preserve">types of investment that are associated with </w:t>
      </w:r>
      <w:r w:rsidR="0090630C">
        <w:t>better firm performance</w:t>
      </w:r>
      <w:r w:rsidR="000F39CC">
        <w:t xml:space="preserve"> could improve economy-wide </w:t>
      </w:r>
      <w:r w:rsidR="000F39CC" w:rsidRPr="00793A65">
        <w:t>outcomes.</w:t>
      </w:r>
      <w:r w:rsidR="00793A65">
        <w:t xml:space="preserve"> </w:t>
      </w:r>
      <w:r w:rsidR="00CF2037" w:rsidRPr="00CF1BE2">
        <w:t>Current policy affects returns from different types of innovation in a range of ways</w:t>
      </w:r>
      <w:r w:rsidR="00CF2037">
        <w:t>, but may not get the balance right</w:t>
      </w:r>
      <w:r w:rsidR="00CF2037" w:rsidRPr="00CF1BE2">
        <w:t xml:space="preserve">. </w:t>
      </w:r>
      <w:r w:rsidR="00CF2037">
        <w:t>There are tax</w:t>
      </w:r>
      <w:r w:rsidR="00CF2037" w:rsidRPr="00CF1BE2">
        <w:t xml:space="preserve"> incentives </w:t>
      </w:r>
      <w:r w:rsidR="00CF2037">
        <w:t xml:space="preserve">for </w:t>
      </w:r>
      <w:r w:rsidR="00CF2037" w:rsidRPr="00CF1BE2">
        <w:t>R&amp;D</w:t>
      </w:r>
      <w:r w:rsidR="00CF2037">
        <w:t xml:space="preserve">, and </w:t>
      </w:r>
      <w:r w:rsidR="00CF2037" w:rsidRPr="00CF1BE2">
        <w:t xml:space="preserve">some non-R&amp;D innovation investment </w:t>
      </w:r>
      <w:r w:rsidR="00CF2037">
        <w:t xml:space="preserve">may benefit from </w:t>
      </w:r>
      <w:r w:rsidR="00CF2037" w:rsidRPr="00CF1BE2">
        <w:t xml:space="preserve">immediate expensing </w:t>
      </w:r>
      <w:r w:rsidR="00CF2037">
        <w:t xml:space="preserve">or </w:t>
      </w:r>
      <w:r w:rsidR="00CF2037" w:rsidRPr="00CF1BE2">
        <w:t xml:space="preserve">accelerated depreciation. Intellectual property </w:t>
      </w:r>
      <w:r w:rsidR="00CF2037">
        <w:t xml:space="preserve">law provides protection </w:t>
      </w:r>
      <w:r w:rsidR="00CF2037" w:rsidRPr="00CF1BE2">
        <w:t>to both R&amp;D and non-R&amp;D innovations.</w:t>
      </w:r>
      <w:r w:rsidR="00CF2037">
        <w:t xml:space="preserve"> </w:t>
      </w:r>
    </w:p>
    <w:p w14:paraId="42799613" w14:textId="2E7E4DE9" w:rsidR="000F39CC" w:rsidRDefault="00E77380" w:rsidP="000F39CC">
      <w:r>
        <w:t xml:space="preserve">Policymakers will also need to evaluate </w:t>
      </w:r>
      <w:r w:rsidR="00104617">
        <w:t xml:space="preserve">how </w:t>
      </w:r>
      <w:r w:rsidR="008170B0">
        <w:t xml:space="preserve">best to integrate </w:t>
      </w:r>
      <w:r>
        <w:t xml:space="preserve">firm-level performance </w:t>
      </w:r>
      <w:r w:rsidR="008170B0">
        <w:t xml:space="preserve">and the </w:t>
      </w:r>
      <w:r w:rsidR="00104617">
        <w:t xml:space="preserve">broader </w:t>
      </w:r>
      <w:r>
        <w:t>benefits of innovation, such as</w:t>
      </w:r>
      <w:r w:rsidR="00570448">
        <w:t xml:space="preserve"> the</w:t>
      </w:r>
      <w:r>
        <w:t xml:space="preserve"> spillovers to other firms</w:t>
      </w:r>
      <w:r w:rsidR="008170B0">
        <w:t xml:space="preserve"> that </w:t>
      </w:r>
      <w:r w:rsidR="00570448">
        <w:t xml:space="preserve">are </w:t>
      </w:r>
      <w:r w:rsidR="008170B0">
        <w:t xml:space="preserve">one of the main </w:t>
      </w:r>
      <w:r w:rsidR="00570448">
        <w:t xml:space="preserve">rationales </w:t>
      </w:r>
      <w:r w:rsidR="008170B0">
        <w:t xml:space="preserve">for </w:t>
      </w:r>
      <w:r w:rsidR="00570448">
        <w:t xml:space="preserve">policy to strengthen incentives for </w:t>
      </w:r>
      <w:r w:rsidR="008170B0">
        <w:t>innovation.</w:t>
      </w:r>
    </w:p>
    <w:p w14:paraId="4D7F30BE" w14:textId="27E76EEF" w:rsidR="000F39CC" w:rsidRDefault="000F39CC" w:rsidP="00253E15">
      <w:pPr>
        <w:pStyle w:val="Heading2"/>
      </w:pPr>
      <w:bookmarkStart w:id="127" w:name="_Toc13478306"/>
      <w:bookmarkStart w:id="128" w:name="_Toc30148088"/>
      <w:r>
        <w:t>S</w:t>
      </w:r>
      <w:r w:rsidRPr="000F7C92">
        <w:t xml:space="preserve">hould Australia </w:t>
      </w:r>
      <w:r w:rsidR="00137301">
        <w:t xml:space="preserve">prioritise </w:t>
      </w:r>
      <w:r w:rsidR="000D12C5">
        <w:t>s</w:t>
      </w:r>
      <w:r w:rsidRPr="000F7C92">
        <w:t xml:space="preserve">ectors that can </w:t>
      </w:r>
      <w:r w:rsidR="004B33CE">
        <w:t>lead</w:t>
      </w:r>
      <w:r w:rsidRPr="000F7C92">
        <w:t xml:space="preserve"> innovation</w:t>
      </w:r>
      <w:r w:rsidR="004B33CE">
        <w:t>, and if so, which sectors</w:t>
      </w:r>
      <w:r>
        <w:t>?</w:t>
      </w:r>
      <w:bookmarkEnd w:id="127"/>
      <w:bookmarkEnd w:id="128"/>
    </w:p>
    <w:p w14:paraId="71728429" w14:textId="488328B8" w:rsidR="00882860" w:rsidRDefault="000F39CC" w:rsidP="000F39CC">
      <w:r w:rsidRPr="00975ED0">
        <w:t>Australia</w:t>
      </w:r>
      <w:r w:rsidR="008170B0">
        <w:t xml:space="preserve">’s </w:t>
      </w:r>
      <w:r w:rsidRPr="00975ED0">
        <w:t xml:space="preserve">industry mix </w:t>
      </w:r>
      <w:r w:rsidR="008170B0">
        <w:t>differs from that of other advanced economies</w:t>
      </w:r>
      <w:r w:rsidRPr="00975ED0">
        <w:t xml:space="preserve">, </w:t>
      </w:r>
      <w:r w:rsidR="008170B0">
        <w:t xml:space="preserve">driving </w:t>
      </w:r>
      <w:r w:rsidRPr="00975ED0">
        <w:t xml:space="preserve">much of the overall difference in </w:t>
      </w:r>
      <w:r w:rsidR="008170B0">
        <w:t>economy</w:t>
      </w:r>
      <w:r w:rsidR="00200966">
        <w:t>-</w:t>
      </w:r>
      <w:r w:rsidR="008170B0">
        <w:t xml:space="preserve">wide </w:t>
      </w:r>
      <w:r w:rsidRPr="00975ED0">
        <w:t>R&amp;D and intangibles intensity</w:t>
      </w:r>
      <w:r w:rsidR="00A7538E">
        <w:t>, as shown in Section</w:t>
      </w:r>
      <w:r w:rsidR="00DA47B3">
        <w:t>s</w:t>
      </w:r>
      <w:r w:rsidR="00A7538E">
        <w:t xml:space="preserve"> 3.1</w:t>
      </w:r>
      <w:r w:rsidR="00DA47B3">
        <w:t xml:space="preserve"> and </w:t>
      </w:r>
      <w:r w:rsidR="00DA47B3">
        <w:fldChar w:fldCharType="begin"/>
      </w:r>
      <w:r w:rsidR="00DA47B3">
        <w:instrText xml:space="preserve"> REF _Ref17717284 \r \h </w:instrText>
      </w:r>
      <w:r w:rsidR="00DA47B3">
        <w:fldChar w:fldCharType="separate"/>
      </w:r>
      <w:r w:rsidR="005407CC">
        <w:t>3.3</w:t>
      </w:r>
      <w:r w:rsidR="00DA47B3">
        <w:fldChar w:fldCharType="end"/>
      </w:r>
      <w:r w:rsidRPr="00975ED0">
        <w:t>.</w:t>
      </w:r>
      <w:r>
        <w:t xml:space="preserve"> </w:t>
      </w:r>
      <w:r w:rsidR="00F51E70">
        <w:t xml:space="preserve">The </w:t>
      </w:r>
      <w:r>
        <w:t>two key sectors that drive much of BERD globally</w:t>
      </w:r>
      <w:r w:rsidR="00F51E70">
        <w:t xml:space="preserve"> – </w:t>
      </w:r>
      <w:r>
        <w:t>manufacturing and IMT</w:t>
      </w:r>
      <w:r w:rsidR="00F51E70">
        <w:t xml:space="preserve"> – are smaller and less BERD-inten</w:t>
      </w:r>
      <w:r w:rsidR="008B1E2A">
        <w:t>s</w:t>
      </w:r>
      <w:r w:rsidR="00F51E70">
        <w:t>e in Australia</w:t>
      </w:r>
      <w:r>
        <w:t>.</w:t>
      </w:r>
      <w:r w:rsidR="005D1715">
        <w:t xml:space="preserve"> Meanwhile, the country’s industry mix and innovation intensity in services</w:t>
      </w:r>
      <w:r w:rsidR="005628BD">
        <w:t xml:space="preserve"> </w:t>
      </w:r>
      <w:r w:rsidR="005D1715">
        <w:t>– particularly business services – are above international averages.</w:t>
      </w:r>
    </w:p>
    <w:p w14:paraId="2970180E" w14:textId="7810BDC1" w:rsidR="000F39CC" w:rsidRDefault="00882860" w:rsidP="000F39CC">
      <w:r>
        <w:t xml:space="preserve">These two facts suggest </w:t>
      </w:r>
      <w:r w:rsidR="00893745">
        <w:t xml:space="preserve">that </w:t>
      </w:r>
      <w:r>
        <w:t xml:space="preserve">Australia may not be reaching its full potential: </w:t>
      </w:r>
      <w:r w:rsidR="00893745">
        <w:t xml:space="preserve">it </w:t>
      </w:r>
      <w:r w:rsidR="00104617">
        <w:t xml:space="preserve">may be able to </w:t>
      </w:r>
      <w:r w:rsidR="00893745">
        <w:t xml:space="preserve">improve its innovation </w:t>
      </w:r>
      <w:r w:rsidR="00104617">
        <w:t xml:space="preserve">effort </w:t>
      </w:r>
      <w:r w:rsidR="00893745">
        <w:t xml:space="preserve">by growing its </w:t>
      </w:r>
      <w:r>
        <w:t xml:space="preserve">manufacturing and </w:t>
      </w:r>
      <w:r w:rsidR="001D054D">
        <w:t>information, media and technology sectors</w:t>
      </w:r>
      <w:r w:rsidR="00104617">
        <w:t xml:space="preserve"> and </w:t>
      </w:r>
      <w:r w:rsidR="00104617">
        <w:lastRenderedPageBreak/>
        <w:t>encouraging innovation in them</w:t>
      </w:r>
      <w:r>
        <w:t xml:space="preserve">, </w:t>
      </w:r>
      <w:r w:rsidR="00104617">
        <w:t xml:space="preserve">and </w:t>
      </w:r>
      <w:r w:rsidR="00893745">
        <w:t xml:space="preserve">by </w:t>
      </w:r>
      <w:r w:rsidR="00104617">
        <w:t xml:space="preserve">capitalising further on innovation </w:t>
      </w:r>
      <w:r>
        <w:t>capacity in business services innovation</w:t>
      </w:r>
      <w:r w:rsidR="00893745">
        <w:t>.</w:t>
      </w:r>
    </w:p>
    <w:p w14:paraId="58878BD0" w14:textId="74905E8E" w:rsidR="000F39CC" w:rsidRPr="00975ED0" w:rsidRDefault="000F39CC" w:rsidP="000F39CC">
      <w:r>
        <w:t xml:space="preserve">A key choice for Australia is </w:t>
      </w:r>
      <w:r w:rsidR="00C756B6">
        <w:t xml:space="preserve">therefore </w:t>
      </w:r>
      <w:r w:rsidR="00C756B6" w:rsidRPr="00C756B6">
        <w:rPr>
          <w:b/>
          <w:bCs/>
        </w:rPr>
        <w:t xml:space="preserve">whether to take a more strategic, targeted approach to </w:t>
      </w:r>
      <w:r w:rsidRPr="00C756B6">
        <w:rPr>
          <w:b/>
          <w:bCs/>
        </w:rPr>
        <w:t xml:space="preserve">accelerating </w:t>
      </w:r>
      <w:r w:rsidR="00C756B6" w:rsidRPr="00C756B6">
        <w:rPr>
          <w:b/>
          <w:bCs/>
        </w:rPr>
        <w:t>innovation investment</w:t>
      </w:r>
      <w:r w:rsidRPr="00C756B6">
        <w:rPr>
          <w:b/>
          <w:bCs/>
        </w:rPr>
        <w:t xml:space="preserve"> in high-potential sectors, and if so, whether the focus should be on newer sectors where Australia </w:t>
      </w:r>
      <w:r w:rsidR="00DA47B3">
        <w:rPr>
          <w:b/>
          <w:bCs/>
        </w:rPr>
        <w:t>may have</w:t>
      </w:r>
      <w:r w:rsidRPr="00C756B6">
        <w:rPr>
          <w:b/>
          <w:bCs/>
        </w:rPr>
        <w:t xml:space="preserve"> an emerging competitive advantage, or on playing </w:t>
      </w:r>
      <w:r w:rsidR="00A42CC5">
        <w:rPr>
          <w:b/>
          <w:bCs/>
        </w:rPr>
        <w:t>“</w:t>
      </w:r>
      <w:r w:rsidRPr="00C756B6">
        <w:rPr>
          <w:b/>
          <w:bCs/>
        </w:rPr>
        <w:t>catch-</w:t>
      </w:r>
      <w:r w:rsidR="00A42CC5" w:rsidRPr="00C756B6">
        <w:rPr>
          <w:b/>
          <w:bCs/>
        </w:rPr>
        <w:t>up</w:t>
      </w:r>
      <w:r w:rsidR="00A42CC5">
        <w:rPr>
          <w:b/>
          <w:bCs/>
        </w:rPr>
        <w:t>”</w:t>
      </w:r>
      <w:r w:rsidR="00A42CC5" w:rsidRPr="00C756B6">
        <w:rPr>
          <w:b/>
          <w:bCs/>
        </w:rPr>
        <w:t xml:space="preserve"> </w:t>
      </w:r>
      <w:r w:rsidRPr="00C756B6">
        <w:rPr>
          <w:b/>
          <w:bCs/>
        </w:rPr>
        <w:t xml:space="preserve">in the </w:t>
      </w:r>
      <w:r w:rsidR="00C756B6" w:rsidRPr="00C756B6">
        <w:rPr>
          <w:b/>
          <w:bCs/>
        </w:rPr>
        <w:t>most BERD-intensive sectors globally</w:t>
      </w:r>
      <w:r w:rsidR="0092277E">
        <w:rPr>
          <w:b/>
          <w:bCs/>
        </w:rPr>
        <w:t>.</w:t>
      </w:r>
      <w:r w:rsidR="00882860">
        <w:t xml:space="preserve"> </w:t>
      </w:r>
      <w:r w:rsidR="00DB0D96">
        <w:t>Options include</w:t>
      </w:r>
      <w:r w:rsidR="00882860">
        <w:t>:</w:t>
      </w:r>
    </w:p>
    <w:p w14:paraId="4F8F2ACD" w14:textId="42B86223" w:rsidR="000F39CC" w:rsidRDefault="003971F8" w:rsidP="00434727">
      <w:pPr>
        <w:pStyle w:val="01squarebullet"/>
        <w:numPr>
          <w:ilvl w:val="0"/>
          <w:numId w:val="36"/>
        </w:numPr>
      </w:pPr>
      <w:r>
        <w:t>Focus</w:t>
      </w:r>
      <w:r w:rsidR="00076CC9">
        <w:t>ing</w:t>
      </w:r>
      <w:r w:rsidR="000F39CC" w:rsidRPr="00C756B6">
        <w:t xml:space="preserve"> on </w:t>
      </w:r>
      <w:r w:rsidR="000F39CC" w:rsidRPr="00806E11">
        <w:rPr>
          <w:b/>
          <w:bCs/>
        </w:rPr>
        <w:t>business services</w:t>
      </w:r>
      <w:r w:rsidR="000F39CC" w:rsidRPr="00C756B6">
        <w:t xml:space="preserve"> </w:t>
      </w:r>
      <w:r w:rsidR="000F39CC">
        <w:t xml:space="preserve">by </w:t>
      </w:r>
      <w:r w:rsidR="0092277E">
        <w:t>encouraging</w:t>
      </w:r>
      <w:r w:rsidR="000F39CC">
        <w:t xml:space="preserve"> </w:t>
      </w:r>
      <w:r w:rsidR="00585435">
        <w:t xml:space="preserve">innovation in </w:t>
      </w:r>
      <w:r w:rsidR="000F39CC">
        <w:t>sectors</w:t>
      </w:r>
      <w:r w:rsidR="0092277E">
        <w:t xml:space="preserve"> where Australia </w:t>
      </w:r>
      <w:r w:rsidR="00585435">
        <w:t xml:space="preserve">may have </w:t>
      </w:r>
      <w:r w:rsidR="0092277E">
        <w:t xml:space="preserve">a genuine opportunity to be a global innovation leader, as </w:t>
      </w:r>
      <w:r w:rsidR="00585435">
        <w:t xml:space="preserve">in </w:t>
      </w:r>
      <w:r w:rsidR="0092277E">
        <w:t>professional</w:t>
      </w:r>
      <w:r w:rsidR="00885462">
        <w:t>,</w:t>
      </w:r>
      <w:r w:rsidR="0092277E">
        <w:t xml:space="preserve"> </w:t>
      </w:r>
      <w:r w:rsidR="00885462">
        <w:t xml:space="preserve">scientific and technical </w:t>
      </w:r>
      <w:r w:rsidR="0092277E">
        <w:t>services and financial services</w:t>
      </w:r>
      <w:r w:rsidR="000F39CC">
        <w:t>, which are Australia’s largest and most BERD-intense sectors relative to global peers</w:t>
      </w:r>
      <w:r w:rsidR="00DD608D">
        <w:t>.</w:t>
      </w:r>
    </w:p>
    <w:p w14:paraId="4269CEFE" w14:textId="3D8995BF" w:rsidR="000F39CC" w:rsidRDefault="0044486C" w:rsidP="000F39CC">
      <w:pPr>
        <w:pStyle w:val="01squarebullet"/>
      </w:pPr>
      <w:r>
        <w:t>G</w:t>
      </w:r>
      <w:r w:rsidR="000F39CC" w:rsidRPr="00C756B6">
        <w:t xml:space="preserve">rowing the </w:t>
      </w:r>
      <w:r w:rsidRPr="00806E11">
        <w:rPr>
          <w:b/>
          <w:bCs/>
        </w:rPr>
        <w:t>m</w:t>
      </w:r>
      <w:r w:rsidR="000F39CC" w:rsidRPr="00806E11">
        <w:rPr>
          <w:b/>
          <w:bCs/>
        </w:rPr>
        <w:t>anufacturing</w:t>
      </w:r>
      <w:r w:rsidR="000F39CC" w:rsidRPr="00C756B6">
        <w:t xml:space="preserve"> and </w:t>
      </w:r>
      <w:r w:rsidR="000F39CC" w:rsidRPr="00806E11">
        <w:rPr>
          <w:b/>
          <w:bCs/>
        </w:rPr>
        <w:t>IMT</w:t>
      </w:r>
      <w:r w:rsidR="000F39CC" w:rsidRPr="00C756B6">
        <w:t xml:space="preserve"> sectors</w:t>
      </w:r>
      <w:r w:rsidR="000F39CC" w:rsidRPr="00975ED0">
        <w:t>,</w:t>
      </w:r>
      <w:r w:rsidR="000F39CC">
        <w:rPr>
          <w:b/>
          <w:bCs/>
        </w:rPr>
        <w:t xml:space="preserve"> </w:t>
      </w:r>
      <w:r w:rsidR="000F39CC">
        <w:t xml:space="preserve">which drive a significant portion of innovation and investment globally. Australia could also choose to target segments of the industries where </w:t>
      </w:r>
      <w:r>
        <w:t xml:space="preserve">it </w:t>
      </w:r>
      <w:r w:rsidR="00E37C36">
        <w:t xml:space="preserve">already </w:t>
      </w:r>
      <w:r>
        <w:t>has</w:t>
      </w:r>
      <w:r w:rsidR="000F39CC">
        <w:t xml:space="preserve"> a strong capability and value proposition, such as B2B software in IMT.</w:t>
      </w:r>
    </w:p>
    <w:p w14:paraId="61E716A0" w14:textId="30E47908" w:rsidR="004B33CE" w:rsidRDefault="000F39CC" w:rsidP="0002378F">
      <w:r>
        <w:t xml:space="preserve">These two strategies each present opportunities and risks. </w:t>
      </w:r>
      <w:r w:rsidR="00806E11">
        <w:t xml:space="preserve">Focusing on growing the manufacturing and IMT sectors is not unprecedented internationally, but it </w:t>
      </w:r>
      <w:r w:rsidR="00CF2037">
        <w:t xml:space="preserve">would </w:t>
      </w:r>
      <w:r w:rsidR="00806E11">
        <w:t>entail</w:t>
      </w:r>
      <w:r w:rsidR="00CF2037">
        <w:t xml:space="preserve"> </w:t>
      </w:r>
      <w:r w:rsidR="00806E11">
        <w:t xml:space="preserve">entering challenging global markets. </w:t>
      </w:r>
      <w:r w:rsidR="003971F8">
        <w:t>Focus</w:t>
      </w:r>
      <w:r>
        <w:t xml:space="preserve">ing on business services would leverage Australia’s existing innovation strengths and sector mix, but these sectors </w:t>
      </w:r>
      <w:r w:rsidR="00E37C36">
        <w:t xml:space="preserve">can be </w:t>
      </w:r>
      <w:r>
        <w:t xml:space="preserve">less easily traded and so may not offer the same international growth opportunities as other approaches. </w:t>
      </w:r>
      <w:r w:rsidR="00DB7435">
        <w:t xml:space="preserve">In assessing options, policymakers will need to </w:t>
      </w:r>
      <w:r w:rsidR="007845B0">
        <w:t xml:space="preserve">evaluate the prospects for a strong return at the firm level and more broadly to R&amp;D and non-R&amp;D </w:t>
      </w:r>
      <w:r w:rsidR="00DB7435">
        <w:t>innovation</w:t>
      </w:r>
      <w:r w:rsidR="00043560">
        <w:t>.</w:t>
      </w:r>
    </w:p>
    <w:p w14:paraId="4890D8A1" w14:textId="1D050617" w:rsidR="000F39CC" w:rsidRDefault="000F39CC" w:rsidP="00253E15">
      <w:pPr>
        <w:pStyle w:val="Heading2"/>
      </w:pPr>
      <w:bookmarkStart w:id="129" w:name="_Toc13478307"/>
      <w:bookmarkStart w:id="130" w:name="_Toc30148089"/>
      <w:r>
        <w:t>S</w:t>
      </w:r>
      <w:r w:rsidRPr="00975ED0">
        <w:t xml:space="preserve">hould </w:t>
      </w:r>
      <w:r w:rsidR="000D12C5">
        <w:t>Australia</w:t>
      </w:r>
      <w:r w:rsidR="004B33CE">
        <w:t xml:space="preserve"> customise</w:t>
      </w:r>
      <w:r w:rsidR="000D12C5">
        <w:t xml:space="preserve"> </w:t>
      </w:r>
      <w:r w:rsidR="004B33CE">
        <w:t xml:space="preserve">its </w:t>
      </w:r>
      <w:r w:rsidRPr="00975ED0">
        <w:t xml:space="preserve">innovation </w:t>
      </w:r>
      <w:r w:rsidR="00C738D3">
        <w:t xml:space="preserve">agenda </w:t>
      </w:r>
      <w:r w:rsidR="00EF4C8F">
        <w:t xml:space="preserve">by </w:t>
      </w:r>
      <w:r w:rsidRPr="00975ED0">
        <w:t>firm</w:t>
      </w:r>
      <w:r w:rsidR="000D12C5">
        <w:t xml:space="preserve"> size,</w:t>
      </w:r>
      <w:r w:rsidRPr="00975ED0">
        <w:t xml:space="preserve"> capability and strategy?</w:t>
      </w:r>
      <w:bookmarkEnd w:id="129"/>
      <w:bookmarkEnd w:id="130"/>
      <w:r w:rsidRPr="00975ED0">
        <w:t xml:space="preserve"> </w:t>
      </w:r>
    </w:p>
    <w:p w14:paraId="036D5C98" w14:textId="62257C3D" w:rsidR="00177B8F" w:rsidRDefault="005D7E67" w:rsidP="00461291">
      <w:r>
        <w:t xml:space="preserve">Firm size </w:t>
      </w:r>
      <w:r w:rsidR="00CF2037">
        <w:t xml:space="preserve">and type </w:t>
      </w:r>
      <w:r w:rsidR="00043560">
        <w:t>strongly influence</w:t>
      </w:r>
      <w:r>
        <w:t xml:space="preserve"> how businesses incorporate innovation investment into their strategies</w:t>
      </w:r>
      <w:r w:rsidR="00321220">
        <w:t xml:space="preserve">, as shown in </w:t>
      </w:r>
      <w:r w:rsidR="00A7538E">
        <w:t>Sections 3.3 and 3.</w:t>
      </w:r>
      <w:r w:rsidR="00A7538E" w:rsidRPr="00783EF4">
        <w:t xml:space="preserve">4, and in </w:t>
      </w:r>
      <w:r w:rsidR="00321220" w:rsidRPr="005B4713">
        <w:t xml:space="preserve">Appendices </w:t>
      </w:r>
      <w:r w:rsidR="00783EF4" w:rsidRPr="00253E15">
        <w:t>A</w:t>
      </w:r>
      <w:r w:rsidR="00321220" w:rsidRPr="005B4713">
        <w:t>-</w:t>
      </w:r>
      <w:r w:rsidR="00783EF4" w:rsidRPr="00253E15">
        <w:t>C</w:t>
      </w:r>
      <w:r w:rsidR="00321220" w:rsidRPr="005B4713">
        <w:t xml:space="preserve">. </w:t>
      </w:r>
      <w:r w:rsidR="009F754C" w:rsidRPr="005B4713">
        <w:t>L</w:t>
      </w:r>
      <w:r w:rsidRPr="005B4713">
        <w:t>arge firms</w:t>
      </w:r>
      <w:r>
        <w:t xml:space="preserve"> optimise their investment decisions based on the tax and commercial settings they face beyond just R&amp;D policy</w:t>
      </w:r>
      <w:r w:rsidR="009F754C">
        <w:t>, for example</w:t>
      </w:r>
      <w:r>
        <w:t xml:space="preserve">. This </w:t>
      </w:r>
      <w:r w:rsidR="00464AF1">
        <w:t>may contribute</w:t>
      </w:r>
      <w:r>
        <w:t xml:space="preserve"> to </w:t>
      </w:r>
      <w:r w:rsidR="00464AF1">
        <w:t xml:space="preserve">the </w:t>
      </w:r>
      <w:r>
        <w:t xml:space="preserve">concentration of R&amp;D expenditure and other innovation investment </w:t>
      </w:r>
      <w:r w:rsidR="00461291">
        <w:t xml:space="preserve">in some of Australia’s largest firms: </w:t>
      </w:r>
      <w:r w:rsidR="001179D7">
        <w:t xml:space="preserve">as discussed in Section 3.3, </w:t>
      </w:r>
      <w:r w:rsidR="00461291">
        <w:t xml:space="preserve">the top 14 businesses spending on R&amp;D </w:t>
      </w:r>
      <w:r w:rsidR="001179D7">
        <w:t>account for</w:t>
      </w:r>
      <w:r w:rsidR="00461291">
        <w:t xml:space="preserve"> 30</w:t>
      </w:r>
      <w:r w:rsidR="00436768">
        <w:t xml:space="preserve"> per cent</w:t>
      </w:r>
      <w:r w:rsidR="00461291">
        <w:t xml:space="preserve"> of Australia’s total BERD. </w:t>
      </w:r>
    </w:p>
    <w:p w14:paraId="0967FC08" w14:textId="475DC4B7" w:rsidR="00B45250" w:rsidRDefault="00436768" w:rsidP="00461291">
      <w:r>
        <w:t xml:space="preserve">Small firms are vastly different </w:t>
      </w:r>
      <w:r w:rsidR="00F37B19">
        <w:t xml:space="preserve">to large firms </w:t>
      </w:r>
      <w:r>
        <w:t xml:space="preserve">in their operations, strategy and financial </w:t>
      </w:r>
      <w:r w:rsidR="00F37B19">
        <w:t>positio</w:t>
      </w:r>
      <w:r w:rsidR="002B4B45">
        <w:t xml:space="preserve">n. </w:t>
      </w:r>
      <w:r w:rsidR="00D21501">
        <w:t>To a</w:t>
      </w:r>
      <w:r>
        <w:t>ssum</w:t>
      </w:r>
      <w:r w:rsidR="00D21501">
        <w:t xml:space="preserve">e </w:t>
      </w:r>
      <w:r>
        <w:t>that the same recipe for innovation investment will work for small firms as works for medium and large firms denies the reality of their context and scale.</w:t>
      </w:r>
      <w:r w:rsidR="00806E11">
        <w:t xml:space="preserve"> </w:t>
      </w:r>
      <w:r w:rsidR="00461291">
        <w:t>Among small firms, non-R&amp;D innovation i</w:t>
      </w:r>
      <w:r>
        <w:t>s much</w:t>
      </w:r>
      <w:r w:rsidR="00461291">
        <w:t xml:space="preserve"> more common, and most innovation is </w:t>
      </w:r>
      <w:r w:rsidR="003971F8">
        <w:t>focus</w:t>
      </w:r>
      <w:r w:rsidR="00461291">
        <w:t xml:space="preserve">ed on improving productivity and reducing day-to-day operational pain-points rather than creating new products or services for customers. This suggests that the optimal form of R&amp;D for different business types depends on </w:t>
      </w:r>
      <w:r w:rsidR="009F754C">
        <w:t>firm size.</w:t>
      </w:r>
    </w:p>
    <w:p w14:paraId="4CE08724" w14:textId="20CD95AD" w:rsidR="00B45250" w:rsidRDefault="00DE4581" w:rsidP="00461291">
      <w:r>
        <w:t>Size is not the only factor. Firms differ in other ways that are correlated to innovation investment. For example, fast-growing and export-oriented firms often invest more in innovation and R&amp;D.</w:t>
      </w:r>
      <w:r>
        <w:rPr>
          <w:rStyle w:val="FootnoteReference"/>
        </w:rPr>
        <w:footnoteReference w:id="39"/>
      </w:r>
      <w:r>
        <w:t xml:space="preserve"> Tech</w:t>
      </w:r>
      <w:r w:rsidR="00664A91">
        <w:t>nology</w:t>
      </w:r>
      <w:r>
        <w:t xml:space="preserve"> start</w:t>
      </w:r>
      <w:r w:rsidR="008B1E2A">
        <w:t>-</w:t>
      </w:r>
      <w:r>
        <w:t xml:space="preserve">ups also invest more in innovation than other small firms. </w:t>
      </w:r>
    </w:p>
    <w:p w14:paraId="77D3685C" w14:textId="6ECE29F7" w:rsidR="000F39CC" w:rsidRPr="00975ED0" w:rsidRDefault="00DE4581" w:rsidP="009F754C">
      <w:r>
        <w:lastRenderedPageBreak/>
        <w:t xml:space="preserve">The diversity of firms’ innovation approaches </w:t>
      </w:r>
      <w:r w:rsidR="009F754C">
        <w:t xml:space="preserve">creates a strategic choice for Australian policymakers: </w:t>
      </w:r>
      <w:r w:rsidR="009F754C" w:rsidRPr="001E1183">
        <w:rPr>
          <w:b/>
          <w:bCs/>
        </w:rPr>
        <w:t>should</w:t>
      </w:r>
      <w:r w:rsidR="000F39CC" w:rsidRPr="001E1183">
        <w:rPr>
          <w:b/>
          <w:bCs/>
        </w:rPr>
        <w:t xml:space="preserve"> innovation policy aims, narratives and incentives be more tailored </w:t>
      </w:r>
      <w:r w:rsidR="009F754C" w:rsidRPr="001E1183">
        <w:rPr>
          <w:b/>
          <w:bCs/>
        </w:rPr>
        <w:t>based on firm size</w:t>
      </w:r>
      <w:r>
        <w:rPr>
          <w:b/>
          <w:bCs/>
        </w:rPr>
        <w:t xml:space="preserve"> or other characteristics</w:t>
      </w:r>
      <w:r w:rsidR="009F754C" w:rsidRPr="001E1183">
        <w:rPr>
          <w:b/>
          <w:bCs/>
        </w:rPr>
        <w:t xml:space="preserve"> to improve relevance and likely take-up, </w:t>
      </w:r>
      <w:r w:rsidR="001E1183" w:rsidRPr="001E1183">
        <w:rPr>
          <w:b/>
          <w:bCs/>
        </w:rPr>
        <w:t>or continue a higher-level, broad narrative about the benefits for all businesses?</w:t>
      </w:r>
      <w:r w:rsidR="001E1183">
        <w:t xml:space="preserve"> </w:t>
      </w:r>
      <w:r w:rsidR="00E566BF">
        <w:t>Options include</w:t>
      </w:r>
      <w:r w:rsidR="000F39CC" w:rsidRPr="00975ED0">
        <w:t xml:space="preserve">: </w:t>
      </w:r>
    </w:p>
    <w:p w14:paraId="5A8310D0" w14:textId="29E19687" w:rsidR="00076CC9" w:rsidRPr="00DE4581" w:rsidRDefault="00076CC9" w:rsidP="00434727">
      <w:pPr>
        <w:pStyle w:val="01squarebullet"/>
        <w:numPr>
          <w:ilvl w:val="0"/>
          <w:numId w:val="37"/>
        </w:numPr>
      </w:pPr>
      <w:r>
        <w:t>Changing the tax and commercial settings that large firms face to better incentivi</w:t>
      </w:r>
      <w:r w:rsidR="002B4B45">
        <w:t>s</w:t>
      </w:r>
      <w:r>
        <w:t xml:space="preserve">e innovation </w:t>
      </w:r>
      <w:r w:rsidRPr="00DE4581">
        <w:t xml:space="preserve">investment (such as in intangible assets) over </w:t>
      </w:r>
      <w:r w:rsidR="00806E11">
        <w:t xml:space="preserve">other </w:t>
      </w:r>
      <w:r w:rsidRPr="00DE4581">
        <w:t>uses of capital, such as dividend payouts</w:t>
      </w:r>
      <w:r w:rsidR="009A1D67" w:rsidRPr="00DE4581">
        <w:t xml:space="preserve">. </w:t>
      </w:r>
    </w:p>
    <w:p w14:paraId="2941F3AD" w14:textId="3F9B1985" w:rsidR="009A1D67" w:rsidRPr="00DE4581" w:rsidRDefault="00804DA2" w:rsidP="00076CC9">
      <w:pPr>
        <w:pStyle w:val="01squarebullet"/>
      </w:pPr>
      <w:r w:rsidRPr="00DE4581">
        <w:t>More directly targeting the country’s biggest innovation investors.</w:t>
      </w:r>
    </w:p>
    <w:p w14:paraId="2C585172" w14:textId="1F120B08" w:rsidR="000F39CC" w:rsidRPr="00DE4581" w:rsidRDefault="00076CC9" w:rsidP="00076CC9">
      <w:pPr>
        <w:pStyle w:val="01squarebullet"/>
      </w:pPr>
      <w:r w:rsidRPr="00DE4581">
        <w:t>Tailoring the mechanisms through which small business innovation occurs by focusing on productivity-enhancing technolog</w:t>
      </w:r>
      <w:r w:rsidR="00B45250" w:rsidRPr="00DE4581">
        <w:t>ies</w:t>
      </w:r>
      <w:r w:rsidR="003E6FA6">
        <w:t xml:space="preserve"> that can be taken up broadly;</w:t>
      </w:r>
      <w:r w:rsidR="00804DA2" w:rsidRPr="00DE4581">
        <w:t xml:space="preserve"> for example,</w:t>
      </w:r>
      <w:r w:rsidR="000F39CC" w:rsidRPr="00DE4581">
        <w:t xml:space="preserve"> single touch payroll.</w:t>
      </w:r>
    </w:p>
    <w:p w14:paraId="21D5BE56" w14:textId="376EC90A" w:rsidR="004E7BD7" w:rsidRDefault="00664A91" w:rsidP="0092043B">
      <w:r>
        <w:t>Further t</w:t>
      </w:r>
      <w:r w:rsidR="000F39CC" w:rsidRPr="00DE4581">
        <w:t xml:space="preserve">ailoring innovation incentives based on firm </w:t>
      </w:r>
      <w:r w:rsidR="00DE4581" w:rsidRPr="00DE4581">
        <w:t xml:space="preserve">size, growth rate, export orientation or other characteristics </w:t>
      </w:r>
      <w:r w:rsidR="000F39CC" w:rsidRPr="00DE4581">
        <w:t>would allow policymakers to leverage the different motivations that drive small and large businesses to invest in innovation</w:t>
      </w:r>
      <w:r w:rsidR="003E6FA6">
        <w:t xml:space="preserve"> and to help them overcome the specific constraints they face</w:t>
      </w:r>
      <w:r w:rsidR="000F39CC" w:rsidRPr="00DE4581">
        <w:t xml:space="preserve">. However, </w:t>
      </w:r>
      <w:r w:rsidR="00D463CB">
        <w:t>a</w:t>
      </w:r>
      <w:r w:rsidR="000F39CC" w:rsidRPr="00DE4581">
        <w:t xml:space="preserve"> more targeted approach risks indirectly or unintentionally raising additional barriers or removing</w:t>
      </w:r>
      <w:r w:rsidR="000F39CC">
        <w:t xml:space="preserve"> existing incentives to invest in innovation</w:t>
      </w:r>
      <w:r w:rsidR="003E6FA6">
        <w:t>.</w:t>
      </w:r>
      <w:r w:rsidR="000F39CC">
        <w:t xml:space="preserve">  </w:t>
      </w:r>
    </w:p>
    <w:p w14:paraId="7D50111A" w14:textId="77777777" w:rsidR="00B45250" w:rsidRDefault="00B45250">
      <w:pPr>
        <w:spacing w:before="0" w:after="160"/>
        <w:jc w:val="left"/>
        <w:rPr>
          <w:rFonts w:asciiTheme="majorHAnsi" w:eastAsiaTheme="majorEastAsia" w:hAnsiTheme="majorHAnsi" w:cstheme="majorHAnsi"/>
          <w:b/>
          <w:caps/>
          <w:color w:val="4CB8C1" w:themeColor="accent5"/>
          <w:sz w:val="44"/>
          <w:szCs w:val="44"/>
          <w:lang w:val="en-US"/>
        </w:rPr>
      </w:pPr>
      <w:r>
        <w:br w:type="page"/>
      </w:r>
    </w:p>
    <w:p w14:paraId="706E3497" w14:textId="17444A16" w:rsidR="00AF190D" w:rsidRDefault="0002378F" w:rsidP="00713453">
      <w:pPr>
        <w:pStyle w:val="Heading1"/>
      </w:pPr>
      <w:bookmarkStart w:id="131" w:name="_Toc30148090"/>
      <w:bookmarkStart w:id="132" w:name="_Ref12561494"/>
      <w:bookmarkStart w:id="133" w:name="_Toc13478309"/>
      <w:r>
        <w:lastRenderedPageBreak/>
        <w:t>C</w:t>
      </w:r>
      <w:r w:rsidR="00683C1C" w:rsidRPr="00713453">
        <w:t>onclusion</w:t>
      </w:r>
      <w:bookmarkEnd w:id="131"/>
    </w:p>
    <w:p w14:paraId="0A1A4B61" w14:textId="1026BF35" w:rsidR="002B22B8" w:rsidRDefault="00CF28BB">
      <w:pPr>
        <w:spacing w:before="0" w:after="160"/>
        <w:jc w:val="left"/>
      </w:pPr>
      <w:r>
        <w:t xml:space="preserve">Innovation is essential to </w:t>
      </w:r>
      <w:r w:rsidR="00E11FBD">
        <w:t xml:space="preserve">economic performance. </w:t>
      </w:r>
      <w:r w:rsidR="002B22B8">
        <w:t xml:space="preserve">But business R&amp;D is lower in Australia, as a share of GDP, than it is in many of our peer economies. </w:t>
      </w:r>
      <w:r w:rsidR="008B1E2A">
        <w:t>S</w:t>
      </w:r>
      <w:r w:rsidR="00923A3E">
        <w:t xml:space="preserve">ince </w:t>
      </w:r>
      <w:r w:rsidR="00D94440">
        <w:t xml:space="preserve">business R&amp;D </w:t>
      </w:r>
      <w:r w:rsidR="001928E8">
        <w:t>as a</w:t>
      </w:r>
      <w:r w:rsidR="00D94440">
        <w:t xml:space="preserve"> share of GDP</w:t>
      </w:r>
      <w:r w:rsidR="00923A3E">
        <w:t xml:space="preserve"> peaked in 2008-09, it has fallen by </w:t>
      </w:r>
      <w:r w:rsidR="001928E8">
        <w:t>almost</w:t>
      </w:r>
      <w:r w:rsidR="00923A3E">
        <w:t xml:space="preserve"> a third. </w:t>
      </w:r>
    </w:p>
    <w:p w14:paraId="0165B999" w14:textId="6FDC3CF9" w:rsidR="00AE302F" w:rsidRDefault="00D94440" w:rsidP="003C3EF1">
      <w:pPr>
        <w:spacing w:before="0" w:after="160"/>
        <w:jc w:val="left"/>
      </w:pPr>
      <w:r>
        <w:t>Most</w:t>
      </w:r>
      <w:r w:rsidR="002B22B8">
        <w:t xml:space="preserve"> of the gap </w:t>
      </w:r>
      <w:r w:rsidR="00B57EE7">
        <w:t xml:space="preserve">in business R&amp;D </w:t>
      </w:r>
      <w:r w:rsidR="002B22B8">
        <w:t xml:space="preserve">between Australia and its international peers can be explained by differences in the sector mix of output. And most </w:t>
      </w:r>
      <w:r w:rsidR="00AF0334">
        <w:t xml:space="preserve">of the fall in Australia’s business R&amp;D as a share of GDP since it peaked in 2008-09 can be attributed to the ebbing of the mining development boom, with a smaller contribution from changes in Australia’s industry mix. </w:t>
      </w:r>
    </w:p>
    <w:p w14:paraId="1872F2C4" w14:textId="73C962B2" w:rsidR="00D03E17" w:rsidRDefault="008616D3">
      <w:pPr>
        <w:spacing w:before="0" w:after="160"/>
        <w:jc w:val="left"/>
      </w:pPr>
      <w:r>
        <w:t>Australian b</w:t>
      </w:r>
      <w:r w:rsidR="00845111">
        <w:t>usiness investment in</w:t>
      </w:r>
      <w:r>
        <w:t xml:space="preserve"> </w:t>
      </w:r>
      <w:r w:rsidR="00845111">
        <w:t xml:space="preserve">innovation </w:t>
      </w:r>
      <w:r w:rsidR="00302770">
        <w:t xml:space="preserve">overall </w:t>
      </w:r>
      <w:r>
        <w:t>is about twice as large as business R&amp;D investment alone.</w:t>
      </w:r>
      <w:r w:rsidR="00BA277F">
        <w:t xml:space="preserve"> Broader business investment in innovation appears not to have fallen much as a share of GDP since the start of this decade. </w:t>
      </w:r>
      <w:r w:rsidR="001928E8">
        <w:t>While</w:t>
      </w:r>
      <w:r w:rsidR="00BA277F">
        <w:t xml:space="preserve"> i</w:t>
      </w:r>
      <w:r w:rsidR="00C03090">
        <w:t>t, too,</w:t>
      </w:r>
      <w:r w:rsidR="00000920">
        <w:t xml:space="preserve"> </w:t>
      </w:r>
      <w:r w:rsidR="00845111">
        <w:t>is lower than in many peer economies</w:t>
      </w:r>
      <w:r w:rsidR="00923A3E">
        <w:t xml:space="preserve">, </w:t>
      </w:r>
      <w:r w:rsidR="00AE302F">
        <w:t xml:space="preserve">the </w:t>
      </w:r>
      <w:r>
        <w:t xml:space="preserve">gap </w:t>
      </w:r>
      <w:r w:rsidR="00AE302F">
        <w:t xml:space="preserve">to peers </w:t>
      </w:r>
      <w:r w:rsidR="001928E8">
        <w:t xml:space="preserve">is probably </w:t>
      </w:r>
      <w:r w:rsidR="00302770">
        <w:t xml:space="preserve">largely accounted for by </w:t>
      </w:r>
      <w:r w:rsidR="00845111">
        <w:t xml:space="preserve">Australia’s sectoral mix. </w:t>
      </w:r>
    </w:p>
    <w:p w14:paraId="01B99AB9" w14:textId="77777777" w:rsidR="001928E8" w:rsidRDefault="00312246">
      <w:pPr>
        <w:spacing w:before="0" w:after="160"/>
        <w:jc w:val="left"/>
      </w:pPr>
      <w:r>
        <w:t>Account</w:t>
      </w:r>
      <w:r w:rsidR="00F14F44">
        <w:t xml:space="preserve">ing </w:t>
      </w:r>
      <w:r>
        <w:t xml:space="preserve">for sector mix, then, Australia seems </w:t>
      </w:r>
      <w:r w:rsidR="00F14F44">
        <w:t>to be</w:t>
      </w:r>
      <w:r>
        <w:t xml:space="preserve"> less of an innovation laggard. </w:t>
      </w:r>
    </w:p>
    <w:p w14:paraId="6207B528" w14:textId="1F7FB54E" w:rsidR="0018425F" w:rsidRDefault="0026000F">
      <w:pPr>
        <w:spacing w:before="0" w:after="160"/>
        <w:jc w:val="left"/>
      </w:pPr>
      <w:r>
        <w:t>But t</w:t>
      </w:r>
      <w:r w:rsidR="00F14F44">
        <w:t>here is</w:t>
      </w:r>
      <w:r w:rsidR="0018425F">
        <w:t xml:space="preserve"> </w:t>
      </w:r>
      <w:r w:rsidR="00F14F44">
        <w:t xml:space="preserve">little </w:t>
      </w:r>
      <w:r w:rsidR="0018425F">
        <w:t xml:space="preserve">basis </w:t>
      </w:r>
      <w:r w:rsidR="003C3EF1">
        <w:t>for complacency</w:t>
      </w:r>
      <w:r w:rsidR="00D94440">
        <w:t xml:space="preserve">: </w:t>
      </w:r>
      <w:r w:rsidR="003C3EF1">
        <w:t xml:space="preserve">Australia’s sector mix </w:t>
      </w:r>
      <w:r w:rsidR="0018425F">
        <w:t xml:space="preserve">itself </w:t>
      </w:r>
      <w:r w:rsidR="003C3EF1">
        <w:t xml:space="preserve">may reflect </w:t>
      </w:r>
      <w:r w:rsidR="0018425F">
        <w:t xml:space="preserve">weak </w:t>
      </w:r>
      <w:r w:rsidR="003C3EF1">
        <w:t>innovation</w:t>
      </w:r>
      <w:r w:rsidR="0018425F">
        <w:t xml:space="preserve"> capacity</w:t>
      </w:r>
      <w:r w:rsidR="00C03090">
        <w:t xml:space="preserve">. Improvements in Australia’s innovation capabilities, policies and incentives could </w:t>
      </w:r>
      <w:r w:rsidR="001928E8">
        <w:t>improve</w:t>
      </w:r>
      <w:r w:rsidR="00C03090">
        <w:t xml:space="preserve"> innovation efforts and outcomes, </w:t>
      </w:r>
      <w:r w:rsidR="001928E8">
        <w:t>and even contribute to</w:t>
      </w:r>
      <w:r w:rsidR="00C03090">
        <w:t xml:space="preserve"> changing </w:t>
      </w:r>
      <w:r w:rsidR="001928E8">
        <w:t xml:space="preserve">Australia’s </w:t>
      </w:r>
      <w:r w:rsidR="00C03090">
        <w:t xml:space="preserve">sector mix. </w:t>
      </w:r>
    </w:p>
    <w:p w14:paraId="2886306E" w14:textId="6D562586" w:rsidR="007A72AE" w:rsidRDefault="007A72AE">
      <w:pPr>
        <w:spacing w:before="0" w:after="160"/>
        <w:jc w:val="left"/>
      </w:pPr>
      <w:r>
        <w:t xml:space="preserve">There are three main sets of findings </w:t>
      </w:r>
      <w:r w:rsidR="0026000F">
        <w:t>in this report that are</w:t>
      </w:r>
      <w:r w:rsidR="00BB3723">
        <w:t xml:space="preserve"> </w:t>
      </w:r>
      <w:r>
        <w:t xml:space="preserve">relevant to innovation policy. </w:t>
      </w:r>
    </w:p>
    <w:p w14:paraId="0DAF03B1" w14:textId="6B2A77FB" w:rsidR="007A72AE" w:rsidRDefault="007A72AE" w:rsidP="00EE1D67">
      <w:pPr>
        <w:spacing w:before="0" w:after="160"/>
        <w:jc w:val="left"/>
      </w:pPr>
      <w:r>
        <w:t xml:space="preserve">First, </w:t>
      </w:r>
      <w:r w:rsidRPr="001928E8">
        <w:rPr>
          <w:b/>
          <w:bCs/>
        </w:rPr>
        <w:t>innovation is associated with improved business performance, but R&amp;D is not the only type of innovation that drives performance.</w:t>
      </w:r>
      <w:r>
        <w:t xml:space="preserve"> Large listed Australian firms that invest in R&amp;D are more likely to survive, and they grow faster, on average; but intangible assets have an independent, additional effect on survival and growth. Smaller firms that invest more in </w:t>
      </w:r>
      <w:r w:rsidR="00CA3922">
        <w:t>technology</w:t>
      </w:r>
      <w:r>
        <w:t>, or are heavier adopters of new IT tools such as online software applications, also grow faster than other firms. At the sector level, sectors where more firms are active innovators have had faster productivity growth than other sectors, while R&amp;D appears to have a weaker relationship with productivity growth.</w:t>
      </w:r>
    </w:p>
    <w:p w14:paraId="2F3778EC" w14:textId="0B34790E" w:rsidR="007A72AE" w:rsidRDefault="007A72AE" w:rsidP="007A72AE">
      <w:pPr>
        <w:spacing w:before="0" w:after="160"/>
        <w:jc w:val="left"/>
      </w:pPr>
      <w:r>
        <w:t xml:space="preserve">Second, </w:t>
      </w:r>
      <w:r w:rsidRPr="001928E8">
        <w:rPr>
          <w:b/>
          <w:bCs/>
        </w:rPr>
        <w:t>the sector mix of innovation is different in Australia</w:t>
      </w:r>
      <w:r w:rsidR="0026000F" w:rsidRPr="001928E8">
        <w:rPr>
          <w:b/>
          <w:bCs/>
        </w:rPr>
        <w:t xml:space="preserve"> than in leading peer economies</w:t>
      </w:r>
      <w:r w:rsidR="00BB3723" w:rsidRPr="001928E8">
        <w:rPr>
          <w:b/>
          <w:bCs/>
        </w:rPr>
        <w:t>, with services playing a larger role</w:t>
      </w:r>
      <w:r w:rsidRPr="001928E8">
        <w:rPr>
          <w:b/>
          <w:bCs/>
        </w:rPr>
        <w:t>.</w:t>
      </w:r>
      <w:r>
        <w:t xml:space="preserve"> The sectors that contribute most to business R&amp;D in other advanced economies</w:t>
      </w:r>
      <w:r w:rsidR="00BB3723">
        <w:t xml:space="preserve"> – manufacturing and information, media and telecommunications – </w:t>
      </w:r>
      <w:r>
        <w:t>are smaller and less R&amp;D</w:t>
      </w:r>
      <w:r w:rsidR="0026000F">
        <w:t>-</w:t>
      </w:r>
      <w:r>
        <w:t>intense in Australia</w:t>
      </w:r>
      <w:r w:rsidR="00BB3723">
        <w:t xml:space="preserve">. </w:t>
      </w:r>
      <w:r w:rsidR="00D94440">
        <w:t xml:space="preserve">Offsetting this, </w:t>
      </w:r>
      <w:r>
        <w:t xml:space="preserve">professional, </w:t>
      </w:r>
      <w:r w:rsidR="00BB3723">
        <w:t>s</w:t>
      </w:r>
      <w:r>
        <w:t xml:space="preserve">cientific and </w:t>
      </w:r>
      <w:r w:rsidR="0026000F">
        <w:t>t</w:t>
      </w:r>
      <w:r>
        <w:t xml:space="preserve">echnical </w:t>
      </w:r>
      <w:r w:rsidR="00BB3723">
        <w:t xml:space="preserve">services </w:t>
      </w:r>
      <w:r>
        <w:t xml:space="preserve">(and other business services) sectors are </w:t>
      </w:r>
      <w:r w:rsidR="00282069">
        <w:t>both larger</w:t>
      </w:r>
      <w:r w:rsidR="00BB3723">
        <w:t xml:space="preserve"> and more </w:t>
      </w:r>
      <w:r>
        <w:t xml:space="preserve">R&amp;D </w:t>
      </w:r>
      <w:r w:rsidR="00BB3723">
        <w:t xml:space="preserve">intense </w:t>
      </w:r>
      <w:r>
        <w:t>in Australia</w:t>
      </w:r>
      <w:r w:rsidR="00BB3723">
        <w:t>. Firms in those sectors also</w:t>
      </w:r>
      <w:r>
        <w:t xml:space="preserve"> report </w:t>
      </w:r>
      <w:r w:rsidR="00BB3723">
        <w:t xml:space="preserve">that intangibles area a </w:t>
      </w:r>
      <w:r>
        <w:t xml:space="preserve">relatively high </w:t>
      </w:r>
      <w:r w:rsidR="00BB3723">
        <w:t xml:space="preserve">share of their </w:t>
      </w:r>
      <w:r>
        <w:t xml:space="preserve">assets. </w:t>
      </w:r>
    </w:p>
    <w:p w14:paraId="7CC58559" w14:textId="3A496AA9" w:rsidR="007A72AE" w:rsidRDefault="007A72AE" w:rsidP="00EE1D67">
      <w:pPr>
        <w:spacing w:before="0" w:after="160"/>
        <w:jc w:val="left"/>
      </w:pPr>
      <w:r>
        <w:t xml:space="preserve">Third, </w:t>
      </w:r>
      <w:r w:rsidRPr="001928E8">
        <w:rPr>
          <w:b/>
          <w:bCs/>
        </w:rPr>
        <w:t xml:space="preserve">firms of different sizes and types are important to innovation investment, but they invest in different things when they innovate. </w:t>
      </w:r>
      <w:r>
        <w:t xml:space="preserve">For example, large firms are more likely to conduct R&amp;D and account for a large share of R&amp;D expenditure, and they are more likely to invest in non-R&amp;D innovation than smaller firms. Medium-sized firms account for a significant share of R&amp;D and of total innovation expenditure. And many smaller firms are active innovators, though they are much more likely to invest in non-R&amp;D innovation than in R&amp;D. </w:t>
      </w:r>
    </w:p>
    <w:p w14:paraId="3E3F1E3D" w14:textId="7B0950A9" w:rsidR="0018425F" w:rsidRDefault="003C3EF1" w:rsidP="0018425F">
      <w:pPr>
        <w:spacing w:before="0" w:after="160"/>
        <w:jc w:val="left"/>
      </w:pPr>
      <w:r>
        <w:t xml:space="preserve">The </w:t>
      </w:r>
      <w:r w:rsidR="00EE1D67">
        <w:t>findings</w:t>
      </w:r>
      <w:r>
        <w:t xml:space="preserve"> </w:t>
      </w:r>
      <w:r w:rsidR="00B742DE">
        <w:t xml:space="preserve">suggest three </w:t>
      </w:r>
      <w:r w:rsidR="00EE1D67">
        <w:t xml:space="preserve">questions for policymakers in refining the strategic focus for innovation policy. </w:t>
      </w:r>
      <w:r w:rsidR="00EE1D67" w:rsidRPr="001928E8">
        <w:rPr>
          <w:b/>
          <w:bCs/>
        </w:rPr>
        <w:t xml:space="preserve">The first question is whether Australia should rebalance support for </w:t>
      </w:r>
      <w:r w:rsidR="00B742DE" w:rsidRPr="001928E8">
        <w:rPr>
          <w:b/>
          <w:bCs/>
        </w:rPr>
        <w:t xml:space="preserve">R&amp;D </w:t>
      </w:r>
      <w:r w:rsidR="00EE1D67" w:rsidRPr="001928E8">
        <w:rPr>
          <w:b/>
          <w:bCs/>
        </w:rPr>
        <w:t>and non-R&amp;D innovation</w:t>
      </w:r>
      <w:r w:rsidR="007A72AE" w:rsidRPr="001928E8">
        <w:rPr>
          <w:b/>
          <w:bCs/>
        </w:rPr>
        <w:t xml:space="preserve">. </w:t>
      </w:r>
      <w:r w:rsidR="0018425F">
        <w:t>Current policy likely provides more support for R&amp;D than for other types of innovation; but the evidence suggests an independent, positive role for non-R&amp;D innovation</w:t>
      </w:r>
      <w:r w:rsidR="007A72AE">
        <w:t xml:space="preserve">. </w:t>
      </w:r>
      <w:r w:rsidR="0026000F">
        <w:t>P</w:t>
      </w:r>
      <w:r w:rsidR="007A72AE">
        <w:t xml:space="preserve">olicy changes to reduce impediments to intangible investment, or to commercialisation, could have a significant </w:t>
      </w:r>
      <w:r w:rsidR="00F14F44">
        <w:t xml:space="preserve">payoff. </w:t>
      </w:r>
    </w:p>
    <w:p w14:paraId="213C2410" w14:textId="5E93E7E8" w:rsidR="00EE1D67" w:rsidRDefault="00EE1D67" w:rsidP="00EE1D67">
      <w:pPr>
        <w:spacing w:before="0" w:after="160"/>
        <w:jc w:val="left"/>
      </w:pPr>
      <w:r w:rsidRPr="001928E8">
        <w:rPr>
          <w:b/>
          <w:bCs/>
        </w:rPr>
        <w:lastRenderedPageBreak/>
        <w:t>The second question is whether Australia should prioritise sectors that can lead innovation, and if so, which sectors.</w:t>
      </w:r>
      <w:r>
        <w:t xml:space="preserve"> </w:t>
      </w:r>
      <w:r w:rsidR="007A72AE">
        <w:t>Sectors</w:t>
      </w:r>
      <w:r w:rsidR="0026000F">
        <w:t xml:space="preserve"> </w:t>
      </w:r>
      <w:r w:rsidR="007A72AE">
        <w:t>that drive innovation in leading economies</w:t>
      </w:r>
      <w:r w:rsidR="0026000F">
        <w:t xml:space="preserve">, including manufacturing, </w:t>
      </w:r>
      <w:r w:rsidR="007A72AE">
        <w:t xml:space="preserve">are smaller and less innovation-intense in Australia, while some service sectors are leading innovation. </w:t>
      </w:r>
      <w:r w:rsidR="00BB3723">
        <w:t xml:space="preserve">There may be </w:t>
      </w:r>
      <w:r w:rsidR="00F14F44">
        <w:t xml:space="preserve">opportunities </w:t>
      </w:r>
      <w:r w:rsidR="00BB3723">
        <w:t xml:space="preserve">for policy </w:t>
      </w:r>
      <w:r w:rsidR="00F14F44">
        <w:t>to capitalise on our sectoral strengths, o</w:t>
      </w:r>
      <w:r w:rsidR="00BB3723">
        <w:t>r to</w:t>
      </w:r>
      <w:r w:rsidR="00F14F44">
        <w:t xml:space="preserve"> overcome weaknesses. </w:t>
      </w:r>
    </w:p>
    <w:p w14:paraId="3324A003" w14:textId="66F062F6" w:rsidR="00EE1D67" w:rsidRDefault="00EE1D67" w:rsidP="00EE1D67">
      <w:pPr>
        <w:spacing w:before="0" w:after="160"/>
        <w:jc w:val="left"/>
      </w:pPr>
      <w:r w:rsidRPr="001928E8">
        <w:rPr>
          <w:b/>
          <w:bCs/>
        </w:rPr>
        <w:t>The third question is whether Australia should customise its innovation agenda by firm size, capability, and strategy.</w:t>
      </w:r>
      <w:r>
        <w:t xml:space="preserve"> </w:t>
      </w:r>
      <w:r w:rsidRPr="00F14F44">
        <w:t xml:space="preserve">Larger firms </w:t>
      </w:r>
      <w:r w:rsidR="00282069">
        <w:t>undertake</w:t>
      </w:r>
      <w:r w:rsidRPr="00F14F44">
        <w:t xml:space="preserve"> most of </w:t>
      </w:r>
      <w:r w:rsidR="00282069">
        <w:t xml:space="preserve">Australia’s </w:t>
      </w:r>
      <w:r w:rsidRPr="00F14F44">
        <w:t>R&amp;D, while smaller firms invest more heavily in non-R&amp;D innovation. Start</w:t>
      </w:r>
      <w:r w:rsidR="008B1E2A">
        <w:t>-</w:t>
      </w:r>
      <w:r w:rsidRPr="00F14F44">
        <w:t xml:space="preserve">ups and fast-growing firms </w:t>
      </w:r>
      <w:r w:rsidR="00F14F44" w:rsidRPr="00F14F44">
        <w:t xml:space="preserve">(not covered explicitly in this report) </w:t>
      </w:r>
      <w:r w:rsidR="00282069">
        <w:t xml:space="preserve">play a critical role in the diffusion of innovations, and </w:t>
      </w:r>
      <w:r w:rsidR="00F14F44" w:rsidRPr="00F14F44">
        <w:t xml:space="preserve">face </w:t>
      </w:r>
      <w:r w:rsidRPr="00F14F44">
        <w:t>challenges</w:t>
      </w:r>
      <w:r w:rsidR="00F14F44" w:rsidRPr="00F14F44">
        <w:t xml:space="preserve"> relating to finance, growth and access to talent. </w:t>
      </w:r>
      <w:r w:rsidR="00BB3723">
        <w:t>Innovation p</w:t>
      </w:r>
      <w:r w:rsidR="00F14F44" w:rsidRPr="00F14F44">
        <w:t xml:space="preserve">olicy does </w:t>
      </w:r>
      <w:r w:rsidR="00BB3723">
        <w:t xml:space="preserve">already </w:t>
      </w:r>
      <w:r w:rsidR="00F14F44" w:rsidRPr="00F14F44">
        <w:t xml:space="preserve">differentiate </w:t>
      </w:r>
      <w:r w:rsidR="00BB3723">
        <w:t xml:space="preserve">across </w:t>
      </w:r>
      <w:r w:rsidR="00F14F44" w:rsidRPr="00F14F44">
        <w:t>firm sizes and circumstances, but</w:t>
      </w:r>
      <w:r w:rsidR="00BB3723">
        <w:t xml:space="preserve"> there may be an opportunity to strike a better </w:t>
      </w:r>
      <w:r w:rsidR="00F14F44">
        <w:t xml:space="preserve">balance. </w:t>
      </w:r>
    </w:p>
    <w:p w14:paraId="10DC06C3" w14:textId="2648ABA7" w:rsidR="00C03090" w:rsidRDefault="00BB3723">
      <w:pPr>
        <w:spacing w:before="0" w:after="160"/>
        <w:jc w:val="left"/>
      </w:pPr>
      <w:r>
        <w:t xml:space="preserve">Overall, </w:t>
      </w:r>
      <w:r w:rsidR="00F14F44">
        <w:t xml:space="preserve">Australian firms are active innovators, spending </w:t>
      </w:r>
      <w:r w:rsidR="001928E8">
        <w:t>just under</w:t>
      </w:r>
      <w:r w:rsidR="00F14F44">
        <w:t xml:space="preserve"> 2 per cent of GDP on innovation. </w:t>
      </w:r>
      <w:r>
        <w:t xml:space="preserve"> </w:t>
      </w:r>
      <w:r w:rsidR="00F14F44">
        <w:t xml:space="preserve">They do so in diverse ways, and </w:t>
      </w:r>
      <w:r>
        <w:t xml:space="preserve">they </w:t>
      </w:r>
      <w:r w:rsidR="00F14F44">
        <w:t xml:space="preserve">face a diverse set of challenges. </w:t>
      </w:r>
      <w:r>
        <w:t xml:space="preserve">The </w:t>
      </w:r>
      <w:r w:rsidR="0026000F">
        <w:t xml:space="preserve">findings </w:t>
      </w:r>
      <w:r>
        <w:t xml:space="preserve">presented here </w:t>
      </w:r>
      <w:r w:rsidR="0026000F">
        <w:t xml:space="preserve">prompts a range of </w:t>
      </w:r>
      <w:r w:rsidR="00282069">
        <w:t xml:space="preserve">questions </w:t>
      </w:r>
      <w:r w:rsidR="0026000F">
        <w:t xml:space="preserve">about </w:t>
      </w:r>
      <w:r w:rsidR="00BB3305">
        <w:t>whether and how</w:t>
      </w:r>
      <w:r>
        <w:t xml:space="preserve"> policy </w:t>
      </w:r>
      <w:r w:rsidR="0026000F">
        <w:t xml:space="preserve">could better </w:t>
      </w:r>
      <w:r w:rsidR="00BB3305">
        <w:t xml:space="preserve">respond to that diversity in </w:t>
      </w:r>
      <w:r>
        <w:t>promot</w:t>
      </w:r>
      <w:r w:rsidR="00BB3305">
        <w:t xml:space="preserve">ing </w:t>
      </w:r>
      <w:r>
        <w:t>innovatio</w:t>
      </w:r>
      <w:r w:rsidR="00BB3305">
        <w:t>n</w:t>
      </w:r>
      <w:r>
        <w:t xml:space="preserve">. </w:t>
      </w:r>
    </w:p>
    <w:p w14:paraId="15FBEE31" w14:textId="79F79655" w:rsidR="00C03090" w:rsidRDefault="00C03090">
      <w:pPr>
        <w:spacing w:before="0" w:after="160"/>
        <w:jc w:val="left"/>
      </w:pPr>
    </w:p>
    <w:p w14:paraId="2A4F4606" w14:textId="77777777" w:rsidR="00C03090" w:rsidRPr="00CF28BB" w:rsidRDefault="00C03090">
      <w:pPr>
        <w:spacing w:before="0" w:after="160"/>
        <w:jc w:val="left"/>
      </w:pPr>
    </w:p>
    <w:p w14:paraId="71922BE9" w14:textId="77777777" w:rsidR="00EE1D67" w:rsidRDefault="00EE1D67">
      <w:pPr>
        <w:spacing w:before="0" w:after="160"/>
        <w:jc w:val="left"/>
        <w:rPr>
          <w:rFonts w:asciiTheme="majorHAnsi" w:eastAsiaTheme="majorEastAsia" w:hAnsiTheme="majorHAnsi" w:cstheme="majorHAnsi"/>
          <w:b/>
          <w:caps/>
          <w:color w:val="4CB8C1" w:themeColor="accent5"/>
          <w:sz w:val="44"/>
          <w:szCs w:val="44"/>
          <w:lang w:val="en-US"/>
        </w:rPr>
      </w:pPr>
      <w:r>
        <w:br w:type="page"/>
      </w:r>
    </w:p>
    <w:p w14:paraId="19E4A3DA" w14:textId="5152D3BF" w:rsidR="00D46B6C" w:rsidRDefault="00D46B6C" w:rsidP="00253E15">
      <w:pPr>
        <w:pStyle w:val="Heading1"/>
        <w:numPr>
          <w:ilvl w:val="0"/>
          <w:numId w:val="0"/>
        </w:numPr>
      </w:pPr>
      <w:bookmarkStart w:id="134" w:name="_Toc30148091"/>
      <w:r w:rsidRPr="00D46B6C">
        <w:lastRenderedPageBreak/>
        <w:t>Appendix A</w:t>
      </w:r>
      <w:r>
        <w:t xml:space="preserve"> – </w:t>
      </w:r>
      <w:r w:rsidR="00AC00B4">
        <w:t>Large firm R&amp;D and intangible asset intensity</w:t>
      </w:r>
      <w:bookmarkEnd w:id="132"/>
      <w:bookmarkEnd w:id="133"/>
      <w:bookmarkEnd w:id="134"/>
    </w:p>
    <w:p w14:paraId="005E9AF0" w14:textId="77777777" w:rsidR="00CF28BB" w:rsidRDefault="00503001" w:rsidP="008A1119">
      <w:bookmarkStart w:id="135" w:name="_Toc13478310"/>
      <w:r>
        <w:t xml:space="preserve">Industry mix explains </w:t>
      </w:r>
      <w:r w:rsidR="009E193D">
        <w:t>most</w:t>
      </w:r>
      <w:r>
        <w:t xml:space="preserve"> of the </w:t>
      </w:r>
      <w:r w:rsidR="009E193D">
        <w:t>gap</w:t>
      </w:r>
      <w:r w:rsidR="00444241">
        <w:t xml:space="preserve"> between</w:t>
      </w:r>
      <w:r>
        <w:t xml:space="preserve"> </w:t>
      </w:r>
      <w:r w:rsidR="009E193D">
        <w:t xml:space="preserve">large firm R&amp;D on the </w:t>
      </w:r>
      <w:r>
        <w:t>ASX</w:t>
      </w:r>
      <w:r w:rsidR="009E193D">
        <w:t xml:space="preserve"> and </w:t>
      </w:r>
      <w:r w:rsidR="00444241">
        <w:t>other major exchanges</w:t>
      </w:r>
      <w:bookmarkEnd w:id="135"/>
      <w:r w:rsidR="00CF28BB">
        <w:t xml:space="preserve">. </w:t>
      </w:r>
    </w:p>
    <w:p w14:paraId="20377B67" w14:textId="6B02C0E2" w:rsidR="008A1119" w:rsidRDefault="008A1119" w:rsidP="008A1119">
      <w:r>
        <w:t xml:space="preserve">Australian large listed firms </w:t>
      </w:r>
      <w:r w:rsidR="006D2DCE">
        <w:t xml:space="preserve">as a group </w:t>
      </w:r>
      <w:r>
        <w:t>are 2.2 times less R&amp;D</w:t>
      </w:r>
      <w:r w:rsidR="006D2DCE">
        <w:t>-</w:t>
      </w:r>
      <w:r>
        <w:t xml:space="preserve">intensive than </w:t>
      </w:r>
      <w:r w:rsidR="006D2DCE">
        <w:t xml:space="preserve">their </w:t>
      </w:r>
      <w:r>
        <w:t>peers</w:t>
      </w:r>
      <w:r w:rsidR="006D2DCE">
        <w:t xml:space="preserve"> listed on other major stock exchanges</w:t>
      </w:r>
      <w:r>
        <w:t xml:space="preserve">. </w:t>
      </w:r>
      <w:r w:rsidR="006D2DCE">
        <w:t xml:space="preserve">Australian firms </w:t>
      </w:r>
      <w:r>
        <w:t>spend only 3</w:t>
      </w:r>
      <w:r w:rsidR="00436768">
        <w:t xml:space="preserve"> per cent</w:t>
      </w:r>
      <w:r>
        <w:t xml:space="preserve"> of revenues on R&amp;D, compared to a</w:t>
      </w:r>
      <w:r w:rsidR="006D2DCE">
        <w:t xml:space="preserve">n </w:t>
      </w:r>
      <w:r>
        <w:t>average of 7</w:t>
      </w:r>
      <w:r w:rsidR="00436768">
        <w:t xml:space="preserve"> per cent</w:t>
      </w:r>
      <w:r w:rsidR="006D2DCE">
        <w:t xml:space="preserve"> on those exchanges</w:t>
      </w:r>
      <w:r>
        <w:t>.</w:t>
      </w:r>
      <w:r w:rsidR="00BB43DC">
        <w:t xml:space="preserve"> </w:t>
      </w:r>
    </w:p>
    <w:p w14:paraId="1CE676F0" w14:textId="170591AD" w:rsidR="00AC00B4" w:rsidRDefault="00AC00B4" w:rsidP="00AC00B4">
      <w:pPr>
        <w:pStyle w:val="Caption"/>
      </w:pPr>
      <w:bookmarkStart w:id="136" w:name="_Ref12956037"/>
      <w:r w:rsidRPr="002F7695">
        <w:t xml:space="preserve">Exhibit </w:t>
      </w:r>
      <w:r w:rsidRPr="002F7695">
        <w:fldChar w:fldCharType="begin"/>
      </w:r>
      <w:r w:rsidRPr="002F7695">
        <w:instrText xml:space="preserve"> SEQ Exhibit \* ARABIC </w:instrText>
      </w:r>
      <w:r w:rsidRPr="002F7695">
        <w:fldChar w:fldCharType="separate"/>
      </w:r>
      <w:r w:rsidR="005407CC">
        <w:rPr>
          <w:noProof/>
        </w:rPr>
        <w:t>31</w:t>
      </w:r>
      <w:r w:rsidRPr="002F7695">
        <w:fldChar w:fldCharType="end"/>
      </w:r>
      <w:bookmarkEnd w:id="136"/>
    </w:p>
    <w:p w14:paraId="7B3361C6" w14:textId="7D3AEC20" w:rsidR="00721A4D" w:rsidRPr="00721A4D" w:rsidRDefault="00721A4D" w:rsidP="00721A4D">
      <w:pPr>
        <w:rPr>
          <w:lang w:val="en-US"/>
        </w:rPr>
      </w:pPr>
      <w:r w:rsidRPr="003906AC">
        <w:rPr>
          <w:noProof/>
          <w:lang w:eastAsia="en-AU"/>
        </w:rPr>
        <w:drawing>
          <wp:inline distT="0" distB="0" distL="0" distR="0" wp14:anchorId="588189ED" wp14:editId="617E40BF">
            <wp:extent cx="5659200" cy="3672000"/>
            <wp:effectExtent l="0" t="0" r="0" b="0"/>
            <wp:docPr id="25" name="Picture 25" descr="Exhibit 31 shows that Australian large listed firms as a group are 2.2 times less R&amp;D intensive than global peers.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59200" cy="3672000"/>
                    </a:xfrm>
                    <a:prstGeom prst="rect">
                      <a:avLst/>
                    </a:prstGeom>
                    <a:noFill/>
                    <a:ln>
                      <a:noFill/>
                    </a:ln>
                  </pic:spPr>
                </pic:pic>
              </a:graphicData>
            </a:graphic>
          </wp:inline>
        </w:drawing>
      </w:r>
    </w:p>
    <w:p w14:paraId="14FDEC76" w14:textId="13BA254B" w:rsidR="0053373E" w:rsidRPr="00AC38CF" w:rsidRDefault="00A14065" w:rsidP="00C77048">
      <w:pPr>
        <w:jc w:val="left"/>
        <w:rPr>
          <w:rStyle w:val="SubtleEmphasis"/>
        </w:rPr>
      </w:pPr>
      <w:r w:rsidRPr="00AC38CF">
        <w:rPr>
          <w:rStyle w:val="SubtleEmphasis"/>
        </w:rPr>
        <w:t>Source: Sentieo (2019), AlphaBeta analysis</w:t>
      </w:r>
      <w:r w:rsidR="0053373E" w:rsidRPr="00AC38CF">
        <w:rPr>
          <w:rStyle w:val="SubtleEmphasis"/>
        </w:rPr>
        <w:br/>
      </w:r>
      <w:r w:rsidR="0053373E" w:rsidRPr="00787CB6">
        <w:rPr>
          <w:rStyle w:val="SubtleEmphasis"/>
        </w:rPr>
        <w:t xml:space="preserve">Note: </w:t>
      </w:r>
      <w:r w:rsidR="009E0E51" w:rsidRPr="00787CB6">
        <w:rPr>
          <w:rStyle w:val="SubtleEmphasis"/>
        </w:rPr>
        <w:t>Each exchange’s R&amp;D intensity is the market-cap-weighted average R&amp;D intensity across firms</w:t>
      </w:r>
      <w:r w:rsidR="00C77048" w:rsidRPr="00787CB6">
        <w:rPr>
          <w:rStyle w:val="SubtleEmphasis"/>
        </w:rPr>
        <w:t xml:space="preserve">. </w:t>
      </w:r>
      <w:r w:rsidR="0053373E" w:rsidRPr="00787CB6">
        <w:rPr>
          <w:rStyle w:val="SubtleEmphasis"/>
        </w:rPr>
        <w:t>Global average excludes ASX</w:t>
      </w:r>
      <w:r w:rsidR="00C77048" w:rsidRPr="00787CB6">
        <w:rPr>
          <w:rStyle w:val="SubtleEmphasis"/>
        </w:rPr>
        <w:t xml:space="preserve"> and may be biased by higher reporting of R&amp;D by firms listed on the S&amp;P 500. </w:t>
      </w:r>
      <w:r w:rsidR="0053373E" w:rsidRPr="00787CB6">
        <w:rPr>
          <w:rStyle w:val="SubtleEmphasis"/>
        </w:rPr>
        <w:t>Sample of firms with available data (N= 290</w:t>
      </w:r>
      <w:r w:rsidR="00C77048" w:rsidRPr="00787CB6">
        <w:rPr>
          <w:rStyle w:val="SubtleEmphasis"/>
        </w:rPr>
        <w:t xml:space="preserve"> overall and: </w:t>
      </w:r>
      <w:r w:rsidR="0053373E" w:rsidRPr="00787CB6">
        <w:rPr>
          <w:rStyle w:val="SubtleEmphasis"/>
        </w:rPr>
        <w:t>Euro: 34, Nikkei: 28, FTSE: 19, S&amp;P: 146, Canada: 30, ASX: 33)</w:t>
      </w:r>
      <w:r w:rsidR="003906AC" w:rsidRPr="00787CB6">
        <w:rPr>
          <w:rStyle w:val="SubtleEmphasis"/>
        </w:rPr>
        <w:t>.</w:t>
      </w:r>
    </w:p>
    <w:p w14:paraId="7EC2D035" w14:textId="1BD82386" w:rsidR="008720DD" w:rsidRDefault="008720DD" w:rsidP="008720DD">
      <w:pPr>
        <w:spacing w:before="0" w:after="160"/>
        <w:jc w:val="left"/>
      </w:pPr>
      <w:r>
        <w:t>The R&amp;D intensity of Australian large firms is on par with peers in the same sector, however. Australia’s large firms are predominantly in low-R&amp;D sectors. Other major exchanges have more large firms in R&amp;D-intensive sectors, including healthcare and information technology (</w:t>
      </w:r>
      <w:r>
        <w:fldChar w:fldCharType="begin"/>
      </w:r>
      <w:r>
        <w:instrText xml:space="preserve"> REF _Ref26872063 \h </w:instrText>
      </w:r>
      <w:r>
        <w:fldChar w:fldCharType="separate"/>
      </w:r>
      <w:r w:rsidR="005407CC" w:rsidRPr="002F7695">
        <w:t xml:space="preserve">Exhibit </w:t>
      </w:r>
      <w:r w:rsidR="005407CC">
        <w:rPr>
          <w:noProof/>
        </w:rPr>
        <w:t>32</w:t>
      </w:r>
      <w:r>
        <w:fldChar w:fldCharType="end"/>
      </w:r>
      <w:r>
        <w:t>).</w:t>
      </w:r>
    </w:p>
    <w:p w14:paraId="14A59116" w14:textId="6A968F7A" w:rsidR="008720DD" w:rsidRDefault="008720DD" w:rsidP="008720DD">
      <w:r>
        <w:t>As a result, industry mix explains virtually all the gap in large firm R&amp;D intensity between Australia and its peers (</w:t>
      </w:r>
      <w:r>
        <w:fldChar w:fldCharType="begin"/>
      </w:r>
      <w:r>
        <w:instrText xml:space="preserve"> REF _Ref26872137 \h </w:instrText>
      </w:r>
      <w:r>
        <w:fldChar w:fldCharType="separate"/>
      </w:r>
      <w:r w:rsidR="005407CC" w:rsidRPr="002F7695">
        <w:t xml:space="preserve">Exhibit </w:t>
      </w:r>
      <w:r w:rsidR="005407CC">
        <w:rPr>
          <w:noProof/>
        </w:rPr>
        <w:t>33</w:t>
      </w:r>
      <w:r>
        <w:fldChar w:fldCharType="end"/>
      </w:r>
      <w:r>
        <w:t xml:space="preserve">). If Australia’s sector mix were to match the average mix on peer stock exchanges, its R&amp;D intensity would increase by 3 ppt as a share of revenue, almost attaining the average on peer exchanges. By contrast, changing the average R&amp;D intensity of large Australian firms in each sector to the average in that sector on peer exchanges, while retaining the Australian sector mix, would have little impact on Australia’s overall average intensity. </w:t>
      </w:r>
    </w:p>
    <w:p w14:paraId="19FEFE41" w14:textId="52DA7DDB" w:rsidR="008720DD" w:rsidRDefault="008720DD" w:rsidP="00E246C1">
      <w:pPr>
        <w:spacing w:before="0" w:after="160"/>
        <w:jc w:val="left"/>
      </w:pPr>
      <w:r>
        <w:br w:type="page"/>
      </w:r>
    </w:p>
    <w:p w14:paraId="67A8BEB8" w14:textId="5D2111BC" w:rsidR="00AC00B4" w:rsidRDefault="00AC00B4" w:rsidP="00AC00B4">
      <w:pPr>
        <w:pStyle w:val="Caption"/>
      </w:pPr>
      <w:bookmarkStart w:id="137" w:name="_Ref26872063"/>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32</w:t>
      </w:r>
      <w:r w:rsidRPr="002F7695">
        <w:fldChar w:fldCharType="end"/>
      </w:r>
      <w:bookmarkEnd w:id="137"/>
    </w:p>
    <w:p w14:paraId="0F42115F" w14:textId="74A11F02" w:rsidR="00721A4D" w:rsidRPr="00721A4D" w:rsidRDefault="00721A4D" w:rsidP="00721A4D">
      <w:pPr>
        <w:rPr>
          <w:lang w:val="en-US"/>
        </w:rPr>
      </w:pPr>
      <w:r w:rsidRPr="00BB43DC">
        <w:rPr>
          <w:noProof/>
          <w:lang w:eastAsia="en-AU"/>
        </w:rPr>
        <w:drawing>
          <wp:inline distT="0" distB="0" distL="0" distR="0" wp14:anchorId="642F8417" wp14:editId="741DA1BF">
            <wp:extent cx="5655600" cy="3531600"/>
            <wp:effectExtent l="0" t="0" r="2540" b="0"/>
            <wp:docPr id="26" name="Picture 26" descr="Exhibit 32 shows that the R&amp;D intensity of large Australian firms is on par with their peers in the same sector in other major markets.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55600" cy="3531600"/>
                    </a:xfrm>
                    <a:prstGeom prst="rect">
                      <a:avLst/>
                    </a:prstGeom>
                    <a:noFill/>
                    <a:ln>
                      <a:noFill/>
                    </a:ln>
                  </pic:spPr>
                </pic:pic>
              </a:graphicData>
            </a:graphic>
          </wp:inline>
        </w:drawing>
      </w:r>
    </w:p>
    <w:p w14:paraId="5C3206A6" w14:textId="13A29C28" w:rsidR="002A2AE5" w:rsidRDefault="00A14065" w:rsidP="00E246C1">
      <w:pPr>
        <w:spacing w:after="160"/>
        <w:jc w:val="left"/>
      </w:pPr>
      <w:r w:rsidRPr="00AC38CF">
        <w:rPr>
          <w:rStyle w:val="SubtleEmphasis"/>
        </w:rPr>
        <w:t>Source: Sentieo (2019), AlphaBeta analysis</w:t>
      </w:r>
      <w:r w:rsidR="003906AC" w:rsidRPr="00AC38CF">
        <w:rPr>
          <w:rStyle w:val="SubtleEmphasis"/>
        </w:rPr>
        <w:t xml:space="preserve">. Global average excludes ASX. Global N=257, ASX N=33 </w:t>
      </w:r>
    </w:p>
    <w:p w14:paraId="587E58AD" w14:textId="6F1878D6" w:rsidR="008A1119" w:rsidRDefault="008A1119" w:rsidP="008A1119">
      <w:pPr>
        <w:pStyle w:val="Caption"/>
      </w:pPr>
      <w:bookmarkStart w:id="138" w:name="_Ref26872137"/>
      <w:r w:rsidRPr="002F7695">
        <w:t xml:space="preserve">Exhibit </w:t>
      </w:r>
      <w:r w:rsidRPr="002F7695">
        <w:fldChar w:fldCharType="begin"/>
      </w:r>
      <w:r w:rsidRPr="002F7695">
        <w:instrText xml:space="preserve"> SEQ Exhibit \* ARABIC </w:instrText>
      </w:r>
      <w:r w:rsidRPr="002F7695">
        <w:fldChar w:fldCharType="separate"/>
      </w:r>
      <w:r w:rsidR="005407CC">
        <w:rPr>
          <w:noProof/>
        </w:rPr>
        <w:t>33</w:t>
      </w:r>
      <w:r w:rsidRPr="002F7695">
        <w:fldChar w:fldCharType="end"/>
      </w:r>
      <w:bookmarkEnd w:id="138"/>
    </w:p>
    <w:p w14:paraId="6D3B9EB8" w14:textId="2344DAB4" w:rsidR="00721A4D" w:rsidRPr="00721A4D" w:rsidRDefault="00721A4D" w:rsidP="00721A4D">
      <w:pPr>
        <w:rPr>
          <w:lang w:val="en-US"/>
        </w:rPr>
      </w:pPr>
      <w:r w:rsidRPr="00BB43DC">
        <w:rPr>
          <w:noProof/>
          <w:lang w:eastAsia="en-AU"/>
        </w:rPr>
        <w:drawing>
          <wp:inline distT="0" distB="0" distL="0" distR="0" wp14:anchorId="2386E78F" wp14:editId="2FD31DB7">
            <wp:extent cx="5659200" cy="3585600"/>
            <wp:effectExtent l="0" t="0" r="0" b="0"/>
            <wp:docPr id="228" name="Picture 228" descr="Exhibit 33 shows how the industry mix explains almost three quarters of the gap in large firm R&amp;D spending between Australia and other major markets.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59200" cy="3585600"/>
                    </a:xfrm>
                    <a:prstGeom prst="rect">
                      <a:avLst/>
                    </a:prstGeom>
                    <a:noFill/>
                    <a:ln>
                      <a:noFill/>
                    </a:ln>
                  </pic:spPr>
                </pic:pic>
              </a:graphicData>
            </a:graphic>
          </wp:inline>
        </w:drawing>
      </w:r>
    </w:p>
    <w:p w14:paraId="428F678F" w14:textId="26A969E5" w:rsidR="00A14065" w:rsidRPr="00AC38CF" w:rsidRDefault="00A14065" w:rsidP="003906AC">
      <w:pPr>
        <w:jc w:val="left"/>
        <w:rPr>
          <w:rStyle w:val="SubtleEmphasis"/>
        </w:rPr>
      </w:pPr>
      <w:r w:rsidRPr="00AC38CF">
        <w:rPr>
          <w:rStyle w:val="SubtleEmphasis"/>
        </w:rPr>
        <w:t>Source: Sentieo data (2019), AlphaBeta analysis</w:t>
      </w:r>
      <w:r w:rsidR="003906AC" w:rsidRPr="00AC38CF">
        <w:rPr>
          <w:rStyle w:val="SubtleEmphasis"/>
        </w:rPr>
        <w:br/>
        <w:t>Note: Peer exchanges are the S&amp;P 500, EuroNext150, FTSE250, Nikkei225, and Canada 200. Peer exchange and Australian weighted average is R&amp;D share of revenue.</w:t>
      </w:r>
    </w:p>
    <w:p w14:paraId="5C8ACB73" w14:textId="641961F9" w:rsidR="002A2AE5" w:rsidRDefault="008720DD" w:rsidP="00E246C1">
      <w:bookmarkStart w:id="139" w:name="_Toc13478311"/>
      <w:r>
        <w:lastRenderedPageBreak/>
        <w:t>Similarly, industry mix accounts for the difference between Australian large firms’ intangible asset intensity and that of peers. Large Australian listed firms are also less intangible-intense than global peers. Large firms on peer exchanges have 2.5x more intangibles on their balance sheets than do firms on the ASX200 (</w:t>
      </w:r>
      <w:r>
        <w:fldChar w:fldCharType="begin"/>
      </w:r>
      <w:r>
        <w:instrText xml:space="preserve"> REF _Ref12956182 \h </w:instrText>
      </w:r>
      <w:r>
        <w:fldChar w:fldCharType="separate"/>
      </w:r>
      <w:r w:rsidR="005407CC" w:rsidRPr="002F7695">
        <w:t xml:space="preserve">Exhibit </w:t>
      </w:r>
      <w:r w:rsidR="005407CC">
        <w:rPr>
          <w:noProof/>
        </w:rPr>
        <w:t>34</w:t>
      </w:r>
      <w:r>
        <w:fldChar w:fldCharType="end"/>
      </w:r>
      <w:r>
        <w:t>). Intangible assets include patents, copyrights, franchises, trademarks and trade names; stocks of intangible assets can proxy existing innovation investment, especially when R&amp;D data is poor.</w:t>
      </w:r>
    </w:p>
    <w:p w14:paraId="6E0BA0F4" w14:textId="343BB136" w:rsidR="00AC00B4" w:rsidRDefault="00AC00B4" w:rsidP="00AC00B4">
      <w:pPr>
        <w:pStyle w:val="Caption"/>
      </w:pPr>
      <w:bookmarkStart w:id="140" w:name="_Ref12956182"/>
      <w:bookmarkEnd w:id="139"/>
      <w:r w:rsidRPr="002F7695">
        <w:t xml:space="preserve">Exhibit </w:t>
      </w:r>
      <w:r w:rsidRPr="002F7695">
        <w:fldChar w:fldCharType="begin"/>
      </w:r>
      <w:r w:rsidRPr="002F7695">
        <w:instrText xml:space="preserve"> SEQ Exhibit \* ARABIC </w:instrText>
      </w:r>
      <w:r w:rsidRPr="002F7695">
        <w:fldChar w:fldCharType="separate"/>
      </w:r>
      <w:r w:rsidR="005407CC">
        <w:rPr>
          <w:noProof/>
        </w:rPr>
        <w:t>34</w:t>
      </w:r>
      <w:r w:rsidRPr="002F7695">
        <w:fldChar w:fldCharType="end"/>
      </w:r>
      <w:bookmarkEnd w:id="140"/>
    </w:p>
    <w:p w14:paraId="71C76A6C" w14:textId="0A4AAD3F" w:rsidR="00D75006" w:rsidRPr="00D75006" w:rsidRDefault="00D75006" w:rsidP="00D75006">
      <w:pPr>
        <w:rPr>
          <w:lang w:val="en-US"/>
        </w:rPr>
      </w:pPr>
      <w:r w:rsidRPr="00BB43DC">
        <w:rPr>
          <w:noProof/>
          <w:lang w:eastAsia="en-AU"/>
        </w:rPr>
        <w:drawing>
          <wp:inline distT="0" distB="0" distL="0" distR="0" wp14:anchorId="6DE4EEAD" wp14:editId="3260AF25">
            <wp:extent cx="5659200" cy="3628800"/>
            <wp:effectExtent l="0" t="0" r="0" b="0"/>
            <wp:docPr id="229" name="Picture 229" descr="Exhibit 34 shows that large Australian firms as a group are less intangible intense in their investment than global peers.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9200" cy="3628800"/>
                    </a:xfrm>
                    <a:prstGeom prst="rect">
                      <a:avLst/>
                    </a:prstGeom>
                    <a:noFill/>
                    <a:ln>
                      <a:noFill/>
                    </a:ln>
                  </pic:spPr>
                </pic:pic>
              </a:graphicData>
            </a:graphic>
          </wp:inline>
        </w:drawing>
      </w:r>
    </w:p>
    <w:p w14:paraId="15483FAE" w14:textId="02DAD506" w:rsidR="004B6331" w:rsidRPr="00AC38CF" w:rsidRDefault="00A14065" w:rsidP="004B6331">
      <w:pPr>
        <w:spacing w:after="160"/>
        <w:jc w:val="left"/>
        <w:rPr>
          <w:rStyle w:val="SubtleEmphasis"/>
        </w:rPr>
      </w:pPr>
      <w:r w:rsidRPr="00AC38CF">
        <w:rPr>
          <w:rStyle w:val="SubtleEmphasis"/>
        </w:rPr>
        <w:t>Source: Sentieo (2019), AlphaBeta analysis</w:t>
      </w:r>
      <w:r w:rsidR="004B6331" w:rsidRPr="00AC38CF">
        <w:rPr>
          <w:rStyle w:val="SubtleEmphasis"/>
        </w:rPr>
        <w:t xml:space="preserve"> </w:t>
      </w:r>
      <w:r w:rsidR="004B6331" w:rsidRPr="00AC38CF">
        <w:rPr>
          <w:rStyle w:val="SubtleEmphasis"/>
        </w:rPr>
        <w:br/>
        <w:t>Note:</w:t>
      </w:r>
      <w:r w:rsidR="009E0E51" w:rsidRPr="00AC38CF">
        <w:rPr>
          <w:rStyle w:val="SubtleEmphasis"/>
        </w:rPr>
        <w:t xml:space="preserve"> Each exchange’s intangible share of assets is the market-cap-weighted average intangibles ratio across firms. Each firm’s intangibles ratio is n</w:t>
      </w:r>
      <w:r w:rsidR="004B6331" w:rsidRPr="00AC38CF">
        <w:rPr>
          <w:rStyle w:val="SubtleEmphasis"/>
        </w:rPr>
        <w:t>et intangibles excluding goodwill</w:t>
      </w:r>
      <w:r w:rsidR="00FB19AF" w:rsidRPr="00AC38CF">
        <w:rPr>
          <w:rStyle w:val="SubtleEmphasis"/>
        </w:rPr>
        <w:t>,</w:t>
      </w:r>
      <w:r w:rsidR="004B6331" w:rsidRPr="00AC38CF">
        <w:rPr>
          <w:rStyle w:val="SubtleEmphasis"/>
        </w:rPr>
        <w:t xml:space="preserve"> divided by total assets excluding goodwill. </w:t>
      </w:r>
      <w:r w:rsidR="00BF2538" w:rsidRPr="00AC38CF">
        <w:rPr>
          <w:rStyle w:val="SubtleEmphasis"/>
        </w:rPr>
        <w:t xml:space="preserve">Results are for firms that report both intangibles and goodwill. </w:t>
      </w:r>
      <w:r w:rsidR="004B6331" w:rsidRPr="00AC38CF">
        <w:rPr>
          <w:rStyle w:val="SubtleEmphasis"/>
        </w:rPr>
        <w:t xml:space="preserve">Global average excludes ASX. </w:t>
      </w:r>
      <w:r w:rsidR="008C592C" w:rsidRPr="00AC38CF">
        <w:rPr>
          <w:rStyle w:val="SubtleEmphasis"/>
        </w:rPr>
        <w:t>F</w:t>
      </w:r>
      <w:r w:rsidR="004B6331" w:rsidRPr="00AC38CF">
        <w:rPr>
          <w:rStyle w:val="SubtleEmphasis"/>
        </w:rPr>
        <w:t xml:space="preserve">irms with available data (Euro: 82, Nikkei: 100, FTSE: 69, S&amp;P:326, Canada: 85, ASX: 50). </w:t>
      </w:r>
    </w:p>
    <w:p w14:paraId="3C9C9049" w14:textId="77777777" w:rsidR="008720DD" w:rsidRDefault="008720DD" w:rsidP="008720DD">
      <w:pPr>
        <w:spacing w:before="0" w:after="160"/>
        <w:jc w:val="left"/>
      </w:pPr>
    </w:p>
    <w:p w14:paraId="1A1146DD" w14:textId="1A41D544" w:rsidR="008720DD" w:rsidRDefault="008720DD" w:rsidP="008720DD">
      <w:pPr>
        <w:spacing w:before="0" w:after="160"/>
        <w:jc w:val="left"/>
      </w:pPr>
      <w:r>
        <w:t xml:space="preserve">However, as </w:t>
      </w:r>
      <w:r>
        <w:fldChar w:fldCharType="begin"/>
      </w:r>
      <w:r>
        <w:instrText xml:space="preserve"> REF _Ref12378499 \h </w:instrText>
      </w:r>
      <w:r>
        <w:fldChar w:fldCharType="separate"/>
      </w:r>
      <w:r w:rsidR="005407CC" w:rsidRPr="002F7695">
        <w:t xml:space="preserve">Exhibit </w:t>
      </w:r>
      <w:r w:rsidR="005407CC">
        <w:rPr>
          <w:noProof/>
        </w:rPr>
        <w:t>35</w:t>
      </w:r>
      <w:r>
        <w:fldChar w:fldCharType="end"/>
      </w:r>
      <w:r>
        <w:t xml:space="preserve"> shows, the ASX is weighted towards sectors that have low intangible intensity, and away from sectors that have high intangible intensity, compared to other major stock exchanges. Australian large businesses’ intangible intensity is, however, on par with peers or higher than them in most sectors, for firms that report intangibles.</w:t>
      </w:r>
    </w:p>
    <w:p w14:paraId="582FC6EE" w14:textId="4381C24F" w:rsidR="008720DD" w:rsidRPr="00A14065" w:rsidRDefault="008720DD" w:rsidP="008720DD">
      <w:pPr>
        <w:spacing w:before="0" w:after="160"/>
        <w:jc w:val="left"/>
        <w:rPr>
          <w:rStyle w:val="SubtleEmphasis"/>
        </w:rPr>
      </w:pPr>
      <w:r>
        <w:t xml:space="preserve">The differences in sector mix shown in </w:t>
      </w:r>
      <w:r>
        <w:fldChar w:fldCharType="begin"/>
      </w:r>
      <w:r>
        <w:instrText xml:space="preserve"> REF _Ref12378499 \h </w:instrText>
      </w:r>
      <w:r>
        <w:fldChar w:fldCharType="separate"/>
      </w:r>
      <w:r w:rsidR="005407CC" w:rsidRPr="002F7695">
        <w:t xml:space="preserve">Exhibit </w:t>
      </w:r>
      <w:r w:rsidR="005407CC">
        <w:rPr>
          <w:noProof/>
        </w:rPr>
        <w:t>35</w:t>
      </w:r>
      <w:r>
        <w:fldChar w:fldCharType="end"/>
      </w:r>
      <w:r>
        <w:t xml:space="preserve"> explain the overall difference in intangible intensity between large listed firms in Australian and on peer stock exchanges (</w:t>
      </w:r>
      <w:r>
        <w:fldChar w:fldCharType="begin"/>
      </w:r>
      <w:r>
        <w:instrText xml:space="preserve"> REF _Ref12378511 \h </w:instrText>
      </w:r>
      <w:r>
        <w:fldChar w:fldCharType="separate"/>
      </w:r>
      <w:r w:rsidR="005407CC" w:rsidRPr="002F7695">
        <w:t xml:space="preserve">Exhibit </w:t>
      </w:r>
      <w:r w:rsidR="005407CC">
        <w:rPr>
          <w:noProof/>
        </w:rPr>
        <w:t>36</w:t>
      </w:r>
      <w:r>
        <w:fldChar w:fldCharType="end"/>
      </w:r>
      <w:r>
        <w:t>). If Australia’s sector mix were to match the average mix on peer stock exchanges, the analysis suggests intangibles would rise by almost 7 ppt, as a share of assets, to exceed the average on Australia’s peer exchanges.</w:t>
      </w:r>
    </w:p>
    <w:p w14:paraId="037B5264" w14:textId="77777777" w:rsidR="002A2AE5" w:rsidRDefault="002A2AE5">
      <w:pPr>
        <w:spacing w:before="0" w:after="160"/>
        <w:jc w:val="left"/>
      </w:pPr>
      <w:r>
        <w:br w:type="page"/>
      </w:r>
    </w:p>
    <w:p w14:paraId="26753445" w14:textId="1F79DBF4" w:rsidR="00D75006" w:rsidRDefault="00AC00B4" w:rsidP="00AC00B4">
      <w:pPr>
        <w:pStyle w:val="Caption"/>
      </w:pPr>
      <w:bookmarkStart w:id="141" w:name="_Ref12378499"/>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35</w:t>
      </w:r>
      <w:r w:rsidRPr="002F7695">
        <w:fldChar w:fldCharType="end"/>
      </w:r>
      <w:bookmarkEnd w:id="141"/>
    </w:p>
    <w:p w14:paraId="7B163EF3" w14:textId="45A125E1" w:rsidR="00AC00B4" w:rsidRPr="002F7695" w:rsidRDefault="00D75006" w:rsidP="00AC00B4">
      <w:pPr>
        <w:pStyle w:val="Caption"/>
      </w:pPr>
      <w:r w:rsidRPr="008351E0">
        <w:rPr>
          <w:noProof/>
          <w:lang w:val="en-AU" w:eastAsia="en-AU"/>
        </w:rPr>
        <w:drawing>
          <wp:inline distT="0" distB="0" distL="0" distR="0" wp14:anchorId="52370CD7" wp14:editId="596ED0A1">
            <wp:extent cx="5448300" cy="3398685"/>
            <wp:effectExtent l="0" t="0" r="0" b="0"/>
            <wp:docPr id="14" name="Picture 14" descr="Exhibit 35 shows that at a sector level, Australian businesses’ intangible intensity is on par or higher than international peers in most cases.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67357" cy="3410573"/>
                    </a:xfrm>
                    <a:prstGeom prst="rect">
                      <a:avLst/>
                    </a:prstGeom>
                    <a:noFill/>
                    <a:ln>
                      <a:noFill/>
                    </a:ln>
                  </pic:spPr>
                </pic:pic>
              </a:graphicData>
            </a:graphic>
          </wp:inline>
        </w:drawing>
      </w:r>
    </w:p>
    <w:p w14:paraId="460281B6" w14:textId="15436315" w:rsidR="0034237A" w:rsidRDefault="00D30347" w:rsidP="00E246C1">
      <w:pPr>
        <w:spacing w:before="0" w:after="160"/>
        <w:jc w:val="left"/>
      </w:pPr>
      <w:r w:rsidRPr="008101F2">
        <w:rPr>
          <w:rStyle w:val="SubtleEmphasis"/>
          <w:szCs w:val="18"/>
        </w:rPr>
        <w:t>Source: Sentieo (2019), AlphaBeta analysis</w:t>
      </w:r>
      <w:r w:rsidR="008C592C" w:rsidRPr="008101F2">
        <w:rPr>
          <w:rStyle w:val="SubtleEmphasis"/>
          <w:szCs w:val="18"/>
        </w:rPr>
        <w:br/>
        <w:t>Note: 1. Global average excludes ASX.</w:t>
      </w:r>
      <w:r w:rsidR="002500BE" w:rsidRPr="008101F2">
        <w:rPr>
          <w:rStyle w:val="SubtleEmphasis"/>
          <w:szCs w:val="18"/>
        </w:rPr>
        <w:t xml:space="preserve"> </w:t>
      </w:r>
      <w:r w:rsidR="00D62D53" w:rsidRPr="008101F2">
        <w:rPr>
          <w:rStyle w:val="SubtleEmphasis"/>
          <w:szCs w:val="18"/>
        </w:rPr>
        <w:t xml:space="preserve">Results are for firms that report both intangibles and goodwill. </w:t>
      </w:r>
      <w:r w:rsidR="008C592C" w:rsidRPr="008101F2">
        <w:rPr>
          <w:rStyle w:val="SubtleEmphasis"/>
          <w:szCs w:val="18"/>
        </w:rPr>
        <w:t>Total assets exclude goodwill. Global (N=662). ASX (N= 50), i.e. 25</w:t>
      </w:r>
      <w:r w:rsidR="00515F15" w:rsidRPr="008101F2">
        <w:rPr>
          <w:rStyle w:val="SubtleEmphasis"/>
          <w:szCs w:val="18"/>
        </w:rPr>
        <w:t xml:space="preserve"> per cent</w:t>
      </w:r>
      <w:r w:rsidR="008C592C" w:rsidRPr="008101F2">
        <w:rPr>
          <w:rStyle w:val="SubtleEmphasis"/>
          <w:szCs w:val="18"/>
        </w:rPr>
        <w:t xml:space="preserve"> of ASX 200 firms.</w:t>
      </w:r>
      <w:r w:rsidR="00D463CB" w:rsidRPr="008101F2">
        <w:rPr>
          <w:rStyle w:val="SubtleEmphasis"/>
          <w:szCs w:val="18"/>
        </w:rPr>
        <w:t xml:space="preserve"> Data limitations (such as reporting differences across exchanges and sectors) may affect the</w:t>
      </w:r>
      <w:r w:rsidR="00D463CB" w:rsidRPr="008101F2">
        <w:rPr>
          <w:i/>
          <w:iCs/>
          <w:color w:val="808080" w:themeColor="text1" w:themeTint="7F"/>
          <w:sz w:val="18"/>
          <w:szCs w:val="18"/>
          <w:lang w:val="en-US"/>
        </w:rPr>
        <w:t xml:space="preserve"> findings. </w:t>
      </w:r>
      <w:r w:rsidR="008C592C" w:rsidRPr="008101F2">
        <w:rPr>
          <w:i/>
          <w:iCs/>
          <w:color w:val="808080" w:themeColor="text1" w:themeTint="7F"/>
          <w:sz w:val="18"/>
          <w:szCs w:val="18"/>
          <w:lang w:val="en-US"/>
        </w:rPr>
        <w:t xml:space="preserve"> </w:t>
      </w:r>
    </w:p>
    <w:p w14:paraId="7D579A6B" w14:textId="738F21D3" w:rsidR="0034237A" w:rsidRDefault="0034237A" w:rsidP="0034237A">
      <w:pPr>
        <w:pStyle w:val="Caption"/>
      </w:pPr>
      <w:bookmarkStart w:id="142" w:name="_Ref12378511"/>
      <w:r w:rsidRPr="002F7695">
        <w:t xml:space="preserve">Exhibit </w:t>
      </w:r>
      <w:r w:rsidRPr="002F7695">
        <w:fldChar w:fldCharType="begin"/>
      </w:r>
      <w:r w:rsidRPr="002F7695">
        <w:instrText xml:space="preserve"> SEQ Exhibit \* ARABIC </w:instrText>
      </w:r>
      <w:r w:rsidRPr="002F7695">
        <w:fldChar w:fldCharType="separate"/>
      </w:r>
      <w:r w:rsidR="005407CC">
        <w:rPr>
          <w:noProof/>
        </w:rPr>
        <w:t>36</w:t>
      </w:r>
      <w:r w:rsidRPr="002F7695">
        <w:fldChar w:fldCharType="end"/>
      </w:r>
      <w:bookmarkEnd w:id="142"/>
    </w:p>
    <w:p w14:paraId="0F1B940E" w14:textId="300BA518" w:rsidR="00D75006" w:rsidRPr="00D75006" w:rsidRDefault="00D75006" w:rsidP="00D75006">
      <w:pPr>
        <w:rPr>
          <w:lang w:val="en-US"/>
        </w:rPr>
      </w:pPr>
      <w:r w:rsidRPr="008351E0">
        <w:rPr>
          <w:noProof/>
          <w:lang w:eastAsia="en-AU"/>
        </w:rPr>
        <w:drawing>
          <wp:inline distT="0" distB="0" distL="0" distR="0" wp14:anchorId="49C9528C" wp14:editId="0B468E27">
            <wp:extent cx="5543550" cy="3511032"/>
            <wp:effectExtent l="0" t="0" r="0" b="0"/>
            <wp:docPr id="12" name="Picture 12" descr="Exhibit 36 shows that a unique industry mix reduces Australia’s large firm intangible asset share.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7272" cy="3513389"/>
                    </a:xfrm>
                    <a:prstGeom prst="rect">
                      <a:avLst/>
                    </a:prstGeom>
                    <a:noFill/>
                    <a:ln>
                      <a:noFill/>
                    </a:ln>
                  </pic:spPr>
                </pic:pic>
              </a:graphicData>
            </a:graphic>
          </wp:inline>
        </w:drawing>
      </w:r>
    </w:p>
    <w:p w14:paraId="3EF0E77F" w14:textId="0DBBF833" w:rsidR="00EF2FB6" w:rsidRDefault="00D30347" w:rsidP="00E246C1">
      <w:pPr>
        <w:spacing w:after="160"/>
        <w:jc w:val="left"/>
        <w:rPr>
          <w:lang w:val="en-US"/>
        </w:rPr>
      </w:pPr>
      <w:r w:rsidRPr="00AC38CF">
        <w:rPr>
          <w:rStyle w:val="SubtleEmphasis"/>
        </w:rPr>
        <w:t>Source: Sentieo (2019), AlphaBeta analysis</w:t>
      </w:r>
      <w:r w:rsidR="00CA2A0D" w:rsidRPr="00AC38CF">
        <w:rPr>
          <w:rStyle w:val="SubtleEmphasis"/>
        </w:rPr>
        <w:t xml:space="preserve">. </w:t>
      </w:r>
      <w:r w:rsidR="00CA2A0D" w:rsidRPr="00AC38CF">
        <w:rPr>
          <w:rStyle w:val="SubtleEmphasis"/>
        </w:rPr>
        <w:br/>
        <w:t xml:space="preserve">Note: Peer exchanges are the S&amp;P500, EuroNext150, FTSE250, Nikkei225, and Canada 200. Net intangible intensity excludes goodwill. Finance firms are excluded from the analysis. </w:t>
      </w:r>
    </w:p>
    <w:p w14:paraId="5CF04B11" w14:textId="64299C82" w:rsidR="00AC00B4" w:rsidRDefault="00EF2FB6" w:rsidP="00F328E8">
      <w:pPr>
        <w:pStyle w:val="Heading1"/>
        <w:numPr>
          <w:ilvl w:val="0"/>
          <w:numId w:val="0"/>
        </w:numPr>
      </w:pPr>
      <w:bookmarkStart w:id="143" w:name="_Ref12561591"/>
      <w:bookmarkStart w:id="144" w:name="_Toc13478312"/>
      <w:bookmarkStart w:id="145" w:name="_Toc30148092"/>
      <w:r>
        <w:lastRenderedPageBreak/>
        <w:t xml:space="preserve">Appendix B – Small firm </w:t>
      </w:r>
      <w:r w:rsidR="00FC6247">
        <w:t>technology</w:t>
      </w:r>
      <w:r>
        <w:t xml:space="preserve"> </w:t>
      </w:r>
      <w:bookmarkEnd w:id="143"/>
      <w:r w:rsidR="00F57D2B">
        <w:t>expenditure</w:t>
      </w:r>
      <w:bookmarkEnd w:id="144"/>
      <w:r w:rsidR="00FC6247">
        <w:t xml:space="preserve"> and app adoption</w:t>
      </w:r>
      <w:bookmarkEnd w:id="145"/>
    </w:p>
    <w:p w14:paraId="56C6582B" w14:textId="3D7FFF43" w:rsidR="00472231" w:rsidRDefault="00472231" w:rsidP="00472231">
      <w:r>
        <w:t xml:space="preserve">There is wide variation in what small firms spend on </w:t>
      </w:r>
      <w:r w:rsidR="004D79C8">
        <w:t>technology</w:t>
      </w:r>
      <w:r>
        <w:t>; while 1</w:t>
      </w:r>
      <w:r w:rsidR="00436768">
        <w:t xml:space="preserve"> per cent</w:t>
      </w:r>
      <w:r>
        <w:t xml:space="preserve"> of revenue is the median </w:t>
      </w:r>
      <w:r w:rsidR="004D79C8">
        <w:t xml:space="preserve">technology </w:t>
      </w:r>
      <w:r w:rsidR="00654C91">
        <w:t>expenditure</w:t>
      </w:r>
      <w:r>
        <w:t>, 10</w:t>
      </w:r>
      <w:r w:rsidR="00436768">
        <w:t xml:space="preserve"> per cent</w:t>
      </w:r>
      <w:r>
        <w:t xml:space="preserve"> of firms spend more than 4 times this amount</w:t>
      </w:r>
      <w:r w:rsidR="00B65CA8">
        <w:t xml:space="preserve"> (</w:t>
      </w:r>
      <w:r w:rsidR="00B65CA8">
        <w:fldChar w:fldCharType="begin"/>
      </w:r>
      <w:r w:rsidR="00B65CA8">
        <w:instrText xml:space="preserve"> REF _Ref12956276 \h </w:instrText>
      </w:r>
      <w:r w:rsidR="00B65CA8">
        <w:fldChar w:fldCharType="separate"/>
      </w:r>
      <w:r w:rsidR="005407CC" w:rsidRPr="002F7695">
        <w:t xml:space="preserve">Exhibit </w:t>
      </w:r>
      <w:r w:rsidR="005407CC">
        <w:rPr>
          <w:noProof/>
        </w:rPr>
        <w:t>37</w:t>
      </w:r>
      <w:r w:rsidR="00B65CA8">
        <w:fldChar w:fldCharType="end"/>
      </w:r>
      <w:r w:rsidR="00B65CA8">
        <w:t>)</w:t>
      </w:r>
      <w:r>
        <w:t>.</w:t>
      </w:r>
      <w:bookmarkStart w:id="146" w:name="_Hlk21578634"/>
      <w:r>
        <w:t xml:space="preserve"> </w:t>
      </w:r>
      <w:bookmarkEnd w:id="146"/>
      <w:r w:rsidR="005D103D">
        <w:t xml:space="preserve">In this analysis, technology expenditure includes four categories: internet, telephone, ICT hardware, and general ICT.  </w:t>
      </w:r>
    </w:p>
    <w:p w14:paraId="40C993BE" w14:textId="53E8F52A" w:rsidR="003D30AD" w:rsidRDefault="003D30AD" w:rsidP="003D30AD">
      <w:pPr>
        <w:pStyle w:val="Caption"/>
      </w:pPr>
      <w:bookmarkStart w:id="147" w:name="_Ref12956276"/>
      <w:r w:rsidRPr="002F7695">
        <w:t xml:space="preserve">Exhibit </w:t>
      </w:r>
      <w:r w:rsidRPr="002F7695">
        <w:fldChar w:fldCharType="begin"/>
      </w:r>
      <w:r w:rsidRPr="002F7695">
        <w:instrText xml:space="preserve"> SEQ Exhibit \* ARABIC </w:instrText>
      </w:r>
      <w:r w:rsidRPr="002F7695">
        <w:fldChar w:fldCharType="separate"/>
      </w:r>
      <w:r w:rsidR="005407CC">
        <w:rPr>
          <w:noProof/>
        </w:rPr>
        <w:t>37</w:t>
      </w:r>
      <w:r w:rsidRPr="002F7695">
        <w:fldChar w:fldCharType="end"/>
      </w:r>
      <w:bookmarkEnd w:id="147"/>
    </w:p>
    <w:p w14:paraId="60B708FF" w14:textId="68E11253" w:rsidR="00D75006" w:rsidRPr="00D75006" w:rsidRDefault="00D75006" w:rsidP="00D75006">
      <w:pPr>
        <w:rPr>
          <w:lang w:val="en-US"/>
        </w:rPr>
      </w:pPr>
      <w:r w:rsidRPr="004D79C8">
        <w:rPr>
          <w:noProof/>
          <w:lang w:eastAsia="en-AU"/>
        </w:rPr>
        <w:drawing>
          <wp:inline distT="0" distB="0" distL="0" distR="0" wp14:anchorId="1D88E561" wp14:editId="62076185">
            <wp:extent cx="5652000" cy="3661200"/>
            <wp:effectExtent l="0" t="0" r="6350" b="0"/>
            <wp:docPr id="1" name="Picture 1" descr="Exhibit 37 shows that there is a wide variation in what small firms spend on technology, with one in ten spending more than 4% of revenue on it.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52000" cy="3661200"/>
                    </a:xfrm>
                    <a:prstGeom prst="rect">
                      <a:avLst/>
                    </a:prstGeom>
                    <a:noFill/>
                    <a:ln>
                      <a:noFill/>
                    </a:ln>
                  </pic:spPr>
                </pic:pic>
              </a:graphicData>
            </a:graphic>
          </wp:inline>
        </w:drawing>
      </w:r>
    </w:p>
    <w:p w14:paraId="622B6AC1" w14:textId="77777777" w:rsidR="00F255AC" w:rsidRDefault="00862579" w:rsidP="00FC6247">
      <w:pPr>
        <w:spacing w:before="0" w:after="160"/>
        <w:jc w:val="left"/>
        <w:rPr>
          <w:lang w:val="en-US"/>
        </w:rPr>
      </w:pPr>
      <w:r w:rsidRPr="00AC38CF">
        <w:rPr>
          <w:rStyle w:val="SubtleEmphasis"/>
        </w:rPr>
        <w:t>Source</w:t>
      </w:r>
      <w:r w:rsidR="004A3EF6" w:rsidRPr="00AC38CF">
        <w:rPr>
          <w:rStyle w:val="SubtleEmphasis"/>
        </w:rPr>
        <w:t xml:space="preserve">: </w:t>
      </w:r>
      <w:r w:rsidR="004942DA" w:rsidRPr="004942DA">
        <w:rPr>
          <w:rStyle w:val="SubtleEmphasis"/>
        </w:rPr>
        <w:t xml:space="preserve">AlphaBeta, Xero Small Business Insights (2019), Connecting Australia: How technology is levelling the playing field for small business, prepared for NBN </w:t>
      </w:r>
    </w:p>
    <w:p w14:paraId="4BC2430C" w14:textId="5EE6616C" w:rsidR="00472231" w:rsidRDefault="00472231" w:rsidP="00FC6247">
      <w:pPr>
        <w:spacing w:before="0" w:after="160"/>
        <w:jc w:val="left"/>
      </w:pPr>
      <w:r>
        <w:t>Xero SMEs in wholesale trade, retail and hospitality are most likely to invest in apps</w:t>
      </w:r>
      <w:r w:rsidR="00B65CA8">
        <w:t xml:space="preserve"> (</w:t>
      </w:r>
      <w:r w:rsidR="00B65CA8">
        <w:fldChar w:fldCharType="begin"/>
      </w:r>
      <w:r w:rsidR="00B65CA8">
        <w:instrText xml:space="preserve"> REF _Ref12956335 \h </w:instrText>
      </w:r>
      <w:r w:rsidR="00B65CA8">
        <w:fldChar w:fldCharType="separate"/>
      </w:r>
      <w:r w:rsidR="005407CC" w:rsidRPr="002F7695">
        <w:t xml:space="preserve">Exhibit </w:t>
      </w:r>
      <w:r w:rsidR="005407CC">
        <w:rPr>
          <w:noProof/>
        </w:rPr>
        <w:t>38</w:t>
      </w:r>
      <w:r w:rsidR="00B65CA8">
        <w:fldChar w:fldCharType="end"/>
      </w:r>
      <w:r w:rsidR="00B65CA8">
        <w:t>).</w:t>
      </w:r>
    </w:p>
    <w:p w14:paraId="6495B1D8" w14:textId="2B85C95A" w:rsidR="00F255AC" w:rsidRDefault="00F255AC" w:rsidP="00F255AC">
      <w:r>
        <w:t>Bigger Xero businesses with revenue above $2m are 76 per cent more likely to use apps than small businesses with &lt;$500k revenue (</w:t>
      </w:r>
      <w:r>
        <w:fldChar w:fldCharType="begin"/>
      </w:r>
      <w:r>
        <w:instrText xml:space="preserve"> REF _Ref21581870 \h </w:instrText>
      </w:r>
      <w:r>
        <w:fldChar w:fldCharType="separate"/>
      </w:r>
      <w:r w:rsidR="005407CC" w:rsidRPr="002F7695">
        <w:t xml:space="preserve">Exhibit </w:t>
      </w:r>
      <w:r w:rsidR="005407CC">
        <w:rPr>
          <w:noProof/>
        </w:rPr>
        <w:t>39</w:t>
      </w:r>
      <w:r>
        <w:fldChar w:fldCharType="end"/>
      </w:r>
      <w:r>
        <w:t>).</w:t>
      </w:r>
    </w:p>
    <w:p w14:paraId="371D7B40" w14:textId="77777777" w:rsidR="00F255AC" w:rsidRPr="00FC6247" w:rsidRDefault="00F255AC" w:rsidP="00FC6247">
      <w:pPr>
        <w:spacing w:before="0" w:after="160"/>
        <w:jc w:val="left"/>
        <w:rPr>
          <w:i/>
          <w:iCs/>
          <w:color w:val="808080" w:themeColor="text1" w:themeTint="7F"/>
        </w:rPr>
      </w:pPr>
    </w:p>
    <w:p w14:paraId="162AC93B" w14:textId="6383033B" w:rsidR="003D30AD" w:rsidRDefault="003D30AD" w:rsidP="003D30AD">
      <w:pPr>
        <w:pStyle w:val="Caption"/>
      </w:pPr>
      <w:bookmarkStart w:id="148" w:name="_Ref12956335"/>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38</w:t>
      </w:r>
      <w:r w:rsidRPr="002F7695">
        <w:fldChar w:fldCharType="end"/>
      </w:r>
      <w:bookmarkEnd w:id="148"/>
    </w:p>
    <w:p w14:paraId="1ABB445A" w14:textId="1D39EE52" w:rsidR="00D75006" w:rsidRPr="00D75006" w:rsidRDefault="00D75006" w:rsidP="00D75006">
      <w:pPr>
        <w:rPr>
          <w:lang w:val="en-US"/>
        </w:rPr>
      </w:pPr>
      <w:r w:rsidRPr="008D3CC1">
        <w:rPr>
          <w:noProof/>
          <w:lang w:eastAsia="en-AU"/>
        </w:rPr>
        <w:drawing>
          <wp:inline distT="0" distB="0" distL="0" distR="0" wp14:anchorId="52788E20" wp14:editId="6C977504">
            <wp:extent cx="5648400" cy="3715200"/>
            <wp:effectExtent l="0" t="0" r="0" b="0"/>
            <wp:docPr id="234" name="Picture 234" descr="Exhibit 38 uses Xero data to show how SMEs in wholesale trade, retail and hospitality are most likely to invest in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48400" cy="3715200"/>
                    </a:xfrm>
                    <a:prstGeom prst="rect">
                      <a:avLst/>
                    </a:prstGeom>
                    <a:noFill/>
                    <a:ln>
                      <a:noFill/>
                    </a:ln>
                  </pic:spPr>
                </pic:pic>
              </a:graphicData>
            </a:graphic>
          </wp:inline>
        </w:drawing>
      </w:r>
    </w:p>
    <w:p w14:paraId="5157FD6C" w14:textId="239105FA" w:rsidR="00FC6247" w:rsidRDefault="00862579" w:rsidP="00E246C1">
      <w:r>
        <w:rPr>
          <w:rStyle w:val="SubtleEmphasis"/>
          <w:lang w:val="en-US"/>
        </w:rPr>
        <w:t>Source</w:t>
      </w:r>
      <w:r w:rsidR="00D75006">
        <w:rPr>
          <w:rStyle w:val="SubtleEmphasis"/>
          <w:lang w:val="en-US"/>
        </w:rPr>
        <w:t xml:space="preserve">: </w:t>
      </w:r>
      <w:r w:rsidR="004A3EF6" w:rsidRPr="004E4836">
        <w:rPr>
          <w:rStyle w:val="SubtleEmphasis"/>
          <w:lang w:val="en-US"/>
        </w:rPr>
        <w:t xml:space="preserve">Xero </w:t>
      </w:r>
      <w:r w:rsidR="008B1E2A">
        <w:rPr>
          <w:rStyle w:val="SubtleEmphasis"/>
          <w:lang w:val="en-US"/>
        </w:rPr>
        <w:t>SBI</w:t>
      </w:r>
      <w:r w:rsidR="004A3EF6" w:rsidRPr="004E4836">
        <w:rPr>
          <w:rStyle w:val="SubtleEmphasis"/>
          <w:lang w:val="en-US"/>
        </w:rPr>
        <w:t>, AlphaBeta analysis</w:t>
      </w:r>
      <w:r w:rsidR="004A3EF6">
        <w:rPr>
          <w:rStyle w:val="SubtleEmphasis"/>
          <w:lang w:val="en-US"/>
        </w:rPr>
        <w:t xml:space="preserve">. </w:t>
      </w:r>
      <w:r w:rsidR="004E4836" w:rsidRPr="004E4836">
        <w:rPr>
          <w:rStyle w:val="SubtleEmphasis"/>
          <w:lang w:val="en-US"/>
        </w:rPr>
        <w:t xml:space="preserve">NB: sectors with fewer than 5,000 </w:t>
      </w:r>
      <w:r w:rsidR="00DC458F">
        <w:rPr>
          <w:rStyle w:val="SubtleEmphasis"/>
          <w:lang w:val="en-US"/>
        </w:rPr>
        <w:t>entities</w:t>
      </w:r>
      <w:r w:rsidR="004E4836" w:rsidRPr="004E4836">
        <w:rPr>
          <w:rStyle w:val="SubtleEmphasis"/>
          <w:lang w:val="en-US"/>
        </w:rPr>
        <w:t xml:space="preserve"> excluded. </w:t>
      </w:r>
    </w:p>
    <w:p w14:paraId="297AC351" w14:textId="2ED7011E" w:rsidR="003D30AD" w:rsidRDefault="003D30AD" w:rsidP="003D30AD">
      <w:pPr>
        <w:pStyle w:val="Caption"/>
      </w:pPr>
      <w:bookmarkStart w:id="149" w:name="_Ref12956350"/>
      <w:bookmarkStart w:id="150" w:name="_Ref21581870"/>
      <w:r w:rsidRPr="002F7695">
        <w:t xml:space="preserve">Exhibit </w:t>
      </w:r>
      <w:r w:rsidRPr="002F7695">
        <w:fldChar w:fldCharType="begin"/>
      </w:r>
      <w:r w:rsidRPr="002F7695">
        <w:instrText xml:space="preserve"> SEQ Exhibit \* ARABIC </w:instrText>
      </w:r>
      <w:r w:rsidRPr="002F7695">
        <w:fldChar w:fldCharType="separate"/>
      </w:r>
      <w:r w:rsidR="005407CC">
        <w:rPr>
          <w:noProof/>
        </w:rPr>
        <w:t>39</w:t>
      </w:r>
      <w:r w:rsidRPr="002F7695">
        <w:fldChar w:fldCharType="end"/>
      </w:r>
      <w:bookmarkEnd w:id="149"/>
      <w:bookmarkEnd w:id="150"/>
    </w:p>
    <w:p w14:paraId="1B3C9843" w14:textId="7EAA0313" w:rsidR="00D75006" w:rsidRPr="00D75006" w:rsidRDefault="00D75006" w:rsidP="00D75006">
      <w:pPr>
        <w:rPr>
          <w:lang w:val="en-US"/>
        </w:rPr>
      </w:pPr>
      <w:r w:rsidRPr="005D103D">
        <w:rPr>
          <w:noProof/>
          <w:lang w:eastAsia="en-AU"/>
        </w:rPr>
        <w:drawing>
          <wp:inline distT="0" distB="0" distL="0" distR="0" wp14:anchorId="5B44EDB5" wp14:editId="60416025">
            <wp:extent cx="5655600" cy="3700800"/>
            <wp:effectExtent l="0" t="0" r="2540" b="0"/>
            <wp:docPr id="226" name="Picture 226" descr="Exhibit 39 uses Xero data to show that larger business are more likely than small businesses to us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5600" cy="3700800"/>
                    </a:xfrm>
                    <a:prstGeom prst="rect">
                      <a:avLst/>
                    </a:prstGeom>
                    <a:noFill/>
                    <a:ln>
                      <a:noFill/>
                    </a:ln>
                  </pic:spPr>
                </pic:pic>
              </a:graphicData>
            </a:graphic>
          </wp:inline>
        </w:drawing>
      </w:r>
    </w:p>
    <w:p w14:paraId="0115B57F" w14:textId="239237F1" w:rsidR="004E4836" w:rsidRDefault="00862579" w:rsidP="004E4836">
      <w:pPr>
        <w:rPr>
          <w:rStyle w:val="SubtleEmphasis"/>
          <w:lang w:val="en-US"/>
        </w:rPr>
      </w:pPr>
      <w:bookmarkStart w:id="151" w:name="_Ref12428644"/>
      <w:r>
        <w:rPr>
          <w:rStyle w:val="SubtleEmphasis"/>
          <w:lang w:val="en-US"/>
        </w:rPr>
        <w:t>Source</w:t>
      </w:r>
      <w:r w:rsidR="00D75006">
        <w:rPr>
          <w:rStyle w:val="SubtleEmphasis"/>
          <w:lang w:val="en-US"/>
        </w:rPr>
        <w:t xml:space="preserve">: </w:t>
      </w:r>
      <w:r w:rsidR="004E4836" w:rsidRPr="004E4836">
        <w:rPr>
          <w:rStyle w:val="SubtleEmphasis"/>
          <w:lang w:val="en-US"/>
        </w:rPr>
        <w:t xml:space="preserve">Xero </w:t>
      </w:r>
      <w:r w:rsidR="005D103D">
        <w:rPr>
          <w:rStyle w:val="SubtleEmphasis"/>
          <w:lang w:val="en-US"/>
        </w:rPr>
        <w:t>SBI</w:t>
      </w:r>
      <w:r w:rsidR="004E4836" w:rsidRPr="004E4836">
        <w:rPr>
          <w:rStyle w:val="SubtleEmphasis"/>
          <w:lang w:val="en-US"/>
        </w:rPr>
        <w:t>, AlphaBeta analysis</w:t>
      </w:r>
      <w:r w:rsidR="00AC38CF">
        <w:rPr>
          <w:rStyle w:val="SubtleEmphasis"/>
          <w:lang w:val="en-US"/>
        </w:rPr>
        <w:t>.</w:t>
      </w:r>
    </w:p>
    <w:p w14:paraId="3860161F" w14:textId="3C991884" w:rsidR="00906F54" w:rsidRPr="00E246C1" w:rsidRDefault="00FC6247" w:rsidP="00E246C1">
      <w:pPr>
        <w:spacing w:before="0" w:after="160"/>
        <w:jc w:val="left"/>
      </w:pPr>
      <w:r>
        <w:br w:type="page"/>
      </w:r>
      <w:bookmarkEnd w:id="151"/>
      <w:r w:rsidR="00DC4770" w:rsidRPr="00E246C1">
        <w:lastRenderedPageBreak/>
        <w:t>T</w:t>
      </w:r>
      <w:r w:rsidR="00611ED6" w:rsidRPr="00E246C1">
        <w:t xml:space="preserve">he processes </w:t>
      </w:r>
      <w:r w:rsidR="000F1C9F">
        <w:t xml:space="preserve">that </w:t>
      </w:r>
      <w:r w:rsidR="00611ED6" w:rsidRPr="00E246C1">
        <w:t xml:space="preserve">SMEs </w:t>
      </w:r>
      <w:r w:rsidR="000F1C9F">
        <w:t xml:space="preserve">automate or enhance using apps </w:t>
      </w:r>
      <w:r w:rsidR="00611ED6" w:rsidRPr="00E246C1">
        <w:t xml:space="preserve">are not limited to the back office. </w:t>
      </w:r>
      <w:r w:rsidR="00DC4770" w:rsidRPr="00E246C1">
        <w:t xml:space="preserve">Half of all app usage </w:t>
      </w:r>
      <w:r w:rsidR="00106DE3" w:rsidRPr="00E246C1">
        <w:t xml:space="preserve">is </w:t>
      </w:r>
      <w:r w:rsidR="00DC4770" w:rsidRPr="00E246C1">
        <w:t xml:space="preserve">for core business functions </w:t>
      </w:r>
      <w:r w:rsidR="00906F54">
        <w:t xml:space="preserve">(such as marketing, sales and strategic management) </w:t>
      </w:r>
      <w:r w:rsidR="00DC4770" w:rsidRPr="00E246C1">
        <w:t>and half for supporting functions</w:t>
      </w:r>
      <w:r w:rsidR="00906F54">
        <w:t xml:space="preserve"> (such as HR, finance, and legal). </w:t>
      </w:r>
    </w:p>
    <w:p w14:paraId="4EB1B638" w14:textId="2D8A8392" w:rsidR="00B65CA8" w:rsidRDefault="00611ED6" w:rsidP="00E246C1">
      <w:pPr>
        <w:spacing w:before="0" w:after="160"/>
        <w:jc w:val="left"/>
      </w:pPr>
      <w:r w:rsidRPr="00E246C1">
        <w:t>Within these functions, 76 percent of app use relates to six business activities</w:t>
      </w:r>
      <w:r w:rsidR="00906F54">
        <w:t xml:space="preserve"> </w:t>
      </w:r>
      <w:r w:rsidR="00DC4770" w:rsidRPr="00E246C1">
        <w:t>(</w:t>
      </w:r>
      <w:r w:rsidR="006D057D" w:rsidRPr="002F7695">
        <w:rPr>
          <w:noProof/>
        </w:rPr>
        <w:t>Exhibit</w:t>
      </w:r>
      <w:r w:rsidR="006D057D" w:rsidRPr="002F7695">
        <w:t xml:space="preserve"> </w:t>
      </w:r>
      <w:r w:rsidR="006D057D">
        <w:rPr>
          <w:noProof/>
        </w:rPr>
        <w:t>40</w:t>
      </w:r>
      <w:r w:rsidR="00DC4770" w:rsidRPr="00E246C1">
        <w:t>)</w:t>
      </w:r>
      <w:bookmarkStart w:id="152" w:name="_Hlk30064917"/>
      <w:r w:rsidR="00906F54">
        <w:t xml:space="preserve">. Apps are most </w:t>
      </w:r>
      <w:r w:rsidRPr="00E246C1">
        <w:t xml:space="preserve">used </w:t>
      </w:r>
      <w:r w:rsidR="00906F54">
        <w:t>to automate administrative and operational tasks (</w:t>
      </w:r>
      <w:r w:rsidR="00EE2B42">
        <w:t xml:space="preserve">e.g. processing expenses, </w:t>
      </w:r>
      <w:r w:rsidR="00EE2B42" w:rsidRPr="005E38E2">
        <w:t>job scheduling</w:t>
      </w:r>
      <w:r w:rsidR="00EE2B42">
        <w:t xml:space="preserve"> and invoicing, </w:t>
      </w:r>
      <w:r w:rsidR="00EE2B42" w:rsidRPr="006E2549">
        <w:t xml:space="preserve">staff rostering </w:t>
      </w:r>
      <w:r w:rsidR="00906F54" w:rsidRPr="006E2549">
        <w:t>and time tracking</w:t>
      </w:r>
      <w:r w:rsidR="00906F54">
        <w:t xml:space="preserve">); </w:t>
      </w:r>
      <w:r w:rsidR="00EE2B42">
        <w:t xml:space="preserve">to </w:t>
      </w:r>
      <w:r w:rsidR="00906F54">
        <w:t>improve customer experience (</w:t>
      </w:r>
      <w:r w:rsidR="00EE2B42">
        <w:t xml:space="preserve">e.g. </w:t>
      </w:r>
      <w:r w:rsidRPr="00E246C1">
        <w:t>point-of-sale</w:t>
      </w:r>
      <w:r w:rsidR="00EE2B42">
        <w:t xml:space="preserve"> and </w:t>
      </w:r>
      <w:r w:rsidR="00906F54" w:rsidRPr="00E246C1">
        <w:t xml:space="preserve">other </w:t>
      </w:r>
      <w:r w:rsidRPr="00E246C1">
        <w:t>payments technologies</w:t>
      </w:r>
      <w:r w:rsidR="00EE2B42">
        <w:t>, customer relationship management</w:t>
      </w:r>
      <w:r w:rsidR="00906F54">
        <w:t>)</w:t>
      </w:r>
      <w:bookmarkEnd w:id="152"/>
      <w:r w:rsidR="00EE2B42">
        <w:t xml:space="preserve">; </w:t>
      </w:r>
      <w:r w:rsidR="00906F54">
        <w:t xml:space="preserve">and </w:t>
      </w:r>
      <w:r w:rsidR="00906F54" w:rsidRPr="005E38E2">
        <w:t>business intelligence</w:t>
      </w:r>
      <w:r w:rsidR="00EE2B42">
        <w:t xml:space="preserve">. </w:t>
      </w:r>
    </w:p>
    <w:p w14:paraId="24BB6253" w14:textId="6D7CF1AE" w:rsidR="00F255AC" w:rsidRDefault="00F255AC" w:rsidP="00472231">
      <w:r>
        <w:t>Fast-growing firms are more likely to adopt apps</w:t>
      </w:r>
      <w:r w:rsidR="000F1C9F">
        <w:t xml:space="preserve"> (</w:t>
      </w:r>
      <w:r w:rsidR="000F1C9F">
        <w:fldChar w:fldCharType="begin"/>
      </w:r>
      <w:r w:rsidR="000F1C9F">
        <w:instrText xml:space="preserve"> REF _Ref12430206 \h </w:instrText>
      </w:r>
      <w:r w:rsidR="000F1C9F">
        <w:fldChar w:fldCharType="separate"/>
      </w:r>
      <w:r w:rsidR="005407CC" w:rsidRPr="002F7695">
        <w:t xml:space="preserve">Exhibit </w:t>
      </w:r>
      <w:r w:rsidR="005407CC">
        <w:rPr>
          <w:noProof/>
        </w:rPr>
        <w:t>41</w:t>
      </w:r>
      <w:r w:rsidR="000F1C9F">
        <w:fldChar w:fldCharType="end"/>
      </w:r>
      <w:r w:rsidR="000F1C9F">
        <w:t>)</w:t>
      </w:r>
      <w:r>
        <w:t>, possibly to help manage the increasing complexity of the</w:t>
      </w:r>
      <w:r w:rsidR="000F1C9F">
        <w:t>ir</w:t>
      </w:r>
      <w:r>
        <w:t xml:space="preserve"> business</w:t>
      </w:r>
      <w:r w:rsidR="000F1C9F">
        <w:t>es</w:t>
      </w:r>
      <w:r>
        <w:t>.</w:t>
      </w:r>
      <w:r w:rsidR="000F1C9F">
        <w:t xml:space="preserve"> A</w:t>
      </w:r>
      <w:r>
        <w:t xml:space="preserve">pp use may then make firms more productive, contributing to better business performance. </w:t>
      </w:r>
    </w:p>
    <w:p w14:paraId="78C0F4F3" w14:textId="490EFFE0" w:rsidR="003D30AD" w:rsidRDefault="003D30AD" w:rsidP="003D30AD">
      <w:pPr>
        <w:pStyle w:val="Caption"/>
      </w:pPr>
      <w:bookmarkStart w:id="153" w:name="_Ref12428657"/>
      <w:r w:rsidRPr="002F7695">
        <w:t xml:space="preserve">Exhibit </w:t>
      </w:r>
      <w:r w:rsidRPr="002F7695">
        <w:fldChar w:fldCharType="begin"/>
      </w:r>
      <w:r w:rsidRPr="002F7695">
        <w:instrText xml:space="preserve"> SEQ Exhibit \* ARABIC </w:instrText>
      </w:r>
      <w:r w:rsidRPr="002F7695">
        <w:fldChar w:fldCharType="separate"/>
      </w:r>
      <w:r w:rsidR="005407CC">
        <w:rPr>
          <w:noProof/>
        </w:rPr>
        <w:t>40</w:t>
      </w:r>
      <w:r w:rsidRPr="002F7695">
        <w:fldChar w:fldCharType="end"/>
      </w:r>
      <w:bookmarkEnd w:id="153"/>
    </w:p>
    <w:p w14:paraId="0EA8C5EC" w14:textId="7BBDAC79" w:rsidR="006D057D" w:rsidRPr="006D057D" w:rsidRDefault="006D057D" w:rsidP="006D057D">
      <w:pPr>
        <w:rPr>
          <w:lang w:val="en-US"/>
        </w:rPr>
      </w:pPr>
      <w:r w:rsidRPr="008031FF">
        <w:rPr>
          <w:noProof/>
          <w:lang w:eastAsia="en-AU"/>
        </w:rPr>
        <w:drawing>
          <wp:inline distT="0" distB="0" distL="0" distR="0" wp14:anchorId="368EA893" wp14:editId="72CF9417">
            <wp:extent cx="5659200" cy="3772800"/>
            <wp:effectExtent l="0" t="0" r="0" b="0"/>
            <wp:docPr id="457" name="Picture 457" descr="Exhibit 40 shows that most apps are used to automate administrative and operational tasks, improve customer experience an inform dec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59200" cy="3772800"/>
                    </a:xfrm>
                    <a:prstGeom prst="rect">
                      <a:avLst/>
                    </a:prstGeom>
                    <a:noFill/>
                    <a:ln>
                      <a:noFill/>
                    </a:ln>
                  </pic:spPr>
                </pic:pic>
              </a:graphicData>
            </a:graphic>
          </wp:inline>
        </w:drawing>
      </w:r>
    </w:p>
    <w:p w14:paraId="3B068F3A" w14:textId="1C9FA589" w:rsidR="00FC6247" w:rsidRDefault="00862579" w:rsidP="00E246C1">
      <w:r>
        <w:rPr>
          <w:rStyle w:val="SubtleEmphasis"/>
          <w:lang w:val="en-US"/>
        </w:rPr>
        <w:t>Source</w:t>
      </w:r>
      <w:r w:rsidR="006D057D">
        <w:rPr>
          <w:rStyle w:val="SubtleEmphasis"/>
          <w:lang w:val="en-US"/>
        </w:rPr>
        <w:t xml:space="preserve">: </w:t>
      </w:r>
      <w:r w:rsidR="004E4836" w:rsidRPr="004E4836">
        <w:rPr>
          <w:rStyle w:val="SubtleEmphasis"/>
          <w:lang w:val="en-US"/>
        </w:rPr>
        <w:t xml:space="preserve">Xero </w:t>
      </w:r>
      <w:r w:rsidR="00D463CB">
        <w:rPr>
          <w:rStyle w:val="SubtleEmphasis"/>
          <w:lang w:val="en-US"/>
        </w:rPr>
        <w:t>SBI</w:t>
      </w:r>
      <w:r w:rsidR="004E4836" w:rsidRPr="004E4836">
        <w:rPr>
          <w:rStyle w:val="SubtleEmphasis"/>
          <w:lang w:val="en-US"/>
        </w:rPr>
        <w:t>, AlphaBeta analysis</w:t>
      </w:r>
      <w:r w:rsidR="00AC38CF">
        <w:rPr>
          <w:rStyle w:val="SubtleEmphasis"/>
          <w:lang w:val="en-US"/>
        </w:rPr>
        <w:t>.</w:t>
      </w:r>
    </w:p>
    <w:p w14:paraId="3318A531" w14:textId="0E691B57" w:rsidR="00A823CA" w:rsidRDefault="00A823CA" w:rsidP="00A823CA">
      <w:pPr>
        <w:pStyle w:val="Caption"/>
      </w:pPr>
      <w:bookmarkStart w:id="154" w:name="_Ref12430206"/>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41</w:t>
      </w:r>
      <w:r w:rsidRPr="002F7695">
        <w:fldChar w:fldCharType="end"/>
      </w:r>
      <w:bookmarkEnd w:id="154"/>
    </w:p>
    <w:p w14:paraId="57991710" w14:textId="2716A345" w:rsidR="006D057D" w:rsidRPr="006D057D" w:rsidRDefault="006D057D" w:rsidP="006D057D">
      <w:pPr>
        <w:rPr>
          <w:lang w:val="en-US"/>
        </w:rPr>
      </w:pPr>
      <w:r w:rsidRPr="008D3CC1">
        <w:rPr>
          <w:noProof/>
          <w:lang w:eastAsia="en-AU"/>
        </w:rPr>
        <w:drawing>
          <wp:inline distT="0" distB="0" distL="0" distR="0" wp14:anchorId="2A825B78" wp14:editId="7BA16C9E">
            <wp:extent cx="5684400" cy="3740400"/>
            <wp:effectExtent l="0" t="0" r="0" b="0"/>
            <wp:docPr id="236" name="Picture 236" descr="Exhibit 41 shows that faster growing Xero firms are mor lieky to use apps irrespective of busines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84400" cy="3740400"/>
                    </a:xfrm>
                    <a:prstGeom prst="rect">
                      <a:avLst/>
                    </a:prstGeom>
                    <a:noFill/>
                    <a:ln>
                      <a:noFill/>
                    </a:ln>
                  </pic:spPr>
                </pic:pic>
              </a:graphicData>
            </a:graphic>
          </wp:inline>
        </w:drawing>
      </w:r>
    </w:p>
    <w:p w14:paraId="2FCE9857" w14:textId="56FFF3F4" w:rsidR="00C61CA4" w:rsidRDefault="00862579">
      <w:pPr>
        <w:spacing w:before="0" w:after="160"/>
        <w:jc w:val="left"/>
      </w:pPr>
      <w:r>
        <w:rPr>
          <w:rStyle w:val="SubtleEmphasis"/>
          <w:lang w:val="en-US"/>
        </w:rPr>
        <w:t>Source</w:t>
      </w:r>
      <w:r w:rsidR="006D057D">
        <w:rPr>
          <w:rStyle w:val="SubtleEmphasis"/>
          <w:lang w:val="en-US"/>
        </w:rPr>
        <w:t xml:space="preserve">: </w:t>
      </w:r>
      <w:r w:rsidR="004A3EF6" w:rsidRPr="004E4836">
        <w:rPr>
          <w:rStyle w:val="SubtleEmphasis"/>
          <w:lang w:val="en-US"/>
        </w:rPr>
        <w:t xml:space="preserve">Xero </w:t>
      </w:r>
      <w:r w:rsidR="00D463CB">
        <w:rPr>
          <w:rStyle w:val="SubtleEmphasis"/>
          <w:lang w:val="en-US"/>
        </w:rPr>
        <w:t>SBI</w:t>
      </w:r>
      <w:r w:rsidR="004A3EF6" w:rsidRPr="004E4836">
        <w:rPr>
          <w:rStyle w:val="SubtleEmphasis"/>
          <w:lang w:val="en-US"/>
        </w:rPr>
        <w:t>, AlphaBeta analysis</w:t>
      </w:r>
      <w:r w:rsidR="00AC38CF">
        <w:rPr>
          <w:rStyle w:val="SubtleEmphasis"/>
          <w:lang w:val="en-US"/>
        </w:rPr>
        <w:t>.</w:t>
      </w:r>
      <w:r w:rsidR="00C61CA4">
        <w:br w:type="page"/>
      </w:r>
    </w:p>
    <w:p w14:paraId="2E95EA2B" w14:textId="04DC2975" w:rsidR="00CF28BB" w:rsidRDefault="00CF28BB" w:rsidP="00CF28BB">
      <w:pPr>
        <w:pStyle w:val="Heading1"/>
        <w:numPr>
          <w:ilvl w:val="0"/>
          <w:numId w:val="0"/>
        </w:numPr>
      </w:pPr>
      <w:bookmarkStart w:id="155" w:name="_Toc30148093"/>
      <w:r w:rsidRPr="00D46B6C">
        <w:lastRenderedPageBreak/>
        <w:t xml:space="preserve">Appendix </w:t>
      </w:r>
      <w:r w:rsidR="00FC6247">
        <w:t>C</w:t>
      </w:r>
      <w:r>
        <w:t xml:space="preserve"> – Business investment in ICT and intangibles</w:t>
      </w:r>
      <w:bookmarkEnd w:id="155"/>
    </w:p>
    <w:p w14:paraId="48452F30" w14:textId="0025F25C" w:rsidR="00CF28BB" w:rsidRDefault="00CF28BB" w:rsidP="00CF28BB">
      <w:pPr>
        <w:pStyle w:val="01squarebullet"/>
        <w:numPr>
          <w:ilvl w:val="0"/>
          <w:numId w:val="0"/>
        </w:numPr>
      </w:pPr>
      <w:bookmarkStart w:id="156" w:name="_Ref12955739"/>
      <w:r>
        <w:t>Australian’s businesses have a different pattern of investment to their global peers. Australian Private Gross Fixed Capital Formation (GFCF) as a share of GDP has been higher than the OECD average for many years, though it has converged towards average OECD levels in the last few years. However, ICT investment, and its software component are both declining as a share of GFCF in Australia, while increasing in OECD peer economies</w:t>
      </w:r>
      <w:r w:rsidR="00E21023">
        <w:t>,</w:t>
      </w:r>
      <w:r>
        <w:t xml:space="preserve"> which is of concern as many recent innovations are delivered by ICT, or embodied in it</w:t>
      </w:r>
      <w:r w:rsidR="00E21023">
        <w:t xml:space="preserve"> (</w:t>
      </w:r>
      <w:r w:rsidR="00E21023">
        <w:fldChar w:fldCharType="begin"/>
      </w:r>
      <w:r w:rsidR="00E21023">
        <w:instrText xml:space="preserve"> REF _Ref21582621 \h </w:instrText>
      </w:r>
      <w:r w:rsidR="00E21023">
        <w:fldChar w:fldCharType="separate"/>
      </w:r>
      <w:r w:rsidR="005407CC" w:rsidRPr="002F7695">
        <w:t>Exhibit</w:t>
      </w:r>
      <w:r w:rsidR="005407CC">
        <w:t xml:space="preserve"> </w:t>
      </w:r>
      <w:r w:rsidR="005407CC">
        <w:rPr>
          <w:noProof/>
        </w:rPr>
        <w:t>42</w:t>
      </w:r>
      <w:r w:rsidR="00E21023">
        <w:fldChar w:fldCharType="end"/>
      </w:r>
      <w:r w:rsidR="00E21023">
        <w:t>).</w:t>
      </w:r>
    </w:p>
    <w:p w14:paraId="1789D54D" w14:textId="5639A264" w:rsidR="00FC6247" w:rsidRDefault="00CF28BB" w:rsidP="00FC6247">
      <w:pPr>
        <w:pStyle w:val="Caption"/>
      </w:pPr>
      <w:bookmarkStart w:id="157" w:name="_Ref21582621"/>
      <w:r w:rsidRPr="002F7695">
        <w:t>Exhibit</w:t>
      </w:r>
      <w:r>
        <w:t xml:space="preserve"> </w:t>
      </w:r>
      <w:r w:rsidRPr="002F7695">
        <w:fldChar w:fldCharType="begin"/>
      </w:r>
      <w:r w:rsidRPr="002F7695">
        <w:instrText xml:space="preserve"> SEQ Exhibit \* ARABIC </w:instrText>
      </w:r>
      <w:r w:rsidRPr="002F7695">
        <w:fldChar w:fldCharType="separate"/>
      </w:r>
      <w:r w:rsidR="005407CC">
        <w:rPr>
          <w:noProof/>
        </w:rPr>
        <w:t>42</w:t>
      </w:r>
      <w:r w:rsidRPr="002F7695">
        <w:fldChar w:fldCharType="end"/>
      </w:r>
      <w:bookmarkEnd w:id="156"/>
      <w:bookmarkEnd w:id="157"/>
    </w:p>
    <w:p w14:paraId="5D46D28F" w14:textId="0108A892" w:rsidR="006D057D" w:rsidRPr="006D057D" w:rsidRDefault="006D057D" w:rsidP="006D057D">
      <w:pPr>
        <w:rPr>
          <w:lang w:val="en-US"/>
        </w:rPr>
      </w:pPr>
      <w:r w:rsidRPr="00382A6A">
        <w:rPr>
          <w:noProof/>
          <w:lang w:eastAsia="en-AU"/>
        </w:rPr>
        <w:drawing>
          <wp:inline distT="0" distB="0" distL="0" distR="0" wp14:anchorId="44379CBD" wp14:editId="20798FA7">
            <wp:extent cx="5688000" cy="3848400"/>
            <wp:effectExtent l="0" t="0" r="8255" b="0"/>
            <wp:docPr id="249" name="Picture 249" descr="Exhibit 42 shows Australian business investment has been high overall but has shifted away from ICT. See above paragraph for a relevant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8000" cy="3848400"/>
                    </a:xfrm>
                    <a:prstGeom prst="rect">
                      <a:avLst/>
                    </a:prstGeom>
                    <a:noFill/>
                    <a:ln>
                      <a:noFill/>
                    </a:ln>
                  </pic:spPr>
                </pic:pic>
              </a:graphicData>
            </a:graphic>
          </wp:inline>
        </w:drawing>
      </w:r>
    </w:p>
    <w:p w14:paraId="3E6023C0" w14:textId="77777777" w:rsidR="00FC6247" w:rsidRPr="00AC38CF" w:rsidRDefault="00FC6247" w:rsidP="00FC6247">
      <w:pPr>
        <w:rPr>
          <w:rStyle w:val="SubtleEmphasis"/>
        </w:rPr>
      </w:pPr>
      <w:r w:rsidRPr="00AC38CF">
        <w:rPr>
          <w:rStyle w:val="SubtleEmphasis"/>
        </w:rPr>
        <w:t>Source: World Bank (2019), GFCF; ABS (2019) 5204.0 (Table 2 and Table 52); OECD (2019), National Accounts at a Glance, Expenditure, GFCF – Corporations (per cent of total GFCF). Australian series excludes ownership of dwellings and ownership transfer costs.</w:t>
      </w:r>
    </w:p>
    <w:p w14:paraId="0539BD0C" w14:textId="521CB7A2" w:rsidR="00CF28BB" w:rsidRDefault="00CF28BB" w:rsidP="00CF28BB">
      <w:pPr>
        <w:rPr>
          <w:rFonts w:eastAsia="Times New Roman"/>
          <w:b/>
          <w:bCs/>
          <w:sz w:val="24"/>
          <w:szCs w:val="24"/>
          <w:lang w:val="en-US"/>
        </w:rPr>
      </w:pPr>
      <w:r>
        <w:t xml:space="preserve">Australian businesses are just as intangibles-intense as their peers, adjusting for industry mix (see Section </w:t>
      </w:r>
      <w:r>
        <w:fldChar w:fldCharType="begin"/>
      </w:r>
      <w:r>
        <w:instrText xml:space="preserve"> REF _Ref19909270 \r \h </w:instrText>
      </w:r>
      <w:r>
        <w:fldChar w:fldCharType="separate"/>
      </w:r>
      <w:r w:rsidR="005407CC">
        <w:t>3.6</w:t>
      </w:r>
      <w:r>
        <w:fldChar w:fldCharType="end"/>
      </w:r>
      <w:r>
        <w:t>), and the intangibles share of Australian business investment is increasing.</w:t>
      </w:r>
      <w:r>
        <w:rPr>
          <w:rStyle w:val="FootnoteReference"/>
        </w:rPr>
        <w:footnoteReference w:id="40"/>
      </w:r>
      <w:r>
        <w:t xml:space="preserve"> Non-mining investment is shifting to intangibles, while ICT investment in dollar terms is shifting from computers &amp; peripherals, and electrical &amp; electronic equipment, to software (</w:t>
      </w:r>
      <w:r>
        <w:fldChar w:fldCharType="begin"/>
      </w:r>
      <w:r>
        <w:instrText xml:space="preserve"> REF _Ref12955756 \h </w:instrText>
      </w:r>
      <w:r>
        <w:fldChar w:fldCharType="separate"/>
      </w:r>
      <w:r w:rsidR="005407CC" w:rsidRPr="002F7695">
        <w:t xml:space="preserve">Exhibit </w:t>
      </w:r>
      <w:r w:rsidR="005407CC">
        <w:rPr>
          <w:noProof/>
        </w:rPr>
        <w:t>43</w:t>
      </w:r>
      <w:r>
        <w:fldChar w:fldCharType="end"/>
      </w:r>
      <w:r>
        <w:t xml:space="preserve">). </w:t>
      </w:r>
    </w:p>
    <w:p w14:paraId="13163A5F" w14:textId="14CFC807" w:rsidR="00CF28BB" w:rsidRDefault="00CF28BB" w:rsidP="00CF28BB">
      <w:pPr>
        <w:pStyle w:val="Caption"/>
      </w:pPr>
      <w:bookmarkStart w:id="158" w:name="_Ref12955756"/>
      <w:r w:rsidRPr="002F7695">
        <w:lastRenderedPageBreak/>
        <w:t xml:space="preserve">Exhibit </w:t>
      </w:r>
      <w:r w:rsidRPr="002F7695">
        <w:fldChar w:fldCharType="begin"/>
      </w:r>
      <w:r w:rsidRPr="002F7695">
        <w:instrText xml:space="preserve"> SEQ Exhibit \* ARABIC </w:instrText>
      </w:r>
      <w:r w:rsidRPr="002F7695">
        <w:fldChar w:fldCharType="separate"/>
      </w:r>
      <w:r w:rsidR="005407CC">
        <w:rPr>
          <w:noProof/>
        </w:rPr>
        <w:t>43</w:t>
      </w:r>
      <w:r w:rsidRPr="002F7695">
        <w:fldChar w:fldCharType="end"/>
      </w:r>
      <w:bookmarkEnd w:id="158"/>
    </w:p>
    <w:p w14:paraId="70832B36" w14:textId="731DA6DB" w:rsidR="006D057D" w:rsidRPr="006D057D" w:rsidRDefault="006D057D" w:rsidP="006D057D">
      <w:pPr>
        <w:rPr>
          <w:lang w:val="en-US"/>
        </w:rPr>
      </w:pPr>
      <w:r w:rsidRPr="00E42881">
        <w:rPr>
          <w:noProof/>
          <w:lang w:eastAsia="en-AU"/>
        </w:rPr>
        <w:drawing>
          <wp:inline distT="0" distB="0" distL="0" distR="0" wp14:anchorId="539723A8" wp14:editId="046F27B0">
            <wp:extent cx="5648400" cy="3790800"/>
            <wp:effectExtent l="0" t="0" r="0" b="635"/>
            <wp:docPr id="455" name="Picture 455" descr="Exhibit 43 shows Australian business investment has shifted towards intangibles. See above paragraph for a relevant interpr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48400" cy="3790800"/>
                    </a:xfrm>
                    <a:prstGeom prst="rect">
                      <a:avLst/>
                    </a:prstGeom>
                    <a:noFill/>
                    <a:ln>
                      <a:noFill/>
                    </a:ln>
                  </pic:spPr>
                </pic:pic>
              </a:graphicData>
            </a:graphic>
          </wp:inline>
        </w:drawing>
      </w:r>
    </w:p>
    <w:p w14:paraId="39A6873A" w14:textId="53EDA07A" w:rsidR="00CF28BB" w:rsidRPr="00AC38CF" w:rsidRDefault="00CF28BB" w:rsidP="00CF28BB">
      <w:pPr>
        <w:rPr>
          <w:rStyle w:val="SubtleEmphasis"/>
        </w:rPr>
      </w:pPr>
      <w:r w:rsidRPr="00AC38CF">
        <w:rPr>
          <w:rStyle w:val="SubtleEmphasis"/>
        </w:rPr>
        <w:t>Source: ABS 5204.0 National Accounts. All values are at current prices and so comprise shares of expenditure. On the left panel, the total excludes weapons systems, dwellings, ownership transfer costs, and artistic originals; excludes mining industry.</w:t>
      </w:r>
    </w:p>
    <w:p w14:paraId="449E9BC1" w14:textId="77777777" w:rsidR="00CF28BB" w:rsidRDefault="00CF28BB" w:rsidP="00CF28BB"/>
    <w:p w14:paraId="744D7831" w14:textId="77777777" w:rsidR="00633E73" w:rsidRDefault="00633E73">
      <w:pPr>
        <w:spacing w:before="0" w:after="160"/>
        <w:jc w:val="left"/>
        <w:rPr>
          <w:rFonts w:asciiTheme="majorHAnsi" w:eastAsiaTheme="majorEastAsia" w:hAnsiTheme="majorHAnsi" w:cstheme="majorHAnsi"/>
          <w:b/>
          <w:caps/>
          <w:color w:val="4CB8C1" w:themeColor="accent5"/>
          <w:sz w:val="44"/>
          <w:szCs w:val="44"/>
          <w:lang w:val="en-US"/>
        </w:rPr>
      </w:pPr>
      <w:r>
        <w:br w:type="page"/>
      </w:r>
    </w:p>
    <w:p w14:paraId="538C1442" w14:textId="10FDD127" w:rsidR="00DD3487" w:rsidRDefault="00C61CA4" w:rsidP="00E246C1">
      <w:pPr>
        <w:pStyle w:val="Heading1"/>
        <w:numPr>
          <w:ilvl w:val="0"/>
          <w:numId w:val="0"/>
        </w:numPr>
        <w:ind w:left="360" w:hanging="360"/>
      </w:pPr>
      <w:bookmarkStart w:id="159" w:name="_Toc30148094"/>
      <w:r>
        <w:lastRenderedPageBreak/>
        <w:t>G</w:t>
      </w:r>
      <w:r w:rsidR="008369BA">
        <w:t>l</w:t>
      </w:r>
      <w:r>
        <w:t>ossary</w:t>
      </w:r>
      <w:bookmarkEnd w:id="159"/>
    </w:p>
    <w:p w14:paraId="12CA5FEC" w14:textId="77777777" w:rsidR="00F70A33" w:rsidRPr="00F70A33" w:rsidRDefault="00F70A33" w:rsidP="00F70A33">
      <w:pPr>
        <w:rPr>
          <w:lang w:val="en-US"/>
        </w:rPr>
      </w:pPr>
    </w:p>
    <w:p w14:paraId="1C36BA1C" w14:textId="3D44EF2C" w:rsidR="00C61CA4" w:rsidRPr="00C61CA4" w:rsidRDefault="00C61CA4" w:rsidP="00C61CA4">
      <w:pPr>
        <w:rPr>
          <w:lang w:val="en-US"/>
        </w:rPr>
      </w:pPr>
      <w:r w:rsidRPr="00C61CA4">
        <w:rPr>
          <w:lang w:val="en-US"/>
        </w:rPr>
        <w:t>ANBERD</w:t>
      </w:r>
      <w:r w:rsidRPr="00C61CA4">
        <w:rPr>
          <w:lang w:val="en-US"/>
        </w:rPr>
        <w:tab/>
      </w:r>
      <w:r>
        <w:rPr>
          <w:lang w:val="en-US"/>
        </w:rPr>
        <w:tab/>
      </w:r>
      <w:r w:rsidRPr="00C61CA4">
        <w:rPr>
          <w:lang w:val="en-US"/>
        </w:rPr>
        <w:t>Analytical Business Enterprise Research and Development</w:t>
      </w:r>
    </w:p>
    <w:p w14:paraId="7A8E7459" w14:textId="23F14BB3" w:rsidR="00C61CA4" w:rsidRPr="00C61CA4" w:rsidRDefault="00C61CA4" w:rsidP="00C61CA4">
      <w:pPr>
        <w:rPr>
          <w:lang w:val="en-US"/>
        </w:rPr>
      </w:pPr>
      <w:r w:rsidRPr="00C61CA4">
        <w:rPr>
          <w:lang w:val="en-US"/>
        </w:rPr>
        <w:t>ANZSIC</w:t>
      </w:r>
      <w:r w:rsidRPr="00C61CA4">
        <w:rPr>
          <w:lang w:val="en-US"/>
        </w:rPr>
        <w:tab/>
      </w:r>
      <w:r>
        <w:rPr>
          <w:lang w:val="en-US"/>
        </w:rPr>
        <w:tab/>
      </w:r>
      <w:r>
        <w:rPr>
          <w:lang w:val="en-US"/>
        </w:rPr>
        <w:tab/>
      </w:r>
      <w:r w:rsidRPr="00C61CA4">
        <w:rPr>
          <w:lang w:val="en-US"/>
        </w:rPr>
        <w:t>Australian and New Zealand Standard Industry Classification</w:t>
      </w:r>
    </w:p>
    <w:p w14:paraId="461272AB" w14:textId="28D6902A" w:rsidR="00C61CA4" w:rsidRPr="00C61CA4" w:rsidRDefault="00C61CA4" w:rsidP="00C61CA4">
      <w:pPr>
        <w:rPr>
          <w:lang w:val="en-US"/>
        </w:rPr>
      </w:pPr>
      <w:r w:rsidRPr="00C61CA4">
        <w:rPr>
          <w:lang w:val="en-US"/>
        </w:rPr>
        <w:t>ATO</w:t>
      </w:r>
      <w:r w:rsidRPr="00C61CA4">
        <w:rPr>
          <w:lang w:val="en-US"/>
        </w:rPr>
        <w:tab/>
      </w:r>
      <w:r>
        <w:rPr>
          <w:lang w:val="en-US"/>
        </w:rPr>
        <w:tab/>
      </w:r>
      <w:r>
        <w:rPr>
          <w:lang w:val="en-US"/>
        </w:rPr>
        <w:tab/>
      </w:r>
      <w:r w:rsidRPr="00C61CA4">
        <w:rPr>
          <w:lang w:val="en-US"/>
        </w:rPr>
        <w:t>Australian Taxation Office</w:t>
      </w:r>
    </w:p>
    <w:p w14:paraId="116F96C5" w14:textId="5CF9BF4D" w:rsidR="00C61CA4" w:rsidRPr="00C61CA4" w:rsidRDefault="00C61CA4" w:rsidP="00C61CA4">
      <w:pPr>
        <w:rPr>
          <w:lang w:val="en-US"/>
        </w:rPr>
      </w:pPr>
      <w:r w:rsidRPr="00C61CA4">
        <w:rPr>
          <w:lang w:val="en-US"/>
        </w:rPr>
        <w:t>BERD</w:t>
      </w:r>
      <w:r w:rsidRPr="00C61CA4">
        <w:rPr>
          <w:lang w:val="en-US"/>
        </w:rPr>
        <w:tab/>
      </w:r>
      <w:r>
        <w:rPr>
          <w:lang w:val="en-US"/>
        </w:rPr>
        <w:tab/>
      </w:r>
      <w:r>
        <w:rPr>
          <w:lang w:val="en-US"/>
        </w:rPr>
        <w:tab/>
      </w:r>
      <w:r w:rsidRPr="00C61CA4">
        <w:rPr>
          <w:lang w:val="en-US"/>
        </w:rPr>
        <w:t>Business Expenditure on Research and Development</w:t>
      </w:r>
    </w:p>
    <w:p w14:paraId="00F7C236" w14:textId="742CC203" w:rsidR="00C61CA4" w:rsidRPr="00C61CA4" w:rsidRDefault="00C61CA4" w:rsidP="00C61CA4">
      <w:pPr>
        <w:rPr>
          <w:lang w:val="en-US"/>
        </w:rPr>
      </w:pPr>
      <w:r w:rsidRPr="00C61CA4">
        <w:rPr>
          <w:lang w:val="en-US"/>
        </w:rPr>
        <w:t>BCS</w:t>
      </w:r>
      <w:r w:rsidRPr="00C61CA4">
        <w:rPr>
          <w:lang w:val="en-US"/>
        </w:rPr>
        <w:tab/>
      </w:r>
      <w:r>
        <w:rPr>
          <w:lang w:val="en-US"/>
        </w:rPr>
        <w:tab/>
      </w:r>
      <w:r>
        <w:rPr>
          <w:lang w:val="en-US"/>
        </w:rPr>
        <w:tab/>
      </w:r>
      <w:r>
        <w:rPr>
          <w:lang w:val="en-US"/>
        </w:rPr>
        <w:tab/>
      </w:r>
      <w:r w:rsidRPr="00C61CA4">
        <w:rPr>
          <w:lang w:val="en-US"/>
        </w:rPr>
        <w:t>Business Characteristics Survey</w:t>
      </w:r>
    </w:p>
    <w:p w14:paraId="41E20738" w14:textId="249F538D" w:rsidR="00C61CA4" w:rsidRPr="00C61CA4" w:rsidRDefault="00C61CA4" w:rsidP="00C61CA4">
      <w:pPr>
        <w:rPr>
          <w:lang w:val="en-US"/>
        </w:rPr>
      </w:pPr>
      <w:r w:rsidRPr="00C61CA4">
        <w:rPr>
          <w:lang w:val="en-US"/>
        </w:rPr>
        <w:t>GFCF</w:t>
      </w:r>
      <w:r w:rsidRPr="00C61CA4">
        <w:rPr>
          <w:lang w:val="en-US"/>
        </w:rPr>
        <w:tab/>
      </w:r>
      <w:r>
        <w:rPr>
          <w:lang w:val="en-US"/>
        </w:rPr>
        <w:tab/>
      </w:r>
      <w:r>
        <w:rPr>
          <w:lang w:val="en-US"/>
        </w:rPr>
        <w:tab/>
      </w:r>
      <w:r w:rsidRPr="00C61CA4">
        <w:rPr>
          <w:lang w:val="en-US"/>
        </w:rPr>
        <w:t>Gross Fixed Capital Formation</w:t>
      </w:r>
    </w:p>
    <w:p w14:paraId="0C31195C" w14:textId="0F55207E" w:rsidR="00C61CA4" w:rsidRPr="00C61CA4" w:rsidRDefault="00C61CA4" w:rsidP="00C61CA4">
      <w:pPr>
        <w:rPr>
          <w:lang w:val="en-US"/>
        </w:rPr>
      </w:pPr>
      <w:r w:rsidRPr="00C61CA4">
        <w:rPr>
          <w:lang w:val="en-US"/>
        </w:rPr>
        <w:t>GVA</w:t>
      </w:r>
      <w:r w:rsidRPr="00C61CA4">
        <w:rPr>
          <w:lang w:val="en-US"/>
        </w:rPr>
        <w:tab/>
      </w:r>
      <w:r>
        <w:rPr>
          <w:lang w:val="en-US"/>
        </w:rPr>
        <w:tab/>
      </w:r>
      <w:r>
        <w:rPr>
          <w:lang w:val="en-US"/>
        </w:rPr>
        <w:tab/>
      </w:r>
      <w:r w:rsidRPr="00C61CA4">
        <w:rPr>
          <w:lang w:val="en-US"/>
        </w:rPr>
        <w:t>Gross Value Added</w:t>
      </w:r>
    </w:p>
    <w:p w14:paraId="52A6987E" w14:textId="4FCC3433" w:rsidR="00C61CA4" w:rsidRPr="00C61CA4" w:rsidRDefault="00C61CA4" w:rsidP="00C61CA4">
      <w:pPr>
        <w:rPr>
          <w:lang w:val="en-US"/>
        </w:rPr>
      </w:pPr>
      <w:r w:rsidRPr="00C61CA4">
        <w:rPr>
          <w:lang w:val="en-US"/>
        </w:rPr>
        <w:t>MFP</w:t>
      </w:r>
      <w:r w:rsidRPr="00C61CA4">
        <w:rPr>
          <w:lang w:val="en-US"/>
        </w:rPr>
        <w:tab/>
      </w:r>
      <w:r>
        <w:rPr>
          <w:lang w:val="en-US"/>
        </w:rPr>
        <w:tab/>
      </w:r>
      <w:r>
        <w:rPr>
          <w:lang w:val="en-US"/>
        </w:rPr>
        <w:tab/>
      </w:r>
      <w:r w:rsidRPr="00C61CA4">
        <w:rPr>
          <w:lang w:val="en-US"/>
        </w:rPr>
        <w:t>Multifactor Productivity</w:t>
      </w:r>
    </w:p>
    <w:p w14:paraId="75224ED6" w14:textId="67FB6BBB" w:rsidR="00C61CA4" w:rsidRPr="00C61CA4" w:rsidRDefault="00C61CA4" w:rsidP="00C61CA4">
      <w:pPr>
        <w:rPr>
          <w:lang w:val="en-US"/>
        </w:rPr>
      </w:pPr>
      <w:r w:rsidRPr="00C61CA4">
        <w:rPr>
          <w:lang w:val="en-US"/>
        </w:rPr>
        <w:t>OECD</w:t>
      </w:r>
      <w:r w:rsidRPr="00C61CA4">
        <w:rPr>
          <w:lang w:val="en-US"/>
        </w:rPr>
        <w:tab/>
      </w:r>
      <w:r>
        <w:rPr>
          <w:lang w:val="en-US"/>
        </w:rPr>
        <w:tab/>
      </w:r>
      <w:r>
        <w:rPr>
          <w:lang w:val="en-US"/>
        </w:rPr>
        <w:tab/>
      </w:r>
      <w:r w:rsidRPr="00C61CA4">
        <w:rPr>
          <w:lang w:val="en-US"/>
        </w:rPr>
        <w:t>Organisation for Economic Co-operation and Development</w:t>
      </w:r>
    </w:p>
    <w:p w14:paraId="403756F0" w14:textId="3360D1A8" w:rsidR="00C61CA4" w:rsidRPr="00C61CA4" w:rsidRDefault="00C61CA4" w:rsidP="00C61CA4">
      <w:pPr>
        <w:rPr>
          <w:lang w:val="en-US"/>
        </w:rPr>
      </w:pPr>
      <w:r w:rsidRPr="00C61CA4">
        <w:rPr>
          <w:lang w:val="en-US"/>
        </w:rPr>
        <w:t>OCE</w:t>
      </w:r>
      <w:r w:rsidRPr="00C61CA4">
        <w:rPr>
          <w:lang w:val="en-US"/>
        </w:rPr>
        <w:tab/>
      </w:r>
      <w:r>
        <w:rPr>
          <w:lang w:val="en-US"/>
        </w:rPr>
        <w:tab/>
      </w:r>
      <w:r>
        <w:rPr>
          <w:lang w:val="en-US"/>
        </w:rPr>
        <w:tab/>
        <w:t>Office of the Chief Economist</w:t>
      </w:r>
    </w:p>
    <w:p w14:paraId="67598F83" w14:textId="5891B081" w:rsidR="00C61CA4" w:rsidRPr="00C61CA4" w:rsidRDefault="00C61CA4" w:rsidP="00C61CA4">
      <w:pPr>
        <w:rPr>
          <w:lang w:val="en-US"/>
        </w:rPr>
      </w:pPr>
      <w:r w:rsidRPr="00C61CA4">
        <w:rPr>
          <w:lang w:val="en-US"/>
        </w:rPr>
        <w:t>RDTI</w:t>
      </w:r>
      <w:r w:rsidRPr="00C61CA4">
        <w:rPr>
          <w:lang w:val="en-US"/>
        </w:rPr>
        <w:tab/>
      </w:r>
      <w:r>
        <w:rPr>
          <w:lang w:val="en-US"/>
        </w:rPr>
        <w:tab/>
      </w:r>
      <w:r>
        <w:rPr>
          <w:lang w:val="en-US"/>
        </w:rPr>
        <w:tab/>
      </w:r>
      <w:r w:rsidRPr="00C61CA4">
        <w:rPr>
          <w:lang w:val="en-US"/>
        </w:rPr>
        <w:t>Research and Development Tax Incentive</w:t>
      </w:r>
    </w:p>
    <w:p w14:paraId="71E375EB" w14:textId="682D2645" w:rsidR="00C61CA4" w:rsidRPr="00C61CA4" w:rsidRDefault="00C61CA4" w:rsidP="00C61CA4">
      <w:pPr>
        <w:rPr>
          <w:lang w:val="en-US"/>
        </w:rPr>
      </w:pPr>
      <w:r w:rsidRPr="00C61CA4">
        <w:rPr>
          <w:lang w:val="en-US"/>
        </w:rPr>
        <w:t>SME</w:t>
      </w:r>
      <w:r w:rsidRPr="00C61CA4">
        <w:rPr>
          <w:lang w:val="en-US"/>
        </w:rPr>
        <w:tab/>
      </w:r>
      <w:r>
        <w:rPr>
          <w:lang w:val="en-US"/>
        </w:rPr>
        <w:tab/>
      </w:r>
      <w:r>
        <w:rPr>
          <w:lang w:val="en-US"/>
        </w:rPr>
        <w:tab/>
      </w:r>
      <w:r w:rsidRPr="00C61CA4">
        <w:rPr>
          <w:lang w:val="en-US"/>
        </w:rPr>
        <w:t>Small to Medium Enterprise</w:t>
      </w:r>
    </w:p>
    <w:p w14:paraId="533B6AF3" w14:textId="306C9891" w:rsidR="00C61CA4" w:rsidRPr="00F70A33" w:rsidRDefault="00C61CA4" w:rsidP="00F70A33">
      <w:pPr>
        <w:rPr>
          <w:lang w:val="en-US"/>
        </w:rPr>
      </w:pPr>
    </w:p>
    <w:sectPr w:rsidR="00C61CA4" w:rsidRPr="00F70A33" w:rsidSect="00F73B5A">
      <w:headerReference w:type="even" r:id="rId59"/>
      <w:headerReference w:type="default" r:id="rId60"/>
      <w:footerReference w:type="even" r:id="rId61"/>
      <w:footerReference w:type="default" r:id="rId62"/>
      <w:headerReference w:type="first" r:id="rId63"/>
      <w:footerReference w:type="first" r:id="rId64"/>
      <w:endnotePr>
        <w:numFmt w:val="decimal"/>
      </w:endnotePr>
      <w:pgSz w:w="11907" w:h="16839" w:code="9"/>
      <w:pgMar w:top="1418" w:right="1440" w:bottom="1134" w:left="1440" w:header="1179"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1F36F" w14:textId="77777777" w:rsidR="00F829DB" w:rsidRDefault="00F829DB" w:rsidP="00991ABF">
      <w:r>
        <w:separator/>
      </w:r>
    </w:p>
    <w:p w14:paraId="6724CC74" w14:textId="77777777" w:rsidR="00F829DB" w:rsidRDefault="00F829DB"/>
  </w:endnote>
  <w:endnote w:type="continuationSeparator" w:id="0">
    <w:p w14:paraId="4E3BF52A" w14:textId="77777777" w:rsidR="00F829DB" w:rsidRDefault="00F829DB" w:rsidP="00991ABF">
      <w:r>
        <w:continuationSeparator/>
      </w:r>
    </w:p>
    <w:p w14:paraId="6D391E74" w14:textId="77777777" w:rsidR="00F829DB" w:rsidRDefault="00F829DB"/>
  </w:endnote>
  <w:endnote w:type="continuationNotice" w:id="1">
    <w:p w14:paraId="426CBAA8" w14:textId="77777777" w:rsidR="00F829DB" w:rsidRDefault="00F829DB">
      <w:pPr>
        <w:spacing w:before="0" w:after="0" w:line="240" w:lineRule="auto"/>
      </w:pPr>
    </w:p>
    <w:p w14:paraId="60418D68" w14:textId="77777777" w:rsidR="00F829DB" w:rsidRDefault="00F82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CF19D" w14:textId="1F897FCF" w:rsidR="00F829DB" w:rsidRPr="00D9783B" w:rsidRDefault="00F829DB" w:rsidP="00D9783B">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52672"/>
      <w:docPartObj>
        <w:docPartGallery w:val="Page Numbers (Bottom of Page)"/>
        <w:docPartUnique/>
      </w:docPartObj>
    </w:sdtPr>
    <w:sdtEndPr>
      <w:rPr>
        <w:noProof/>
      </w:rPr>
    </w:sdtEndPr>
    <w:sdtContent>
      <w:p w14:paraId="7640A9A9" w14:textId="77777777" w:rsidR="00F829DB" w:rsidRDefault="00F829DB" w:rsidP="00991ABF">
        <w:pPr>
          <w:pStyle w:val="Footer"/>
        </w:pPr>
        <w:r w:rsidRPr="004620B7">
          <w:rPr>
            <w:noProof/>
            <w:lang w:eastAsia="en-AU"/>
          </w:rPr>
          <mc:AlternateContent>
            <mc:Choice Requires="wps">
              <w:drawing>
                <wp:anchor distT="0" distB="0" distL="114300" distR="114300" simplePos="0" relativeHeight="251688960" behindDoc="1" locked="0" layoutInCell="1" allowOverlap="1" wp14:anchorId="52595505" wp14:editId="33BDCC3E">
                  <wp:simplePos x="0" y="0"/>
                  <wp:positionH relativeFrom="column">
                    <wp:posOffset>-909320</wp:posOffset>
                  </wp:positionH>
                  <wp:positionV relativeFrom="paragraph">
                    <wp:posOffset>-139700</wp:posOffset>
                  </wp:positionV>
                  <wp:extent cx="7573010" cy="597535"/>
                  <wp:effectExtent l="0" t="0" r="27940" b="12065"/>
                  <wp:wrapNone/>
                  <wp:docPr id="10" name="Rectangle 10" descr="Stock images"/>
                  <wp:cNvGraphicFramePr/>
                  <a:graphic xmlns:a="http://schemas.openxmlformats.org/drawingml/2006/main">
                    <a:graphicData uri="http://schemas.microsoft.com/office/word/2010/wordprocessingShape">
                      <wps:wsp>
                        <wps:cNvSpPr/>
                        <wps:spPr>
                          <a:xfrm>
                            <a:off x="0" y="0"/>
                            <a:ext cx="7573010" cy="597535"/>
                          </a:xfrm>
                          <a:prstGeom prst="rect">
                            <a:avLst/>
                          </a:prstGeom>
                          <a:solidFill>
                            <a:srgbClr val="40ADB2"/>
                          </a:solidFill>
                          <a:ln>
                            <a:solidFill>
                              <a:srgbClr val="0EB6B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0EF4C" w14:textId="77777777" w:rsidR="00F829DB" w:rsidRDefault="00F829DB" w:rsidP="00991A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5505" id="Rectangle 10" o:spid="_x0000_s1026" alt="Stock images" style="position:absolute;left:0;text-align:left;margin-left:-71.6pt;margin-top:-11pt;width:596.3pt;height:47.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" fillcolor="#40adb2" strokecolor="#0eb6b6" strokeweight="1pt">
                  <v:textbox>
                    <w:txbxContent>
                      <w:p w14:paraId="6360EF4C" w14:textId="77777777" w:rsidR="00F332C4" w:rsidRDefault="00F332C4" w:rsidP="00991ABF"/>
                    </w:txbxContent>
                  </v:textbox>
                </v:rect>
              </w:pict>
            </mc:Fallback>
          </mc:AlternateContent>
        </w:r>
        <w:r w:rsidRPr="004620B7">
          <w:fldChar w:fldCharType="begin"/>
        </w:r>
        <w:r w:rsidRPr="004620B7">
          <w:instrText xml:space="preserve"> PAGE   \* MERGEFORMAT </w:instrText>
        </w:r>
        <w:r w:rsidRPr="004620B7">
          <w:fldChar w:fldCharType="separate"/>
        </w:r>
        <w:r>
          <w:rPr>
            <w:noProof/>
          </w:rPr>
          <w:t>10</w:t>
        </w:r>
        <w:r w:rsidRPr="004620B7">
          <w:rPr>
            <w:noProof/>
          </w:rPr>
          <w:fldChar w:fldCharType="end"/>
        </w:r>
      </w:p>
    </w:sdtContent>
  </w:sdt>
  <w:p w14:paraId="29B9A771" w14:textId="77777777" w:rsidR="00F829DB" w:rsidRDefault="00F829DB" w:rsidP="00991ABF">
    <w:pPr>
      <w:pStyle w:val="Footer"/>
    </w:pPr>
  </w:p>
  <w:p w14:paraId="4054A880" w14:textId="77777777" w:rsidR="00F829DB" w:rsidRDefault="00F829D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141"/>
      <w:docPartObj>
        <w:docPartGallery w:val="Page Numbers (Bottom of Page)"/>
        <w:docPartUnique/>
      </w:docPartObj>
    </w:sdtPr>
    <w:sdtEndPr>
      <w:rPr>
        <w:noProof/>
      </w:rPr>
    </w:sdtEndPr>
    <w:sdtContent>
      <w:p w14:paraId="355D9BE1" w14:textId="0493389B" w:rsidR="00F829DB" w:rsidRDefault="00F829DB" w:rsidP="00F73B5A">
        <w:pPr>
          <w:jc w:val="right"/>
        </w:pPr>
        <w:r w:rsidRPr="00B44074">
          <w:rPr>
            <w:rFonts w:ascii="Garamond" w:hAnsi="Garamond"/>
            <w:noProof/>
            <w:color w:val="222222"/>
            <w:position w:val="-8"/>
            <w:sz w:val="21"/>
            <w:szCs w:val="21"/>
            <w:shd w:val="clear" w:color="auto" w:fill="FFFFFF"/>
            <w:lang w:eastAsia="en-AU"/>
          </w:rPr>
          <w:drawing>
            <wp:inline distT="0" distB="0" distL="0" distR="0" wp14:anchorId="17304B75" wp14:editId="32CB7FDA">
              <wp:extent cx="190800" cy="169200"/>
              <wp:effectExtent l="0" t="0" r="0" b="2540"/>
              <wp:docPr id="450" name="Picture 4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mall.jpg"/>
                      <pic:cNvPicPr/>
                    </pic:nvPicPr>
                    <pic:blipFill>
                      <a:blip r:embed="rId1">
                        <a:extLst>
                          <a:ext uri="{28A0092B-C50C-407E-A947-70E740481C1C}">
                            <a14:useLocalDpi xmlns:a14="http://schemas.microsoft.com/office/drawing/2010/main" val="0"/>
                          </a:ext>
                        </a:extLst>
                      </a:blip>
                      <a:stretch>
                        <a:fillRect/>
                      </a:stretch>
                    </pic:blipFill>
                    <pic:spPr>
                      <a:xfrm>
                        <a:off x="0" y="0"/>
                        <a:ext cx="190800" cy="169200"/>
                      </a:xfrm>
                      <a:prstGeom prst="rect">
                        <a:avLst/>
                      </a:prstGeom>
                    </pic:spPr>
                  </pic:pic>
                </a:graphicData>
              </a:graphic>
            </wp:inline>
          </w:drawing>
        </w:r>
        <w:r>
          <w:rPr>
            <w:rStyle w:val="polytonic"/>
            <w:rFonts w:ascii="Garamond" w:hAnsi="Garamond"/>
            <w:color w:val="222222"/>
            <w:sz w:val="21"/>
            <w:szCs w:val="21"/>
            <w:shd w:val="clear" w:color="auto" w:fill="FFFFFF"/>
          </w:rPr>
          <w:t xml:space="preserve">| </w:t>
        </w:r>
        <w:r w:rsidRPr="00F2724C">
          <w:fldChar w:fldCharType="begin"/>
        </w:r>
        <w:r w:rsidRPr="00F2724C">
          <w:instrText xml:space="preserve"> PAGE   \* MERGEFORMAT </w:instrText>
        </w:r>
        <w:r w:rsidRPr="00F2724C">
          <w:fldChar w:fldCharType="separate"/>
        </w:r>
        <w:r w:rsidR="00827C0F">
          <w:rPr>
            <w:noProof/>
          </w:rPr>
          <w:t>42</w:t>
        </w:r>
        <w:r w:rsidRPr="00F2724C">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83DA9" w14:textId="77777777" w:rsidR="00F829DB" w:rsidRDefault="00F829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37A2A" w14:textId="77777777" w:rsidR="00F829DB" w:rsidRDefault="00F829DB" w:rsidP="00991ABF">
      <w:bookmarkStart w:id="0" w:name="_Hlk483397431"/>
      <w:bookmarkEnd w:id="0"/>
      <w:r>
        <w:separator/>
      </w:r>
    </w:p>
  </w:footnote>
  <w:footnote w:type="continuationSeparator" w:id="0">
    <w:p w14:paraId="707321ED" w14:textId="77777777" w:rsidR="00F829DB" w:rsidRDefault="00F829DB" w:rsidP="00991ABF">
      <w:r>
        <w:continuationSeparator/>
      </w:r>
    </w:p>
    <w:p w14:paraId="0BE968F4" w14:textId="77777777" w:rsidR="00F829DB" w:rsidRDefault="00F829DB"/>
  </w:footnote>
  <w:footnote w:type="continuationNotice" w:id="1">
    <w:p w14:paraId="0EB53C9C" w14:textId="77777777" w:rsidR="00F829DB" w:rsidRDefault="00F829DB">
      <w:pPr>
        <w:spacing w:before="0" w:after="0" w:line="240" w:lineRule="auto"/>
      </w:pPr>
    </w:p>
    <w:p w14:paraId="59E2EBFC" w14:textId="77777777" w:rsidR="00F829DB" w:rsidRDefault="00F829DB"/>
  </w:footnote>
  <w:footnote w:id="2">
    <w:p w14:paraId="273D015E" w14:textId="7A963FC1" w:rsidR="00F829DB" w:rsidRPr="005D249D" w:rsidRDefault="00F829DB">
      <w:pPr>
        <w:pStyle w:val="FootnoteText"/>
        <w:rPr>
          <w:lang w:val="en-AU"/>
        </w:rPr>
      </w:pPr>
      <w:r>
        <w:rPr>
          <w:rStyle w:val="FootnoteReference"/>
        </w:rPr>
        <w:footnoteRef/>
      </w:r>
      <w:r>
        <w:t xml:space="preserve"> </w:t>
      </w:r>
      <w:r>
        <w:tab/>
      </w:r>
      <w:r>
        <w:rPr>
          <w:lang w:val="en-AU"/>
        </w:rPr>
        <w:t xml:space="preserve">See </w:t>
      </w:r>
      <w:r w:rsidRPr="005D249D">
        <w:rPr>
          <w:lang w:val="en-AU"/>
        </w:rPr>
        <w:fldChar w:fldCharType="begin"/>
      </w:r>
      <w:r w:rsidRPr="005D249D">
        <w:rPr>
          <w:lang w:val="en-AU"/>
        </w:rPr>
        <w:instrText xml:space="preserve"> REF _Ref12529894 \h </w:instrText>
      </w:r>
      <w:r w:rsidRPr="005D249D">
        <w:rPr>
          <w:lang w:val="en-AU"/>
        </w:rPr>
      </w:r>
      <w:r w:rsidRPr="005D249D">
        <w:rPr>
          <w:lang w:val="en-AU"/>
        </w:rPr>
        <w:fldChar w:fldCharType="separate"/>
      </w:r>
      <w:r w:rsidR="005407CC" w:rsidRPr="002F7695">
        <w:t xml:space="preserve">Exhibit </w:t>
      </w:r>
      <w:r w:rsidR="005407CC">
        <w:rPr>
          <w:noProof/>
        </w:rPr>
        <w:t>2</w:t>
      </w:r>
      <w:r w:rsidRPr="005D249D">
        <w:rPr>
          <w:lang w:val="en-AU"/>
        </w:rPr>
        <w:fldChar w:fldCharType="end"/>
      </w:r>
      <w:r>
        <w:rPr>
          <w:lang w:val="en-AU"/>
        </w:rPr>
        <w:t xml:space="preserve"> and its sources. </w:t>
      </w:r>
    </w:p>
  </w:footnote>
  <w:footnote w:id="3">
    <w:p w14:paraId="74B5DED3" w14:textId="525BA3AC" w:rsidR="00F829DB" w:rsidRPr="006D61CF" w:rsidRDefault="00F829DB" w:rsidP="0048056A">
      <w:pPr>
        <w:pStyle w:val="FootnoteText"/>
        <w:ind w:left="0" w:firstLine="0"/>
        <w:rPr>
          <w:lang w:val="en-AU"/>
        </w:rPr>
      </w:pPr>
      <w:r>
        <w:rPr>
          <w:rStyle w:val="FootnoteReference"/>
        </w:rPr>
        <w:footnoteRef/>
      </w:r>
      <w:r>
        <w:t xml:space="preserve"> </w:t>
      </w:r>
      <w:r>
        <w:tab/>
      </w:r>
      <w:r>
        <w:rPr>
          <w:lang w:val="en-AU"/>
        </w:rPr>
        <w:t xml:space="preserve">OECD (2015), </w:t>
      </w:r>
      <w:r w:rsidRPr="009E5058">
        <w:rPr>
          <w:i/>
          <w:iCs/>
          <w:lang w:val="en-AU"/>
        </w:rPr>
        <w:t>Frascati Manual 2015</w:t>
      </w:r>
      <w:r>
        <w:rPr>
          <w:lang w:val="en-AU"/>
        </w:rPr>
        <w:t>, p44.</w:t>
      </w:r>
    </w:p>
  </w:footnote>
  <w:footnote w:id="4">
    <w:p w14:paraId="23D3C1F3" w14:textId="3C1448C7" w:rsidR="00F829DB" w:rsidRPr="00DD450B" w:rsidRDefault="00F829DB" w:rsidP="005E7EC5">
      <w:pPr>
        <w:pStyle w:val="FootnoteText"/>
        <w:rPr>
          <w:lang w:val="en-AU"/>
        </w:rPr>
      </w:pPr>
      <w:r>
        <w:rPr>
          <w:rStyle w:val="FootnoteReference"/>
        </w:rPr>
        <w:footnoteRef/>
      </w:r>
      <w:r>
        <w:t xml:space="preserve">  </w:t>
      </w:r>
      <w:r>
        <w:tab/>
      </w:r>
      <w:r>
        <w:rPr>
          <w:lang w:val="en-AU"/>
        </w:rPr>
        <w:t xml:space="preserve">ABS (2019), </w:t>
      </w:r>
      <w:r w:rsidRPr="00515F15">
        <w:rPr>
          <w:i/>
          <w:iCs/>
          <w:lang w:val="en-AU"/>
        </w:rPr>
        <w:t>8104.0 – Research and Experimental Development, Businesses, Australia, 2017-18</w:t>
      </w:r>
      <w:r w:rsidRPr="00E4773B">
        <w:rPr>
          <w:lang w:val="en-AU"/>
        </w:rPr>
        <w:t xml:space="preserve"> –</w:t>
      </w:r>
      <w:r>
        <w:rPr>
          <w:lang w:val="en-AU"/>
        </w:rPr>
        <w:t xml:space="preserve"> Explanatory Notes; Office of the Chief Economist (2019),  ‘</w:t>
      </w:r>
      <w:r w:rsidRPr="00E246C1">
        <w:rPr>
          <w:lang w:val="en-AU"/>
        </w:rPr>
        <w:t>Comparison of R&amp;D Expenditure from BERD, RDTI and BIT data sources</w:t>
      </w:r>
      <w:r>
        <w:rPr>
          <w:lang w:val="en-AU"/>
        </w:rPr>
        <w:t>’</w:t>
      </w:r>
      <w:r w:rsidRPr="009C2FE7">
        <w:rPr>
          <w:lang w:val="en-AU"/>
        </w:rPr>
        <w:t>.</w:t>
      </w:r>
      <w:r>
        <w:rPr>
          <w:lang w:val="en-AU"/>
        </w:rPr>
        <w:t xml:space="preserve"> </w:t>
      </w:r>
    </w:p>
  </w:footnote>
  <w:footnote w:id="5">
    <w:p w14:paraId="1F3851E2" w14:textId="4FE6A001" w:rsidR="00F829DB" w:rsidRPr="00F70A33" w:rsidRDefault="00F829DB" w:rsidP="009214C0">
      <w:pPr>
        <w:pStyle w:val="FootnoteText"/>
        <w:rPr>
          <w:lang w:val="en-AU"/>
        </w:rPr>
      </w:pPr>
      <w:r>
        <w:rPr>
          <w:rStyle w:val="FootnoteReference"/>
        </w:rPr>
        <w:footnoteRef/>
      </w:r>
      <w:r>
        <w:t xml:space="preserve"> </w:t>
      </w:r>
      <w:r>
        <w:tab/>
      </w:r>
      <w:r>
        <w:rPr>
          <w:lang w:val="en-AU"/>
        </w:rPr>
        <w:t xml:space="preserve">OECD (2018), </w:t>
      </w:r>
      <w:r w:rsidRPr="009E5058">
        <w:rPr>
          <w:i/>
          <w:iCs/>
          <w:lang w:val="en-AU"/>
        </w:rPr>
        <w:t>Oslo Manual 2018: Guidelines for Collecting, Reporting and Using Data on Innovation,</w:t>
      </w:r>
      <w:r w:rsidRPr="009214C0">
        <w:rPr>
          <w:lang w:val="en-AU"/>
        </w:rPr>
        <w:t xml:space="preserve"> 4th Edition</w:t>
      </w:r>
      <w:r>
        <w:rPr>
          <w:lang w:val="en-AU"/>
        </w:rPr>
        <w:t>.</w:t>
      </w:r>
      <w:r w:rsidRPr="00A32CEF">
        <w:t xml:space="preserve"> </w:t>
      </w:r>
      <w:r w:rsidRPr="00B44CC4">
        <w:t>Th</w:t>
      </w:r>
      <w:r>
        <w:t>is definition includes innovations developed by a firm, as well as those developed externally and introduced by the firm. The definition therefore captures the diffusion of innovations from firm to firm throughout the economy.</w:t>
      </w:r>
    </w:p>
  </w:footnote>
  <w:footnote w:id="6">
    <w:p w14:paraId="70C86032" w14:textId="2A71C2FD" w:rsidR="00F829DB" w:rsidRPr="002C5D29" w:rsidRDefault="00F829DB">
      <w:pPr>
        <w:pStyle w:val="FootnoteText"/>
        <w:rPr>
          <w:lang w:val="en-AU"/>
        </w:rPr>
      </w:pPr>
      <w:r>
        <w:rPr>
          <w:rStyle w:val="FootnoteReference"/>
        </w:rPr>
        <w:footnoteRef/>
      </w:r>
      <w:r>
        <w:t xml:space="preserve"> </w:t>
      </w:r>
      <w:r>
        <w:tab/>
        <w:t>Th</w:t>
      </w:r>
      <w:r>
        <w:rPr>
          <w:lang w:val="en-AU"/>
        </w:rPr>
        <w:t xml:space="preserve">e most recent issue of ABS </w:t>
      </w:r>
      <w:r w:rsidRPr="00515F15">
        <w:rPr>
          <w:i/>
          <w:iCs/>
          <w:lang w:val="en-AU"/>
        </w:rPr>
        <w:t>8158</w:t>
      </w:r>
      <w:r>
        <w:rPr>
          <w:lang w:val="en-AU"/>
        </w:rPr>
        <w:t xml:space="preserve"> was released prior to the most recent Oslo Manual, and uses a definition of innovation that breaks out business process innovation into several parts: “</w:t>
      </w:r>
      <w:r w:rsidRPr="002C5D29">
        <w:rPr>
          <w:lang w:val="en-AU"/>
        </w:rPr>
        <w:t>An innovation is the introduction of a new or significantly improved good or service; operational process; organisational/managerial process; or marketing method.</w:t>
      </w:r>
      <w:r>
        <w:rPr>
          <w:lang w:val="en-AU"/>
        </w:rPr>
        <w:t>”</w:t>
      </w:r>
    </w:p>
  </w:footnote>
  <w:footnote w:id="7">
    <w:p w14:paraId="7D25053F" w14:textId="28D38547" w:rsidR="00F829DB" w:rsidRPr="00DD450B" w:rsidRDefault="00F829DB" w:rsidP="005E7EC5">
      <w:pPr>
        <w:pStyle w:val="FootnoteText"/>
        <w:rPr>
          <w:lang w:val="en-AU"/>
        </w:rPr>
      </w:pPr>
      <w:r>
        <w:rPr>
          <w:rStyle w:val="FootnoteReference"/>
        </w:rPr>
        <w:footnoteRef/>
      </w:r>
      <w:r>
        <w:t xml:space="preserve"> </w:t>
      </w:r>
      <w:r>
        <w:tab/>
      </w:r>
      <w:r>
        <w:rPr>
          <w:lang w:val="en-AU"/>
        </w:rPr>
        <w:t xml:space="preserve">ABS (2019), </w:t>
      </w:r>
      <w:r w:rsidRPr="00515F15">
        <w:rPr>
          <w:i/>
          <w:iCs/>
          <w:lang w:val="en-AU"/>
        </w:rPr>
        <w:t>8158.0 Innovation in Australian businesses</w:t>
      </w:r>
      <w:r>
        <w:rPr>
          <w:lang w:val="en-AU"/>
        </w:rPr>
        <w:t xml:space="preserve">, 2016-17 Explanatory Notes. </w:t>
      </w:r>
    </w:p>
  </w:footnote>
  <w:footnote w:id="8">
    <w:p w14:paraId="37DB1F28" w14:textId="55ACAF16" w:rsidR="00F829DB" w:rsidRPr="00253E15" w:rsidRDefault="00F829DB">
      <w:pPr>
        <w:pStyle w:val="FootnoteText"/>
        <w:rPr>
          <w:lang w:val="en-AU"/>
        </w:rPr>
      </w:pPr>
      <w:r>
        <w:rPr>
          <w:rStyle w:val="FootnoteReference"/>
        </w:rPr>
        <w:footnoteRef/>
      </w:r>
      <w:r>
        <w:t xml:space="preserve"> </w:t>
      </w:r>
      <w:r>
        <w:tab/>
        <w:t>For a review of</w:t>
      </w:r>
      <w:r w:rsidRPr="00B962DF">
        <w:t xml:space="preserve"> approaches to measuring innovation, </w:t>
      </w:r>
      <w:r>
        <w:t xml:space="preserve">see </w:t>
      </w:r>
      <w:r w:rsidRPr="00B962DF">
        <w:t xml:space="preserve">Rogers, M </w:t>
      </w:r>
      <w:r>
        <w:t>(</w:t>
      </w:r>
      <w:r w:rsidRPr="00B962DF">
        <w:t>1998</w:t>
      </w:r>
      <w:r>
        <w:t>)</w:t>
      </w:r>
      <w:r w:rsidRPr="00B962DF">
        <w:t>, ‘The definition and measurement of innovation’, Melbourne Institute Working Paper no. 10/98, Melbourne Institute of Applied Economic and Social Research</w:t>
      </w:r>
      <w:r>
        <w:t>.</w:t>
      </w:r>
    </w:p>
  </w:footnote>
  <w:footnote w:id="9">
    <w:p w14:paraId="4E6504C8" w14:textId="5C381B47" w:rsidR="00F829DB" w:rsidRPr="00F70A33" w:rsidRDefault="00F829DB" w:rsidP="00D26BF4">
      <w:pPr>
        <w:pStyle w:val="FootnoteText"/>
        <w:rPr>
          <w:lang w:val="en-AU"/>
        </w:rPr>
      </w:pPr>
      <w:r>
        <w:rPr>
          <w:rStyle w:val="FootnoteReference"/>
        </w:rPr>
        <w:footnoteRef/>
      </w:r>
      <w:r>
        <w:t xml:space="preserve"> </w:t>
      </w:r>
      <w:r>
        <w:tab/>
      </w:r>
      <w:r>
        <w:rPr>
          <w:lang w:val="en-AU"/>
        </w:rPr>
        <w:t xml:space="preserve">Surveys of innovation based on the Oslo Manual, such as ABS 8158, do collect information about expenditures on R&amp;D. But estimates of R&amp;D from such surveys may be less reliable than statistics dedicated to BERD. For example, in collecting data for ABS 8158, </w:t>
      </w:r>
      <w:r w:rsidRPr="00E246C1">
        <w:t>“</w:t>
      </w:r>
      <w:bookmarkStart w:id="20" w:name="_Hlk14689746"/>
      <w:r w:rsidRPr="00E246C1">
        <w:t>a detailed definition of Research and Experimental Development was not provided. No interpretation checks were made</w:t>
      </w:r>
      <w:bookmarkEnd w:id="20"/>
      <w:r w:rsidRPr="00E246C1">
        <w:t>.” In addition, the sample coverage of firms that undertake R&amp;D in ABS 8158 may not be as comprehensive as that of ABS 8104.</w:t>
      </w:r>
      <w:r>
        <w:rPr>
          <w:color w:val="333333"/>
          <w:shd w:val="clear" w:color="auto" w:fill="FFFFFF"/>
        </w:rPr>
        <w:t xml:space="preserve">  </w:t>
      </w:r>
    </w:p>
  </w:footnote>
  <w:footnote w:id="10">
    <w:p w14:paraId="1A92FA94" w14:textId="4A401760" w:rsidR="00F829DB" w:rsidRPr="00AD0C9E" w:rsidRDefault="00F829DB" w:rsidP="00936D54">
      <w:pPr>
        <w:pStyle w:val="FootnoteText"/>
        <w:rPr>
          <w:b/>
          <w:bCs/>
          <w:lang w:val="en-AU"/>
        </w:rPr>
      </w:pPr>
      <w:r w:rsidRPr="00D37A50">
        <w:rPr>
          <w:rStyle w:val="FootnoteReference"/>
        </w:rPr>
        <w:footnoteRef/>
      </w:r>
      <w:r w:rsidRPr="00D37A50">
        <w:t xml:space="preserve"> </w:t>
      </w:r>
      <w:bookmarkStart w:id="21" w:name="_Hlk14698492"/>
      <w:r>
        <w:t xml:space="preserve"> </w:t>
      </w:r>
      <w:r>
        <w:tab/>
        <w:t xml:space="preserve">Productivity Commission (2009), </w:t>
      </w:r>
      <w:r>
        <w:rPr>
          <w:i/>
          <w:iCs/>
        </w:rPr>
        <w:t>Investments in Intangible Assets and Australia’s Productivity G</w:t>
      </w:r>
      <w:r w:rsidRPr="009C2FE7">
        <w:rPr>
          <w:i/>
          <w:iCs/>
        </w:rPr>
        <w:t>rowth</w:t>
      </w:r>
      <w:r>
        <w:t xml:space="preserve">; </w:t>
      </w:r>
      <w:r w:rsidRPr="00D37A50">
        <w:t xml:space="preserve">Elnasri </w:t>
      </w:r>
      <w:r>
        <w:t xml:space="preserve">A, </w:t>
      </w:r>
      <w:r w:rsidRPr="00D37A50">
        <w:t>Fox</w:t>
      </w:r>
      <w:r>
        <w:t xml:space="preserve"> K (2017)</w:t>
      </w:r>
      <w:r w:rsidRPr="00D37A50">
        <w:t xml:space="preserve">, </w:t>
      </w:r>
      <w:r>
        <w:t>‘</w:t>
      </w:r>
      <w:r w:rsidRPr="00D37A50">
        <w:t>The contribution of research and innovation to productivity</w:t>
      </w:r>
      <w:r>
        <w:t xml:space="preserve">’; </w:t>
      </w:r>
      <w:r w:rsidRPr="00D37A50">
        <w:rPr>
          <w:lang w:val="en-AU"/>
        </w:rPr>
        <w:t>UK Office for National Statistics</w:t>
      </w:r>
      <w:r>
        <w:rPr>
          <w:lang w:val="en-AU"/>
        </w:rPr>
        <w:t xml:space="preserve"> (2019),</w:t>
      </w:r>
      <w:r w:rsidRPr="00D37A50">
        <w:rPr>
          <w:lang w:val="en-AU"/>
        </w:rPr>
        <w:t xml:space="preserve"> </w:t>
      </w:r>
      <w:r w:rsidRPr="00D37A50">
        <w:rPr>
          <w:i/>
          <w:iCs/>
          <w:lang w:val="en-AU"/>
        </w:rPr>
        <w:t>Developing experimental estimates of investment in intangible assets in the UK: 2016</w:t>
      </w:r>
      <w:bookmarkEnd w:id="21"/>
      <w:r w:rsidRPr="00D37A50">
        <w:rPr>
          <w:lang w:val="en-AU"/>
        </w:rPr>
        <w:t xml:space="preserve"> </w:t>
      </w:r>
    </w:p>
  </w:footnote>
  <w:footnote w:id="11">
    <w:p w14:paraId="1114EE4A" w14:textId="14E238AC" w:rsidR="00F829DB" w:rsidRPr="00A72038" w:rsidRDefault="00F829DB" w:rsidP="004E343F">
      <w:pPr>
        <w:pStyle w:val="FootnoteText"/>
        <w:rPr>
          <w:lang w:val="en-AU"/>
        </w:rPr>
      </w:pPr>
      <w:r>
        <w:rPr>
          <w:rStyle w:val="FootnoteReference"/>
        </w:rPr>
        <w:footnoteRef/>
      </w:r>
      <w:r>
        <w:t xml:space="preserve"> The $32-36 billion range reflects uncertainty about firm-level investment in the broader measure of innovation, in part because firms </w:t>
      </w:r>
      <w:r>
        <w:rPr>
          <w:lang w:val="en-AU"/>
        </w:rPr>
        <w:t xml:space="preserve">report expenditure in ranges to the ABS (ABS </w:t>
      </w:r>
      <w:r w:rsidRPr="00515F15">
        <w:rPr>
          <w:i/>
          <w:iCs/>
          <w:lang w:val="en-AU"/>
        </w:rPr>
        <w:t>8158</w:t>
      </w:r>
      <w:r>
        <w:rPr>
          <w:lang w:val="en-AU"/>
        </w:rPr>
        <w:t>). Estimates of BERD in ABS 8104 are free from this source of uncertainty.</w:t>
      </w:r>
    </w:p>
  </w:footnote>
  <w:footnote w:id="12">
    <w:p w14:paraId="25886E74" w14:textId="17CDA760" w:rsidR="00F829DB" w:rsidRPr="004B76A9" w:rsidRDefault="00F829DB">
      <w:pPr>
        <w:pStyle w:val="FootnoteText"/>
        <w:rPr>
          <w:lang w:val="en-AU"/>
        </w:rPr>
      </w:pPr>
      <w:r>
        <w:rPr>
          <w:rStyle w:val="FootnoteReference"/>
        </w:rPr>
        <w:footnoteRef/>
      </w:r>
      <w:r>
        <w:t xml:space="preserve"> The ABS publishes BERD statistics every two years. </w:t>
      </w:r>
      <w:r w:rsidRPr="0007672A">
        <w:t xml:space="preserve">Australian </w:t>
      </w:r>
      <w:r w:rsidRPr="00E4773B">
        <w:t xml:space="preserve">businesses invested $16.7 billion in R&amp;D in </w:t>
      </w:r>
      <w:r>
        <w:t xml:space="preserve">2015-16 (1.00 </w:t>
      </w:r>
      <w:r w:rsidRPr="00E4773B">
        <w:t xml:space="preserve">per cent </w:t>
      </w:r>
      <w:r>
        <w:t xml:space="preserve">of </w:t>
      </w:r>
      <w:r w:rsidRPr="00E4773B">
        <w:t>GDP</w:t>
      </w:r>
      <w:r>
        <w:t>) a</w:t>
      </w:r>
      <w:r w:rsidRPr="00E4773B">
        <w:t xml:space="preserve">nd $17.4 billion </w:t>
      </w:r>
      <w:r>
        <w:t>in 2017-18 (0.</w:t>
      </w:r>
      <w:r w:rsidRPr="00E4773B">
        <w:t>9</w:t>
      </w:r>
      <w:r>
        <w:t>4</w:t>
      </w:r>
      <w:r w:rsidRPr="00E4773B">
        <w:t xml:space="preserve"> per cent </w:t>
      </w:r>
      <w:r>
        <w:t xml:space="preserve">of </w:t>
      </w:r>
      <w:r w:rsidRPr="00E4773B">
        <w:t>GDP</w:t>
      </w:r>
      <w:r>
        <w:t>)</w:t>
      </w:r>
      <w:r w:rsidRPr="00E4773B">
        <w:t>.</w:t>
      </w:r>
    </w:p>
  </w:footnote>
  <w:footnote w:id="13">
    <w:p w14:paraId="1C855FF1" w14:textId="5F74C592" w:rsidR="00F829DB" w:rsidRPr="00D70544" w:rsidRDefault="00F829DB" w:rsidP="00D508AF">
      <w:pPr>
        <w:pStyle w:val="FootnoteText"/>
        <w:rPr>
          <w:lang w:val="en-AU"/>
        </w:rPr>
      </w:pPr>
      <w:r>
        <w:rPr>
          <w:rStyle w:val="FootnoteReference"/>
        </w:rPr>
        <w:footnoteRef/>
      </w:r>
      <w:r>
        <w:rPr>
          <w:lang w:val="en-AU"/>
        </w:rPr>
        <w:t xml:space="preserve"> Department of Industry, Innovation and Science (2017), </w:t>
      </w:r>
      <w:r w:rsidRPr="00515F15">
        <w:rPr>
          <w:i/>
          <w:iCs/>
          <w:lang w:val="en-AU"/>
        </w:rPr>
        <w:t>Australia 2030: Prosperity through Innovation</w:t>
      </w:r>
      <w:r>
        <w:rPr>
          <w:i/>
          <w:iCs/>
          <w:lang w:val="en-AU"/>
        </w:rPr>
        <w:t xml:space="preserve"> </w:t>
      </w:r>
      <w:r>
        <w:rPr>
          <w:lang w:val="en-AU"/>
        </w:rPr>
        <w:t xml:space="preserve">and </w:t>
      </w:r>
      <w:r w:rsidRPr="00515F15">
        <w:rPr>
          <w:i/>
          <w:iCs/>
          <w:lang w:val="en-AU"/>
        </w:rPr>
        <w:t>Australian Innovation System Report 2017</w:t>
      </w:r>
      <w:r>
        <w:rPr>
          <w:lang w:val="en-AU"/>
        </w:rPr>
        <w:t>.</w:t>
      </w:r>
    </w:p>
  </w:footnote>
  <w:footnote w:id="14">
    <w:p w14:paraId="1C8135A8" w14:textId="479ADE20" w:rsidR="00F829DB" w:rsidRPr="00A62837" w:rsidRDefault="00F829DB">
      <w:pPr>
        <w:pStyle w:val="FootnoteText"/>
        <w:rPr>
          <w:lang w:val="en-AU"/>
        </w:rPr>
      </w:pPr>
      <w:r>
        <w:rPr>
          <w:rStyle w:val="FootnoteReference"/>
        </w:rPr>
        <w:footnoteRef/>
      </w:r>
      <w:r>
        <w:t xml:space="preserve"> BERD tends to be a little lower during periods when growth is slower: </w:t>
      </w:r>
      <w:r>
        <w:rPr>
          <w:lang w:val="en-AU"/>
        </w:rPr>
        <w:t>the elasticity of BERD / GDP to GDP growth is about 1.2 for OECD economies since 2000 (AlphaBeta analysis of data from stats.oecd.org). Australia’s real GDP grew about 1 percentage poin</w:t>
      </w:r>
      <w:r w:rsidRPr="00747620">
        <w:rPr>
          <w:lang w:val="en-AU"/>
        </w:rPr>
        <w:t>t more slowly in the last few years than it did in the years around 2008-09. The growth slowdown since the late 2000s may have reduced Australia’s BERD / GDP ratio by about 1.2 per cent, or just 0.01 percentage points of GDP.</w:t>
      </w:r>
      <w:r>
        <w:rPr>
          <w:lang w:val="en-AU"/>
        </w:rPr>
        <w:t xml:space="preserve"> </w:t>
      </w:r>
    </w:p>
  </w:footnote>
  <w:footnote w:id="15">
    <w:p w14:paraId="774CAA5E" w14:textId="23671FB6" w:rsidR="00F829DB" w:rsidRPr="00DD3544" w:rsidRDefault="00F829DB" w:rsidP="00C12176">
      <w:pPr>
        <w:pStyle w:val="FootnoteText"/>
        <w:rPr>
          <w:lang w:val="en-AU"/>
        </w:rPr>
      </w:pPr>
      <w:r>
        <w:rPr>
          <w:rStyle w:val="FootnoteReference"/>
        </w:rPr>
        <w:footnoteRef/>
      </w:r>
      <w:r>
        <w:t xml:space="preserve"> </w:t>
      </w:r>
      <w:r>
        <w:rPr>
          <w:lang w:val="en-AU"/>
        </w:rPr>
        <w:t xml:space="preserve">Excluding the likely small effect of lower GDP growth, as discussed above. </w:t>
      </w:r>
    </w:p>
  </w:footnote>
  <w:footnote w:id="16">
    <w:p w14:paraId="00BF01AE" w14:textId="111A891D" w:rsidR="00F829DB" w:rsidRPr="006F7761" w:rsidRDefault="00F829DB" w:rsidP="003E4AAC">
      <w:pPr>
        <w:pStyle w:val="FootnoteText"/>
        <w:rPr>
          <w:lang w:val="en-AU"/>
        </w:rPr>
      </w:pPr>
      <w:r>
        <w:rPr>
          <w:rStyle w:val="FootnoteReference"/>
        </w:rPr>
        <w:footnoteRef/>
      </w:r>
      <w:r>
        <w:t xml:space="preserve"> Office of the Chief Economist (2019), ‘Comparison of R&amp;D Expenditure from BERD, RDTI and BIT data sources’. At the firm level,</w:t>
      </w:r>
      <w:r w:rsidRPr="00763DFC">
        <w:t xml:space="preserve"> </w:t>
      </w:r>
      <w:r>
        <w:t xml:space="preserve">the </w:t>
      </w:r>
      <w:r w:rsidRPr="00763DFC">
        <w:t>ABS’s BERD measure</w:t>
      </w:r>
      <w:r>
        <w:t xml:space="preserve"> is positively </w:t>
      </w:r>
      <w:r w:rsidRPr="00763DFC">
        <w:t xml:space="preserve">correlated with ATO </w:t>
      </w:r>
      <w:r>
        <w:t>RDTI claims.</w:t>
      </w:r>
    </w:p>
  </w:footnote>
  <w:footnote w:id="17">
    <w:p w14:paraId="1D505BE5" w14:textId="139D026C" w:rsidR="00F829DB" w:rsidRPr="00253E15" w:rsidRDefault="00F829DB" w:rsidP="00C20339">
      <w:pPr>
        <w:pStyle w:val="FootnoteText"/>
        <w:rPr>
          <w:lang w:val="en-AU"/>
        </w:rPr>
      </w:pPr>
      <w:r>
        <w:rPr>
          <w:rStyle w:val="FootnoteReference"/>
        </w:rPr>
        <w:footnoteRef/>
      </w:r>
      <w:r>
        <w:t xml:space="preserve"> </w:t>
      </w:r>
      <w:r w:rsidRPr="00DB7DC8">
        <w:t xml:space="preserve">Startup Aus </w:t>
      </w:r>
      <w:r>
        <w:t>(</w:t>
      </w:r>
      <w:r w:rsidRPr="00DB7DC8">
        <w:t>2019</w:t>
      </w:r>
      <w:r>
        <w:t>)</w:t>
      </w:r>
      <w:r w:rsidRPr="00DB7DC8">
        <w:t xml:space="preserve">, </w:t>
      </w:r>
      <w:r w:rsidRPr="001B79E7">
        <w:rPr>
          <w:i/>
          <w:iCs/>
        </w:rPr>
        <w:t>Crossroads</w:t>
      </w:r>
      <w:r>
        <w:t xml:space="preserve"> </w:t>
      </w:r>
      <w:r w:rsidRPr="001B79E7">
        <w:rPr>
          <w:i/>
          <w:iCs/>
        </w:rPr>
        <w:t>V</w:t>
      </w:r>
      <w:r>
        <w:t xml:space="preserve">; </w:t>
      </w:r>
      <w:r w:rsidRPr="00DB7DC8">
        <w:t>Holt J</w:t>
      </w:r>
      <w:r>
        <w:t>,</w:t>
      </w:r>
      <w:r w:rsidRPr="00DB7DC8">
        <w:t xml:space="preserve"> Skali A, and Thomson</w:t>
      </w:r>
      <w:r>
        <w:t xml:space="preserve"> R</w:t>
      </w:r>
      <w:r w:rsidRPr="00DB7DC8">
        <w:t xml:space="preserve"> </w:t>
      </w:r>
      <w:r>
        <w:t>(</w:t>
      </w:r>
      <w:r w:rsidRPr="00DB7DC8">
        <w:t>2016</w:t>
      </w:r>
      <w:r>
        <w:t>)</w:t>
      </w:r>
      <w:r w:rsidRPr="00DB7DC8">
        <w:t xml:space="preserve">, </w:t>
      </w:r>
      <w:r>
        <w:t>‘</w:t>
      </w:r>
      <w:r w:rsidRPr="00DB7DC8">
        <w:t>The additionality of R&amp;D tax policy in Australia</w:t>
      </w:r>
      <w:r>
        <w:t>’</w:t>
      </w:r>
    </w:p>
  </w:footnote>
  <w:footnote w:id="18">
    <w:p w14:paraId="7289AF92" w14:textId="4BDE2DA8" w:rsidR="00F829DB" w:rsidRPr="00391BF7" w:rsidRDefault="00F829DB">
      <w:pPr>
        <w:pStyle w:val="FootnoteText"/>
        <w:rPr>
          <w:lang w:val="en-AU"/>
        </w:rPr>
      </w:pPr>
      <w:r>
        <w:rPr>
          <w:rStyle w:val="FootnoteReference"/>
        </w:rPr>
        <w:footnoteRef/>
      </w:r>
      <w:r>
        <w:t xml:space="preserve"> </w:t>
      </w:r>
      <w:r>
        <w:rPr>
          <w:lang w:val="en-AU"/>
        </w:rPr>
        <w:t xml:space="preserve">More generally, </w:t>
      </w:r>
      <w:r>
        <w:t xml:space="preserve">micro-data is likely to be needed to identify the effects of recent R&amp;D tax reforms on firm R&amp;D, as each reform will have changed firms’ incentives differently depending on their profitability, size, and how much they spend on R&amp;D.  </w:t>
      </w:r>
    </w:p>
  </w:footnote>
  <w:footnote w:id="19">
    <w:p w14:paraId="179C495E" w14:textId="38C7AECA" w:rsidR="00F829DB" w:rsidRPr="00FE1A3B" w:rsidRDefault="00F829DB" w:rsidP="00F328E8">
      <w:pPr>
        <w:pStyle w:val="FootnoteText"/>
        <w:rPr>
          <w:lang w:val="en-AU"/>
        </w:rPr>
      </w:pPr>
      <w:r>
        <w:rPr>
          <w:rStyle w:val="FootnoteReference"/>
        </w:rPr>
        <w:footnoteRef/>
      </w:r>
      <w:r>
        <w:t xml:space="preserve"> Grattan institute (2016), </w:t>
      </w:r>
      <w:r w:rsidRPr="00006A36">
        <w:rPr>
          <w:i/>
          <w:iCs/>
        </w:rPr>
        <w:t>Stagnation Nation</w:t>
      </w:r>
      <w:r>
        <w:rPr>
          <w:i/>
          <w:iCs/>
        </w:rPr>
        <w:t>: Australian Investment in a Low-Growth World</w:t>
      </w:r>
      <w:r>
        <w:t xml:space="preserve">; </w:t>
      </w:r>
      <w:r>
        <w:rPr>
          <w:lang w:val="en-AU"/>
        </w:rPr>
        <w:t xml:space="preserve">Reserve Bank of Australia (2018), </w:t>
      </w:r>
      <w:r w:rsidRPr="00006A36">
        <w:rPr>
          <w:i/>
          <w:iCs/>
          <w:lang w:val="en-AU"/>
        </w:rPr>
        <w:t>Private Non-mining Investment in Australia</w:t>
      </w:r>
      <w:r>
        <w:rPr>
          <w:lang w:val="en-AU"/>
        </w:rPr>
        <w:t>.</w:t>
      </w:r>
    </w:p>
  </w:footnote>
  <w:footnote w:id="20">
    <w:p w14:paraId="39767C92" w14:textId="2D18D1EB" w:rsidR="00F829DB" w:rsidRPr="00B25516" w:rsidRDefault="00F829DB" w:rsidP="00FA01DA">
      <w:pPr>
        <w:pStyle w:val="FootnoteText"/>
      </w:pPr>
      <w:r>
        <w:rPr>
          <w:rStyle w:val="FootnoteReference"/>
        </w:rPr>
        <w:footnoteRef/>
      </w:r>
      <w:r>
        <w:t xml:space="preserve"> Productivity Commission (2009), </w:t>
      </w:r>
      <w:r w:rsidRPr="00E246C1">
        <w:rPr>
          <w:i/>
          <w:iCs/>
        </w:rPr>
        <w:t>Investments in Intangible Assets and Australia’s Productivity Growth</w:t>
      </w:r>
      <w:r w:rsidRPr="00D37A50">
        <w:t xml:space="preserve">; Elnasri </w:t>
      </w:r>
      <w:r>
        <w:t xml:space="preserve">A </w:t>
      </w:r>
      <w:r w:rsidRPr="00D37A50">
        <w:t>and Fox</w:t>
      </w:r>
      <w:r>
        <w:t xml:space="preserve"> K (2017)</w:t>
      </w:r>
      <w:r w:rsidRPr="00D37A50">
        <w:t xml:space="preserve">, </w:t>
      </w:r>
      <w:r>
        <w:t>‘</w:t>
      </w:r>
      <w:r w:rsidRPr="00D37A50">
        <w:t>The contribution of research and innovation to productivity</w:t>
      </w:r>
      <w:r>
        <w:t>’. US National Bureau of Economic Research (2019),  ‘</w:t>
      </w:r>
      <w:r w:rsidRPr="00826603">
        <w:t xml:space="preserve">Understanding Weak Capital Investment: </w:t>
      </w:r>
      <w:r>
        <w:t>T</w:t>
      </w:r>
      <w:r w:rsidRPr="00826603">
        <w:t>he Role of Market Concentration and Intangibles</w:t>
      </w:r>
      <w:r>
        <w:t xml:space="preserve">’. US firms that report more intangible assets report lower levels of capital investment, given their market and book values. That may be because they record expenditure that builds intangible assets as operating rather than capital expenditure. </w:t>
      </w:r>
    </w:p>
  </w:footnote>
  <w:footnote w:id="21">
    <w:p w14:paraId="46FB90BC" w14:textId="77777777" w:rsidR="00F829DB" w:rsidRPr="00F02FB4" w:rsidRDefault="00F829DB" w:rsidP="005E7C02">
      <w:pPr>
        <w:pStyle w:val="FootnoteText"/>
        <w:rPr>
          <w:lang w:val="en-AU"/>
        </w:rPr>
      </w:pPr>
      <w:r>
        <w:rPr>
          <w:rStyle w:val="FootnoteReference"/>
        </w:rPr>
        <w:footnoteRef/>
      </w:r>
      <w:r>
        <w:t xml:space="preserve"> </w:t>
      </w:r>
      <w:r>
        <w:rPr>
          <w:lang w:val="en-AU"/>
        </w:rPr>
        <w:t xml:space="preserve">OECD (2019), </w:t>
      </w:r>
      <w:r w:rsidRPr="00006A36">
        <w:rPr>
          <w:i/>
          <w:iCs/>
          <w:lang w:val="en-AU"/>
        </w:rPr>
        <w:t>Main Science and Technology Indicators</w:t>
      </w:r>
      <w:r>
        <w:rPr>
          <w:lang w:val="en-AU"/>
        </w:rPr>
        <w:t>; AlphaBeta analysis</w:t>
      </w:r>
    </w:p>
  </w:footnote>
  <w:footnote w:id="22">
    <w:p w14:paraId="2D7147D0" w14:textId="77777777" w:rsidR="00F829DB" w:rsidRPr="00B84B1E" w:rsidRDefault="00F829DB" w:rsidP="0073322B">
      <w:pPr>
        <w:pStyle w:val="FootnoteText"/>
        <w:rPr>
          <w:lang w:val="en-AU"/>
        </w:rPr>
      </w:pPr>
      <w:r>
        <w:rPr>
          <w:rStyle w:val="FootnoteReference"/>
        </w:rPr>
        <w:footnoteRef/>
      </w:r>
      <w:r>
        <w:t xml:space="preserve"> Earlier studies have also found that industry mix accounts for part of the difference between Australia’s BERD and that of global peers. For example, a 2005 study found that the gap between </w:t>
      </w:r>
      <w:r w:rsidRPr="00306CF5">
        <w:t xml:space="preserve">Australia’s BERD intensity </w:t>
      </w:r>
      <w:r>
        <w:t xml:space="preserve">and that of Japan and the US </w:t>
      </w:r>
      <w:r w:rsidRPr="00306CF5">
        <w:t xml:space="preserve">was in part explained by </w:t>
      </w:r>
      <w:r>
        <w:t xml:space="preserve">industry mix (Davis, G and Tunny, G, ‘International comparisons of research and development’, </w:t>
      </w:r>
      <w:r w:rsidRPr="00011618">
        <w:rPr>
          <w:i/>
          <w:iCs/>
        </w:rPr>
        <w:t>Economic Roundup</w:t>
      </w:r>
      <w:r>
        <w:t>, Spring 2005, Australian Treasury).</w:t>
      </w:r>
    </w:p>
  </w:footnote>
  <w:footnote w:id="23">
    <w:p w14:paraId="2E67E5E9" w14:textId="69E656CB" w:rsidR="00F829DB" w:rsidRPr="002A2AE5" w:rsidRDefault="00F829DB">
      <w:pPr>
        <w:pStyle w:val="FootnoteText"/>
        <w:rPr>
          <w:lang w:val="en-AU"/>
        </w:rPr>
      </w:pPr>
      <w:r>
        <w:rPr>
          <w:rStyle w:val="FootnoteReference"/>
        </w:rPr>
        <w:footnoteRef/>
      </w:r>
      <w:r>
        <w:t xml:space="preserve"> The BERD / GVA ratio is higher than the economy-wide BERD / GDP value because the excluded nonmarket sectors invest less in BERD than market sectors do.</w:t>
      </w:r>
    </w:p>
  </w:footnote>
  <w:footnote w:id="24">
    <w:p w14:paraId="3135F61D" w14:textId="77777777" w:rsidR="00F829DB" w:rsidRPr="00742549" w:rsidRDefault="00F829DB" w:rsidP="00694E1F">
      <w:pPr>
        <w:pStyle w:val="FootnoteText"/>
        <w:rPr>
          <w:lang w:val="en-AU"/>
        </w:rPr>
      </w:pPr>
      <w:r>
        <w:rPr>
          <w:rStyle w:val="FootnoteReference"/>
        </w:rPr>
        <w:footnoteRef/>
      </w:r>
      <w:r>
        <w:t xml:space="preserve"> </w:t>
      </w:r>
      <w:bookmarkStart w:id="75" w:name="_Hlk14788805"/>
      <w:r>
        <w:rPr>
          <w:lang w:val="en-AU"/>
        </w:rPr>
        <w:t xml:space="preserve">See, for example the Department of Industry, Innovation and Science’s </w:t>
      </w:r>
      <w:r w:rsidRPr="00685B1B">
        <w:rPr>
          <w:lang w:val="en-AU"/>
        </w:rPr>
        <w:t>Innovation Metrics Review</w:t>
      </w:r>
      <w:r>
        <w:rPr>
          <w:lang w:val="en-AU"/>
        </w:rPr>
        <w:t xml:space="preserve"> </w:t>
      </w:r>
      <w:r w:rsidRPr="00685B1B">
        <w:rPr>
          <w:lang w:val="en-AU"/>
        </w:rPr>
        <w:t>Workshop Proceedings</w:t>
      </w:r>
      <w:r>
        <w:rPr>
          <w:lang w:val="en-AU"/>
        </w:rPr>
        <w:t xml:space="preserve"> </w:t>
      </w:r>
      <w:r w:rsidRPr="00685B1B">
        <w:rPr>
          <w:lang w:val="en-AU"/>
        </w:rPr>
        <w:t>13-14 March 2019</w:t>
      </w:r>
      <w:r>
        <w:rPr>
          <w:lang w:val="en-AU"/>
        </w:rPr>
        <w:t>.</w:t>
      </w:r>
      <w:bookmarkEnd w:id="75"/>
    </w:p>
  </w:footnote>
  <w:footnote w:id="25">
    <w:p w14:paraId="241E0ED5" w14:textId="704142D0" w:rsidR="00F829DB" w:rsidRPr="00E51DF7" w:rsidRDefault="00F829DB" w:rsidP="00B47C4E">
      <w:pPr>
        <w:pStyle w:val="FootnoteText"/>
        <w:rPr>
          <w:lang w:val="en-AU"/>
        </w:rPr>
      </w:pPr>
      <w:r>
        <w:rPr>
          <w:rStyle w:val="FootnoteReference"/>
        </w:rPr>
        <w:footnoteRef/>
      </w:r>
      <w:r>
        <w:t xml:space="preserve"> </w:t>
      </w:r>
      <w:bookmarkStart w:id="84" w:name="_Hlk13151175"/>
      <w:r>
        <w:rPr>
          <w:lang w:val="en-AU"/>
        </w:rPr>
        <w:t>T</w:t>
      </w:r>
      <w:r w:rsidRPr="00403A66">
        <w:rPr>
          <w:lang w:val="en-AU"/>
        </w:rPr>
        <w:t xml:space="preserve">hese </w:t>
      </w:r>
      <w:r>
        <w:rPr>
          <w:lang w:val="en-AU"/>
        </w:rPr>
        <w:t xml:space="preserve">estimates are calculated on the basis </w:t>
      </w:r>
      <w:r w:rsidRPr="00403A66">
        <w:rPr>
          <w:lang w:val="en-AU"/>
        </w:rPr>
        <w:t xml:space="preserve">that (1) total business expenditure on innovation was $32-36bn in 2016-17 (ABS (2018) </w:t>
      </w:r>
      <w:r w:rsidRPr="00403A66">
        <w:rPr>
          <w:i/>
          <w:iCs/>
          <w:lang w:val="en-AU"/>
        </w:rPr>
        <w:t>8158.0 Appendix</w:t>
      </w:r>
      <w:r w:rsidRPr="00403A66">
        <w:rPr>
          <w:lang w:val="en-AU"/>
        </w:rPr>
        <w:t xml:space="preserve">), </w:t>
      </w:r>
      <w:r>
        <w:rPr>
          <w:lang w:val="en-AU"/>
        </w:rPr>
        <w:t>and (2) business expenditure on innovation is uniformly distributed within reported ranges so that the average expenditure is equal to the mid-point of the range and (3) any firm reporting $5m or more is assumed to spend the same amount. Assumption (3) may bias estimates of medium firm expenditure</w:t>
      </w:r>
      <w:bookmarkEnd w:id="84"/>
      <w:r>
        <w:rPr>
          <w:lang w:val="en-AU"/>
        </w:rPr>
        <w:t xml:space="preserve"> upwards. </w:t>
      </w:r>
    </w:p>
  </w:footnote>
  <w:footnote w:id="26">
    <w:p w14:paraId="302BBF32" w14:textId="7E99115A" w:rsidR="00F829DB" w:rsidRPr="00F1002F" w:rsidRDefault="00F829DB" w:rsidP="00B47C4E">
      <w:pPr>
        <w:pStyle w:val="FootnoteText"/>
        <w:rPr>
          <w:lang w:val="en-AU"/>
        </w:rPr>
      </w:pPr>
      <w:r>
        <w:rPr>
          <w:rStyle w:val="FootnoteReference"/>
        </w:rPr>
        <w:footnoteRef/>
      </w:r>
      <w:r>
        <w:t xml:space="preserve"> </w:t>
      </w:r>
      <w:bookmarkStart w:id="87" w:name="_Hlk13151733"/>
      <w:r>
        <w:rPr>
          <w:lang w:val="en-AU"/>
        </w:rPr>
        <w:t xml:space="preserve">Note that the ABS considers disaggregate (e.g. sector-level) dollar estimates of innovation expenditure made using their </w:t>
      </w:r>
      <w:r w:rsidRPr="00006A36">
        <w:rPr>
          <w:i/>
          <w:iCs/>
          <w:lang w:val="en-AU"/>
        </w:rPr>
        <w:t>Business Characteristics Survey</w:t>
      </w:r>
      <w:r>
        <w:rPr>
          <w:lang w:val="en-AU"/>
        </w:rPr>
        <w:t xml:space="preserve"> responses on innovation to be relatively unreliable, as respondents reported their expenditure in ranges.</w:t>
      </w:r>
      <w:bookmarkEnd w:id="87"/>
    </w:p>
  </w:footnote>
  <w:footnote w:id="27">
    <w:p w14:paraId="1952B563" w14:textId="59CE007E" w:rsidR="00F829DB" w:rsidRPr="00111181" w:rsidRDefault="00F829DB" w:rsidP="00B47C4E">
      <w:pPr>
        <w:pStyle w:val="FootnoteText"/>
        <w:rPr>
          <w:lang w:val="en-AU"/>
        </w:rPr>
      </w:pPr>
      <w:r>
        <w:rPr>
          <w:rStyle w:val="FootnoteReference"/>
        </w:rPr>
        <w:footnoteRef/>
      </w:r>
      <w:r>
        <w:t xml:space="preserve"> </w:t>
      </w:r>
      <w:r w:rsidRPr="00CB4F81">
        <w:t>These findings are consistent with those of previous Australian studies</w:t>
      </w:r>
      <w:r>
        <w:t xml:space="preserve">. </w:t>
      </w:r>
      <w:r w:rsidRPr="00111181">
        <w:t>For example, one study found that</w:t>
      </w:r>
      <w:r>
        <w:t xml:space="preserve"> </w:t>
      </w:r>
      <w:r w:rsidRPr="00111181">
        <w:t>large</w:t>
      </w:r>
      <w:r>
        <w:t>r</w:t>
      </w:r>
      <w:r w:rsidRPr="00111181">
        <w:t xml:space="preserve"> firms </w:t>
      </w:r>
      <w:r>
        <w:t xml:space="preserve">were more likely to be </w:t>
      </w:r>
      <w:r w:rsidRPr="00111181">
        <w:t>innovation</w:t>
      </w:r>
      <w:r>
        <w:t xml:space="preserve">-active </w:t>
      </w:r>
      <w:r w:rsidRPr="00111181">
        <w:t xml:space="preserve">and </w:t>
      </w:r>
      <w:r>
        <w:t>b</w:t>
      </w:r>
      <w:r w:rsidRPr="00111181">
        <w:t>etter prepared for “absorbing” innovations as well (de Rassenfosse, G and E Webster</w:t>
      </w:r>
      <w:r>
        <w:t>,</w:t>
      </w:r>
      <w:r w:rsidRPr="00111181">
        <w:t xml:space="preserve"> 2013, “An Assessment of Australia’s Absorptive Capacity”, Melbourne Institute of Applied Economic and Social Research</w:t>
      </w:r>
      <w:r>
        <w:t>).</w:t>
      </w:r>
    </w:p>
  </w:footnote>
  <w:footnote w:id="28">
    <w:p w14:paraId="20C02629" w14:textId="46562E6C" w:rsidR="00F829DB" w:rsidRPr="001805D8" w:rsidRDefault="00F829DB" w:rsidP="00B47C4E">
      <w:pPr>
        <w:pStyle w:val="FootnoteText"/>
        <w:rPr>
          <w:lang w:val="en-AU"/>
        </w:rPr>
      </w:pPr>
      <w:r>
        <w:rPr>
          <w:rStyle w:val="FootnoteReference"/>
        </w:rPr>
        <w:footnoteRef/>
      </w:r>
      <w:r>
        <w:t xml:space="preserve"> </w:t>
      </w:r>
      <w:r>
        <w:rPr>
          <w:lang w:val="en-AU"/>
        </w:rPr>
        <w:t xml:space="preserve">Sentieo data; AlphaBeta analysis. </w:t>
      </w:r>
      <w:r w:rsidRPr="00BB43DC">
        <w:rPr>
          <w:lang w:val="en-AU"/>
        </w:rPr>
        <w:t xml:space="preserve">Intangible assets include patents, copyrights, franchises, trademarks and trade names; stocks of intangible assets can proxy </w:t>
      </w:r>
      <w:r>
        <w:rPr>
          <w:lang w:val="en-AU"/>
        </w:rPr>
        <w:t xml:space="preserve">the accumulated results of previous </w:t>
      </w:r>
      <w:r w:rsidRPr="00BB43DC">
        <w:rPr>
          <w:lang w:val="en-AU"/>
        </w:rPr>
        <w:t>innovation investment</w:t>
      </w:r>
      <w:r>
        <w:rPr>
          <w:lang w:val="en-AU"/>
        </w:rPr>
        <w:t xml:space="preserve">. </w:t>
      </w:r>
      <w:r>
        <w:t xml:space="preserve">See Appendices A and C for charts and further discussion. Not all firms report intangibles. </w:t>
      </w:r>
    </w:p>
  </w:footnote>
  <w:footnote w:id="29">
    <w:p w14:paraId="0684C1A6" w14:textId="77777777" w:rsidR="00F829DB" w:rsidRPr="00CB4F81" w:rsidRDefault="00F829DB" w:rsidP="00B47C4E">
      <w:pPr>
        <w:pStyle w:val="FootnoteText"/>
        <w:rPr>
          <w:lang w:val="en-AU"/>
        </w:rPr>
      </w:pPr>
      <w:r>
        <w:rPr>
          <w:rStyle w:val="FootnoteReference"/>
        </w:rPr>
        <w:footnoteRef/>
      </w:r>
      <w:r>
        <w:t xml:space="preserve"> </w:t>
      </w:r>
      <w:r>
        <w:rPr>
          <w:lang w:val="en-AU"/>
        </w:rPr>
        <w:t xml:space="preserve">Data is for all intangibles, minus goodwill. </w:t>
      </w:r>
    </w:p>
  </w:footnote>
  <w:footnote w:id="30">
    <w:p w14:paraId="56375596" w14:textId="16C646FE" w:rsidR="00F829DB" w:rsidRPr="009E5D2B" w:rsidRDefault="00F829DB">
      <w:pPr>
        <w:pStyle w:val="FootnoteText"/>
        <w:rPr>
          <w:lang w:val="en-AU"/>
        </w:rPr>
      </w:pPr>
      <w:r>
        <w:rPr>
          <w:rStyle w:val="FootnoteReference"/>
        </w:rPr>
        <w:footnoteRef/>
      </w:r>
      <w:r>
        <w:t>The analysis includes only firms that report intangible assets. As fewer firms on the Australian exchange reported their intangible assets than firms elsewhere, it is possible that the estimated Australian intangibles ratios is too high.</w:t>
      </w:r>
    </w:p>
  </w:footnote>
  <w:footnote w:id="31">
    <w:p w14:paraId="2E05AD1C" w14:textId="27971F5E" w:rsidR="00F829DB" w:rsidRPr="000F721E" w:rsidRDefault="00F829DB" w:rsidP="00B47C4E">
      <w:pPr>
        <w:pStyle w:val="FootnoteText"/>
        <w:rPr>
          <w:lang w:val="en-AU"/>
        </w:rPr>
      </w:pPr>
      <w:r>
        <w:rPr>
          <w:rStyle w:val="FootnoteReference"/>
        </w:rPr>
        <w:footnoteRef/>
      </w:r>
      <w:r>
        <w:t xml:space="preserve"> Australia Institute (2016), </w:t>
      </w:r>
      <w:r>
        <w:rPr>
          <w:lang w:val="en-AU"/>
        </w:rPr>
        <w:t>‘</w:t>
      </w:r>
      <w:r>
        <w:t>Oligopoly money: How a company tax cut would be wasted on big business’.</w:t>
      </w:r>
    </w:p>
  </w:footnote>
  <w:footnote w:id="32">
    <w:p w14:paraId="2ACEE0AB" w14:textId="5E414784" w:rsidR="00F829DB" w:rsidRPr="001F422E" w:rsidRDefault="00F829DB" w:rsidP="00B47C4E">
      <w:pPr>
        <w:pStyle w:val="FootnoteText"/>
        <w:rPr>
          <w:lang w:val="en-AU"/>
        </w:rPr>
      </w:pPr>
      <w:r>
        <w:rPr>
          <w:rStyle w:val="FootnoteReference"/>
        </w:rPr>
        <w:footnoteRef/>
      </w:r>
      <w:r>
        <w:t xml:space="preserve"> </w:t>
      </w:r>
      <w:r w:rsidRPr="00B249C0">
        <w:rPr>
          <w:lang w:val="en-AU"/>
        </w:rPr>
        <w:t>Grattan Institute (2017)</w:t>
      </w:r>
      <w:r>
        <w:rPr>
          <w:i/>
          <w:iCs/>
          <w:lang w:val="en-AU"/>
        </w:rPr>
        <w:t xml:space="preserve">, </w:t>
      </w:r>
      <w:r>
        <w:rPr>
          <w:i/>
          <w:iCs/>
        </w:rPr>
        <w:t xml:space="preserve">Competition in Australia: Too little of a good thing? </w:t>
      </w:r>
      <w:r>
        <w:t>In many sectors Australian firms are just as exposed to competition as firms in other advanced economies are.</w:t>
      </w:r>
    </w:p>
  </w:footnote>
  <w:footnote w:id="33">
    <w:p w14:paraId="4213E729" w14:textId="0024FCF5" w:rsidR="00F829DB" w:rsidRPr="005530E8" w:rsidRDefault="00F829DB" w:rsidP="009E0ADB">
      <w:pPr>
        <w:pStyle w:val="FootnoteText"/>
        <w:rPr>
          <w:lang w:val="en-AU"/>
        </w:rPr>
      </w:pPr>
      <w:r>
        <w:rPr>
          <w:rStyle w:val="FootnoteReference"/>
        </w:rPr>
        <w:footnoteRef/>
      </w:r>
      <w:r>
        <w:t xml:space="preserve"> A higher proportion of </w:t>
      </w:r>
      <w:r>
        <w:rPr>
          <w:lang w:val="en-AU"/>
        </w:rPr>
        <w:t xml:space="preserve">service firms are new-to-market innovators in Australia than in many OECD economies as shown in </w:t>
      </w:r>
      <w:r w:rsidRPr="005530E8">
        <w:rPr>
          <w:lang w:val="en-AU"/>
        </w:rPr>
        <w:t xml:space="preserve">OECD (2017), </w:t>
      </w:r>
      <w:r w:rsidRPr="00006A36">
        <w:rPr>
          <w:i/>
          <w:iCs/>
          <w:lang w:val="en-AU"/>
        </w:rPr>
        <w:t>Innovation in firms</w:t>
      </w:r>
      <w:r>
        <w:rPr>
          <w:i/>
          <w:iCs/>
          <w:lang w:val="en-AU"/>
        </w:rPr>
        <w:t>,</w:t>
      </w:r>
      <w:r>
        <w:rPr>
          <w:lang w:val="en-AU"/>
        </w:rPr>
        <w:t xml:space="preserve"> </w:t>
      </w:r>
      <w:r w:rsidRPr="005530E8">
        <w:rPr>
          <w:lang w:val="en-AU"/>
        </w:rPr>
        <w:t xml:space="preserve">"New-to-market product innovators, manufacturing and services, 2012-14: As a percentage of all businesses in each sector within the scope of national innovation surveys", </w:t>
      </w:r>
      <w:hyperlink r:id="rId1" w:history="1">
        <w:r w:rsidRPr="008671D3">
          <w:rPr>
            <w:rStyle w:val="Hyperlink"/>
            <w:lang w:val="en-AU"/>
          </w:rPr>
          <w:t>https://doi.org/10.1787/sti_scoreboard-2017-graph133-en</w:t>
        </w:r>
      </w:hyperlink>
      <w:r w:rsidRPr="005530E8">
        <w:rPr>
          <w:lang w:val="en-AU"/>
        </w:rPr>
        <w:t>.</w:t>
      </w:r>
      <w:r>
        <w:rPr>
          <w:lang w:val="en-AU"/>
        </w:rPr>
        <w:t xml:space="preserve"> </w:t>
      </w:r>
    </w:p>
  </w:footnote>
  <w:footnote w:id="34">
    <w:p w14:paraId="1097EE62" w14:textId="77777777" w:rsidR="00F829DB" w:rsidRDefault="00F829DB" w:rsidP="009E0ADB">
      <w:pPr>
        <w:pStyle w:val="FootnoteText"/>
        <w:rPr>
          <w:lang w:val="en-AU"/>
        </w:rPr>
      </w:pPr>
      <w:r>
        <w:rPr>
          <w:rStyle w:val="FootnoteReference"/>
        </w:rPr>
        <w:footnoteRef/>
      </w:r>
      <w:r>
        <w:t xml:space="preserve"> </w:t>
      </w:r>
      <w:r>
        <w:rPr>
          <w:lang w:val="en-AU"/>
        </w:rPr>
        <w:t xml:space="preserve">The ABS considers the standard errors of sector-level dollar estimates (the right panel of the figure above) derived from </w:t>
      </w:r>
      <w:r w:rsidRPr="00006A36">
        <w:rPr>
          <w:i/>
          <w:iCs/>
          <w:lang w:val="en-AU"/>
        </w:rPr>
        <w:t>Business Characteristics Survey</w:t>
      </w:r>
      <w:r>
        <w:rPr>
          <w:lang w:val="en-AU"/>
        </w:rPr>
        <w:t xml:space="preserve"> dollar </w:t>
      </w:r>
      <w:r w:rsidRPr="00253E15">
        <w:rPr>
          <w:i/>
          <w:iCs/>
          <w:lang w:val="en-AU"/>
        </w:rPr>
        <w:t>ranges</w:t>
      </w:r>
      <w:r>
        <w:rPr>
          <w:lang w:val="en-AU"/>
        </w:rPr>
        <w:t xml:space="preserve"> to be high (and higher than the BCS estimates of share of businesses that are spend a non-zero amount of innovation, which is on the left of the figure above.</w:t>
      </w:r>
    </w:p>
    <w:p w14:paraId="2FA0DAF4" w14:textId="77777777" w:rsidR="00F829DB" w:rsidRPr="00F1002F" w:rsidRDefault="00F829DB" w:rsidP="009E0ADB">
      <w:pPr>
        <w:pStyle w:val="FootnoteText"/>
        <w:rPr>
          <w:lang w:val="en-AU"/>
        </w:rPr>
      </w:pPr>
    </w:p>
  </w:footnote>
  <w:footnote w:id="35">
    <w:p w14:paraId="6476FBF8" w14:textId="77777777" w:rsidR="00F829DB" w:rsidRPr="00F70A33" w:rsidRDefault="00F829DB" w:rsidP="00170689">
      <w:pPr>
        <w:pStyle w:val="FootnoteText"/>
        <w:rPr>
          <w:lang w:val="en-AU"/>
        </w:rPr>
      </w:pPr>
      <w:r>
        <w:rPr>
          <w:rStyle w:val="FootnoteReference"/>
        </w:rPr>
        <w:footnoteRef/>
      </w:r>
      <w:r>
        <w:t xml:space="preserve"> </w:t>
      </w:r>
      <w:r w:rsidRPr="008331BA">
        <w:t>The results do not imply that firms following a low-growth strategy are making a mistake. For example, firms in low-growth sectors may best reward shareholders with a high dividend payout ratio.</w:t>
      </w:r>
    </w:p>
  </w:footnote>
  <w:footnote w:id="36">
    <w:p w14:paraId="7B737C29" w14:textId="61918C78" w:rsidR="00F829DB" w:rsidRPr="00C70836" w:rsidRDefault="00F829DB" w:rsidP="00E246C1">
      <w:pPr>
        <w:pStyle w:val="FootnoteText"/>
      </w:pPr>
      <w:r>
        <w:rPr>
          <w:rStyle w:val="FootnoteReference"/>
        </w:rPr>
        <w:footnoteRef/>
      </w:r>
      <w:r>
        <w:t xml:space="preserve"> </w:t>
      </w:r>
      <w:r w:rsidRPr="00C70836">
        <w:t xml:space="preserve">The correlations are consistent with previous findings that Australian firms that invest more in R&amp;D grow faster on average, and with the broader literature on R&amp;D, innovation and firm performance. In research noted in the </w:t>
      </w:r>
      <w:r w:rsidRPr="00C70836">
        <w:rPr>
          <w:i/>
          <w:iCs/>
        </w:rPr>
        <w:t>Australian Innovation System Report 2017</w:t>
      </w:r>
      <w:r w:rsidRPr="00C70836">
        <w:t xml:space="preserve">, pages 71-72, R&amp;D is most strongly associated with growth for firms that were already growing quickly (while negatively associated with growth for more slow-growing firms). A review of studies on R&amp;D, innovation and firm performance found that the relationship is generally positive, though it varies with firm and market characteristics (Coad, A, </w:t>
      </w:r>
      <w:r w:rsidRPr="00C70836">
        <w:rPr>
          <w:i/>
          <w:iCs/>
        </w:rPr>
        <w:t>The Growth of Firms</w:t>
      </w:r>
      <w:r w:rsidRPr="00C70836">
        <w:t>, Edward Elgar).However, there is a more than 1 in 10 chance that they would be observed even if there was no underlying relationship.</w:t>
      </w:r>
    </w:p>
  </w:footnote>
  <w:footnote w:id="37">
    <w:p w14:paraId="1473B3E3" w14:textId="18BF8E17" w:rsidR="00F829DB" w:rsidRPr="00E246C1" w:rsidRDefault="00F829DB" w:rsidP="00E246C1">
      <w:pPr>
        <w:pStyle w:val="FootnoteText"/>
      </w:pPr>
      <w:r w:rsidRPr="00B51438">
        <w:rPr>
          <w:rStyle w:val="FootnoteReference"/>
        </w:rPr>
        <w:footnoteRef/>
      </w:r>
      <w:r>
        <w:rPr>
          <w:szCs w:val="18"/>
          <w:lang w:val="en-AU"/>
        </w:rPr>
        <w:t xml:space="preserve"> </w:t>
      </w:r>
      <w:r w:rsidRPr="00E246C1">
        <w:t xml:space="preserve">Cefis </w:t>
      </w:r>
      <w:r>
        <w:t xml:space="preserve">E </w:t>
      </w:r>
      <w:r w:rsidRPr="00E246C1">
        <w:t xml:space="preserve">and Marsili </w:t>
      </w:r>
      <w:r>
        <w:t xml:space="preserve">O </w:t>
      </w:r>
      <w:r w:rsidRPr="00E246C1">
        <w:t>(2005)</w:t>
      </w:r>
      <w:r>
        <w:t>,</w:t>
      </w:r>
      <w:r w:rsidRPr="00E246C1">
        <w:t xml:space="preserve"> </w:t>
      </w:r>
      <w:r>
        <w:t>‘</w:t>
      </w:r>
      <w:r w:rsidRPr="00E246C1">
        <w:t>A matter of life and death: innovation and firm survival</w:t>
      </w:r>
      <w:r>
        <w:t>’; Cefis E and Marsili O (2012),</w:t>
      </w:r>
      <w:r w:rsidRPr="00E246C1">
        <w:t xml:space="preserve"> </w:t>
      </w:r>
      <w:r>
        <w:t>‘</w:t>
      </w:r>
      <w:r w:rsidRPr="00E246C1">
        <w:t>Going, going, gone. Exit forms and the innovative capabilities of firms</w:t>
      </w:r>
      <w:r>
        <w:t>’</w:t>
      </w:r>
    </w:p>
  </w:footnote>
  <w:footnote w:id="38">
    <w:p w14:paraId="7D652816" w14:textId="6F1C78CE" w:rsidR="00F829DB" w:rsidRPr="00253E15" w:rsidRDefault="00F829DB" w:rsidP="00D61E80">
      <w:pPr>
        <w:pStyle w:val="FootnoteText"/>
        <w:rPr>
          <w:lang w:val="en-AU"/>
        </w:rPr>
      </w:pPr>
      <w:r>
        <w:rPr>
          <w:rStyle w:val="FootnoteReference"/>
        </w:rPr>
        <w:footnoteRef/>
      </w:r>
      <w:r>
        <w:t xml:space="preserve"> </w:t>
      </w:r>
      <w:r w:rsidRPr="00E566BF">
        <w:t>Palangkaraya, A Spurling, T and E Webster</w:t>
      </w:r>
      <w:r>
        <w:t>,</w:t>
      </w:r>
      <w:r w:rsidRPr="00E566BF">
        <w:t xml:space="preserve"> </w:t>
      </w:r>
      <w:r>
        <w:t>(</w:t>
      </w:r>
      <w:r w:rsidRPr="00E566BF">
        <w:t>2016</w:t>
      </w:r>
      <w:r>
        <w:t>)</w:t>
      </w:r>
      <w:r w:rsidRPr="00E566BF">
        <w:t xml:space="preserve"> </w:t>
      </w:r>
      <w:r>
        <w:t>‘</w:t>
      </w:r>
      <w:r w:rsidRPr="00E566BF">
        <w:t>What drives firm innovation? A review of the economics literature</w:t>
      </w:r>
      <w:r>
        <w:t>’.</w:t>
      </w:r>
      <w:r w:rsidRPr="007A4AA5">
        <w:t xml:space="preserve"> </w:t>
      </w:r>
      <w:r w:rsidRPr="00246A6C">
        <w:t>The correlations</w:t>
      </w:r>
      <w:r>
        <w:t xml:space="preserve"> in</w:t>
      </w:r>
      <w:r w:rsidRPr="00246A6C">
        <w:t xml:space="preserve"> </w:t>
      </w:r>
      <w:r w:rsidRPr="00246A6C">
        <w:fldChar w:fldCharType="begin"/>
      </w:r>
      <w:r w:rsidRPr="00246A6C">
        <w:instrText xml:space="preserve"> REF _Ref12955959 \h  \* MERGEFORMAT </w:instrText>
      </w:r>
      <w:r w:rsidRPr="00246A6C">
        <w:fldChar w:fldCharType="separate"/>
      </w:r>
      <w:r w:rsidR="005407CC" w:rsidRPr="00246A6C">
        <w:t xml:space="preserve">Exhibit </w:t>
      </w:r>
      <w:r w:rsidR="005407CC">
        <w:rPr>
          <w:noProof/>
        </w:rPr>
        <w:t>30</w:t>
      </w:r>
      <w:r w:rsidRPr="00246A6C">
        <w:fldChar w:fldCharType="end"/>
      </w:r>
      <w:r>
        <w:t xml:space="preserve"> are with multifactor productivity growth; correlations </w:t>
      </w:r>
      <w:r w:rsidRPr="00246A6C">
        <w:t>with labour productivity growth are similar</w:t>
      </w:r>
      <w:r>
        <w:t xml:space="preserve">. </w:t>
      </w:r>
      <w:r w:rsidRPr="00E566BF">
        <w:t xml:space="preserve">Other studies also find </w:t>
      </w:r>
      <w:r>
        <w:t>that</w:t>
      </w:r>
      <w:r w:rsidRPr="00E566BF">
        <w:t xml:space="preserve"> productivity depends on more than just R&amp;D</w:t>
      </w:r>
      <w:r>
        <w:t>.</w:t>
      </w:r>
    </w:p>
  </w:footnote>
  <w:footnote w:id="39">
    <w:p w14:paraId="6850E906" w14:textId="4CBEBD21" w:rsidR="00F829DB" w:rsidRPr="00DE4581" w:rsidRDefault="00F829DB">
      <w:pPr>
        <w:pStyle w:val="FootnoteText"/>
        <w:rPr>
          <w:lang w:val="en-AU"/>
        </w:rPr>
      </w:pPr>
      <w:r>
        <w:rPr>
          <w:rStyle w:val="FootnoteReference"/>
        </w:rPr>
        <w:footnoteRef/>
      </w:r>
      <w:r>
        <w:t xml:space="preserve"> </w:t>
      </w:r>
      <w:r>
        <w:rPr>
          <w:lang w:val="en-AU"/>
        </w:rPr>
        <w:t>Department of Industry, Innovation and Science (2016), ‘</w:t>
      </w:r>
      <w:r w:rsidRPr="00E246C1">
        <w:rPr>
          <w:lang w:val="en-AU"/>
        </w:rPr>
        <w:t>Modelling the relationship between innovation and exporting: Evidence from Australian SME</w:t>
      </w:r>
      <w:r>
        <w:rPr>
          <w:lang w:val="en-AU"/>
        </w:rPr>
        <w:t xml:space="preserve">s’. </w:t>
      </w:r>
    </w:p>
  </w:footnote>
  <w:footnote w:id="40">
    <w:p w14:paraId="477C880D" w14:textId="2B5E6647" w:rsidR="00F829DB" w:rsidRPr="00285D20" w:rsidRDefault="00F829DB" w:rsidP="00CF28BB">
      <w:pPr>
        <w:pStyle w:val="FootnoteText"/>
        <w:rPr>
          <w:lang w:val="en-AU"/>
        </w:rPr>
      </w:pPr>
      <w:r>
        <w:rPr>
          <w:rStyle w:val="FootnoteReference"/>
        </w:rPr>
        <w:footnoteRef/>
      </w:r>
      <w:r>
        <w:t xml:space="preserve"> Amani Elnasri and Kevin Fox, 2014, </w:t>
      </w:r>
      <w:r w:rsidRPr="00006A36">
        <w:t>“The contribution of research and innovation to productivity and economic growth”</w:t>
      </w:r>
      <w:r>
        <w:t xml:space="preserve"> (</w:t>
      </w:r>
      <w:r w:rsidRPr="00006A36">
        <w:t>UNSW Australian School of Business Research Paper No. 2014-08</w:t>
      </w:r>
      <w:r>
        <w:t>) reviews cross country studies using different methodologies that together suggest that Australian private investment in a broad set of intangibles is lower than in many peer economies.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0FCFA" w14:textId="77777777" w:rsidR="00F829DB" w:rsidRDefault="00F829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6CCBA" w14:textId="77777777" w:rsidR="00F829DB" w:rsidRDefault="00F829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2CA2D" w14:textId="77777777" w:rsidR="00F829DB" w:rsidRDefault="00F829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D6019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AFC2715"/>
    <w:multiLevelType w:val="hybridMultilevel"/>
    <w:tmpl w:val="02A00A60"/>
    <w:lvl w:ilvl="0" w:tplc="229628C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542841"/>
    <w:multiLevelType w:val="hybridMultilevel"/>
    <w:tmpl w:val="B17097DA"/>
    <w:lvl w:ilvl="0" w:tplc="FFE0CE5E">
      <w:start w:val="1"/>
      <w:numFmt w:val="bullet"/>
      <w:pStyle w:val="Bulletpara"/>
      <w:lvlText w:val=""/>
      <w:lvlJc w:val="left"/>
      <w:pPr>
        <w:ind w:left="1429" w:hanging="360"/>
      </w:pPr>
      <w:rPr>
        <w:rFonts w:ascii="Symbol" w:hAnsi="Symbol" w:hint="default"/>
        <w:sz w:val="22"/>
      </w:rPr>
    </w:lvl>
    <w:lvl w:ilvl="1" w:tplc="F8F46178">
      <w:start w:val="1"/>
      <w:numFmt w:val="bullet"/>
      <w:lvlText w:val="−"/>
      <w:lvlJc w:val="left"/>
      <w:pPr>
        <w:ind w:left="2149" w:hanging="360"/>
      </w:pPr>
      <w:rPr>
        <w:rFonts w:ascii="Verdana" w:hAnsi="Verdana"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14B92C8B"/>
    <w:multiLevelType w:val="hybridMultilevel"/>
    <w:tmpl w:val="542A2E0A"/>
    <w:lvl w:ilvl="0" w:tplc="D8B8A7F0">
      <w:start w:val="1"/>
      <w:numFmt w:val="lowerLetter"/>
      <w:pStyle w:val="06letter2"/>
      <w:lvlText w:val="%1."/>
      <w:lvlJc w:val="left"/>
      <w:pPr>
        <w:ind w:left="1077" w:hanging="360"/>
      </w:pPr>
      <w:rPr>
        <w:rFonts w:ascii="Arial" w:hAnsi="Arial" w:hint="default"/>
        <w:color w:val="002960"/>
        <w:sz w:val="22"/>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 w15:restartNumberingAfterBreak="0">
    <w:nsid w:val="14F07392"/>
    <w:multiLevelType w:val="hybridMultilevel"/>
    <w:tmpl w:val="0352C3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AC5547"/>
    <w:multiLevelType w:val="hybridMultilevel"/>
    <w:tmpl w:val="F78A27FE"/>
    <w:lvl w:ilvl="0" w:tplc="9522B6D4">
      <w:start w:val="1"/>
      <w:numFmt w:val="bullet"/>
      <w:pStyle w:val="Tender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D47C69"/>
    <w:multiLevelType w:val="hybridMultilevel"/>
    <w:tmpl w:val="5838C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293D00"/>
    <w:multiLevelType w:val="hybridMultilevel"/>
    <w:tmpl w:val="99828B5A"/>
    <w:lvl w:ilvl="0" w:tplc="7DD835D6">
      <w:start w:val="1"/>
      <w:numFmt w:val="bullet"/>
      <w:pStyle w:val="ResumeBullet"/>
      <w:lvlText w:val=""/>
      <w:lvlJc w:val="left"/>
      <w:pPr>
        <w:tabs>
          <w:tab w:val="num" w:pos="360"/>
        </w:tabs>
        <w:ind w:left="360" w:hanging="360"/>
      </w:pPr>
      <w:rPr>
        <w:rFonts w:ascii="Wingdings" w:hAnsi="Wingdings" w:hint="default"/>
        <w:color w:val="00336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A11BD8"/>
    <w:multiLevelType w:val="hybridMultilevel"/>
    <w:tmpl w:val="B14C67C0"/>
    <w:lvl w:ilvl="0" w:tplc="965CAFBA">
      <w:start w:val="1"/>
      <w:numFmt w:val="decimal"/>
      <w:pStyle w:val="Tendernumb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20B27BFD"/>
    <w:multiLevelType w:val="multilevel"/>
    <w:tmpl w:val="1BB44FA8"/>
    <w:lvl w:ilvl="0">
      <w:start w:val="1"/>
      <w:numFmt w:val="decimal"/>
      <w:pStyle w:val="01squarebullet"/>
      <w:lvlText w:val="%1."/>
      <w:lvlJc w:val="left"/>
      <w:pPr>
        <w:ind w:left="360" w:hanging="360"/>
      </w:pPr>
      <w:rPr>
        <w:rFonts w:hint="default"/>
        <w:color w:val="4CB8C1" w:themeColor="accent5"/>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0" w15:restartNumberingAfterBreak="0">
    <w:nsid w:val="23400BB4"/>
    <w:multiLevelType w:val="multilevel"/>
    <w:tmpl w:val="23E697F8"/>
    <w:lvl w:ilvl="0">
      <w:start w:val="2"/>
      <w:numFmt w:val="decimal"/>
      <w:pStyle w:val="ClauseLevel1"/>
      <w:lvlText w:val="%1"/>
      <w:lvlJc w:val="left"/>
      <w:pPr>
        <w:tabs>
          <w:tab w:val="num" w:pos="851"/>
        </w:tabs>
        <w:ind w:left="851" w:hanging="851"/>
      </w:pPr>
      <w:rPr>
        <w:rFonts w:ascii="Arial Bold" w:hAnsi="Arial Bold" w:hint="default"/>
        <w:b/>
        <w:i w:val="0"/>
        <w:caps w:val="0"/>
        <w:strike w:val="0"/>
        <w:dstrike w:val="0"/>
        <w:vanish w:val="0"/>
        <w:webHidden w:val="0"/>
        <w:color w:val="00008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auseLevel2"/>
      <w:lvlText w:val="%1.%2"/>
      <w:lvlJc w:val="left"/>
      <w:pPr>
        <w:tabs>
          <w:tab w:val="num" w:pos="851"/>
        </w:tabs>
        <w:ind w:left="851" w:hanging="851"/>
      </w:pPr>
      <w:rPr>
        <w:rFonts w:ascii="Arial Bold" w:hAnsi="Arial Bold"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auseLevel3"/>
      <w:lvlText w:val="%1.%2.%3"/>
      <w:lvlJc w:val="left"/>
      <w:pPr>
        <w:tabs>
          <w:tab w:val="num" w:pos="851"/>
        </w:tabs>
        <w:ind w:left="851" w:hanging="851"/>
      </w:pPr>
      <w:rPr>
        <w:rFonts w:ascii="Arial" w:hAnsi="Arial" w:cs="Times New Roman"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ClauseNoFormat"/>
      <w:suff w:val="nothing"/>
      <w:lvlText w:val=""/>
      <w:lvlJc w:val="left"/>
      <w:pPr>
        <w:ind w:left="851" w:firstLine="0"/>
      </w:pPr>
      <w:rPr>
        <w:rFonts w:ascii="Arial" w:hAnsi="Arial" w:cs="Times New Roman"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ClauseLevel4"/>
      <w:lvlText w:val="%5)"/>
      <w:lvlJc w:val="left"/>
      <w:pPr>
        <w:tabs>
          <w:tab w:val="num" w:pos="1277"/>
        </w:tabs>
        <w:ind w:left="1277" w:hanging="567"/>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ClauseLevel5"/>
      <w:lvlText w:val="(%6)"/>
      <w:lvlJc w:val="left"/>
      <w:pPr>
        <w:tabs>
          <w:tab w:val="num" w:pos="6300"/>
        </w:tabs>
        <w:ind w:left="6147" w:hanging="567"/>
      </w:pPr>
      <w:rPr>
        <w:rFonts w:ascii="Arial" w:hAnsi="Arial" w:cs="Times New Roman" w:hint="default"/>
        <w:b w:val="0"/>
        <w:i w:val="0"/>
        <w:sz w:val="20"/>
      </w:rPr>
    </w:lvl>
    <w:lvl w:ilvl="6">
      <w:start w:val="1"/>
      <w:numFmt w:val="decimal"/>
      <w:lvlRestart w:val="0"/>
      <w:pStyle w:val="ScheduleTitle"/>
      <w:lvlText w:val="Schedule %7"/>
      <w:lvlJc w:val="left"/>
      <w:pPr>
        <w:tabs>
          <w:tab w:val="num" w:pos="2268"/>
        </w:tabs>
        <w:ind w:left="2268" w:hanging="2268"/>
      </w:pPr>
      <w:rPr>
        <w:rFonts w:ascii="Arial Bold" w:hAnsi="Arial Bold" w:hint="default"/>
        <w:b/>
        <w:i w:val="0"/>
        <w:caps w:val="0"/>
        <w:strike w:val="0"/>
        <w:dstrike w:val="0"/>
        <w:vanish w:val="0"/>
        <w:webHidden w:val="0"/>
        <w:color w:val="8000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0"/>
      <w:lvlText w:val="%8."/>
      <w:lvlJc w:val="left"/>
      <w:pPr>
        <w:tabs>
          <w:tab w:val="num" w:pos="851"/>
        </w:tabs>
        <w:ind w:left="851" w:hanging="851"/>
      </w:pPr>
      <w:rPr>
        <w:rFonts w:ascii="Arial Bold" w:hAnsi="ZapfDingbats" w:hint="default"/>
        <w:b/>
        <w:i w:val="0"/>
        <w:caps w:val="0"/>
        <w:strike w:val="0"/>
        <w:dstrike w:val="0"/>
        <w:vanish w:val="0"/>
        <w:webHidden w:val="0"/>
        <w:color w:val="00008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0"/>
      <w:lvlText w:val="%8.%9"/>
      <w:lvlJc w:val="left"/>
      <w:pPr>
        <w:tabs>
          <w:tab w:val="num" w:pos="851"/>
        </w:tabs>
        <w:ind w:left="851" w:hanging="851"/>
      </w:pPr>
      <w:rPr>
        <w:rFonts w:ascii="Arial Bold" w:hAnsi="ZapfDingbats" w:hint="default"/>
        <w:b/>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AD36313"/>
    <w:multiLevelType w:val="hybridMultilevel"/>
    <w:tmpl w:val="4A62E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AE50CC"/>
    <w:multiLevelType w:val="multilevel"/>
    <w:tmpl w:val="2BDAA63A"/>
    <w:lvl w:ilvl="0">
      <w:start w:val="1"/>
      <w:numFmt w:val="decimal"/>
      <w:pStyle w:val="Heading1"/>
      <w:lvlText w:val="%1."/>
      <w:lvlJc w:val="left"/>
      <w:pPr>
        <w:ind w:left="360" w:hanging="360"/>
      </w:pPr>
      <w:rPr>
        <w:rFonts w:hint="default"/>
        <w:bCs w:val="0"/>
        <w:i w:val="0"/>
        <w:iCs w:val="0"/>
        <w:smallCaps w:val="0"/>
        <w:strike w:val="0"/>
        <w:dstrike w:val="0"/>
        <w:vanish w:val="0"/>
        <w:color w:val="4CB8C1" w:themeColor="accent5"/>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Heading2"/>
      <w:lvlText w:val="%1.%2."/>
      <w:lvlJc w:val="left"/>
      <w:pPr>
        <w:ind w:left="432" w:hanging="432"/>
      </w:pPr>
      <w:rPr>
        <w:rFonts w:asciiTheme="majorHAnsi" w:hAnsiTheme="majorHAnsi" w:cstheme="majorHAnsi" w:hint="default"/>
        <w:b/>
        <w:color w:val="4CB8C1" w:themeColor="accent5"/>
      </w:rPr>
    </w:lvl>
    <w:lvl w:ilvl="2">
      <w:start w:val="1"/>
      <w:numFmt w:val="decimal"/>
      <w:lvlText w:val="%1.%2.%3."/>
      <w:lvlJc w:val="left"/>
      <w:pPr>
        <w:ind w:left="1224" w:hanging="504"/>
      </w:pPr>
      <w:rPr>
        <w:rFonts w:hint="default"/>
        <w:color w:val="4CB8C1" w:themeColor="accent5"/>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5A33655"/>
    <w:multiLevelType w:val="hybridMultilevel"/>
    <w:tmpl w:val="BF34C94A"/>
    <w:lvl w:ilvl="0" w:tplc="98C2C596">
      <w:start w:val="1"/>
      <w:numFmt w:val="decimal"/>
      <w:pStyle w:val="07number3"/>
      <w:lvlText w:val="%1)"/>
      <w:lvlJc w:val="left"/>
      <w:pPr>
        <w:ind w:left="1366" w:hanging="360"/>
      </w:pPr>
      <w:rPr>
        <w:rFonts w:ascii="Arial" w:hAnsi="Arial" w:hint="default"/>
        <w:color w:val="002960"/>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4" w15:restartNumberingAfterBreak="0">
    <w:nsid w:val="492C565F"/>
    <w:multiLevelType w:val="hybridMultilevel"/>
    <w:tmpl w:val="88989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DF3187"/>
    <w:multiLevelType w:val="singleLevel"/>
    <w:tmpl w:val="023AD80A"/>
    <w:lvl w:ilvl="0">
      <w:start w:val="1"/>
      <w:numFmt w:val="decimal"/>
      <w:pStyle w:val="Ten1"/>
      <w:lvlText w:val="%1."/>
      <w:lvlJc w:val="left"/>
      <w:pPr>
        <w:tabs>
          <w:tab w:val="num" w:pos="502"/>
        </w:tabs>
        <w:ind w:left="502" w:hanging="360"/>
      </w:pPr>
      <w:rPr>
        <w:rFonts w:ascii="Times New Roman" w:eastAsia="Times New Roman" w:hAnsi="Times New Roman" w:cs="Times New Roman"/>
        <w:b w:val="0"/>
        <w:i w:val="0"/>
      </w:rPr>
    </w:lvl>
  </w:abstractNum>
  <w:abstractNum w:abstractNumId="26" w15:restartNumberingAfterBreak="0">
    <w:nsid w:val="57214AFB"/>
    <w:multiLevelType w:val="hybridMultilevel"/>
    <w:tmpl w:val="8ED27858"/>
    <w:lvl w:ilvl="0" w:tplc="E9C00C7E">
      <w:start w:val="1"/>
      <w:numFmt w:val="bullet"/>
      <w:pStyle w:val="04shortdash"/>
      <w:lvlText w:val="-"/>
      <w:lvlJc w:val="left"/>
      <w:pPr>
        <w:ind w:left="5400" w:hanging="360"/>
      </w:pPr>
      <w:rPr>
        <w:rFonts w:ascii="Times New Roman" w:hAnsi="Times New Roman" w:cs="Times New Roman" w:hint="default"/>
        <w:color w:val="002960"/>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7" w15:restartNumberingAfterBreak="0">
    <w:nsid w:val="5C574A11"/>
    <w:multiLevelType w:val="hybridMultilevel"/>
    <w:tmpl w:val="849A91CE"/>
    <w:lvl w:ilvl="0" w:tplc="7DC2ED36">
      <w:start w:val="1"/>
      <w:numFmt w:val="bullet"/>
      <w:pStyle w:val="02dash"/>
      <w:lvlText w:val="‒"/>
      <w:lvlJc w:val="left"/>
      <w:pPr>
        <w:ind w:left="1080" w:hanging="360"/>
      </w:pPr>
      <w:rPr>
        <w:rFonts w:ascii="Arial" w:hAnsi="Arial" w:hint="default"/>
        <w:color w:val="002960"/>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CCC4906"/>
    <w:multiLevelType w:val="hybridMultilevel"/>
    <w:tmpl w:val="F1C012DA"/>
    <w:lvl w:ilvl="0" w:tplc="B236473E">
      <w:start w:val="1"/>
      <w:numFmt w:val="decimal"/>
      <w:pStyle w:val="Title"/>
      <w:lvlText w:val="%1."/>
      <w:lvlJc w:val="left"/>
      <w:pPr>
        <w:ind w:left="360" w:hanging="360"/>
      </w:p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9" w15:restartNumberingAfterBreak="0">
    <w:nsid w:val="77EE2944"/>
    <w:multiLevelType w:val="hybridMultilevel"/>
    <w:tmpl w:val="7DCEAAFC"/>
    <w:lvl w:ilvl="0" w:tplc="49DC0304">
      <w:start w:val="1"/>
      <w:numFmt w:val="lowerLetter"/>
      <w:pStyle w:val="08letter4"/>
      <w:lvlText w:val="%1)"/>
      <w:lvlJc w:val="left"/>
      <w:pPr>
        <w:ind w:left="1644" w:hanging="360"/>
      </w:pPr>
      <w:rPr>
        <w:rFonts w:ascii="Arial" w:hAnsi="Arial" w:hint="default"/>
        <w:color w:val="002960"/>
        <w:sz w:val="22"/>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0" w15:restartNumberingAfterBreak="0">
    <w:nsid w:val="7B8E557E"/>
    <w:multiLevelType w:val="multilevel"/>
    <w:tmpl w:val="CB26095C"/>
    <w:lvl w:ilvl="0">
      <w:start w:val="1"/>
      <w:numFmt w:val="decimal"/>
      <w:pStyle w:val="05number1"/>
      <w:lvlText w:val="%1."/>
      <w:lvlJc w:val="left"/>
      <w:pPr>
        <w:ind w:left="360" w:hanging="360"/>
      </w:pPr>
      <w:rPr>
        <w:rFonts w:ascii="Arial" w:hAnsi="Arial" w:hint="default"/>
        <w:color w:val="002960"/>
        <w:sz w:val="20"/>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7C3C6FDA"/>
    <w:multiLevelType w:val="hybridMultilevel"/>
    <w:tmpl w:val="C0EA6302"/>
    <w:lvl w:ilvl="0" w:tplc="350452DA">
      <w:start w:val="1"/>
      <w:numFmt w:val="bullet"/>
      <w:pStyle w:val="03opensquarebullet"/>
      <w:lvlText w:val="□"/>
      <w:lvlJc w:val="left"/>
      <w:pPr>
        <w:ind w:left="2880" w:hanging="360"/>
      </w:pPr>
      <w:rPr>
        <w:rFonts w:ascii="Times New Roman" w:hAnsi="Times New Roman" w:cs="Times New Roman" w:hint="default"/>
        <w:color w:val="002960"/>
        <w:sz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CD67F97"/>
    <w:multiLevelType w:val="hybridMultilevel"/>
    <w:tmpl w:val="61348B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4B6177"/>
    <w:multiLevelType w:val="hybridMultilevel"/>
    <w:tmpl w:val="A3706A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19"/>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31"/>
  </w:num>
  <w:num w:numId="16">
    <w:abstractNumId w:val="26"/>
  </w:num>
  <w:num w:numId="17">
    <w:abstractNumId w:val="13"/>
  </w:num>
  <w:num w:numId="18">
    <w:abstractNumId w:val="23"/>
  </w:num>
  <w:num w:numId="19">
    <w:abstractNumId w:val="29"/>
  </w:num>
  <w:num w:numId="2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8"/>
  </w:num>
  <w:num w:numId="23">
    <w:abstractNumId w:val="25"/>
  </w:num>
  <w:num w:numId="24">
    <w:abstractNumId w:val="12"/>
  </w:num>
  <w:num w:numId="25">
    <w:abstractNumId w:val="17"/>
  </w:num>
  <w:num w:numId="26">
    <w:abstractNumId w:val="28"/>
  </w:num>
  <w:num w:numId="27">
    <w:abstractNumId w:val="22"/>
  </w:num>
  <w:num w:numId="28">
    <w:abstractNumId w:val="14"/>
  </w:num>
  <w:num w:numId="29">
    <w:abstractNumId w:val="11"/>
  </w:num>
  <w:num w:numId="30">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4"/>
  </w:num>
  <w:num w:numId="41">
    <w:abstractNumId w:val="32"/>
  </w:num>
  <w:num w:numId="42">
    <w:abstractNumId w:val="33"/>
  </w:num>
  <w:num w:numId="43">
    <w:abstractNumId w:val="16"/>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ttachedTemplate r:id="rId1"/>
  <w:defaultTabStop w:val="340"/>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B2A"/>
    <w:rsid w:val="00000920"/>
    <w:rsid w:val="0000120D"/>
    <w:rsid w:val="000013C9"/>
    <w:rsid w:val="00001949"/>
    <w:rsid w:val="00002B74"/>
    <w:rsid w:val="000030D9"/>
    <w:rsid w:val="00006A36"/>
    <w:rsid w:val="00011618"/>
    <w:rsid w:val="000119FD"/>
    <w:rsid w:val="00011D12"/>
    <w:rsid w:val="00012162"/>
    <w:rsid w:val="00013074"/>
    <w:rsid w:val="0001347C"/>
    <w:rsid w:val="00013604"/>
    <w:rsid w:val="0001454D"/>
    <w:rsid w:val="00015C43"/>
    <w:rsid w:val="0001768E"/>
    <w:rsid w:val="00021F4E"/>
    <w:rsid w:val="00022158"/>
    <w:rsid w:val="000223E0"/>
    <w:rsid w:val="00023348"/>
    <w:rsid w:val="0002378F"/>
    <w:rsid w:val="00024B3F"/>
    <w:rsid w:val="00024FBB"/>
    <w:rsid w:val="0002565D"/>
    <w:rsid w:val="00025C89"/>
    <w:rsid w:val="000341FD"/>
    <w:rsid w:val="000344B6"/>
    <w:rsid w:val="000344D4"/>
    <w:rsid w:val="000348FC"/>
    <w:rsid w:val="00034ED4"/>
    <w:rsid w:val="000375BA"/>
    <w:rsid w:val="00040090"/>
    <w:rsid w:val="00040707"/>
    <w:rsid w:val="00042D5A"/>
    <w:rsid w:val="00043560"/>
    <w:rsid w:val="00043D3F"/>
    <w:rsid w:val="00045E71"/>
    <w:rsid w:val="0004791C"/>
    <w:rsid w:val="00047EE9"/>
    <w:rsid w:val="00050D60"/>
    <w:rsid w:val="00050F71"/>
    <w:rsid w:val="00052708"/>
    <w:rsid w:val="00052FA3"/>
    <w:rsid w:val="0005326E"/>
    <w:rsid w:val="00054F6A"/>
    <w:rsid w:val="00056164"/>
    <w:rsid w:val="0006071B"/>
    <w:rsid w:val="000632B5"/>
    <w:rsid w:val="00063E73"/>
    <w:rsid w:val="000643E9"/>
    <w:rsid w:val="000649FD"/>
    <w:rsid w:val="000658F3"/>
    <w:rsid w:val="0007066B"/>
    <w:rsid w:val="00070BF8"/>
    <w:rsid w:val="000710EA"/>
    <w:rsid w:val="00071DF3"/>
    <w:rsid w:val="000723D2"/>
    <w:rsid w:val="0007672A"/>
    <w:rsid w:val="00076AD4"/>
    <w:rsid w:val="00076CC9"/>
    <w:rsid w:val="00077AFE"/>
    <w:rsid w:val="000810A6"/>
    <w:rsid w:val="00083ABE"/>
    <w:rsid w:val="00090ACF"/>
    <w:rsid w:val="00090D39"/>
    <w:rsid w:val="0009153E"/>
    <w:rsid w:val="000917C4"/>
    <w:rsid w:val="00095965"/>
    <w:rsid w:val="00095E50"/>
    <w:rsid w:val="00095FA3"/>
    <w:rsid w:val="00096F7C"/>
    <w:rsid w:val="000974ED"/>
    <w:rsid w:val="000A090F"/>
    <w:rsid w:val="000A0945"/>
    <w:rsid w:val="000A1A41"/>
    <w:rsid w:val="000A2E69"/>
    <w:rsid w:val="000A323B"/>
    <w:rsid w:val="000A410A"/>
    <w:rsid w:val="000A647B"/>
    <w:rsid w:val="000A6900"/>
    <w:rsid w:val="000B2452"/>
    <w:rsid w:val="000B665C"/>
    <w:rsid w:val="000C03B6"/>
    <w:rsid w:val="000C2345"/>
    <w:rsid w:val="000C27DF"/>
    <w:rsid w:val="000C29C2"/>
    <w:rsid w:val="000C4228"/>
    <w:rsid w:val="000C450B"/>
    <w:rsid w:val="000D0426"/>
    <w:rsid w:val="000D0538"/>
    <w:rsid w:val="000D12C5"/>
    <w:rsid w:val="000D2363"/>
    <w:rsid w:val="000D2534"/>
    <w:rsid w:val="000D25EE"/>
    <w:rsid w:val="000D34DC"/>
    <w:rsid w:val="000D4481"/>
    <w:rsid w:val="000D46FA"/>
    <w:rsid w:val="000D5385"/>
    <w:rsid w:val="000D61C2"/>
    <w:rsid w:val="000D7383"/>
    <w:rsid w:val="000E07B5"/>
    <w:rsid w:val="000E23EC"/>
    <w:rsid w:val="000E3175"/>
    <w:rsid w:val="000E5EFE"/>
    <w:rsid w:val="000E7484"/>
    <w:rsid w:val="000F051D"/>
    <w:rsid w:val="000F1C9F"/>
    <w:rsid w:val="000F237C"/>
    <w:rsid w:val="000F355D"/>
    <w:rsid w:val="000F39CC"/>
    <w:rsid w:val="000F5463"/>
    <w:rsid w:val="000F5C17"/>
    <w:rsid w:val="000F6643"/>
    <w:rsid w:val="000F6E38"/>
    <w:rsid w:val="000F7108"/>
    <w:rsid w:val="000F721E"/>
    <w:rsid w:val="000F7537"/>
    <w:rsid w:val="001005B5"/>
    <w:rsid w:val="00103411"/>
    <w:rsid w:val="001043BE"/>
    <w:rsid w:val="00104617"/>
    <w:rsid w:val="00105EA0"/>
    <w:rsid w:val="00106DE3"/>
    <w:rsid w:val="001076E5"/>
    <w:rsid w:val="00107769"/>
    <w:rsid w:val="00111181"/>
    <w:rsid w:val="001113F7"/>
    <w:rsid w:val="00114CB5"/>
    <w:rsid w:val="00115709"/>
    <w:rsid w:val="00117181"/>
    <w:rsid w:val="00117390"/>
    <w:rsid w:val="0011795A"/>
    <w:rsid w:val="001179D7"/>
    <w:rsid w:val="00120D40"/>
    <w:rsid w:val="00121D04"/>
    <w:rsid w:val="001255A0"/>
    <w:rsid w:val="00125E40"/>
    <w:rsid w:val="001275BE"/>
    <w:rsid w:val="00132362"/>
    <w:rsid w:val="0013328E"/>
    <w:rsid w:val="00133A2D"/>
    <w:rsid w:val="00133D55"/>
    <w:rsid w:val="00133FEF"/>
    <w:rsid w:val="00134DA9"/>
    <w:rsid w:val="00135D20"/>
    <w:rsid w:val="00137301"/>
    <w:rsid w:val="0013776F"/>
    <w:rsid w:val="00137F2C"/>
    <w:rsid w:val="00137FEB"/>
    <w:rsid w:val="001405E5"/>
    <w:rsid w:val="00141031"/>
    <w:rsid w:val="001416D9"/>
    <w:rsid w:val="00142446"/>
    <w:rsid w:val="00142D9C"/>
    <w:rsid w:val="00142FF6"/>
    <w:rsid w:val="001444AF"/>
    <w:rsid w:val="00144EE9"/>
    <w:rsid w:val="00150020"/>
    <w:rsid w:val="00151667"/>
    <w:rsid w:val="00152169"/>
    <w:rsid w:val="0015352A"/>
    <w:rsid w:val="001545B5"/>
    <w:rsid w:val="00155DD4"/>
    <w:rsid w:val="00160D99"/>
    <w:rsid w:val="0016118D"/>
    <w:rsid w:val="00161650"/>
    <w:rsid w:val="00161F07"/>
    <w:rsid w:val="00162AC4"/>
    <w:rsid w:val="0016310C"/>
    <w:rsid w:val="0016548C"/>
    <w:rsid w:val="001667E2"/>
    <w:rsid w:val="00167871"/>
    <w:rsid w:val="00170689"/>
    <w:rsid w:val="00174E8F"/>
    <w:rsid w:val="00175DD5"/>
    <w:rsid w:val="00175E90"/>
    <w:rsid w:val="00177B8F"/>
    <w:rsid w:val="001805D8"/>
    <w:rsid w:val="00182F47"/>
    <w:rsid w:val="001839A3"/>
    <w:rsid w:val="00183E9E"/>
    <w:rsid w:val="0018425F"/>
    <w:rsid w:val="001848C8"/>
    <w:rsid w:val="00184D9A"/>
    <w:rsid w:val="001854C0"/>
    <w:rsid w:val="0018571A"/>
    <w:rsid w:val="00186323"/>
    <w:rsid w:val="0018659E"/>
    <w:rsid w:val="00186A57"/>
    <w:rsid w:val="00187524"/>
    <w:rsid w:val="00192228"/>
    <w:rsid w:val="001928E8"/>
    <w:rsid w:val="001935C3"/>
    <w:rsid w:val="0019571D"/>
    <w:rsid w:val="00196494"/>
    <w:rsid w:val="00196D60"/>
    <w:rsid w:val="001A0C4A"/>
    <w:rsid w:val="001A27C9"/>
    <w:rsid w:val="001A3306"/>
    <w:rsid w:val="001A3B54"/>
    <w:rsid w:val="001A3D46"/>
    <w:rsid w:val="001A4B38"/>
    <w:rsid w:val="001A51A6"/>
    <w:rsid w:val="001A618D"/>
    <w:rsid w:val="001A6626"/>
    <w:rsid w:val="001A6AB6"/>
    <w:rsid w:val="001B2582"/>
    <w:rsid w:val="001B4752"/>
    <w:rsid w:val="001B5478"/>
    <w:rsid w:val="001B59CD"/>
    <w:rsid w:val="001B60AD"/>
    <w:rsid w:val="001B6201"/>
    <w:rsid w:val="001B78EB"/>
    <w:rsid w:val="001B7986"/>
    <w:rsid w:val="001B79E7"/>
    <w:rsid w:val="001C0B19"/>
    <w:rsid w:val="001C1017"/>
    <w:rsid w:val="001C2AB9"/>
    <w:rsid w:val="001D033A"/>
    <w:rsid w:val="001D054D"/>
    <w:rsid w:val="001D26B9"/>
    <w:rsid w:val="001D2969"/>
    <w:rsid w:val="001D2E12"/>
    <w:rsid w:val="001D36D3"/>
    <w:rsid w:val="001D472A"/>
    <w:rsid w:val="001D5B61"/>
    <w:rsid w:val="001D6B71"/>
    <w:rsid w:val="001D7376"/>
    <w:rsid w:val="001E05C8"/>
    <w:rsid w:val="001E1183"/>
    <w:rsid w:val="001E57FE"/>
    <w:rsid w:val="001E5AEA"/>
    <w:rsid w:val="001E6D3D"/>
    <w:rsid w:val="001E6E39"/>
    <w:rsid w:val="001E7150"/>
    <w:rsid w:val="001F01D1"/>
    <w:rsid w:val="001F2059"/>
    <w:rsid w:val="001F2639"/>
    <w:rsid w:val="001F268F"/>
    <w:rsid w:val="001F38FF"/>
    <w:rsid w:val="001F3CC8"/>
    <w:rsid w:val="001F422E"/>
    <w:rsid w:val="001F55F0"/>
    <w:rsid w:val="001F6CCF"/>
    <w:rsid w:val="001F6EFF"/>
    <w:rsid w:val="00200818"/>
    <w:rsid w:val="00200966"/>
    <w:rsid w:val="00201D26"/>
    <w:rsid w:val="002021F6"/>
    <w:rsid w:val="00202A2E"/>
    <w:rsid w:val="00204AE0"/>
    <w:rsid w:val="00204C01"/>
    <w:rsid w:val="002051AA"/>
    <w:rsid w:val="00205A8B"/>
    <w:rsid w:val="00212A10"/>
    <w:rsid w:val="002131BC"/>
    <w:rsid w:val="00213352"/>
    <w:rsid w:val="00224020"/>
    <w:rsid w:val="002240A6"/>
    <w:rsid w:val="002244B1"/>
    <w:rsid w:val="0022469E"/>
    <w:rsid w:val="00226277"/>
    <w:rsid w:val="002266D4"/>
    <w:rsid w:val="0022692C"/>
    <w:rsid w:val="00226A36"/>
    <w:rsid w:val="00226F7B"/>
    <w:rsid w:val="0023040B"/>
    <w:rsid w:val="00230628"/>
    <w:rsid w:val="0023134F"/>
    <w:rsid w:val="00232649"/>
    <w:rsid w:val="00232765"/>
    <w:rsid w:val="002332A9"/>
    <w:rsid w:val="0023353E"/>
    <w:rsid w:val="00234179"/>
    <w:rsid w:val="00234651"/>
    <w:rsid w:val="00234962"/>
    <w:rsid w:val="00235900"/>
    <w:rsid w:val="00236805"/>
    <w:rsid w:val="002378CF"/>
    <w:rsid w:val="00237987"/>
    <w:rsid w:val="0024055A"/>
    <w:rsid w:val="00241686"/>
    <w:rsid w:val="002427B8"/>
    <w:rsid w:val="00244F08"/>
    <w:rsid w:val="00245060"/>
    <w:rsid w:val="00245D68"/>
    <w:rsid w:val="00245EEC"/>
    <w:rsid w:val="00245FBB"/>
    <w:rsid w:val="00246A6C"/>
    <w:rsid w:val="00246EC9"/>
    <w:rsid w:val="002500BE"/>
    <w:rsid w:val="00251A4C"/>
    <w:rsid w:val="0025325C"/>
    <w:rsid w:val="002535C5"/>
    <w:rsid w:val="002537FA"/>
    <w:rsid w:val="00253E15"/>
    <w:rsid w:val="00254A5B"/>
    <w:rsid w:val="00254E05"/>
    <w:rsid w:val="00254F12"/>
    <w:rsid w:val="0025550D"/>
    <w:rsid w:val="00257E3B"/>
    <w:rsid w:val="0026000F"/>
    <w:rsid w:val="00261F86"/>
    <w:rsid w:val="00263088"/>
    <w:rsid w:val="002633FF"/>
    <w:rsid w:val="0026365A"/>
    <w:rsid w:val="002653D9"/>
    <w:rsid w:val="00266881"/>
    <w:rsid w:val="00266C4D"/>
    <w:rsid w:val="00267136"/>
    <w:rsid w:val="00267171"/>
    <w:rsid w:val="00267D36"/>
    <w:rsid w:val="00267EE5"/>
    <w:rsid w:val="00271BC4"/>
    <w:rsid w:val="00271C61"/>
    <w:rsid w:val="002722F2"/>
    <w:rsid w:val="00272307"/>
    <w:rsid w:val="002739D4"/>
    <w:rsid w:val="002739EC"/>
    <w:rsid w:val="002740A1"/>
    <w:rsid w:val="00274A25"/>
    <w:rsid w:val="00275C50"/>
    <w:rsid w:val="00275C6C"/>
    <w:rsid w:val="00276E1B"/>
    <w:rsid w:val="00281214"/>
    <w:rsid w:val="00282069"/>
    <w:rsid w:val="002820DB"/>
    <w:rsid w:val="00282291"/>
    <w:rsid w:val="00282E13"/>
    <w:rsid w:val="00283799"/>
    <w:rsid w:val="00283A33"/>
    <w:rsid w:val="00285B2A"/>
    <w:rsid w:val="00285D20"/>
    <w:rsid w:val="00285F88"/>
    <w:rsid w:val="00287429"/>
    <w:rsid w:val="0028758D"/>
    <w:rsid w:val="002914FB"/>
    <w:rsid w:val="00292D29"/>
    <w:rsid w:val="0029416E"/>
    <w:rsid w:val="002944DD"/>
    <w:rsid w:val="00297768"/>
    <w:rsid w:val="002A0AA2"/>
    <w:rsid w:val="002A2AE5"/>
    <w:rsid w:val="002A5EC1"/>
    <w:rsid w:val="002B11BC"/>
    <w:rsid w:val="002B22B8"/>
    <w:rsid w:val="002B3B1F"/>
    <w:rsid w:val="002B3CD6"/>
    <w:rsid w:val="002B4B45"/>
    <w:rsid w:val="002B4BB4"/>
    <w:rsid w:val="002B4BF9"/>
    <w:rsid w:val="002B4E9F"/>
    <w:rsid w:val="002B5A35"/>
    <w:rsid w:val="002B62A3"/>
    <w:rsid w:val="002B7F14"/>
    <w:rsid w:val="002B7FA4"/>
    <w:rsid w:val="002B7FEB"/>
    <w:rsid w:val="002C12DC"/>
    <w:rsid w:val="002C149E"/>
    <w:rsid w:val="002C2EA7"/>
    <w:rsid w:val="002C33E7"/>
    <w:rsid w:val="002C5B9A"/>
    <w:rsid w:val="002C5D29"/>
    <w:rsid w:val="002D0BE9"/>
    <w:rsid w:val="002D1169"/>
    <w:rsid w:val="002D164D"/>
    <w:rsid w:val="002D4286"/>
    <w:rsid w:val="002D5C4B"/>
    <w:rsid w:val="002E013B"/>
    <w:rsid w:val="002E21B9"/>
    <w:rsid w:val="002E2456"/>
    <w:rsid w:val="002E4D86"/>
    <w:rsid w:val="002E5CF4"/>
    <w:rsid w:val="002E601D"/>
    <w:rsid w:val="002E63CE"/>
    <w:rsid w:val="002E6C90"/>
    <w:rsid w:val="002E74D2"/>
    <w:rsid w:val="002F0E42"/>
    <w:rsid w:val="002F1C05"/>
    <w:rsid w:val="002F3115"/>
    <w:rsid w:val="002F3472"/>
    <w:rsid w:val="002F4858"/>
    <w:rsid w:val="002F579D"/>
    <w:rsid w:val="002F7589"/>
    <w:rsid w:val="002F7695"/>
    <w:rsid w:val="00300FD1"/>
    <w:rsid w:val="00301448"/>
    <w:rsid w:val="0030188C"/>
    <w:rsid w:val="00302770"/>
    <w:rsid w:val="00302DA8"/>
    <w:rsid w:val="00304013"/>
    <w:rsid w:val="003049C6"/>
    <w:rsid w:val="00306CF5"/>
    <w:rsid w:val="003077FE"/>
    <w:rsid w:val="0031087F"/>
    <w:rsid w:val="00312246"/>
    <w:rsid w:val="00312C72"/>
    <w:rsid w:val="00316219"/>
    <w:rsid w:val="00317D00"/>
    <w:rsid w:val="00321220"/>
    <w:rsid w:val="00321663"/>
    <w:rsid w:val="0032258F"/>
    <w:rsid w:val="00322CA4"/>
    <w:rsid w:val="00324875"/>
    <w:rsid w:val="00326919"/>
    <w:rsid w:val="00326C70"/>
    <w:rsid w:val="003314AE"/>
    <w:rsid w:val="00331C5F"/>
    <w:rsid w:val="003324EB"/>
    <w:rsid w:val="003336BF"/>
    <w:rsid w:val="00333D4F"/>
    <w:rsid w:val="00334AF9"/>
    <w:rsid w:val="003351F7"/>
    <w:rsid w:val="00335555"/>
    <w:rsid w:val="00335802"/>
    <w:rsid w:val="00336143"/>
    <w:rsid w:val="00336D72"/>
    <w:rsid w:val="0034019F"/>
    <w:rsid w:val="00340BF2"/>
    <w:rsid w:val="00341EE1"/>
    <w:rsid w:val="003422B4"/>
    <w:rsid w:val="0034237A"/>
    <w:rsid w:val="003435BA"/>
    <w:rsid w:val="003443FC"/>
    <w:rsid w:val="003453DE"/>
    <w:rsid w:val="00346611"/>
    <w:rsid w:val="00347113"/>
    <w:rsid w:val="003530E3"/>
    <w:rsid w:val="003533E0"/>
    <w:rsid w:val="00354B49"/>
    <w:rsid w:val="0035556B"/>
    <w:rsid w:val="00355D3F"/>
    <w:rsid w:val="003567D2"/>
    <w:rsid w:val="00357830"/>
    <w:rsid w:val="0036003B"/>
    <w:rsid w:val="00360957"/>
    <w:rsid w:val="003620ED"/>
    <w:rsid w:val="00365B2F"/>
    <w:rsid w:val="00367A2E"/>
    <w:rsid w:val="003719F3"/>
    <w:rsid w:val="003736D8"/>
    <w:rsid w:val="00374A10"/>
    <w:rsid w:val="00375A0E"/>
    <w:rsid w:val="00375D3A"/>
    <w:rsid w:val="00376D3E"/>
    <w:rsid w:val="00376E4D"/>
    <w:rsid w:val="00377811"/>
    <w:rsid w:val="00377821"/>
    <w:rsid w:val="00377C7D"/>
    <w:rsid w:val="0038064C"/>
    <w:rsid w:val="00380706"/>
    <w:rsid w:val="00380E53"/>
    <w:rsid w:val="00381626"/>
    <w:rsid w:val="00382019"/>
    <w:rsid w:val="00382A6A"/>
    <w:rsid w:val="00382F4C"/>
    <w:rsid w:val="003846C4"/>
    <w:rsid w:val="00386307"/>
    <w:rsid w:val="0038720B"/>
    <w:rsid w:val="003904E1"/>
    <w:rsid w:val="003906AC"/>
    <w:rsid w:val="00390BE8"/>
    <w:rsid w:val="00390D31"/>
    <w:rsid w:val="00390DD5"/>
    <w:rsid w:val="00390E27"/>
    <w:rsid w:val="00391BF7"/>
    <w:rsid w:val="00391DA9"/>
    <w:rsid w:val="00392563"/>
    <w:rsid w:val="0039263F"/>
    <w:rsid w:val="00395567"/>
    <w:rsid w:val="00396A3C"/>
    <w:rsid w:val="003971F8"/>
    <w:rsid w:val="00397891"/>
    <w:rsid w:val="003A03BA"/>
    <w:rsid w:val="003A0466"/>
    <w:rsid w:val="003A23AA"/>
    <w:rsid w:val="003A2522"/>
    <w:rsid w:val="003A37FC"/>
    <w:rsid w:val="003A4C3D"/>
    <w:rsid w:val="003A61C7"/>
    <w:rsid w:val="003A66FF"/>
    <w:rsid w:val="003A6A61"/>
    <w:rsid w:val="003B0451"/>
    <w:rsid w:val="003B0576"/>
    <w:rsid w:val="003B0DA5"/>
    <w:rsid w:val="003B12ED"/>
    <w:rsid w:val="003B2558"/>
    <w:rsid w:val="003B2EA1"/>
    <w:rsid w:val="003B3966"/>
    <w:rsid w:val="003B4648"/>
    <w:rsid w:val="003B619C"/>
    <w:rsid w:val="003B6C09"/>
    <w:rsid w:val="003B6C59"/>
    <w:rsid w:val="003C00F7"/>
    <w:rsid w:val="003C1C63"/>
    <w:rsid w:val="003C2F9E"/>
    <w:rsid w:val="003C3EF1"/>
    <w:rsid w:val="003C40F0"/>
    <w:rsid w:val="003C46D7"/>
    <w:rsid w:val="003C50F0"/>
    <w:rsid w:val="003C5DDD"/>
    <w:rsid w:val="003C6297"/>
    <w:rsid w:val="003D1669"/>
    <w:rsid w:val="003D30AD"/>
    <w:rsid w:val="003D486C"/>
    <w:rsid w:val="003D63DB"/>
    <w:rsid w:val="003D6A1E"/>
    <w:rsid w:val="003D728E"/>
    <w:rsid w:val="003E0780"/>
    <w:rsid w:val="003E09B1"/>
    <w:rsid w:val="003E1000"/>
    <w:rsid w:val="003E1DB4"/>
    <w:rsid w:val="003E2BC1"/>
    <w:rsid w:val="003E308C"/>
    <w:rsid w:val="003E39F6"/>
    <w:rsid w:val="003E4AAC"/>
    <w:rsid w:val="003E52CE"/>
    <w:rsid w:val="003E55A8"/>
    <w:rsid w:val="003E5D2E"/>
    <w:rsid w:val="003E6FA6"/>
    <w:rsid w:val="003E7A6E"/>
    <w:rsid w:val="003F14C2"/>
    <w:rsid w:val="003F14D9"/>
    <w:rsid w:val="003F1CC3"/>
    <w:rsid w:val="003F216D"/>
    <w:rsid w:val="003F2ECD"/>
    <w:rsid w:val="003F3A2A"/>
    <w:rsid w:val="003F526C"/>
    <w:rsid w:val="0040143D"/>
    <w:rsid w:val="00403A66"/>
    <w:rsid w:val="00403CA7"/>
    <w:rsid w:val="00404191"/>
    <w:rsid w:val="00404706"/>
    <w:rsid w:val="00404934"/>
    <w:rsid w:val="0040493A"/>
    <w:rsid w:val="00404D71"/>
    <w:rsid w:val="00405E13"/>
    <w:rsid w:val="004066C8"/>
    <w:rsid w:val="00406A09"/>
    <w:rsid w:val="00407659"/>
    <w:rsid w:val="004103A5"/>
    <w:rsid w:val="00411165"/>
    <w:rsid w:val="0041589D"/>
    <w:rsid w:val="00416167"/>
    <w:rsid w:val="00416462"/>
    <w:rsid w:val="00416D06"/>
    <w:rsid w:val="00420012"/>
    <w:rsid w:val="004201E2"/>
    <w:rsid w:val="004209F3"/>
    <w:rsid w:val="0042165D"/>
    <w:rsid w:val="00421D9D"/>
    <w:rsid w:val="0042215A"/>
    <w:rsid w:val="004233C6"/>
    <w:rsid w:val="00423DBB"/>
    <w:rsid w:val="00424EE0"/>
    <w:rsid w:val="0042675A"/>
    <w:rsid w:val="004300B7"/>
    <w:rsid w:val="00430350"/>
    <w:rsid w:val="00430DE8"/>
    <w:rsid w:val="00432C99"/>
    <w:rsid w:val="00433807"/>
    <w:rsid w:val="00433B60"/>
    <w:rsid w:val="00433C9C"/>
    <w:rsid w:val="00434727"/>
    <w:rsid w:val="004353A9"/>
    <w:rsid w:val="00435633"/>
    <w:rsid w:val="0043601E"/>
    <w:rsid w:val="00436768"/>
    <w:rsid w:val="00436E04"/>
    <w:rsid w:val="004371E6"/>
    <w:rsid w:val="0044124C"/>
    <w:rsid w:val="00441BAC"/>
    <w:rsid w:val="00442C43"/>
    <w:rsid w:val="0044354A"/>
    <w:rsid w:val="00444241"/>
    <w:rsid w:val="0044486C"/>
    <w:rsid w:val="00444FCF"/>
    <w:rsid w:val="00445C8D"/>
    <w:rsid w:val="00445FF1"/>
    <w:rsid w:val="00451553"/>
    <w:rsid w:val="004520D2"/>
    <w:rsid w:val="00452E51"/>
    <w:rsid w:val="004540E6"/>
    <w:rsid w:val="004541F8"/>
    <w:rsid w:val="00454D8E"/>
    <w:rsid w:val="00456D9B"/>
    <w:rsid w:val="00457DF3"/>
    <w:rsid w:val="004606DE"/>
    <w:rsid w:val="00461291"/>
    <w:rsid w:val="004612E2"/>
    <w:rsid w:val="004613F7"/>
    <w:rsid w:val="004620B7"/>
    <w:rsid w:val="004627B9"/>
    <w:rsid w:val="00463448"/>
    <w:rsid w:val="00464AF1"/>
    <w:rsid w:val="00466C76"/>
    <w:rsid w:val="00467E4A"/>
    <w:rsid w:val="00467EAE"/>
    <w:rsid w:val="0047014B"/>
    <w:rsid w:val="00471254"/>
    <w:rsid w:val="004718FC"/>
    <w:rsid w:val="00472231"/>
    <w:rsid w:val="00472BA3"/>
    <w:rsid w:val="00472E3E"/>
    <w:rsid w:val="00475B1D"/>
    <w:rsid w:val="00475CEC"/>
    <w:rsid w:val="00475DE5"/>
    <w:rsid w:val="00475F10"/>
    <w:rsid w:val="00476FAD"/>
    <w:rsid w:val="00477451"/>
    <w:rsid w:val="00477989"/>
    <w:rsid w:val="0048056A"/>
    <w:rsid w:val="00481888"/>
    <w:rsid w:val="00481916"/>
    <w:rsid w:val="00483725"/>
    <w:rsid w:val="00484013"/>
    <w:rsid w:val="00484637"/>
    <w:rsid w:val="00484D4B"/>
    <w:rsid w:val="004850FB"/>
    <w:rsid w:val="00486293"/>
    <w:rsid w:val="00486A5E"/>
    <w:rsid w:val="004905B7"/>
    <w:rsid w:val="0049096D"/>
    <w:rsid w:val="00490AA2"/>
    <w:rsid w:val="00491F87"/>
    <w:rsid w:val="0049244E"/>
    <w:rsid w:val="0049281A"/>
    <w:rsid w:val="00492D91"/>
    <w:rsid w:val="004942DA"/>
    <w:rsid w:val="00494CB0"/>
    <w:rsid w:val="00494F05"/>
    <w:rsid w:val="004964C8"/>
    <w:rsid w:val="004966B4"/>
    <w:rsid w:val="00496C28"/>
    <w:rsid w:val="004A20FB"/>
    <w:rsid w:val="004A3EF6"/>
    <w:rsid w:val="004A4E22"/>
    <w:rsid w:val="004A5294"/>
    <w:rsid w:val="004A56E1"/>
    <w:rsid w:val="004A5C18"/>
    <w:rsid w:val="004A6E6E"/>
    <w:rsid w:val="004A74D9"/>
    <w:rsid w:val="004B0A9C"/>
    <w:rsid w:val="004B0E87"/>
    <w:rsid w:val="004B178E"/>
    <w:rsid w:val="004B33CE"/>
    <w:rsid w:val="004B51FE"/>
    <w:rsid w:val="004B5C3D"/>
    <w:rsid w:val="004B6331"/>
    <w:rsid w:val="004B6603"/>
    <w:rsid w:val="004B76A9"/>
    <w:rsid w:val="004B7B74"/>
    <w:rsid w:val="004C0579"/>
    <w:rsid w:val="004C1EFC"/>
    <w:rsid w:val="004C2AB8"/>
    <w:rsid w:val="004C2CAA"/>
    <w:rsid w:val="004C57EC"/>
    <w:rsid w:val="004C5975"/>
    <w:rsid w:val="004C630A"/>
    <w:rsid w:val="004C6672"/>
    <w:rsid w:val="004C7111"/>
    <w:rsid w:val="004C7760"/>
    <w:rsid w:val="004C7B35"/>
    <w:rsid w:val="004D01A3"/>
    <w:rsid w:val="004D03D7"/>
    <w:rsid w:val="004D08E2"/>
    <w:rsid w:val="004D13CF"/>
    <w:rsid w:val="004D2CB8"/>
    <w:rsid w:val="004D30DB"/>
    <w:rsid w:val="004D525D"/>
    <w:rsid w:val="004D6036"/>
    <w:rsid w:val="004D6141"/>
    <w:rsid w:val="004D6F33"/>
    <w:rsid w:val="004D79C8"/>
    <w:rsid w:val="004E1017"/>
    <w:rsid w:val="004E23F3"/>
    <w:rsid w:val="004E343F"/>
    <w:rsid w:val="004E3913"/>
    <w:rsid w:val="004E428A"/>
    <w:rsid w:val="004E4836"/>
    <w:rsid w:val="004E4F4F"/>
    <w:rsid w:val="004E5642"/>
    <w:rsid w:val="004E6A11"/>
    <w:rsid w:val="004E7BD7"/>
    <w:rsid w:val="004F2A0E"/>
    <w:rsid w:val="004F31CB"/>
    <w:rsid w:val="004F3E35"/>
    <w:rsid w:val="004F416D"/>
    <w:rsid w:val="004F5563"/>
    <w:rsid w:val="00500742"/>
    <w:rsid w:val="005007AA"/>
    <w:rsid w:val="00500DBC"/>
    <w:rsid w:val="0050129B"/>
    <w:rsid w:val="00502383"/>
    <w:rsid w:val="005024DD"/>
    <w:rsid w:val="00503001"/>
    <w:rsid w:val="005036BA"/>
    <w:rsid w:val="0050384A"/>
    <w:rsid w:val="005039A3"/>
    <w:rsid w:val="005059B6"/>
    <w:rsid w:val="00505C9B"/>
    <w:rsid w:val="005075CA"/>
    <w:rsid w:val="00507AC2"/>
    <w:rsid w:val="005111E0"/>
    <w:rsid w:val="00511782"/>
    <w:rsid w:val="00512636"/>
    <w:rsid w:val="0051268E"/>
    <w:rsid w:val="00512F9E"/>
    <w:rsid w:val="0051507C"/>
    <w:rsid w:val="00515F15"/>
    <w:rsid w:val="00517F00"/>
    <w:rsid w:val="0052035A"/>
    <w:rsid w:val="005228CE"/>
    <w:rsid w:val="00522C60"/>
    <w:rsid w:val="00523929"/>
    <w:rsid w:val="00523E42"/>
    <w:rsid w:val="0052448D"/>
    <w:rsid w:val="0052486D"/>
    <w:rsid w:val="0052521A"/>
    <w:rsid w:val="00525C14"/>
    <w:rsid w:val="00526259"/>
    <w:rsid w:val="00526635"/>
    <w:rsid w:val="00530C2A"/>
    <w:rsid w:val="005315F8"/>
    <w:rsid w:val="00531EE9"/>
    <w:rsid w:val="0053319A"/>
    <w:rsid w:val="005335C2"/>
    <w:rsid w:val="0053373E"/>
    <w:rsid w:val="005337F8"/>
    <w:rsid w:val="005405DA"/>
    <w:rsid w:val="005407CC"/>
    <w:rsid w:val="00541904"/>
    <w:rsid w:val="0054214E"/>
    <w:rsid w:val="00542172"/>
    <w:rsid w:val="005428D2"/>
    <w:rsid w:val="00542ED3"/>
    <w:rsid w:val="00543066"/>
    <w:rsid w:val="005431B3"/>
    <w:rsid w:val="005434C4"/>
    <w:rsid w:val="005462C5"/>
    <w:rsid w:val="00546576"/>
    <w:rsid w:val="00547B36"/>
    <w:rsid w:val="005530E8"/>
    <w:rsid w:val="00555059"/>
    <w:rsid w:val="005554F7"/>
    <w:rsid w:val="00556806"/>
    <w:rsid w:val="0055695C"/>
    <w:rsid w:val="00557035"/>
    <w:rsid w:val="005576CD"/>
    <w:rsid w:val="0056020E"/>
    <w:rsid w:val="005628BD"/>
    <w:rsid w:val="005638CA"/>
    <w:rsid w:val="00563931"/>
    <w:rsid w:val="0056771F"/>
    <w:rsid w:val="00567CBD"/>
    <w:rsid w:val="00570448"/>
    <w:rsid w:val="005710B6"/>
    <w:rsid w:val="00571A9A"/>
    <w:rsid w:val="0057257C"/>
    <w:rsid w:val="0057336F"/>
    <w:rsid w:val="0057383D"/>
    <w:rsid w:val="005740E8"/>
    <w:rsid w:val="00574281"/>
    <w:rsid w:val="005748DB"/>
    <w:rsid w:val="00574C8C"/>
    <w:rsid w:val="00576F77"/>
    <w:rsid w:val="005779A0"/>
    <w:rsid w:val="005813B2"/>
    <w:rsid w:val="00582AD7"/>
    <w:rsid w:val="0058309D"/>
    <w:rsid w:val="00584A20"/>
    <w:rsid w:val="00584B03"/>
    <w:rsid w:val="00585435"/>
    <w:rsid w:val="005855CE"/>
    <w:rsid w:val="00585954"/>
    <w:rsid w:val="00590B16"/>
    <w:rsid w:val="00591465"/>
    <w:rsid w:val="00591C11"/>
    <w:rsid w:val="00592275"/>
    <w:rsid w:val="00593720"/>
    <w:rsid w:val="0059390D"/>
    <w:rsid w:val="005947BE"/>
    <w:rsid w:val="00594B7E"/>
    <w:rsid w:val="00594E58"/>
    <w:rsid w:val="0059545C"/>
    <w:rsid w:val="005958AD"/>
    <w:rsid w:val="005968F5"/>
    <w:rsid w:val="00596B5F"/>
    <w:rsid w:val="005A0685"/>
    <w:rsid w:val="005A11C1"/>
    <w:rsid w:val="005A1C79"/>
    <w:rsid w:val="005A26C9"/>
    <w:rsid w:val="005A3F15"/>
    <w:rsid w:val="005A66CE"/>
    <w:rsid w:val="005A6B78"/>
    <w:rsid w:val="005A7271"/>
    <w:rsid w:val="005A749A"/>
    <w:rsid w:val="005A77EA"/>
    <w:rsid w:val="005B2D3C"/>
    <w:rsid w:val="005B32F2"/>
    <w:rsid w:val="005B403E"/>
    <w:rsid w:val="005B4713"/>
    <w:rsid w:val="005B474C"/>
    <w:rsid w:val="005B5410"/>
    <w:rsid w:val="005C06D2"/>
    <w:rsid w:val="005C0BBF"/>
    <w:rsid w:val="005C180F"/>
    <w:rsid w:val="005C1A70"/>
    <w:rsid w:val="005C1D94"/>
    <w:rsid w:val="005C2D16"/>
    <w:rsid w:val="005C4C21"/>
    <w:rsid w:val="005C4CBA"/>
    <w:rsid w:val="005C5338"/>
    <w:rsid w:val="005C575F"/>
    <w:rsid w:val="005C6FFB"/>
    <w:rsid w:val="005C714A"/>
    <w:rsid w:val="005C7A43"/>
    <w:rsid w:val="005D0EBB"/>
    <w:rsid w:val="005D103D"/>
    <w:rsid w:val="005D135D"/>
    <w:rsid w:val="005D1715"/>
    <w:rsid w:val="005D1A28"/>
    <w:rsid w:val="005D249D"/>
    <w:rsid w:val="005D37CE"/>
    <w:rsid w:val="005D3DAA"/>
    <w:rsid w:val="005D3EFF"/>
    <w:rsid w:val="005D51D8"/>
    <w:rsid w:val="005D5CF2"/>
    <w:rsid w:val="005D5E6A"/>
    <w:rsid w:val="005D7371"/>
    <w:rsid w:val="005D7E67"/>
    <w:rsid w:val="005E06DD"/>
    <w:rsid w:val="005E344E"/>
    <w:rsid w:val="005E4587"/>
    <w:rsid w:val="005E4BEF"/>
    <w:rsid w:val="005E4CBE"/>
    <w:rsid w:val="005E4DF9"/>
    <w:rsid w:val="005E642B"/>
    <w:rsid w:val="005E7681"/>
    <w:rsid w:val="005E7C02"/>
    <w:rsid w:val="005E7EC5"/>
    <w:rsid w:val="005F1E7E"/>
    <w:rsid w:val="005F2621"/>
    <w:rsid w:val="005F3E2F"/>
    <w:rsid w:val="005F3E49"/>
    <w:rsid w:val="005F4CB6"/>
    <w:rsid w:val="005F4D37"/>
    <w:rsid w:val="005F4DF7"/>
    <w:rsid w:val="00602BE7"/>
    <w:rsid w:val="00603B6C"/>
    <w:rsid w:val="00603FEA"/>
    <w:rsid w:val="00604B7E"/>
    <w:rsid w:val="00606401"/>
    <w:rsid w:val="00607379"/>
    <w:rsid w:val="006075A6"/>
    <w:rsid w:val="00607865"/>
    <w:rsid w:val="00607B5B"/>
    <w:rsid w:val="00611450"/>
    <w:rsid w:val="006114F0"/>
    <w:rsid w:val="00611ED6"/>
    <w:rsid w:val="00614ABF"/>
    <w:rsid w:val="00614EE8"/>
    <w:rsid w:val="00615315"/>
    <w:rsid w:val="0061556B"/>
    <w:rsid w:val="0061684D"/>
    <w:rsid w:val="00616C3F"/>
    <w:rsid w:val="00620057"/>
    <w:rsid w:val="006210E4"/>
    <w:rsid w:val="00624FF9"/>
    <w:rsid w:val="00626B45"/>
    <w:rsid w:val="00627044"/>
    <w:rsid w:val="00630650"/>
    <w:rsid w:val="006328C5"/>
    <w:rsid w:val="00633AE8"/>
    <w:rsid w:val="00633E73"/>
    <w:rsid w:val="0063411F"/>
    <w:rsid w:val="00634DEB"/>
    <w:rsid w:val="006355A9"/>
    <w:rsid w:val="0063619D"/>
    <w:rsid w:val="0063760F"/>
    <w:rsid w:val="00643348"/>
    <w:rsid w:val="006454F1"/>
    <w:rsid w:val="0064589E"/>
    <w:rsid w:val="00646B9C"/>
    <w:rsid w:val="00647058"/>
    <w:rsid w:val="006475E4"/>
    <w:rsid w:val="00647D4C"/>
    <w:rsid w:val="00647DD5"/>
    <w:rsid w:val="0065041A"/>
    <w:rsid w:val="00651238"/>
    <w:rsid w:val="0065302B"/>
    <w:rsid w:val="006541E6"/>
    <w:rsid w:val="006547E4"/>
    <w:rsid w:val="00654C91"/>
    <w:rsid w:val="00655F9B"/>
    <w:rsid w:val="00656128"/>
    <w:rsid w:val="006563E3"/>
    <w:rsid w:val="00657917"/>
    <w:rsid w:val="00660536"/>
    <w:rsid w:val="00662C5F"/>
    <w:rsid w:val="00662E2C"/>
    <w:rsid w:val="00662E80"/>
    <w:rsid w:val="006639BE"/>
    <w:rsid w:val="00664192"/>
    <w:rsid w:val="00664419"/>
    <w:rsid w:val="00664791"/>
    <w:rsid w:val="00664A91"/>
    <w:rsid w:val="006656D4"/>
    <w:rsid w:val="006661E6"/>
    <w:rsid w:val="00667A4C"/>
    <w:rsid w:val="00673C24"/>
    <w:rsid w:val="00674B39"/>
    <w:rsid w:val="0067545B"/>
    <w:rsid w:val="006756C4"/>
    <w:rsid w:val="00675ED8"/>
    <w:rsid w:val="00680822"/>
    <w:rsid w:val="00681F96"/>
    <w:rsid w:val="006824DC"/>
    <w:rsid w:val="00682CDD"/>
    <w:rsid w:val="00682DB9"/>
    <w:rsid w:val="00683C1C"/>
    <w:rsid w:val="00685457"/>
    <w:rsid w:val="006878F1"/>
    <w:rsid w:val="006878F8"/>
    <w:rsid w:val="00687CB4"/>
    <w:rsid w:val="00687D13"/>
    <w:rsid w:val="0069048E"/>
    <w:rsid w:val="006910B5"/>
    <w:rsid w:val="00691AF4"/>
    <w:rsid w:val="006924EF"/>
    <w:rsid w:val="00694474"/>
    <w:rsid w:val="00694E1F"/>
    <w:rsid w:val="006A0157"/>
    <w:rsid w:val="006A0322"/>
    <w:rsid w:val="006A03EC"/>
    <w:rsid w:val="006A15BA"/>
    <w:rsid w:val="006A189C"/>
    <w:rsid w:val="006A2481"/>
    <w:rsid w:val="006A4750"/>
    <w:rsid w:val="006A4C0D"/>
    <w:rsid w:val="006A4C4D"/>
    <w:rsid w:val="006A5E45"/>
    <w:rsid w:val="006A6D1A"/>
    <w:rsid w:val="006A772A"/>
    <w:rsid w:val="006A7F5F"/>
    <w:rsid w:val="006B05F7"/>
    <w:rsid w:val="006B0B7B"/>
    <w:rsid w:val="006B1648"/>
    <w:rsid w:val="006B266C"/>
    <w:rsid w:val="006B363A"/>
    <w:rsid w:val="006B4E84"/>
    <w:rsid w:val="006B72CD"/>
    <w:rsid w:val="006C0922"/>
    <w:rsid w:val="006C1F81"/>
    <w:rsid w:val="006C2133"/>
    <w:rsid w:val="006C5F53"/>
    <w:rsid w:val="006C62E5"/>
    <w:rsid w:val="006C6383"/>
    <w:rsid w:val="006C7659"/>
    <w:rsid w:val="006D057D"/>
    <w:rsid w:val="006D1DF7"/>
    <w:rsid w:val="006D252D"/>
    <w:rsid w:val="006D2DCE"/>
    <w:rsid w:val="006D31C7"/>
    <w:rsid w:val="006D3754"/>
    <w:rsid w:val="006D38E0"/>
    <w:rsid w:val="006D46A8"/>
    <w:rsid w:val="006D61CF"/>
    <w:rsid w:val="006D6743"/>
    <w:rsid w:val="006D7AA5"/>
    <w:rsid w:val="006D7B8D"/>
    <w:rsid w:val="006E1456"/>
    <w:rsid w:val="006E19C0"/>
    <w:rsid w:val="006E1EBD"/>
    <w:rsid w:val="006E4F4E"/>
    <w:rsid w:val="006E56CC"/>
    <w:rsid w:val="006E5C82"/>
    <w:rsid w:val="006F0B57"/>
    <w:rsid w:val="006F2D53"/>
    <w:rsid w:val="006F4621"/>
    <w:rsid w:val="006F494B"/>
    <w:rsid w:val="006F51D3"/>
    <w:rsid w:val="00700112"/>
    <w:rsid w:val="00701685"/>
    <w:rsid w:val="007037FF"/>
    <w:rsid w:val="00704466"/>
    <w:rsid w:val="00704B6C"/>
    <w:rsid w:val="00704B6F"/>
    <w:rsid w:val="00704C0D"/>
    <w:rsid w:val="00705B03"/>
    <w:rsid w:val="007071B6"/>
    <w:rsid w:val="0070767D"/>
    <w:rsid w:val="007077EA"/>
    <w:rsid w:val="00707CFF"/>
    <w:rsid w:val="007120B9"/>
    <w:rsid w:val="00712CCC"/>
    <w:rsid w:val="00713453"/>
    <w:rsid w:val="007145FD"/>
    <w:rsid w:val="00714807"/>
    <w:rsid w:val="00716547"/>
    <w:rsid w:val="00721A4D"/>
    <w:rsid w:val="00721DFD"/>
    <w:rsid w:val="00721F00"/>
    <w:rsid w:val="00723209"/>
    <w:rsid w:val="007238D8"/>
    <w:rsid w:val="00723A6C"/>
    <w:rsid w:val="0072414D"/>
    <w:rsid w:val="00724C52"/>
    <w:rsid w:val="007256F9"/>
    <w:rsid w:val="007257B0"/>
    <w:rsid w:val="00725CA2"/>
    <w:rsid w:val="00725ECD"/>
    <w:rsid w:val="00726627"/>
    <w:rsid w:val="007272A9"/>
    <w:rsid w:val="00730056"/>
    <w:rsid w:val="00730692"/>
    <w:rsid w:val="007309D7"/>
    <w:rsid w:val="00732CEF"/>
    <w:rsid w:val="0073322B"/>
    <w:rsid w:val="00734A7A"/>
    <w:rsid w:val="00735EE0"/>
    <w:rsid w:val="00741283"/>
    <w:rsid w:val="00742549"/>
    <w:rsid w:val="00744EF4"/>
    <w:rsid w:val="007453BD"/>
    <w:rsid w:val="00745C85"/>
    <w:rsid w:val="00746BE1"/>
    <w:rsid w:val="00747620"/>
    <w:rsid w:val="00747EDD"/>
    <w:rsid w:val="00747FB0"/>
    <w:rsid w:val="00751EFD"/>
    <w:rsid w:val="00752F9D"/>
    <w:rsid w:val="00754380"/>
    <w:rsid w:val="007546B9"/>
    <w:rsid w:val="00755AA4"/>
    <w:rsid w:val="0075705F"/>
    <w:rsid w:val="00757911"/>
    <w:rsid w:val="00760206"/>
    <w:rsid w:val="00761852"/>
    <w:rsid w:val="00761B84"/>
    <w:rsid w:val="0076290F"/>
    <w:rsid w:val="00762B0A"/>
    <w:rsid w:val="00763DFC"/>
    <w:rsid w:val="00764461"/>
    <w:rsid w:val="0076571B"/>
    <w:rsid w:val="00766AF8"/>
    <w:rsid w:val="00766FEC"/>
    <w:rsid w:val="007674E9"/>
    <w:rsid w:val="00767D27"/>
    <w:rsid w:val="00767E86"/>
    <w:rsid w:val="0077208E"/>
    <w:rsid w:val="007747AD"/>
    <w:rsid w:val="00774FBE"/>
    <w:rsid w:val="0077652A"/>
    <w:rsid w:val="00780709"/>
    <w:rsid w:val="007824F5"/>
    <w:rsid w:val="00782CB9"/>
    <w:rsid w:val="00783D6C"/>
    <w:rsid w:val="00783EF4"/>
    <w:rsid w:val="007845B0"/>
    <w:rsid w:val="007854A5"/>
    <w:rsid w:val="007867FF"/>
    <w:rsid w:val="007870C1"/>
    <w:rsid w:val="00787449"/>
    <w:rsid w:val="00787CB6"/>
    <w:rsid w:val="007903FE"/>
    <w:rsid w:val="007904E6"/>
    <w:rsid w:val="00790ADD"/>
    <w:rsid w:val="007913EF"/>
    <w:rsid w:val="0079386C"/>
    <w:rsid w:val="00793A65"/>
    <w:rsid w:val="00793FC5"/>
    <w:rsid w:val="00794337"/>
    <w:rsid w:val="00794430"/>
    <w:rsid w:val="00794912"/>
    <w:rsid w:val="00797D06"/>
    <w:rsid w:val="007A06D4"/>
    <w:rsid w:val="007A292D"/>
    <w:rsid w:val="007A4533"/>
    <w:rsid w:val="007A4AA5"/>
    <w:rsid w:val="007A5BA7"/>
    <w:rsid w:val="007A6A81"/>
    <w:rsid w:val="007A72AE"/>
    <w:rsid w:val="007B02D0"/>
    <w:rsid w:val="007B08FB"/>
    <w:rsid w:val="007B173A"/>
    <w:rsid w:val="007B253D"/>
    <w:rsid w:val="007B2982"/>
    <w:rsid w:val="007B4D16"/>
    <w:rsid w:val="007B5DC2"/>
    <w:rsid w:val="007B6CE5"/>
    <w:rsid w:val="007C18A9"/>
    <w:rsid w:val="007C2BCD"/>
    <w:rsid w:val="007C3634"/>
    <w:rsid w:val="007C3ECA"/>
    <w:rsid w:val="007C405A"/>
    <w:rsid w:val="007C5011"/>
    <w:rsid w:val="007C5224"/>
    <w:rsid w:val="007C53A7"/>
    <w:rsid w:val="007C691E"/>
    <w:rsid w:val="007C7B0B"/>
    <w:rsid w:val="007D1B78"/>
    <w:rsid w:val="007D2BA0"/>
    <w:rsid w:val="007D47E9"/>
    <w:rsid w:val="007D4860"/>
    <w:rsid w:val="007D49CB"/>
    <w:rsid w:val="007D4C96"/>
    <w:rsid w:val="007D5D20"/>
    <w:rsid w:val="007D7CD2"/>
    <w:rsid w:val="007E2D01"/>
    <w:rsid w:val="007E2FA3"/>
    <w:rsid w:val="007E7EB4"/>
    <w:rsid w:val="007F20EE"/>
    <w:rsid w:val="007F4546"/>
    <w:rsid w:val="007F5C99"/>
    <w:rsid w:val="007F5D73"/>
    <w:rsid w:val="007F7121"/>
    <w:rsid w:val="008022D2"/>
    <w:rsid w:val="00802769"/>
    <w:rsid w:val="00802E63"/>
    <w:rsid w:val="008031FF"/>
    <w:rsid w:val="0080332D"/>
    <w:rsid w:val="008046C2"/>
    <w:rsid w:val="00804858"/>
    <w:rsid w:val="00804DA2"/>
    <w:rsid w:val="00805292"/>
    <w:rsid w:val="008061B5"/>
    <w:rsid w:val="00806E11"/>
    <w:rsid w:val="008101F2"/>
    <w:rsid w:val="00810D88"/>
    <w:rsid w:val="00810E4E"/>
    <w:rsid w:val="00811A05"/>
    <w:rsid w:val="0081450E"/>
    <w:rsid w:val="00814A24"/>
    <w:rsid w:val="00814C2E"/>
    <w:rsid w:val="00816A2B"/>
    <w:rsid w:val="00816FEF"/>
    <w:rsid w:val="008170B0"/>
    <w:rsid w:val="008201CD"/>
    <w:rsid w:val="00820279"/>
    <w:rsid w:val="00820E0B"/>
    <w:rsid w:val="00822314"/>
    <w:rsid w:val="00822535"/>
    <w:rsid w:val="00823604"/>
    <w:rsid w:val="00823772"/>
    <w:rsid w:val="00824036"/>
    <w:rsid w:val="00824A0B"/>
    <w:rsid w:val="0082514B"/>
    <w:rsid w:val="00825569"/>
    <w:rsid w:val="00825FC4"/>
    <w:rsid w:val="00826603"/>
    <w:rsid w:val="00827C0F"/>
    <w:rsid w:val="008331BA"/>
    <w:rsid w:val="008331F1"/>
    <w:rsid w:val="00834B4E"/>
    <w:rsid w:val="00834F1B"/>
    <w:rsid w:val="008351E0"/>
    <w:rsid w:val="00835F60"/>
    <w:rsid w:val="008369BA"/>
    <w:rsid w:val="00837E8C"/>
    <w:rsid w:val="00840938"/>
    <w:rsid w:val="00840DA8"/>
    <w:rsid w:val="00841F5D"/>
    <w:rsid w:val="00842735"/>
    <w:rsid w:val="00842EE6"/>
    <w:rsid w:val="0084307F"/>
    <w:rsid w:val="00843530"/>
    <w:rsid w:val="008437AF"/>
    <w:rsid w:val="00845111"/>
    <w:rsid w:val="00845C85"/>
    <w:rsid w:val="00847064"/>
    <w:rsid w:val="00850131"/>
    <w:rsid w:val="00850B21"/>
    <w:rsid w:val="00852145"/>
    <w:rsid w:val="00853955"/>
    <w:rsid w:val="00853F36"/>
    <w:rsid w:val="0085494D"/>
    <w:rsid w:val="00855530"/>
    <w:rsid w:val="008559F2"/>
    <w:rsid w:val="00856036"/>
    <w:rsid w:val="0085615D"/>
    <w:rsid w:val="0085618E"/>
    <w:rsid w:val="00857927"/>
    <w:rsid w:val="00857A76"/>
    <w:rsid w:val="008608B0"/>
    <w:rsid w:val="008616D3"/>
    <w:rsid w:val="00862579"/>
    <w:rsid w:val="00862B12"/>
    <w:rsid w:val="00862D4C"/>
    <w:rsid w:val="008645A0"/>
    <w:rsid w:val="008645C3"/>
    <w:rsid w:val="0086477D"/>
    <w:rsid w:val="0086638B"/>
    <w:rsid w:val="00866598"/>
    <w:rsid w:val="00866EE2"/>
    <w:rsid w:val="0086724F"/>
    <w:rsid w:val="00867545"/>
    <w:rsid w:val="008678BF"/>
    <w:rsid w:val="008720DD"/>
    <w:rsid w:val="00875767"/>
    <w:rsid w:val="0087629F"/>
    <w:rsid w:val="00876D7D"/>
    <w:rsid w:val="008770C2"/>
    <w:rsid w:val="00877BB1"/>
    <w:rsid w:val="0088078A"/>
    <w:rsid w:val="008824A7"/>
    <w:rsid w:val="008824E9"/>
    <w:rsid w:val="00882860"/>
    <w:rsid w:val="0088336C"/>
    <w:rsid w:val="00883AA1"/>
    <w:rsid w:val="00883D4B"/>
    <w:rsid w:val="008848DC"/>
    <w:rsid w:val="00884AB9"/>
    <w:rsid w:val="0088500A"/>
    <w:rsid w:val="00885462"/>
    <w:rsid w:val="00886E43"/>
    <w:rsid w:val="00887EBD"/>
    <w:rsid w:val="008902F6"/>
    <w:rsid w:val="008913DB"/>
    <w:rsid w:val="008924F8"/>
    <w:rsid w:val="00893745"/>
    <w:rsid w:val="00895533"/>
    <w:rsid w:val="00896945"/>
    <w:rsid w:val="008A03CC"/>
    <w:rsid w:val="008A1119"/>
    <w:rsid w:val="008A24ED"/>
    <w:rsid w:val="008A3762"/>
    <w:rsid w:val="008A3A0F"/>
    <w:rsid w:val="008A73B4"/>
    <w:rsid w:val="008A74E6"/>
    <w:rsid w:val="008A75BD"/>
    <w:rsid w:val="008B1E2A"/>
    <w:rsid w:val="008B3367"/>
    <w:rsid w:val="008B392D"/>
    <w:rsid w:val="008B3E06"/>
    <w:rsid w:val="008B43CB"/>
    <w:rsid w:val="008B45CC"/>
    <w:rsid w:val="008B7094"/>
    <w:rsid w:val="008B75CE"/>
    <w:rsid w:val="008C1B71"/>
    <w:rsid w:val="008C203F"/>
    <w:rsid w:val="008C218C"/>
    <w:rsid w:val="008C4F80"/>
    <w:rsid w:val="008C592C"/>
    <w:rsid w:val="008C607F"/>
    <w:rsid w:val="008C6191"/>
    <w:rsid w:val="008C61D6"/>
    <w:rsid w:val="008D1BA9"/>
    <w:rsid w:val="008D2796"/>
    <w:rsid w:val="008D2C12"/>
    <w:rsid w:val="008D3117"/>
    <w:rsid w:val="008D375B"/>
    <w:rsid w:val="008D3CC1"/>
    <w:rsid w:val="008D433A"/>
    <w:rsid w:val="008D6939"/>
    <w:rsid w:val="008E1249"/>
    <w:rsid w:val="008E1289"/>
    <w:rsid w:val="008E1696"/>
    <w:rsid w:val="008E1FDA"/>
    <w:rsid w:val="008E216A"/>
    <w:rsid w:val="008E3A81"/>
    <w:rsid w:val="008E477A"/>
    <w:rsid w:val="008E4802"/>
    <w:rsid w:val="008E536E"/>
    <w:rsid w:val="008E5E89"/>
    <w:rsid w:val="008E702A"/>
    <w:rsid w:val="008E7104"/>
    <w:rsid w:val="008E7691"/>
    <w:rsid w:val="008E77AA"/>
    <w:rsid w:val="008E7B80"/>
    <w:rsid w:val="008F00A3"/>
    <w:rsid w:val="008F174B"/>
    <w:rsid w:val="008F2B51"/>
    <w:rsid w:val="008F3180"/>
    <w:rsid w:val="008F41A1"/>
    <w:rsid w:val="008F5064"/>
    <w:rsid w:val="008F5F36"/>
    <w:rsid w:val="009000B0"/>
    <w:rsid w:val="0090077B"/>
    <w:rsid w:val="00900E0F"/>
    <w:rsid w:val="00900E5F"/>
    <w:rsid w:val="00901FF9"/>
    <w:rsid w:val="00902D8A"/>
    <w:rsid w:val="00902EDC"/>
    <w:rsid w:val="00903F52"/>
    <w:rsid w:val="00904319"/>
    <w:rsid w:val="00904EB1"/>
    <w:rsid w:val="009051B1"/>
    <w:rsid w:val="009053D2"/>
    <w:rsid w:val="009057B6"/>
    <w:rsid w:val="009059AE"/>
    <w:rsid w:val="00905D9B"/>
    <w:rsid w:val="00906142"/>
    <w:rsid w:val="0090630C"/>
    <w:rsid w:val="00906F54"/>
    <w:rsid w:val="00910B6F"/>
    <w:rsid w:val="009111FE"/>
    <w:rsid w:val="0091131C"/>
    <w:rsid w:val="00911820"/>
    <w:rsid w:val="00912FF1"/>
    <w:rsid w:val="00913EBA"/>
    <w:rsid w:val="00915544"/>
    <w:rsid w:val="00915E20"/>
    <w:rsid w:val="00917340"/>
    <w:rsid w:val="00917953"/>
    <w:rsid w:val="0092043B"/>
    <w:rsid w:val="009214C0"/>
    <w:rsid w:val="0092277E"/>
    <w:rsid w:val="00923A3E"/>
    <w:rsid w:val="00923FAC"/>
    <w:rsid w:val="009260A2"/>
    <w:rsid w:val="0092658D"/>
    <w:rsid w:val="0092751D"/>
    <w:rsid w:val="009307EB"/>
    <w:rsid w:val="00930AFB"/>
    <w:rsid w:val="00930B38"/>
    <w:rsid w:val="00931EDD"/>
    <w:rsid w:val="009320AA"/>
    <w:rsid w:val="00932729"/>
    <w:rsid w:val="00933C1F"/>
    <w:rsid w:val="009341D9"/>
    <w:rsid w:val="00935057"/>
    <w:rsid w:val="00936D54"/>
    <w:rsid w:val="00940178"/>
    <w:rsid w:val="00940546"/>
    <w:rsid w:val="00941371"/>
    <w:rsid w:val="0094165A"/>
    <w:rsid w:val="009422F5"/>
    <w:rsid w:val="009453C0"/>
    <w:rsid w:val="0094647E"/>
    <w:rsid w:val="00947635"/>
    <w:rsid w:val="00950505"/>
    <w:rsid w:val="00951D43"/>
    <w:rsid w:val="00952C7E"/>
    <w:rsid w:val="00952DA9"/>
    <w:rsid w:val="00954011"/>
    <w:rsid w:val="009547E8"/>
    <w:rsid w:val="00955086"/>
    <w:rsid w:val="00957F69"/>
    <w:rsid w:val="0096021D"/>
    <w:rsid w:val="00961114"/>
    <w:rsid w:val="00961AAF"/>
    <w:rsid w:val="0096346E"/>
    <w:rsid w:val="0096480C"/>
    <w:rsid w:val="00964ABF"/>
    <w:rsid w:val="009651F8"/>
    <w:rsid w:val="00965E35"/>
    <w:rsid w:val="00967087"/>
    <w:rsid w:val="00970625"/>
    <w:rsid w:val="0097122C"/>
    <w:rsid w:val="009718EA"/>
    <w:rsid w:val="00973B43"/>
    <w:rsid w:val="00973BE9"/>
    <w:rsid w:val="00974AEF"/>
    <w:rsid w:val="00975DE7"/>
    <w:rsid w:val="009826F5"/>
    <w:rsid w:val="009835C3"/>
    <w:rsid w:val="00983948"/>
    <w:rsid w:val="009871B1"/>
    <w:rsid w:val="009878C2"/>
    <w:rsid w:val="00990A89"/>
    <w:rsid w:val="00991ABF"/>
    <w:rsid w:val="0099229E"/>
    <w:rsid w:val="00992729"/>
    <w:rsid w:val="00993D9F"/>
    <w:rsid w:val="00993EDC"/>
    <w:rsid w:val="00995D00"/>
    <w:rsid w:val="009A0A95"/>
    <w:rsid w:val="009A1905"/>
    <w:rsid w:val="009A1D67"/>
    <w:rsid w:val="009A24FB"/>
    <w:rsid w:val="009A29C2"/>
    <w:rsid w:val="009B0605"/>
    <w:rsid w:val="009B06CB"/>
    <w:rsid w:val="009B144B"/>
    <w:rsid w:val="009B37D9"/>
    <w:rsid w:val="009B3905"/>
    <w:rsid w:val="009B4367"/>
    <w:rsid w:val="009B43B7"/>
    <w:rsid w:val="009B48D5"/>
    <w:rsid w:val="009B6E45"/>
    <w:rsid w:val="009B781C"/>
    <w:rsid w:val="009C2FE7"/>
    <w:rsid w:val="009C333C"/>
    <w:rsid w:val="009C38C3"/>
    <w:rsid w:val="009C3CE1"/>
    <w:rsid w:val="009C4048"/>
    <w:rsid w:val="009C6361"/>
    <w:rsid w:val="009C6F9F"/>
    <w:rsid w:val="009D0FFB"/>
    <w:rsid w:val="009D1E06"/>
    <w:rsid w:val="009D323B"/>
    <w:rsid w:val="009D3C82"/>
    <w:rsid w:val="009D5FD6"/>
    <w:rsid w:val="009D6318"/>
    <w:rsid w:val="009D7592"/>
    <w:rsid w:val="009E0ADB"/>
    <w:rsid w:val="009E0E51"/>
    <w:rsid w:val="009E11D6"/>
    <w:rsid w:val="009E193D"/>
    <w:rsid w:val="009E2EB3"/>
    <w:rsid w:val="009E5058"/>
    <w:rsid w:val="009E55D8"/>
    <w:rsid w:val="009E56FF"/>
    <w:rsid w:val="009E577A"/>
    <w:rsid w:val="009E5D2B"/>
    <w:rsid w:val="009E61E2"/>
    <w:rsid w:val="009E63D6"/>
    <w:rsid w:val="009F1E5A"/>
    <w:rsid w:val="009F2777"/>
    <w:rsid w:val="009F2849"/>
    <w:rsid w:val="009F3401"/>
    <w:rsid w:val="009F476D"/>
    <w:rsid w:val="009F4784"/>
    <w:rsid w:val="009F754C"/>
    <w:rsid w:val="009F786D"/>
    <w:rsid w:val="00A00294"/>
    <w:rsid w:val="00A011A8"/>
    <w:rsid w:val="00A01F85"/>
    <w:rsid w:val="00A0277B"/>
    <w:rsid w:val="00A04404"/>
    <w:rsid w:val="00A06379"/>
    <w:rsid w:val="00A10F91"/>
    <w:rsid w:val="00A11667"/>
    <w:rsid w:val="00A11D28"/>
    <w:rsid w:val="00A13133"/>
    <w:rsid w:val="00A13F42"/>
    <w:rsid w:val="00A14065"/>
    <w:rsid w:val="00A152C1"/>
    <w:rsid w:val="00A15B0D"/>
    <w:rsid w:val="00A15B92"/>
    <w:rsid w:val="00A163AF"/>
    <w:rsid w:val="00A1673C"/>
    <w:rsid w:val="00A16814"/>
    <w:rsid w:val="00A20524"/>
    <w:rsid w:val="00A22E83"/>
    <w:rsid w:val="00A230F8"/>
    <w:rsid w:val="00A24452"/>
    <w:rsid w:val="00A24884"/>
    <w:rsid w:val="00A2574F"/>
    <w:rsid w:val="00A25A4B"/>
    <w:rsid w:val="00A27335"/>
    <w:rsid w:val="00A275F2"/>
    <w:rsid w:val="00A278DD"/>
    <w:rsid w:val="00A30591"/>
    <w:rsid w:val="00A315F7"/>
    <w:rsid w:val="00A31681"/>
    <w:rsid w:val="00A31930"/>
    <w:rsid w:val="00A3276C"/>
    <w:rsid w:val="00A32CEF"/>
    <w:rsid w:val="00A33D41"/>
    <w:rsid w:val="00A345CF"/>
    <w:rsid w:val="00A346DA"/>
    <w:rsid w:val="00A34900"/>
    <w:rsid w:val="00A34A3C"/>
    <w:rsid w:val="00A354D5"/>
    <w:rsid w:val="00A36832"/>
    <w:rsid w:val="00A37C67"/>
    <w:rsid w:val="00A42341"/>
    <w:rsid w:val="00A42CC5"/>
    <w:rsid w:val="00A433B7"/>
    <w:rsid w:val="00A43C9C"/>
    <w:rsid w:val="00A44AB2"/>
    <w:rsid w:val="00A4517B"/>
    <w:rsid w:val="00A47100"/>
    <w:rsid w:val="00A471B4"/>
    <w:rsid w:val="00A478B7"/>
    <w:rsid w:val="00A47E57"/>
    <w:rsid w:val="00A50064"/>
    <w:rsid w:val="00A50E93"/>
    <w:rsid w:val="00A51A86"/>
    <w:rsid w:val="00A51F3B"/>
    <w:rsid w:val="00A54789"/>
    <w:rsid w:val="00A5484B"/>
    <w:rsid w:val="00A571B8"/>
    <w:rsid w:val="00A62241"/>
    <w:rsid w:val="00A62439"/>
    <w:rsid w:val="00A62837"/>
    <w:rsid w:val="00A62D10"/>
    <w:rsid w:val="00A63136"/>
    <w:rsid w:val="00A65F0F"/>
    <w:rsid w:val="00A66672"/>
    <w:rsid w:val="00A67AD1"/>
    <w:rsid w:val="00A67DB8"/>
    <w:rsid w:val="00A70158"/>
    <w:rsid w:val="00A71F49"/>
    <w:rsid w:val="00A720CF"/>
    <w:rsid w:val="00A73450"/>
    <w:rsid w:val="00A735A0"/>
    <w:rsid w:val="00A7361E"/>
    <w:rsid w:val="00A74C63"/>
    <w:rsid w:val="00A75167"/>
    <w:rsid w:val="00A7538E"/>
    <w:rsid w:val="00A763C2"/>
    <w:rsid w:val="00A823CA"/>
    <w:rsid w:val="00A8354F"/>
    <w:rsid w:val="00A84C8D"/>
    <w:rsid w:val="00A85568"/>
    <w:rsid w:val="00A8720B"/>
    <w:rsid w:val="00A90008"/>
    <w:rsid w:val="00A90457"/>
    <w:rsid w:val="00A91A5F"/>
    <w:rsid w:val="00A9258A"/>
    <w:rsid w:val="00A95854"/>
    <w:rsid w:val="00A95B0B"/>
    <w:rsid w:val="00A96CDD"/>
    <w:rsid w:val="00AA1692"/>
    <w:rsid w:val="00AA1B6F"/>
    <w:rsid w:val="00AA22B9"/>
    <w:rsid w:val="00AA28FA"/>
    <w:rsid w:val="00AA2F93"/>
    <w:rsid w:val="00AA35CC"/>
    <w:rsid w:val="00AA3A12"/>
    <w:rsid w:val="00AB0311"/>
    <w:rsid w:val="00AB11FE"/>
    <w:rsid w:val="00AB2042"/>
    <w:rsid w:val="00AB49B5"/>
    <w:rsid w:val="00AB5D3D"/>
    <w:rsid w:val="00AB6195"/>
    <w:rsid w:val="00AB6C67"/>
    <w:rsid w:val="00AB705E"/>
    <w:rsid w:val="00AB71C9"/>
    <w:rsid w:val="00AC00B4"/>
    <w:rsid w:val="00AC183D"/>
    <w:rsid w:val="00AC2567"/>
    <w:rsid w:val="00AC38CF"/>
    <w:rsid w:val="00AC3C19"/>
    <w:rsid w:val="00AC434B"/>
    <w:rsid w:val="00AC5220"/>
    <w:rsid w:val="00AC7675"/>
    <w:rsid w:val="00AD02B2"/>
    <w:rsid w:val="00AD0C9E"/>
    <w:rsid w:val="00AD0D62"/>
    <w:rsid w:val="00AD0D99"/>
    <w:rsid w:val="00AD252D"/>
    <w:rsid w:val="00AD361D"/>
    <w:rsid w:val="00AD4FDF"/>
    <w:rsid w:val="00AD592E"/>
    <w:rsid w:val="00AE302F"/>
    <w:rsid w:val="00AE3DC6"/>
    <w:rsid w:val="00AE5C5E"/>
    <w:rsid w:val="00AF011A"/>
    <w:rsid w:val="00AF0334"/>
    <w:rsid w:val="00AF10B1"/>
    <w:rsid w:val="00AF1823"/>
    <w:rsid w:val="00AF190D"/>
    <w:rsid w:val="00AF2984"/>
    <w:rsid w:val="00AF2FC4"/>
    <w:rsid w:val="00AF3570"/>
    <w:rsid w:val="00AF3A44"/>
    <w:rsid w:val="00AF41F8"/>
    <w:rsid w:val="00AF6401"/>
    <w:rsid w:val="00B00FAF"/>
    <w:rsid w:val="00B0207A"/>
    <w:rsid w:val="00B029EC"/>
    <w:rsid w:val="00B04272"/>
    <w:rsid w:val="00B046AE"/>
    <w:rsid w:val="00B05844"/>
    <w:rsid w:val="00B06CDB"/>
    <w:rsid w:val="00B07993"/>
    <w:rsid w:val="00B07A0D"/>
    <w:rsid w:val="00B07C4B"/>
    <w:rsid w:val="00B07F2B"/>
    <w:rsid w:val="00B12B13"/>
    <w:rsid w:val="00B1300D"/>
    <w:rsid w:val="00B1330E"/>
    <w:rsid w:val="00B156CA"/>
    <w:rsid w:val="00B175AB"/>
    <w:rsid w:val="00B176DB"/>
    <w:rsid w:val="00B249C0"/>
    <w:rsid w:val="00B253CC"/>
    <w:rsid w:val="00B25516"/>
    <w:rsid w:val="00B25CEC"/>
    <w:rsid w:val="00B278B7"/>
    <w:rsid w:val="00B32870"/>
    <w:rsid w:val="00B36228"/>
    <w:rsid w:val="00B41187"/>
    <w:rsid w:val="00B412B0"/>
    <w:rsid w:val="00B413EF"/>
    <w:rsid w:val="00B4146C"/>
    <w:rsid w:val="00B441B4"/>
    <w:rsid w:val="00B45250"/>
    <w:rsid w:val="00B452A8"/>
    <w:rsid w:val="00B45BBC"/>
    <w:rsid w:val="00B466C3"/>
    <w:rsid w:val="00B47C4E"/>
    <w:rsid w:val="00B50841"/>
    <w:rsid w:val="00B50878"/>
    <w:rsid w:val="00B51438"/>
    <w:rsid w:val="00B520AD"/>
    <w:rsid w:val="00B52A68"/>
    <w:rsid w:val="00B5384E"/>
    <w:rsid w:val="00B55A66"/>
    <w:rsid w:val="00B55F78"/>
    <w:rsid w:val="00B56B1A"/>
    <w:rsid w:val="00B56CCF"/>
    <w:rsid w:val="00B57EE7"/>
    <w:rsid w:val="00B60486"/>
    <w:rsid w:val="00B60FA7"/>
    <w:rsid w:val="00B623D7"/>
    <w:rsid w:val="00B64663"/>
    <w:rsid w:val="00B64F2D"/>
    <w:rsid w:val="00B65CA8"/>
    <w:rsid w:val="00B66CAD"/>
    <w:rsid w:val="00B67887"/>
    <w:rsid w:val="00B70116"/>
    <w:rsid w:val="00B70CE2"/>
    <w:rsid w:val="00B72986"/>
    <w:rsid w:val="00B742DE"/>
    <w:rsid w:val="00B80966"/>
    <w:rsid w:val="00B82BAF"/>
    <w:rsid w:val="00B833A6"/>
    <w:rsid w:val="00B84B1E"/>
    <w:rsid w:val="00B84EA7"/>
    <w:rsid w:val="00B85034"/>
    <w:rsid w:val="00B85469"/>
    <w:rsid w:val="00B858D0"/>
    <w:rsid w:val="00B87B22"/>
    <w:rsid w:val="00B91D81"/>
    <w:rsid w:val="00B92EA5"/>
    <w:rsid w:val="00B930AB"/>
    <w:rsid w:val="00B933CF"/>
    <w:rsid w:val="00B93A81"/>
    <w:rsid w:val="00B93CFE"/>
    <w:rsid w:val="00B93F6A"/>
    <w:rsid w:val="00B9438C"/>
    <w:rsid w:val="00B95BE3"/>
    <w:rsid w:val="00B962DF"/>
    <w:rsid w:val="00B96BA1"/>
    <w:rsid w:val="00B97A06"/>
    <w:rsid w:val="00BA005D"/>
    <w:rsid w:val="00BA0BEA"/>
    <w:rsid w:val="00BA0C41"/>
    <w:rsid w:val="00BA16B7"/>
    <w:rsid w:val="00BA1AC2"/>
    <w:rsid w:val="00BA277F"/>
    <w:rsid w:val="00BA29F0"/>
    <w:rsid w:val="00BA2F83"/>
    <w:rsid w:val="00BA3B16"/>
    <w:rsid w:val="00BA442E"/>
    <w:rsid w:val="00BA59F7"/>
    <w:rsid w:val="00BA6CBD"/>
    <w:rsid w:val="00BA73FA"/>
    <w:rsid w:val="00BA7FD8"/>
    <w:rsid w:val="00BB0984"/>
    <w:rsid w:val="00BB2203"/>
    <w:rsid w:val="00BB30DE"/>
    <w:rsid w:val="00BB3305"/>
    <w:rsid w:val="00BB3723"/>
    <w:rsid w:val="00BB43DC"/>
    <w:rsid w:val="00BB48CA"/>
    <w:rsid w:val="00BB59D1"/>
    <w:rsid w:val="00BB66FA"/>
    <w:rsid w:val="00BB7120"/>
    <w:rsid w:val="00BC1EEC"/>
    <w:rsid w:val="00BC3329"/>
    <w:rsid w:val="00BC3739"/>
    <w:rsid w:val="00BC6DFE"/>
    <w:rsid w:val="00BD252B"/>
    <w:rsid w:val="00BD2AA5"/>
    <w:rsid w:val="00BD460F"/>
    <w:rsid w:val="00BD4C8D"/>
    <w:rsid w:val="00BD64DC"/>
    <w:rsid w:val="00BD680C"/>
    <w:rsid w:val="00BD7199"/>
    <w:rsid w:val="00BE0BA9"/>
    <w:rsid w:val="00BE39AC"/>
    <w:rsid w:val="00BE42FA"/>
    <w:rsid w:val="00BE5F85"/>
    <w:rsid w:val="00BE6CA9"/>
    <w:rsid w:val="00BF0844"/>
    <w:rsid w:val="00BF2538"/>
    <w:rsid w:val="00BF3103"/>
    <w:rsid w:val="00BF5335"/>
    <w:rsid w:val="00BF65D1"/>
    <w:rsid w:val="00BF6DC5"/>
    <w:rsid w:val="00C03090"/>
    <w:rsid w:val="00C03485"/>
    <w:rsid w:val="00C058E3"/>
    <w:rsid w:val="00C059ED"/>
    <w:rsid w:val="00C05F5B"/>
    <w:rsid w:val="00C11884"/>
    <w:rsid w:val="00C11FF0"/>
    <w:rsid w:val="00C12176"/>
    <w:rsid w:val="00C1711C"/>
    <w:rsid w:val="00C2017E"/>
    <w:rsid w:val="00C20339"/>
    <w:rsid w:val="00C22933"/>
    <w:rsid w:val="00C23873"/>
    <w:rsid w:val="00C25F0C"/>
    <w:rsid w:val="00C26162"/>
    <w:rsid w:val="00C2769B"/>
    <w:rsid w:val="00C30CF1"/>
    <w:rsid w:val="00C31004"/>
    <w:rsid w:val="00C31252"/>
    <w:rsid w:val="00C31E40"/>
    <w:rsid w:val="00C324E2"/>
    <w:rsid w:val="00C35470"/>
    <w:rsid w:val="00C35652"/>
    <w:rsid w:val="00C40262"/>
    <w:rsid w:val="00C40C73"/>
    <w:rsid w:val="00C41BD3"/>
    <w:rsid w:val="00C44640"/>
    <w:rsid w:val="00C448E6"/>
    <w:rsid w:val="00C44B64"/>
    <w:rsid w:val="00C51429"/>
    <w:rsid w:val="00C51D07"/>
    <w:rsid w:val="00C53FE2"/>
    <w:rsid w:val="00C540F4"/>
    <w:rsid w:val="00C571BE"/>
    <w:rsid w:val="00C57B01"/>
    <w:rsid w:val="00C613BD"/>
    <w:rsid w:val="00C61CA4"/>
    <w:rsid w:val="00C64D92"/>
    <w:rsid w:val="00C65450"/>
    <w:rsid w:val="00C65C21"/>
    <w:rsid w:val="00C70836"/>
    <w:rsid w:val="00C71F84"/>
    <w:rsid w:val="00C728B6"/>
    <w:rsid w:val="00C72C74"/>
    <w:rsid w:val="00C730A0"/>
    <w:rsid w:val="00C738D3"/>
    <w:rsid w:val="00C73B73"/>
    <w:rsid w:val="00C74543"/>
    <w:rsid w:val="00C74AB3"/>
    <w:rsid w:val="00C750DD"/>
    <w:rsid w:val="00C756B6"/>
    <w:rsid w:val="00C75BBA"/>
    <w:rsid w:val="00C77048"/>
    <w:rsid w:val="00C77ACD"/>
    <w:rsid w:val="00C8002C"/>
    <w:rsid w:val="00C816CF"/>
    <w:rsid w:val="00C83069"/>
    <w:rsid w:val="00C83646"/>
    <w:rsid w:val="00C85003"/>
    <w:rsid w:val="00C85796"/>
    <w:rsid w:val="00C85870"/>
    <w:rsid w:val="00C875AD"/>
    <w:rsid w:val="00C90F50"/>
    <w:rsid w:val="00C929D8"/>
    <w:rsid w:val="00C94CD7"/>
    <w:rsid w:val="00C951C7"/>
    <w:rsid w:val="00C96908"/>
    <w:rsid w:val="00CA0B17"/>
    <w:rsid w:val="00CA0F66"/>
    <w:rsid w:val="00CA1028"/>
    <w:rsid w:val="00CA2883"/>
    <w:rsid w:val="00CA2A0D"/>
    <w:rsid w:val="00CA3922"/>
    <w:rsid w:val="00CA515A"/>
    <w:rsid w:val="00CA664E"/>
    <w:rsid w:val="00CA787E"/>
    <w:rsid w:val="00CB3882"/>
    <w:rsid w:val="00CB4728"/>
    <w:rsid w:val="00CB4AEA"/>
    <w:rsid w:val="00CB4F81"/>
    <w:rsid w:val="00CB5848"/>
    <w:rsid w:val="00CB6127"/>
    <w:rsid w:val="00CB73FF"/>
    <w:rsid w:val="00CB75CE"/>
    <w:rsid w:val="00CC00FF"/>
    <w:rsid w:val="00CC01A4"/>
    <w:rsid w:val="00CC23C2"/>
    <w:rsid w:val="00CC30EE"/>
    <w:rsid w:val="00CC3280"/>
    <w:rsid w:val="00CC34E6"/>
    <w:rsid w:val="00CC45F7"/>
    <w:rsid w:val="00CC4A42"/>
    <w:rsid w:val="00CC5B05"/>
    <w:rsid w:val="00CC5C04"/>
    <w:rsid w:val="00CC7AE9"/>
    <w:rsid w:val="00CC7F5D"/>
    <w:rsid w:val="00CD11DD"/>
    <w:rsid w:val="00CD257C"/>
    <w:rsid w:val="00CD3073"/>
    <w:rsid w:val="00CD329C"/>
    <w:rsid w:val="00CD3B73"/>
    <w:rsid w:val="00CD5D80"/>
    <w:rsid w:val="00CD780D"/>
    <w:rsid w:val="00CD7A9B"/>
    <w:rsid w:val="00CE0BA2"/>
    <w:rsid w:val="00CE0DE7"/>
    <w:rsid w:val="00CE190F"/>
    <w:rsid w:val="00CE19EB"/>
    <w:rsid w:val="00CE27CB"/>
    <w:rsid w:val="00CE295E"/>
    <w:rsid w:val="00CE2BB8"/>
    <w:rsid w:val="00CE36A3"/>
    <w:rsid w:val="00CE38A6"/>
    <w:rsid w:val="00CE3A4A"/>
    <w:rsid w:val="00CE3A9B"/>
    <w:rsid w:val="00CE3DD9"/>
    <w:rsid w:val="00CE5DF0"/>
    <w:rsid w:val="00CF005A"/>
    <w:rsid w:val="00CF00C1"/>
    <w:rsid w:val="00CF15FF"/>
    <w:rsid w:val="00CF1BE2"/>
    <w:rsid w:val="00CF2037"/>
    <w:rsid w:val="00CF28BB"/>
    <w:rsid w:val="00CF28D9"/>
    <w:rsid w:val="00CF36EC"/>
    <w:rsid w:val="00CF3FD2"/>
    <w:rsid w:val="00CF49C8"/>
    <w:rsid w:val="00CF5B11"/>
    <w:rsid w:val="00CF6346"/>
    <w:rsid w:val="00CF74FD"/>
    <w:rsid w:val="00CF7568"/>
    <w:rsid w:val="00CF7DD3"/>
    <w:rsid w:val="00D0173B"/>
    <w:rsid w:val="00D01864"/>
    <w:rsid w:val="00D0366E"/>
    <w:rsid w:val="00D03E17"/>
    <w:rsid w:val="00D0590D"/>
    <w:rsid w:val="00D0593A"/>
    <w:rsid w:val="00D0597F"/>
    <w:rsid w:val="00D05B8D"/>
    <w:rsid w:val="00D11061"/>
    <w:rsid w:val="00D123B4"/>
    <w:rsid w:val="00D141C8"/>
    <w:rsid w:val="00D14D86"/>
    <w:rsid w:val="00D17725"/>
    <w:rsid w:val="00D21501"/>
    <w:rsid w:val="00D220AB"/>
    <w:rsid w:val="00D232DD"/>
    <w:rsid w:val="00D23857"/>
    <w:rsid w:val="00D23B90"/>
    <w:rsid w:val="00D2498B"/>
    <w:rsid w:val="00D26BF4"/>
    <w:rsid w:val="00D274DB"/>
    <w:rsid w:val="00D27813"/>
    <w:rsid w:val="00D30148"/>
    <w:rsid w:val="00D30347"/>
    <w:rsid w:val="00D312FE"/>
    <w:rsid w:val="00D31E0D"/>
    <w:rsid w:val="00D320BD"/>
    <w:rsid w:val="00D32186"/>
    <w:rsid w:val="00D34F86"/>
    <w:rsid w:val="00D354EB"/>
    <w:rsid w:val="00D35847"/>
    <w:rsid w:val="00D37A50"/>
    <w:rsid w:val="00D41146"/>
    <w:rsid w:val="00D41266"/>
    <w:rsid w:val="00D42DC3"/>
    <w:rsid w:val="00D43DC7"/>
    <w:rsid w:val="00D45A03"/>
    <w:rsid w:val="00D45E53"/>
    <w:rsid w:val="00D463CB"/>
    <w:rsid w:val="00D4688A"/>
    <w:rsid w:val="00D46B6C"/>
    <w:rsid w:val="00D508AF"/>
    <w:rsid w:val="00D50B2A"/>
    <w:rsid w:val="00D50D9D"/>
    <w:rsid w:val="00D5386A"/>
    <w:rsid w:val="00D53B06"/>
    <w:rsid w:val="00D54AD7"/>
    <w:rsid w:val="00D5522A"/>
    <w:rsid w:val="00D559B4"/>
    <w:rsid w:val="00D563C3"/>
    <w:rsid w:val="00D563D0"/>
    <w:rsid w:val="00D57EFF"/>
    <w:rsid w:val="00D608E3"/>
    <w:rsid w:val="00D61E80"/>
    <w:rsid w:val="00D6202A"/>
    <w:rsid w:val="00D6265B"/>
    <w:rsid w:val="00D62D53"/>
    <w:rsid w:val="00D63C19"/>
    <w:rsid w:val="00D640E1"/>
    <w:rsid w:val="00D65435"/>
    <w:rsid w:val="00D66502"/>
    <w:rsid w:val="00D67297"/>
    <w:rsid w:val="00D67655"/>
    <w:rsid w:val="00D70122"/>
    <w:rsid w:val="00D710E3"/>
    <w:rsid w:val="00D72567"/>
    <w:rsid w:val="00D72776"/>
    <w:rsid w:val="00D72E6D"/>
    <w:rsid w:val="00D75006"/>
    <w:rsid w:val="00D76315"/>
    <w:rsid w:val="00D7768F"/>
    <w:rsid w:val="00D808AD"/>
    <w:rsid w:val="00D8120C"/>
    <w:rsid w:val="00D827AE"/>
    <w:rsid w:val="00D846CB"/>
    <w:rsid w:val="00D853B1"/>
    <w:rsid w:val="00D86524"/>
    <w:rsid w:val="00D867F4"/>
    <w:rsid w:val="00D87D29"/>
    <w:rsid w:val="00D9020F"/>
    <w:rsid w:val="00D9222E"/>
    <w:rsid w:val="00D94440"/>
    <w:rsid w:val="00D96CD9"/>
    <w:rsid w:val="00D9709E"/>
    <w:rsid w:val="00D9776A"/>
    <w:rsid w:val="00D9783B"/>
    <w:rsid w:val="00D97E62"/>
    <w:rsid w:val="00DA1015"/>
    <w:rsid w:val="00DA13C4"/>
    <w:rsid w:val="00DA387B"/>
    <w:rsid w:val="00DA3DC1"/>
    <w:rsid w:val="00DA47B3"/>
    <w:rsid w:val="00DA569F"/>
    <w:rsid w:val="00DB0D96"/>
    <w:rsid w:val="00DB2D69"/>
    <w:rsid w:val="00DB542D"/>
    <w:rsid w:val="00DB565E"/>
    <w:rsid w:val="00DB63D9"/>
    <w:rsid w:val="00DB6A0D"/>
    <w:rsid w:val="00DB7391"/>
    <w:rsid w:val="00DB7435"/>
    <w:rsid w:val="00DB7DC8"/>
    <w:rsid w:val="00DC0743"/>
    <w:rsid w:val="00DC131A"/>
    <w:rsid w:val="00DC331A"/>
    <w:rsid w:val="00DC3A41"/>
    <w:rsid w:val="00DC3E74"/>
    <w:rsid w:val="00DC3FE6"/>
    <w:rsid w:val="00DC458F"/>
    <w:rsid w:val="00DC4770"/>
    <w:rsid w:val="00DC60FB"/>
    <w:rsid w:val="00DC6E99"/>
    <w:rsid w:val="00DC7691"/>
    <w:rsid w:val="00DD3487"/>
    <w:rsid w:val="00DD3544"/>
    <w:rsid w:val="00DD3DE8"/>
    <w:rsid w:val="00DD432F"/>
    <w:rsid w:val="00DD43D4"/>
    <w:rsid w:val="00DD49A7"/>
    <w:rsid w:val="00DD608D"/>
    <w:rsid w:val="00DD6496"/>
    <w:rsid w:val="00DD6E7F"/>
    <w:rsid w:val="00DE03BE"/>
    <w:rsid w:val="00DE1DA2"/>
    <w:rsid w:val="00DE35DF"/>
    <w:rsid w:val="00DE3D98"/>
    <w:rsid w:val="00DE4581"/>
    <w:rsid w:val="00DE4C21"/>
    <w:rsid w:val="00DE56B4"/>
    <w:rsid w:val="00DE7FF6"/>
    <w:rsid w:val="00DF2AC9"/>
    <w:rsid w:val="00DF30CC"/>
    <w:rsid w:val="00DF415A"/>
    <w:rsid w:val="00DF47A5"/>
    <w:rsid w:val="00DF6C75"/>
    <w:rsid w:val="00DF70E0"/>
    <w:rsid w:val="00DF793B"/>
    <w:rsid w:val="00E0097E"/>
    <w:rsid w:val="00E01B7A"/>
    <w:rsid w:val="00E025FE"/>
    <w:rsid w:val="00E02FD4"/>
    <w:rsid w:val="00E03D8E"/>
    <w:rsid w:val="00E03ED6"/>
    <w:rsid w:val="00E03F45"/>
    <w:rsid w:val="00E05965"/>
    <w:rsid w:val="00E06A03"/>
    <w:rsid w:val="00E06D60"/>
    <w:rsid w:val="00E076C8"/>
    <w:rsid w:val="00E11FBD"/>
    <w:rsid w:val="00E1215E"/>
    <w:rsid w:val="00E13E09"/>
    <w:rsid w:val="00E14E06"/>
    <w:rsid w:val="00E15435"/>
    <w:rsid w:val="00E154FA"/>
    <w:rsid w:val="00E15AD1"/>
    <w:rsid w:val="00E1725B"/>
    <w:rsid w:val="00E21023"/>
    <w:rsid w:val="00E21482"/>
    <w:rsid w:val="00E21973"/>
    <w:rsid w:val="00E23BC8"/>
    <w:rsid w:val="00E23C15"/>
    <w:rsid w:val="00E246C1"/>
    <w:rsid w:val="00E25F6B"/>
    <w:rsid w:val="00E27564"/>
    <w:rsid w:val="00E2757B"/>
    <w:rsid w:val="00E27C8C"/>
    <w:rsid w:val="00E27E3E"/>
    <w:rsid w:val="00E332E1"/>
    <w:rsid w:val="00E34A39"/>
    <w:rsid w:val="00E35B5F"/>
    <w:rsid w:val="00E35CAA"/>
    <w:rsid w:val="00E35F86"/>
    <w:rsid w:val="00E36442"/>
    <w:rsid w:val="00E36D16"/>
    <w:rsid w:val="00E37C36"/>
    <w:rsid w:val="00E401C8"/>
    <w:rsid w:val="00E40541"/>
    <w:rsid w:val="00E407C9"/>
    <w:rsid w:val="00E40B44"/>
    <w:rsid w:val="00E42881"/>
    <w:rsid w:val="00E432C4"/>
    <w:rsid w:val="00E440AD"/>
    <w:rsid w:val="00E45BFC"/>
    <w:rsid w:val="00E468A8"/>
    <w:rsid w:val="00E4773B"/>
    <w:rsid w:val="00E51DF7"/>
    <w:rsid w:val="00E5395D"/>
    <w:rsid w:val="00E53FB8"/>
    <w:rsid w:val="00E54960"/>
    <w:rsid w:val="00E54AEF"/>
    <w:rsid w:val="00E5571E"/>
    <w:rsid w:val="00E566BF"/>
    <w:rsid w:val="00E56E96"/>
    <w:rsid w:val="00E56FA5"/>
    <w:rsid w:val="00E57336"/>
    <w:rsid w:val="00E6041E"/>
    <w:rsid w:val="00E60464"/>
    <w:rsid w:val="00E6397B"/>
    <w:rsid w:val="00E6585E"/>
    <w:rsid w:val="00E67603"/>
    <w:rsid w:val="00E71510"/>
    <w:rsid w:val="00E73C0B"/>
    <w:rsid w:val="00E76092"/>
    <w:rsid w:val="00E767AA"/>
    <w:rsid w:val="00E76956"/>
    <w:rsid w:val="00E76A23"/>
    <w:rsid w:val="00E77380"/>
    <w:rsid w:val="00E774FF"/>
    <w:rsid w:val="00E77646"/>
    <w:rsid w:val="00E77F5F"/>
    <w:rsid w:val="00E81C71"/>
    <w:rsid w:val="00E82F0A"/>
    <w:rsid w:val="00E83F03"/>
    <w:rsid w:val="00E84269"/>
    <w:rsid w:val="00E9167C"/>
    <w:rsid w:val="00E91AA1"/>
    <w:rsid w:val="00E93223"/>
    <w:rsid w:val="00E94FF3"/>
    <w:rsid w:val="00E959A5"/>
    <w:rsid w:val="00E97638"/>
    <w:rsid w:val="00E97A17"/>
    <w:rsid w:val="00E97E5D"/>
    <w:rsid w:val="00EA0590"/>
    <w:rsid w:val="00EA2A91"/>
    <w:rsid w:val="00EA3B6D"/>
    <w:rsid w:val="00EA3C6C"/>
    <w:rsid w:val="00EA3DD7"/>
    <w:rsid w:val="00EA5E91"/>
    <w:rsid w:val="00EA5EC0"/>
    <w:rsid w:val="00EA7367"/>
    <w:rsid w:val="00EB1372"/>
    <w:rsid w:val="00EB2B54"/>
    <w:rsid w:val="00EB3814"/>
    <w:rsid w:val="00EB467F"/>
    <w:rsid w:val="00EB51B5"/>
    <w:rsid w:val="00EB640A"/>
    <w:rsid w:val="00EB65EA"/>
    <w:rsid w:val="00EB67ED"/>
    <w:rsid w:val="00EB68A4"/>
    <w:rsid w:val="00EB7AD8"/>
    <w:rsid w:val="00EC009E"/>
    <w:rsid w:val="00EC025B"/>
    <w:rsid w:val="00EC19D7"/>
    <w:rsid w:val="00EC1B91"/>
    <w:rsid w:val="00EC1ECC"/>
    <w:rsid w:val="00EC25EA"/>
    <w:rsid w:val="00EC2622"/>
    <w:rsid w:val="00EC2AD6"/>
    <w:rsid w:val="00EC40D7"/>
    <w:rsid w:val="00EC42F9"/>
    <w:rsid w:val="00EC5E99"/>
    <w:rsid w:val="00EC662A"/>
    <w:rsid w:val="00ED0558"/>
    <w:rsid w:val="00ED2309"/>
    <w:rsid w:val="00ED32A8"/>
    <w:rsid w:val="00ED332B"/>
    <w:rsid w:val="00ED430B"/>
    <w:rsid w:val="00ED57A9"/>
    <w:rsid w:val="00ED5B84"/>
    <w:rsid w:val="00ED603E"/>
    <w:rsid w:val="00EE0AE0"/>
    <w:rsid w:val="00EE1D67"/>
    <w:rsid w:val="00EE201E"/>
    <w:rsid w:val="00EE2B42"/>
    <w:rsid w:val="00EE30A9"/>
    <w:rsid w:val="00EE4D51"/>
    <w:rsid w:val="00EE54D1"/>
    <w:rsid w:val="00EE62AD"/>
    <w:rsid w:val="00EE6735"/>
    <w:rsid w:val="00EF1265"/>
    <w:rsid w:val="00EF2FB6"/>
    <w:rsid w:val="00EF33B6"/>
    <w:rsid w:val="00EF3C6A"/>
    <w:rsid w:val="00EF45A2"/>
    <w:rsid w:val="00EF4C8F"/>
    <w:rsid w:val="00EF51E7"/>
    <w:rsid w:val="00EF59B0"/>
    <w:rsid w:val="00EF5FEF"/>
    <w:rsid w:val="00EF7412"/>
    <w:rsid w:val="00EF7E18"/>
    <w:rsid w:val="00F00999"/>
    <w:rsid w:val="00F00CA5"/>
    <w:rsid w:val="00F016AE"/>
    <w:rsid w:val="00F02FA8"/>
    <w:rsid w:val="00F02FB4"/>
    <w:rsid w:val="00F04E0B"/>
    <w:rsid w:val="00F06E13"/>
    <w:rsid w:val="00F07309"/>
    <w:rsid w:val="00F1002F"/>
    <w:rsid w:val="00F10A9A"/>
    <w:rsid w:val="00F12FDF"/>
    <w:rsid w:val="00F134E6"/>
    <w:rsid w:val="00F14E64"/>
    <w:rsid w:val="00F14EF4"/>
    <w:rsid w:val="00F14F44"/>
    <w:rsid w:val="00F15AA9"/>
    <w:rsid w:val="00F15D15"/>
    <w:rsid w:val="00F16CCB"/>
    <w:rsid w:val="00F20DE7"/>
    <w:rsid w:val="00F230F3"/>
    <w:rsid w:val="00F23412"/>
    <w:rsid w:val="00F23F2A"/>
    <w:rsid w:val="00F255AC"/>
    <w:rsid w:val="00F26ED4"/>
    <w:rsid w:val="00F2709F"/>
    <w:rsid w:val="00F2724C"/>
    <w:rsid w:val="00F30609"/>
    <w:rsid w:val="00F32540"/>
    <w:rsid w:val="00F328E8"/>
    <w:rsid w:val="00F33017"/>
    <w:rsid w:val="00F332C4"/>
    <w:rsid w:val="00F33BFA"/>
    <w:rsid w:val="00F34277"/>
    <w:rsid w:val="00F34F81"/>
    <w:rsid w:val="00F364C6"/>
    <w:rsid w:val="00F37B19"/>
    <w:rsid w:val="00F42124"/>
    <w:rsid w:val="00F42CE5"/>
    <w:rsid w:val="00F45429"/>
    <w:rsid w:val="00F46C84"/>
    <w:rsid w:val="00F4757A"/>
    <w:rsid w:val="00F506CF"/>
    <w:rsid w:val="00F50BD2"/>
    <w:rsid w:val="00F50D63"/>
    <w:rsid w:val="00F50FFC"/>
    <w:rsid w:val="00F51E70"/>
    <w:rsid w:val="00F53C26"/>
    <w:rsid w:val="00F54659"/>
    <w:rsid w:val="00F549E8"/>
    <w:rsid w:val="00F54A1A"/>
    <w:rsid w:val="00F55DFC"/>
    <w:rsid w:val="00F56365"/>
    <w:rsid w:val="00F56905"/>
    <w:rsid w:val="00F5697F"/>
    <w:rsid w:val="00F57D2B"/>
    <w:rsid w:val="00F628E6"/>
    <w:rsid w:val="00F6323C"/>
    <w:rsid w:val="00F63514"/>
    <w:rsid w:val="00F63593"/>
    <w:rsid w:val="00F63C8A"/>
    <w:rsid w:val="00F64B76"/>
    <w:rsid w:val="00F65841"/>
    <w:rsid w:val="00F66C8A"/>
    <w:rsid w:val="00F67574"/>
    <w:rsid w:val="00F70527"/>
    <w:rsid w:val="00F70A33"/>
    <w:rsid w:val="00F725A1"/>
    <w:rsid w:val="00F72DD9"/>
    <w:rsid w:val="00F731A3"/>
    <w:rsid w:val="00F73B5A"/>
    <w:rsid w:val="00F74EC4"/>
    <w:rsid w:val="00F75B30"/>
    <w:rsid w:val="00F77BD1"/>
    <w:rsid w:val="00F80357"/>
    <w:rsid w:val="00F80382"/>
    <w:rsid w:val="00F8114B"/>
    <w:rsid w:val="00F82450"/>
    <w:rsid w:val="00F825C4"/>
    <w:rsid w:val="00F829DB"/>
    <w:rsid w:val="00F8521C"/>
    <w:rsid w:val="00F85357"/>
    <w:rsid w:val="00F904FC"/>
    <w:rsid w:val="00F9245E"/>
    <w:rsid w:val="00F933DD"/>
    <w:rsid w:val="00F94759"/>
    <w:rsid w:val="00F95202"/>
    <w:rsid w:val="00F95C0C"/>
    <w:rsid w:val="00F969FB"/>
    <w:rsid w:val="00F97953"/>
    <w:rsid w:val="00F97FDC"/>
    <w:rsid w:val="00FA01DA"/>
    <w:rsid w:val="00FA08C5"/>
    <w:rsid w:val="00FA2204"/>
    <w:rsid w:val="00FA2965"/>
    <w:rsid w:val="00FA39A2"/>
    <w:rsid w:val="00FA41BA"/>
    <w:rsid w:val="00FA4B21"/>
    <w:rsid w:val="00FA4E03"/>
    <w:rsid w:val="00FA5206"/>
    <w:rsid w:val="00FA6B9F"/>
    <w:rsid w:val="00FB0C9F"/>
    <w:rsid w:val="00FB19AF"/>
    <w:rsid w:val="00FB29C7"/>
    <w:rsid w:val="00FB47A4"/>
    <w:rsid w:val="00FB5616"/>
    <w:rsid w:val="00FB6408"/>
    <w:rsid w:val="00FB647B"/>
    <w:rsid w:val="00FB7139"/>
    <w:rsid w:val="00FB7B3B"/>
    <w:rsid w:val="00FC11F7"/>
    <w:rsid w:val="00FC15F7"/>
    <w:rsid w:val="00FC1A19"/>
    <w:rsid w:val="00FC1D6F"/>
    <w:rsid w:val="00FC4280"/>
    <w:rsid w:val="00FC4BAD"/>
    <w:rsid w:val="00FC4DA7"/>
    <w:rsid w:val="00FC534F"/>
    <w:rsid w:val="00FC54A0"/>
    <w:rsid w:val="00FC5F36"/>
    <w:rsid w:val="00FC61B9"/>
    <w:rsid w:val="00FC6247"/>
    <w:rsid w:val="00FC7425"/>
    <w:rsid w:val="00FD0B5A"/>
    <w:rsid w:val="00FD2818"/>
    <w:rsid w:val="00FD2F41"/>
    <w:rsid w:val="00FD3152"/>
    <w:rsid w:val="00FD4ABA"/>
    <w:rsid w:val="00FD4B17"/>
    <w:rsid w:val="00FD4BD9"/>
    <w:rsid w:val="00FD538B"/>
    <w:rsid w:val="00FD5DB0"/>
    <w:rsid w:val="00FE0C12"/>
    <w:rsid w:val="00FE10D5"/>
    <w:rsid w:val="00FE134D"/>
    <w:rsid w:val="00FE2C6E"/>
    <w:rsid w:val="00FE377D"/>
    <w:rsid w:val="00FE392B"/>
    <w:rsid w:val="00FE430D"/>
    <w:rsid w:val="00FE4AEE"/>
    <w:rsid w:val="00FE5585"/>
    <w:rsid w:val="00FE6AE7"/>
    <w:rsid w:val="00FE7133"/>
    <w:rsid w:val="00FE78C8"/>
    <w:rsid w:val="00FF1736"/>
    <w:rsid w:val="00FF190D"/>
    <w:rsid w:val="00FF2297"/>
    <w:rsid w:val="00FF26A2"/>
    <w:rsid w:val="00FF2CB3"/>
    <w:rsid w:val="00FF4BD9"/>
    <w:rsid w:val="00FF55A4"/>
    <w:rsid w:val="00FF5AF7"/>
    <w:rsid w:val="00FF5F9B"/>
    <w:rsid w:val="00FF6985"/>
    <w:rsid w:val="00FF6C32"/>
    <w:rsid w:val="00FF7138"/>
    <w:rsid w:val="00FF7782"/>
    <w:rsid w:val="00FF7B44"/>
    <w:rsid w:val="00FF7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F3CC26"/>
  <w15:docId w15:val="{386C014E-6BFE-4D6D-8357-48822E71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ABF"/>
    <w:pPr>
      <w:spacing w:before="120" w:after="240"/>
      <w:jc w:val="both"/>
    </w:pPr>
    <w:rPr>
      <w:rFonts w:cstheme="minorHAnsi"/>
    </w:rPr>
  </w:style>
  <w:style w:type="paragraph" w:styleId="Heading1">
    <w:name w:val="heading 1"/>
    <w:basedOn w:val="Normal"/>
    <w:next w:val="Normal"/>
    <w:link w:val="Heading1Char"/>
    <w:uiPriority w:val="9"/>
    <w:qFormat/>
    <w:rsid w:val="0022692C"/>
    <w:pPr>
      <w:keepNext/>
      <w:keepLines/>
      <w:numPr>
        <w:numId w:val="27"/>
      </w:numPr>
      <w:spacing w:before="240" w:after="120"/>
      <w:ind w:left="510" w:hanging="510"/>
      <w:jc w:val="left"/>
      <w:outlineLvl w:val="0"/>
    </w:pPr>
    <w:rPr>
      <w:rFonts w:asciiTheme="majorHAnsi" w:eastAsiaTheme="majorEastAsia" w:hAnsiTheme="majorHAnsi" w:cstheme="majorHAnsi"/>
      <w:b/>
      <w:caps/>
      <w:color w:val="4CB8C1" w:themeColor="accent5"/>
      <w:sz w:val="44"/>
      <w:szCs w:val="44"/>
      <w:lang w:val="en-US"/>
    </w:rPr>
  </w:style>
  <w:style w:type="paragraph" w:styleId="Heading2">
    <w:name w:val="heading 2"/>
    <w:basedOn w:val="Heading1"/>
    <w:next w:val="Normal"/>
    <w:link w:val="Heading2Char"/>
    <w:uiPriority w:val="9"/>
    <w:unhideWhenUsed/>
    <w:qFormat/>
    <w:rsid w:val="0022692C"/>
    <w:pPr>
      <w:numPr>
        <w:ilvl w:val="1"/>
      </w:numPr>
      <w:ind w:left="624" w:hanging="624"/>
      <w:outlineLvl w:val="1"/>
    </w:pPr>
    <w:rPr>
      <w:caps w:val="0"/>
      <w:sz w:val="36"/>
      <w:szCs w:val="36"/>
    </w:rPr>
  </w:style>
  <w:style w:type="paragraph" w:styleId="Heading3">
    <w:name w:val="heading 3"/>
    <w:basedOn w:val="Heading1"/>
    <w:next w:val="Normal"/>
    <w:link w:val="Heading3Char"/>
    <w:uiPriority w:val="9"/>
    <w:unhideWhenUsed/>
    <w:qFormat/>
    <w:rsid w:val="002E21B9"/>
    <w:pPr>
      <w:numPr>
        <w:numId w:val="0"/>
      </w:numPr>
      <w:outlineLvl w:val="2"/>
    </w:pPr>
    <w:rPr>
      <w:i/>
      <w:caps w:val="0"/>
      <w:kern w:val="28"/>
      <w:sz w:val="30"/>
      <w:szCs w:val="30"/>
    </w:rPr>
  </w:style>
  <w:style w:type="paragraph" w:styleId="Heading4">
    <w:name w:val="heading 4"/>
    <w:basedOn w:val="Normal"/>
    <w:next w:val="Normal"/>
    <w:link w:val="Heading4Char"/>
    <w:uiPriority w:val="9"/>
    <w:semiHidden/>
    <w:unhideWhenUsed/>
    <w:rsid w:val="00285B2A"/>
    <w:pPr>
      <w:numPr>
        <w:ilvl w:val="3"/>
        <w:numId w:val="3"/>
      </w:numPr>
      <w:spacing w:before="240" w:after="0" w:line="288" w:lineRule="auto"/>
      <w:outlineLvl w:val="3"/>
    </w:pPr>
    <w:rPr>
      <w:rFonts w:ascii="Arial" w:eastAsia="Times New Roman" w:hAnsi="Arial" w:cs="Arial"/>
      <w:smallCaps/>
      <w:spacing w:val="10"/>
      <w:lang w:val="en-US"/>
    </w:rPr>
  </w:style>
  <w:style w:type="paragraph" w:styleId="Heading5">
    <w:name w:val="heading 5"/>
    <w:basedOn w:val="Normal"/>
    <w:next w:val="Normal"/>
    <w:link w:val="Heading5Char"/>
    <w:uiPriority w:val="9"/>
    <w:semiHidden/>
    <w:unhideWhenUsed/>
    <w:qFormat/>
    <w:rsid w:val="00285B2A"/>
    <w:pPr>
      <w:numPr>
        <w:ilvl w:val="4"/>
        <w:numId w:val="3"/>
      </w:numPr>
      <w:spacing w:before="200" w:after="0" w:line="288" w:lineRule="auto"/>
      <w:outlineLvl w:val="4"/>
    </w:pPr>
    <w:rPr>
      <w:rFonts w:eastAsiaTheme="minorEastAsia"/>
      <w:smallCaps/>
      <w:color w:val="7C7C7C" w:themeColor="accent2" w:themeShade="BF"/>
      <w:spacing w:val="10"/>
      <w:szCs w:val="26"/>
      <w:lang w:val="en-US"/>
    </w:rPr>
  </w:style>
  <w:style w:type="paragraph" w:styleId="Heading6">
    <w:name w:val="heading 6"/>
    <w:basedOn w:val="Normal"/>
    <w:next w:val="Normal"/>
    <w:link w:val="Heading6Char"/>
    <w:uiPriority w:val="9"/>
    <w:semiHidden/>
    <w:unhideWhenUsed/>
    <w:qFormat/>
    <w:rsid w:val="00285B2A"/>
    <w:pPr>
      <w:numPr>
        <w:ilvl w:val="5"/>
        <w:numId w:val="3"/>
      </w:numPr>
      <w:spacing w:before="60" w:after="0" w:line="288" w:lineRule="auto"/>
      <w:outlineLvl w:val="5"/>
    </w:pPr>
    <w:rPr>
      <w:rFonts w:eastAsiaTheme="minorEastAsia"/>
      <w:smallCaps/>
      <w:color w:val="A6A6A6" w:themeColor="accent2"/>
      <w:spacing w:val="5"/>
      <w:szCs w:val="20"/>
      <w:lang w:val="en-US"/>
    </w:rPr>
  </w:style>
  <w:style w:type="paragraph" w:styleId="Heading7">
    <w:name w:val="heading 7"/>
    <w:basedOn w:val="Normal"/>
    <w:next w:val="Normal"/>
    <w:link w:val="Heading7Char"/>
    <w:uiPriority w:val="9"/>
    <w:semiHidden/>
    <w:unhideWhenUsed/>
    <w:qFormat/>
    <w:rsid w:val="00285B2A"/>
    <w:pPr>
      <w:numPr>
        <w:ilvl w:val="6"/>
        <w:numId w:val="3"/>
      </w:numPr>
      <w:spacing w:before="60" w:after="0" w:line="288" w:lineRule="auto"/>
      <w:outlineLvl w:val="6"/>
    </w:pPr>
    <w:rPr>
      <w:rFonts w:eastAsiaTheme="minorEastAsia"/>
      <w:b/>
      <w:smallCaps/>
      <w:color w:val="A6A6A6" w:themeColor="accent2"/>
      <w:spacing w:val="10"/>
      <w:sz w:val="20"/>
      <w:szCs w:val="20"/>
      <w:lang w:val="en-US"/>
    </w:rPr>
  </w:style>
  <w:style w:type="paragraph" w:styleId="Heading8">
    <w:name w:val="heading 8"/>
    <w:basedOn w:val="Normal"/>
    <w:next w:val="Normal"/>
    <w:link w:val="Heading8Char"/>
    <w:uiPriority w:val="9"/>
    <w:semiHidden/>
    <w:unhideWhenUsed/>
    <w:qFormat/>
    <w:rsid w:val="00285B2A"/>
    <w:pPr>
      <w:numPr>
        <w:ilvl w:val="7"/>
        <w:numId w:val="3"/>
      </w:numPr>
      <w:spacing w:before="60" w:after="0" w:line="288" w:lineRule="auto"/>
      <w:outlineLvl w:val="7"/>
    </w:pPr>
    <w:rPr>
      <w:rFonts w:eastAsiaTheme="minorEastAsia"/>
      <w:b/>
      <w:i/>
      <w:smallCaps/>
      <w:color w:val="7C7C7C" w:themeColor="accent2" w:themeShade="BF"/>
      <w:sz w:val="20"/>
      <w:szCs w:val="20"/>
      <w:lang w:val="en-US"/>
    </w:rPr>
  </w:style>
  <w:style w:type="paragraph" w:styleId="Heading9">
    <w:name w:val="heading 9"/>
    <w:basedOn w:val="Normal"/>
    <w:next w:val="Normal"/>
    <w:link w:val="Heading9Char"/>
    <w:uiPriority w:val="9"/>
    <w:semiHidden/>
    <w:unhideWhenUsed/>
    <w:qFormat/>
    <w:rsid w:val="00285B2A"/>
    <w:pPr>
      <w:spacing w:before="60" w:after="0" w:line="288" w:lineRule="auto"/>
      <w:ind w:left="1584" w:hanging="144"/>
      <w:outlineLvl w:val="8"/>
    </w:pPr>
    <w:rPr>
      <w:rFonts w:eastAsiaTheme="minorEastAsia"/>
      <w:b/>
      <w:i/>
      <w:smallCaps/>
      <w:color w:val="525252" w:themeColor="accent2" w:themeShade="7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92C"/>
    <w:rPr>
      <w:rFonts w:asciiTheme="majorHAnsi" w:eastAsiaTheme="majorEastAsia" w:hAnsiTheme="majorHAnsi" w:cstheme="majorHAnsi"/>
      <w:b/>
      <w:caps/>
      <w:color w:val="4CB8C1" w:themeColor="accent5"/>
      <w:sz w:val="44"/>
      <w:szCs w:val="44"/>
      <w:lang w:val="en-US"/>
    </w:rPr>
  </w:style>
  <w:style w:type="character" w:customStyle="1" w:styleId="Heading2Char">
    <w:name w:val="Heading 2 Char"/>
    <w:basedOn w:val="DefaultParagraphFont"/>
    <w:link w:val="Heading2"/>
    <w:uiPriority w:val="9"/>
    <w:rsid w:val="0022692C"/>
    <w:rPr>
      <w:rFonts w:asciiTheme="majorHAnsi" w:eastAsiaTheme="majorEastAsia" w:hAnsiTheme="majorHAnsi" w:cstheme="majorHAnsi"/>
      <w:b/>
      <w:color w:val="4CB8C1" w:themeColor="accent5"/>
      <w:sz w:val="36"/>
      <w:szCs w:val="36"/>
      <w:lang w:val="en-US"/>
    </w:rPr>
  </w:style>
  <w:style w:type="paragraph" w:customStyle="1" w:styleId="Subheading">
    <w:name w:val="Subheading"/>
    <w:basedOn w:val="Normal"/>
    <w:next w:val="Normal"/>
    <w:uiPriority w:val="2"/>
    <w:qFormat/>
    <w:rsid w:val="008A75BD"/>
    <w:pPr>
      <w:keepNext/>
      <w:ind w:left="357" w:hanging="357"/>
      <w:outlineLvl w:val="2"/>
    </w:pPr>
    <w:rPr>
      <w:rFonts w:ascii="Arial" w:eastAsia="Times New Roman" w:hAnsi="Arial" w:cs="Arial"/>
      <w:b/>
      <w:i/>
      <w:color w:val="002060" w:themeColor="text2"/>
      <w:spacing w:val="16"/>
      <w:sz w:val="20"/>
      <w:szCs w:val="20"/>
    </w:rPr>
  </w:style>
  <w:style w:type="paragraph" w:styleId="ListParagraph">
    <w:name w:val="List Paragraph"/>
    <w:basedOn w:val="Normal"/>
    <w:link w:val="ListParagraphChar"/>
    <w:uiPriority w:val="34"/>
    <w:unhideWhenUsed/>
    <w:qFormat/>
    <w:rsid w:val="001D6B71"/>
    <w:pPr>
      <w:spacing w:before="60" w:after="60" w:line="288" w:lineRule="auto"/>
      <w:ind w:left="720"/>
      <w:contextualSpacing/>
    </w:pPr>
    <w:rPr>
      <w:rFonts w:ascii="Arial" w:eastAsia="Times New Roman" w:hAnsi="Arial" w:cs="Arial"/>
      <w:sz w:val="20"/>
      <w:szCs w:val="20"/>
      <w:lang w:val="en-US"/>
    </w:rPr>
  </w:style>
  <w:style w:type="paragraph" w:styleId="Header">
    <w:name w:val="header"/>
    <w:basedOn w:val="Normal"/>
    <w:link w:val="HeaderChar"/>
    <w:unhideWhenUsed/>
    <w:rsid w:val="00E25F6B"/>
    <w:pPr>
      <w:tabs>
        <w:tab w:val="center" w:pos="4680"/>
        <w:tab w:val="right" w:pos="9360"/>
      </w:tabs>
      <w:spacing w:after="0" w:line="240" w:lineRule="auto"/>
    </w:pPr>
  </w:style>
  <w:style w:type="character" w:customStyle="1" w:styleId="HeaderChar">
    <w:name w:val="Header Char"/>
    <w:basedOn w:val="DefaultParagraphFont"/>
    <w:link w:val="Header"/>
    <w:rsid w:val="00E25F6B"/>
  </w:style>
  <w:style w:type="paragraph" w:styleId="Footer">
    <w:name w:val="footer"/>
    <w:basedOn w:val="Normal"/>
    <w:link w:val="FooterChar"/>
    <w:uiPriority w:val="99"/>
    <w:unhideWhenUsed/>
    <w:rsid w:val="00E25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F6B"/>
  </w:style>
  <w:style w:type="paragraph" w:styleId="NoSpacing">
    <w:name w:val="No Spacing"/>
    <w:link w:val="NoSpacingChar"/>
    <w:uiPriority w:val="1"/>
    <w:qFormat/>
    <w:rsid w:val="001D6B7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D6B71"/>
    <w:rPr>
      <w:rFonts w:eastAsiaTheme="minorEastAsia"/>
      <w:lang w:val="en-US" w:eastAsia="ja-JP"/>
    </w:rPr>
  </w:style>
  <w:style w:type="paragraph" w:styleId="BalloonText">
    <w:name w:val="Balloon Text"/>
    <w:basedOn w:val="Normal"/>
    <w:link w:val="BalloonTextChar"/>
    <w:uiPriority w:val="99"/>
    <w:unhideWhenUsed/>
    <w:rsid w:val="00E25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25F6B"/>
    <w:rPr>
      <w:rFonts w:ascii="Tahoma" w:hAnsi="Tahoma" w:cs="Tahoma"/>
      <w:sz w:val="16"/>
      <w:szCs w:val="16"/>
    </w:rPr>
  </w:style>
  <w:style w:type="paragraph" w:styleId="Title">
    <w:name w:val="Title"/>
    <w:aliases w:val="Chapter title"/>
    <w:basedOn w:val="Normal"/>
    <w:next w:val="Normal"/>
    <w:link w:val="TitleChar"/>
    <w:uiPriority w:val="10"/>
    <w:rsid w:val="00843530"/>
    <w:pPr>
      <w:numPr>
        <w:numId w:val="26"/>
      </w:numPr>
      <w:pBdr>
        <w:bottom w:val="single" w:sz="8" w:space="4" w:color="D9D9D9" w:themeColor="accent1"/>
      </w:pBdr>
      <w:spacing w:after="300" w:line="240" w:lineRule="auto"/>
      <w:contextualSpacing/>
    </w:pPr>
    <w:rPr>
      <w:rFonts w:asciiTheme="majorHAnsi" w:eastAsiaTheme="majorEastAsia" w:hAnsiTheme="majorHAnsi" w:cstheme="majorBidi"/>
      <w:b/>
      <w:color w:val="4CB8C1" w:themeColor="accent5"/>
      <w:spacing w:val="5"/>
      <w:kern w:val="28"/>
      <w:sz w:val="52"/>
      <w:szCs w:val="52"/>
    </w:rPr>
  </w:style>
  <w:style w:type="character" w:customStyle="1" w:styleId="TitleChar">
    <w:name w:val="Title Char"/>
    <w:aliases w:val="Chapter title Char"/>
    <w:basedOn w:val="DefaultParagraphFont"/>
    <w:link w:val="Title"/>
    <w:uiPriority w:val="10"/>
    <w:rsid w:val="00843530"/>
    <w:rPr>
      <w:rFonts w:asciiTheme="majorHAnsi" w:eastAsiaTheme="majorEastAsia" w:hAnsiTheme="majorHAnsi" w:cstheme="majorBidi"/>
      <w:b/>
      <w:color w:val="4CB8C1" w:themeColor="accent5"/>
      <w:spacing w:val="5"/>
      <w:kern w:val="28"/>
      <w:sz w:val="52"/>
      <w:szCs w:val="52"/>
    </w:rPr>
  </w:style>
  <w:style w:type="character" w:customStyle="1" w:styleId="Heading3Char">
    <w:name w:val="Heading 3 Char"/>
    <w:basedOn w:val="DefaultParagraphFont"/>
    <w:link w:val="Heading3"/>
    <w:uiPriority w:val="9"/>
    <w:rsid w:val="002E21B9"/>
    <w:rPr>
      <w:rFonts w:asciiTheme="majorHAnsi" w:eastAsiaTheme="majorEastAsia" w:hAnsiTheme="majorHAnsi" w:cstheme="majorHAnsi"/>
      <w:b/>
      <w:i/>
      <w:color w:val="4CB8C1" w:themeColor="accent5"/>
      <w:kern w:val="28"/>
      <w:sz w:val="30"/>
      <w:szCs w:val="30"/>
      <w:lang w:val="en-US"/>
    </w:rPr>
  </w:style>
  <w:style w:type="paragraph" w:styleId="TOC2">
    <w:name w:val="toc 2"/>
    <w:basedOn w:val="Normal"/>
    <w:next w:val="Normal"/>
    <w:autoRedefine/>
    <w:uiPriority w:val="39"/>
    <w:unhideWhenUsed/>
    <w:rsid w:val="00A73450"/>
    <w:pPr>
      <w:tabs>
        <w:tab w:val="left" w:pos="960"/>
        <w:tab w:val="right" w:leader="dot" w:pos="9017"/>
      </w:tabs>
      <w:spacing w:after="100" w:line="240" w:lineRule="auto"/>
      <w:ind w:left="221"/>
    </w:pPr>
  </w:style>
  <w:style w:type="paragraph" w:styleId="TOC1">
    <w:name w:val="toc 1"/>
    <w:basedOn w:val="Normal"/>
    <w:next w:val="Normal"/>
    <w:autoRedefine/>
    <w:uiPriority w:val="39"/>
    <w:unhideWhenUsed/>
    <w:rsid w:val="00246A6C"/>
    <w:pPr>
      <w:tabs>
        <w:tab w:val="left" w:pos="440"/>
        <w:tab w:val="right" w:leader="dot" w:pos="9016"/>
      </w:tabs>
      <w:spacing w:after="100"/>
    </w:pPr>
    <w:rPr>
      <w:b/>
      <w:noProof/>
      <w:color w:val="002060" w:themeColor="text2"/>
    </w:rPr>
  </w:style>
  <w:style w:type="paragraph" w:styleId="TOC3">
    <w:name w:val="toc 3"/>
    <w:basedOn w:val="Normal"/>
    <w:next w:val="Normal"/>
    <w:autoRedefine/>
    <w:uiPriority w:val="39"/>
    <w:unhideWhenUsed/>
    <w:rsid w:val="00142446"/>
    <w:pPr>
      <w:tabs>
        <w:tab w:val="left" w:pos="1200"/>
        <w:tab w:val="right" w:leader="dot" w:pos="9017"/>
      </w:tabs>
      <w:spacing w:after="100"/>
      <w:ind w:left="442"/>
    </w:pPr>
  </w:style>
  <w:style w:type="character" w:styleId="Hyperlink">
    <w:name w:val="Hyperlink"/>
    <w:basedOn w:val="DefaultParagraphFont"/>
    <w:uiPriority w:val="99"/>
    <w:unhideWhenUsed/>
    <w:rsid w:val="0018659E"/>
    <w:rPr>
      <w:color w:val="A6A6A6" w:themeColor="hyperlink"/>
      <w:u w:val="single"/>
    </w:rPr>
  </w:style>
  <w:style w:type="paragraph" w:styleId="TOCHeading">
    <w:name w:val="TOC Heading"/>
    <w:basedOn w:val="Heading1"/>
    <w:next w:val="Normal"/>
    <w:uiPriority w:val="39"/>
    <w:unhideWhenUsed/>
    <w:qFormat/>
    <w:rsid w:val="001D6B71"/>
    <w:pPr>
      <w:numPr>
        <w:numId w:val="0"/>
      </w:numPr>
      <w:spacing w:before="480" w:line="276" w:lineRule="auto"/>
      <w:outlineLvl w:val="9"/>
    </w:pPr>
    <w:rPr>
      <w:b w:val="0"/>
      <w:bCs/>
      <w:caps w:val="0"/>
      <w:color w:val="A2A2A2" w:themeColor="accent1" w:themeShade="BF"/>
      <w:sz w:val="28"/>
      <w:szCs w:val="28"/>
      <w:lang w:eastAsia="ja-JP"/>
    </w:rPr>
  </w:style>
  <w:style w:type="paragraph" w:styleId="Subtitle">
    <w:name w:val="Subtitle"/>
    <w:basedOn w:val="Normal"/>
    <w:next w:val="Normal"/>
    <w:link w:val="SubtitleChar"/>
    <w:uiPriority w:val="11"/>
    <w:qFormat/>
    <w:rsid w:val="001D6B7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6B71"/>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285B2A"/>
    <w:rPr>
      <w:rFonts w:ascii="Arial" w:eastAsia="Times New Roman" w:hAnsi="Arial" w:cs="Arial"/>
      <w:smallCaps/>
      <w:spacing w:val="10"/>
      <w:lang w:val="en-US"/>
    </w:rPr>
  </w:style>
  <w:style w:type="character" w:customStyle="1" w:styleId="Heading5Char">
    <w:name w:val="Heading 5 Char"/>
    <w:basedOn w:val="DefaultParagraphFont"/>
    <w:link w:val="Heading5"/>
    <w:uiPriority w:val="9"/>
    <w:semiHidden/>
    <w:rsid w:val="00285B2A"/>
    <w:rPr>
      <w:rFonts w:eastAsiaTheme="minorEastAsia" w:cstheme="minorHAnsi"/>
      <w:smallCaps/>
      <w:color w:val="7C7C7C" w:themeColor="accent2" w:themeShade="BF"/>
      <w:spacing w:val="10"/>
      <w:szCs w:val="26"/>
      <w:lang w:val="en-US"/>
    </w:rPr>
  </w:style>
  <w:style w:type="character" w:customStyle="1" w:styleId="Heading6Char">
    <w:name w:val="Heading 6 Char"/>
    <w:basedOn w:val="DefaultParagraphFont"/>
    <w:link w:val="Heading6"/>
    <w:uiPriority w:val="9"/>
    <w:semiHidden/>
    <w:rsid w:val="00285B2A"/>
    <w:rPr>
      <w:rFonts w:eastAsiaTheme="minorEastAsia" w:cstheme="minorHAnsi"/>
      <w:smallCaps/>
      <w:color w:val="A6A6A6" w:themeColor="accent2"/>
      <w:spacing w:val="5"/>
      <w:szCs w:val="20"/>
      <w:lang w:val="en-US"/>
    </w:rPr>
  </w:style>
  <w:style w:type="character" w:customStyle="1" w:styleId="Heading7Char">
    <w:name w:val="Heading 7 Char"/>
    <w:basedOn w:val="DefaultParagraphFont"/>
    <w:link w:val="Heading7"/>
    <w:uiPriority w:val="9"/>
    <w:semiHidden/>
    <w:rsid w:val="00285B2A"/>
    <w:rPr>
      <w:rFonts w:eastAsiaTheme="minorEastAsia" w:cstheme="minorHAnsi"/>
      <w:b/>
      <w:smallCaps/>
      <w:color w:val="A6A6A6" w:themeColor="accent2"/>
      <w:spacing w:val="10"/>
      <w:sz w:val="20"/>
      <w:szCs w:val="20"/>
      <w:lang w:val="en-US"/>
    </w:rPr>
  </w:style>
  <w:style w:type="character" w:customStyle="1" w:styleId="Heading8Char">
    <w:name w:val="Heading 8 Char"/>
    <w:basedOn w:val="DefaultParagraphFont"/>
    <w:link w:val="Heading8"/>
    <w:uiPriority w:val="9"/>
    <w:semiHidden/>
    <w:rsid w:val="00285B2A"/>
    <w:rPr>
      <w:rFonts w:eastAsiaTheme="minorEastAsia" w:cstheme="minorHAnsi"/>
      <w:b/>
      <w:i/>
      <w:smallCaps/>
      <w:color w:val="7C7C7C" w:themeColor="accent2" w:themeShade="BF"/>
      <w:sz w:val="20"/>
      <w:szCs w:val="20"/>
      <w:lang w:val="en-US"/>
    </w:rPr>
  </w:style>
  <w:style w:type="character" w:customStyle="1" w:styleId="Heading9Char">
    <w:name w:val="Heading 9 Char"/>
    <w:basedOn w:val="DefaultParagraphFont"/>
    <w:link w:val="Heading9"/>
    <w:uiPriority w:val="9"/>
    <w:semiHidden/>
    <w:rsid w:val="00285B2A"/>
    <w:rPr>
      <w:rFonts w:eastAsiaTheme="minorEastAsia"/>
      <w:b/>
      <w:i/>
      <w:smallCaps/>
      <w:color w:val="525252" w:themeColor="accent2" w:themeShade="7F"/>
      <w:sz w:val="20"/>
      <w:szCs w:val="20"/>
      <w:lang w:val="en-US"/>
    </w:rPr>
  </w:style>
  <w:style w:type="paragraph" w:customStyle="1" w:styleId="01squarebullet">
    <w:name w:val="01 square bullet"/>
    <w:basedOn w:val="Normal"/>
    <w:qFormat/>
    <w:rsid w:val="00991ABF"/>
    <w:pPr>
      <w:numPr>
        <w:numId w:val="2"/>
      </w:numPr>
      <w:spacing w:before="60" w:after="120"/>
      <w:ind w:right="142"/>
    </w:pPr>
    <w:rPr>
      <w:rFonts w:eastAsia="Times New Roman"/>
      <w:lang w:val="en-US"/>
    </w:rPr>
  </w:style>
  <w:style w:type="paragraph" w:customStyle="1" w:styleId="02dash">
    <w:name w:val="02 dash"/>
    <w:basedOn w:val="01squarebullet"/>
    <w:uiPriority w:val="4"/>
    <w:rsid w:val="00285B2A"/>
    <w:pPr>
      <w:numPr>
        <w:numId w:val="14"/>
      </w:numPr>
      <w:tabs>
        <w:tab w:val="left" w:pos="646"/>
      </w:tabs>
    </w:pPr>
  </w:style>
  <w:style w:type="paragraph" w:customStyle="1" w:styleId="03opensquarebullet">
    <w:name w:val="03 open square bullet"/>
    <w:basedOn w:val="02dash"/>
    <w:uiPriority w:val="5"/>
    <w:rsid w:val="00285B2A"/>
    <w:pPr>
      <w:numPr>
        <w:numId w:val="15"/>
      </w:numPr>
      <w:tabs>
        <w:tab w:val="clear" w:pos="646"/>
        <w:tab w:val="left" w:pos="924"/>
      </w:tabs>
      <w:ind w:left="930" w:hanging="284"/>
    </w:pPr>
  </w:style>
  <w:style w:type="paragraph" w:customStyle="1" w:styleId="04shortdash">
    <w:name w:val="04 short dash"/>
    <w:basedOn w:val="03opensquarebullet"/>
    <w:uiPriority w:val="6"/>
    <w:rsid w:val="00285B2A"/>
    <w:pPr>
      <w:numPr>
        <w:numId w:val="16"/>
      </w:numPr>
      <w:tabs>
        <w:tab w:val="clear" w:pos="924"/>
        <w:tab w:val="left" w:pos="1213"/>
      </w:tabs>
      <w:ind w:left="1208" w:hanging="284"/>
    </w:pPr>
  </w:style>
  <w:style w:type="paragraph" w:customStyle="1" w:styleId="05number1">
    <w:name w:val="05 number/1"/>
    <w:basedOn w:val="Normal"/>
    <w:uiPriority w:val="7"/>
    <w:rsid w:val="00285B2A"/>
    <w:pPr>
      <w:numPr>
        <w:numId w:val="1"/>
      </w:numPr>
      <w:spacing w:before="60" w:after="60" w:line="288" w:lineRule="auto"/>
    </w:pPr>
    <w:rPr>
      <w:rFonts w:ascii="Arial" w:eastAsia="Times New Roman" w:hAnsi="Arial" w:cs="Arial"/>
      <w:sz w:val="20"/>
      <w:szCs w:val="20"/>
      <w:lang w:val="en-US"/>
    </w:rPr>
  </w:style>
  <w:style w:type="paragraph" w:customStyle="1" w:styleId="06letter2">
    <w:name w:val="06 letter/2"/>
    <w:basedOn w:val="Normal"/>
    <w:uiPriority w:val="8"/>
    <w:rsid w:val="00285B2A"/>
    <w:pPr>
      <w:numPr>
        <w:numId w:val="17"/>
      </w:numPr>
      <w:spacing w:after="60" w:line="288" w:lineRule="auto"/>
      <w:ind w:left="648" w:hanging="288"/>
    </w:pPr>
    <w:rPr>
      <w:rFonts w:ascii="Arial" w:eastAsia="Times New Roman" w:hAnsi="Arial" w:cs="Arial"/>
      <w:sz w:val="20"/>
      <w:szCs w:val="20"/>
      <w:lang w:val="en-US"/>
    </w:rPr>
  </w:style>
  <w:style w:type="paragraph" w:customStyle="1" w:styleId="07number3">
    <w:name w:val="07 number/3"/>
    <w:basedOn w:val="Normal"/>
    <w:uiPriority w:val="9"/>
    <w:rsid w:val="00285B2A"/>
    <w:pPr>
      <w:numPr>
        <w:numId w:val="18"/>
      </w:numPr>
      <w:spacing w:after="60" w:line="288" w:lineRule="auto"/>
      <w:ind w:left="922" w:hanging="274"/>
    </w:pPr>
    <w:rPr>
      <w:rFonts w:ascii="Arial" w:eastAsia="Times New Roman" w:hAnsi="Arial" w:cs="Arial"/>
      <w:sz w:val="20"/>
      <w:szCs w:val="20"/>
      <w:lang w:val="en-US"/>
    </w:rPr>
  </w:style>
  <w:style w:type="paragraph" w:customStyle="1" w:styleId="08letter4">
    <w:name w:val="08 letter/4"/>
    <w:basedOn w:val="Normal"/>
    <w:uiPriority w:val="10"/>
    <w:rsid w:val="00285B2A"/>
    <w:pPr>
      <w:numPr>
        <w:numId w:val="19"/>
      </w:numPr>
      <w:spacing w:after="60" w:line="288" w:lineRule="auto"/>
      <w:ind w:left="1210" w:hanging="288"/>
    </w:pPr>
    <w:rPr>
      <w:rFonts w:ascii="Arial" w:eastAsia="Times New Roman" w:hAnsi="Arial" w:cs="Arial"/>
      <w:sz w:val="20"/>
      <w:szCs w:val="20"/>
      <w:lang w:val="en-US"/>
    </w:rPr>
  </w:style>
  <w:style w:type="paragraph" w:customStyle="1" w:styleId="10tablenormal">
    <w:name w:val="10 table normal"/>
    <w:basedOn w:val="Normal"/>
    <w:rsid w:val="00285B2A"/>
    <w:pPr>
      <w:spacing w:after="60" w:line="240" w:lineRule="auto"/>
      <w:ind w:right="142"/>
    </w:pPr>
    <w:rPr>
      <w:rFonts w:ascii="Arial" w:eastAsia="Times New Roman" w:hAnsi="Arial" w:cs="Arial"/>
      <w:sz w:val="20"/>
      <w:szCs w:val="20"/>
      <w:lang w:val="en-US"/>
    </w:rPr>
  </w:style>
  <w:style w:type="paragraph" w:customStyle="1" w:styleId="15tableheading">
    <w:name w:val="15 table heading"/>
    <w:basedOn w:val="10tablenormal"/>
    <w:next w:val="10tablenormal"/>
    <w:rsid w:val="00285B2A"/>
    <w:rPr>
      <w:b/>
    </w:rPr>
  </w:style>
  <w:style w:type="paragraph" w:customStyle="1" w:styleId="20major">
    <w:name w:val="20 major"/>
    <w:basedOn w:val="Normal"/>
    <w:next w:val="Normal"/>
    <w:uiPriority w:val="1"/>
    <w:rsid w:val="00285B2A"/>
    <w:pPr>
      <w:keepNext/>
      <w:spacing w:before="540" w:after="60" w:line="288" w:lineRule="auto"/>
      <w:ind w:right="360"/>
      <w:outlineLvl w:val="1"/>
    </w:pPr>
    <w:rPr>
      <w:rFonts w:asciiTheme="majorHAnsi" w:eastAsia="Times New Roman" w:hAnsiTheme="majorHAnsi" w:cs="Arial"/>
      <w:b/>
      <w:i/>
      <w:caps/>
      <w:color w:val="009EE0"/>
      <w:sz w:val="24"/>
      <w:szCs w:val="20"/>
      <w:lang w:val="en-US"/>
    </w:rPr>
  </w:style>
  <w:style w:type="paragraph" w:customStyle="1" w:styleId="22numberedparagraph">
    <w:name w:val="22 numbered paragraph"/>
    <w:basedOn w:val="Normal"/>
    <w:next w:val="Normal"/>
    <w:link w:val="22numberedparagraphChar"/>
    <w:uiPriority w:val="11"/>
    <w:qFormat/>
    <w:rsid w:val="00285B2A"/>
    <w:pPr>
      <w:spacing w:before="60" w:after="60" w:line="288" w:lineRule="auto"/>
      <w:outlineLvl w:val="3"/>
    </w:pPr>
    <w:rPr>
      <w:rFonts w:ascii="Arial" w:eastAsia="Times New Roman" w:hAnsi="Arial" w:cs="Arial"/>
      <w:b/>
      <w:color w:val="002960"/>
      <w:sz w:val="24"/>
      <w:szCs w:val="20"/>
      <w:lang w:val="en-US"/>
    </w:rPr>
  </w:style>
  <w:style w:type="paragraph" w:customStyle="1" w:styleId="23threesquarebulletsbreak">
    <w:name w:val="23 three square bullets break"/>
    <w:basedOn w:val="Normal"/>
    <w:next w:val="Normal"/>
    <w:rsid w:val="00285B2A"/>
    <w:pPr>
      <w:spacing w:before="600" w:after="480" w:line="288" w:lineRule="auto"/>
      <w:jc w:val="center"/>
    </w:pPr>
    <w:rPr>
      <w:rFonts w:ascii="Arial" w:eastAsia="Times New Roman" w:hAnsi="Arial" w:cs="Arial"/>
      <w:sz w:val="20"/>
      <w:szCs w:val="20"/>
      <w:lang w:val="en-US"/>
    </w:rPr>
  </w:style>
  <w:style w:type="paragraph" w:customStyle="1" w:styleId="24enddate">
    <w:name w:val="24 end date"/>
    <w:basedOn w:val="Normal"/>
    <w:next w:val="Normal"/>
    <w:rsid w:val="00285B2A"/>
    <w:pPr>
      <w:pBdr>
        <w:top w:val="single" w:sz="4" w:space="6" w:color="auto"/>
      </w:pBdr>
      <w:spacing w:before="300" w:after="60" w:line="288" w:lineRule="auto"/>
    </w:pPr>
    <w:rPr>
      <w:rFonts w:ascii="Arial" w:eastAsia="Times New Roman" w:hAnsi="Arial" w:cs="Arial"/>
      <w:sz w:val="20"/>
      <w:szCs w:val="20"/>
      <w:lang w:val="en-US"/>
    </w:rPr>
  </w:style>
  <w:style w:type="paragraph" w:customStyle="1" w:styleId="30documenttitle">
    <w:name w:val="30 document title"/>
    <w:basedOn w:val="Normal"/>
    <w:next w:val="Normal"/>
    <w:rsid w:val="00285B2A"/>
    <w:pPr>
      <w:spacing w:before="600" w:after="360" w:line="288" w:lineRule="auto"/>
      <w:ind w:right="1077"/>
      <w:outlineLvl w:val="0"/>
    </w:pPr>
    <w:rPr>
      <w:rFonts w:ascii="Georgia" w:eastAsia="Times New Roman" w:hAnsi="Georgia" w:cs="Arial"/>
      <w:i/>
      <w:color w:val="009EE0"/>
      <w:sz w:val="66"/>
      <w:szCs w:val="20"/>
      <w:lang w:val="en-US"/>
    </w:rPr>
  </w:style>
  <w:style w:type="paragraph" w:customStyle="1" w:styleId="31subtitle">
    <w:name w:val="31 subtitle"/>
    <w:basedOn w:val="Normal"/>
    <w:next w:val="Normal"/>
    <w:rsid w:val="00285B2A"/>
    <w:pPr>
      <w:spacing w:before="60" w:after="360" w:line="288" w:lineRule="auto"/>
      <w:ind w:left="-1138" w:right="3600"/>
    </w:pPr>
    <w:rPr>
      <w:rFonts w:ascii="Arial" w:eastAsia="Times New Roman" w:hAnsi="Arial" w:cs="Arial"/>
      <w:color w:val="002960"/>
      <w:sz w:val="24"/>
      <w:szCs w:val="20"/>
      <w:lang w:val="en-US"/>
    </w:rPr>
  </w:style>
  <w:style w:type="paragraph" w:customStyle="1" w:styleId="32chaptertitle">
    <w:name w:val="32 chapter title"/>
    <w:basedOn w:val="Normal"/>
    <w:next w:val="Normal"/>
    <w:rsid w:val="00285B2A"/>
    <w:pPr>
      <w:pageBreakBefore/>
      <w:spacing w:before="60" w:after="300" w:line="288" w:lineRule="auto"/>
      <w:ind w:left="561" w:right="1077" w:hanging="561"/>
      <w:outlineLvl w:val="0"/>
    </w:pPr>
    <w:rPr>
      <w:rFonts w:asciiTheme="majorHAnsi" w:eastAsia="Times New Roman" w:hAnsiTheme="majorHAnsi" w:cs="Arial"/>
      <w:i/>
      <w:color w:val="009EE0"/>
      <w:sz w:val="44"/>
      <w:szCs w:val="20"/>
      <w:lang w:val="en-US"/>
    </w:rPr>
  </w:style>
  <w:style w:type="paragraph" w:customStyle="1" w:styleId="32aResume">
    <w:name w:val="32a Resume"/>
    <w:basedOn w:val="32chaptertitle"/>
    <w:next w:val="Normal"/>
    <w:rsid w:val="00285B2A"/>
    <w:pPr>
      <w:ind w:left="-1134" w:firstLine="0"/>
      <w:outlineLvl w:val="2"/>
    </w:pPr>
  </w:style>
  <w:style w:type="paragraph" w:customStyle="1" w:styleId="33contentschapter">
    <w:name w:val="33 contents chapter"/>
    <w:basedOn w:val="32chaptertitle"/>
    <w:next w:val="Normal"/>
    <w:rsid w:val="00285B2A"/>
    <w:pPr>
      <w:spacing w:before="2880"/>
    </w:pPr>
  </w:style>
  <w:style w:type="paragraph" w:customStyle="1" w:styleId="38letterdate">
    <w:name w:val="38 letter date"/>
    <w:basedOn w:val="Normal"/>
    <w:next w:val="Normal"/>
    <w:uiPriority w:val="49"/>
    <w:rsid w:val="00285B2A"/>
    <w:pPr>
      <w:spacing w:before="1680" w:after="60" w:line="288" w:lineRule="auto"/>
      <w:jc w:val="right"/>
    </w:pPr>
    <w:rPr>
      <w:rFonts w:ascii="Arial" w:eastAsia="Times New Roman" w:hAnsi="Arial" w:cs="Arial"/>
      <w:sz w:val="20"/>
      <w:szCs w:val="20"/>
      <w:lang w:val="en-US"/>
    </w:rPr>
  </w:style>
  <w:style w:type="paragraph" w:customStyle="1" w:styleId="39restrictivenote">
    <w:name w:val="39 restrictive note"/>
    <w:basedOn w:val="Normal"/>
    <w:next w:val="Normal"/>
    <w:rsid w:val="00285B2A"/>
    <w:pPr>
      <w:spacing w:before="60" w:after="60" w:line="288" w:lineRule="auto"/>
    </w:pPr>
    <w:rPr>
      <w:rFonts w:ascii="Arial" w:eastAsia="Times New Roman" w:hAnsi="Arial" w:cs="Arial"/>
      <w:caps/>
      <w:sz w:val="20"/>
      <w:szCs w:val="20"/>
      <w:lang w:val="en-US"/>
    </w:rPr>
  </w:style>
  <w:style w:type="paragraph" w:customStyle="1" w:styleId="40address">
    <w:name w:val="40 address"/>
    <w:basedOn w:val="Normal"/>
    <w:rsid w:val="00285B2A"/>
    <w:pPr>
      <w:spacing w:before="60" w:after="60" w:line="288" w:lineRule="auto"/>
    </w:pPr>
    <w:rPr>
      <w:rFonts w:ascii="Arial" w:eastAsia="Times New Roman" w:hAnsi="Arial" w:cs="Arial"/>
      <w:sz w:val="20"/>
      <w:szCs w:val="20"/>
      <w:lang w:val="en-US"/>
    </w:rPr>
  </w:style>
  <w:style w:type="paragraph" w:customStyle="1" w:styleId="41closingsignature">
    <w:name w:val="41 closing signature"/>
    <w:basedOn w:val="Normal"/>
    <w:rsid w:val="00285B2A"/>
    <w:pPr>
      <w:spacing w:before="540" w:after="60" w:line="288" w:lineRule="auto"/>
    </w:pPr>
    <w:rPr>
      <w:rFonts w:ascii="Arial" w:eastAsia="Times New Roman" w:hAnsi="Arial" w:cs="Arial"/>
      <w:sz w:val="20"/>
      <w:szCs w:val="20"/>
      <w:lang w:val="en-US"/>
    </w:rPr>
  </w:style>
  <w:style w:type="paragraph" w:customStyle="1" w:styleId="42cc">
    <w:name w:val="42 cc:"/>
    <w:basedOn w:val="Normal"/>
    <w:rsid w:val="00285B2A"/>
    <w:pPr>
      <w:spacing w:before="60" w:after="60" w:line="288" w:lineRule="auto"/>
      <w:ind w:left="544" w:hanging="544"/>
    </w:pPr>
    <w:rPr>
      <w:rFonts w:ascii="Arial" w:eastAsia="Times New Roman" w:hAnsi="Arial" w:cs="Arial"/>
      <w:sz w:val="24"/>
      <w:szCs w:val="20"/>
      <w:lang w:val="en-US"/>
    </w:rPr>
  </w:style>
  <w:style w:type="paragraph" w:customStyle="1" w:styleId="60exhnormal">
    <w:name w:val="60 exh normal"/>
    <w:basedOn w:val="Normal"/>
    <w:rsid w:val="00285B2A"/>
    <w:pPr>
      <w:spacing w:before="200" w:after="0" w:line="288" w:lineRule="auto"/>
    </w:pPr>
    <w:rPr>
      <w:rFonts w:ascii="Arial" w:eastAsia="Times New Roman" w:hAnsi="Arial" w:cs="Arial"/>
      <w:caps/>
      <w:szCs w:val="20"/>
      <w:lang w:val="en-US"/>
    </w:rPr>
  </w:style>
  <w:style w:type="paragraph" w:styleId="Caption">
    <w:name w:val="caption"/>
    <w:basedOn w:val="Normal"/>
    <w:next w:val="Normal"/>
    <w:uiPriority w:val="35"/>
    <w:unhideWhenUsed/>
    <w:qFormat/>
    <w:rsid w:val="00054F6A"/>
    <w:pPr>
      <w:keepNext/>
      <w:spacing w:before="60" w:after="120" w:line="240" w:lineRule="auto"/>
    </w:pPr>
    <w:rPr>
      <w:rFonts w:eastAsia="Times New Roman"/>
      <w:b/>
      <w:bCs/>
      <w:sz w:val="24"/>
      <w:szCs w:val="24"/>
      <w:lang w:val="en-US"/>
    </w:rPr>
  </w:style>
  <w:style w:type="character" w:styleId="CommentReference">
    <w:name w:val="annotation reference"/>
    <w:basedOn w:val="DefaultParagraphFont"/>
    <w:uiPriority w:val="99"/>
    <w:unhideWhenUsed/>
    <w:rsid w:val="00285B2A"/>
    <w:rPr>
      <w:sz w:val="16"/>
      <w:szCs w:val="16"/>
    </w:rPr>
  </w:style>
  <w:style w:type="paragraph" w:styleId="CommentText">
    <w:name w:val="annotation text"/>
    <w:basedOn w:val="Normal"/>
    <w:link w:val="CommentTextChar"/>
    <w:uiPriority w:val="99"/>
    <w:rsid w:val="00285B2A"/>
    <w:pPr>
      <w:spacing w:before="60" w:after="60" w:line="288" w:lineRule="auto"/>
    </w:pPr>
    <w:rPr>
      <w:rFonts w:ascii="Arial" w:eastAsia="Times New Roman" w:hAnsi="Arial" w:cs="Arial"/>
      <w:sz w:val="20"/>
      <w:szCs w:val="20"/>
      <w:lang w:val="en-US"/>
    </w:rPr>
  </w:style>
  <w:style w:type="character" w:customStyle="1" w:styleId="CommentTextChar">
    <w:name w:val="Comment Text Char"/>
    <w:basedOn w:val="DefaultParagraphFont"/>
    <w:link w:val="CommentText"/>
    <w:uiPriority w:val="99"/>
    <w:rsid w:val="00285B2A"/>
    <w:rPr>
      <w:rFonts w:ascii="Arial" w:eastAsia="Times New Roman" w:hAnsi="Arial" w:cs="Arial"/>
      <w:sz w:val="20"/>
      <w:szCs w:val="20"/>
      <w:lang w:val="en-US"/>
    </w:rPr>
  </w:style>
  <w:style w:type="paragraph" w:styleId="DocumentMap">
    <w:name w:val="Document Map"/>
    <w:basedOn w:val="Normal"/>
    <w:link w:val="DocumentMapChar"/>
    <w:uiPriority w:val="99"/>
    <w:unhideWhenUsed/>
    <w:rsid w:val="00285B2A"/>
    <w:pPr>
      <w:spacing w:before="60" w:after="0" w:line="288"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rsid w:val="00285B2A"/>
    <w:rPr>
      <w:rFonts w:ascii="Tahoma" w:eastAsia="Times New Roman" w:hAnsi="Tahoma" w:cs="Tahoma"/>
      <w:sz w:val="16"/>
      <w:szCs w:val="16"/>
      <w:lang w:val="en-US"/>
    </w:rPr>
  </w:style>
  <w:style w:type="paragraph" w:customStyle="1" w:styleId="DocumentID-BL">
    <w:name w:val="DocumentID-BL"/>
    <w:basedOn w:val="Normal"/>
    <w:next w:val="Header"/>
    <w:rsid w:val="00285B2A"/>
    <w:pPr>
      <w:framePr w:hSpace="187" w:vSpace="187" w:wrap="around" w:vAnchor="page" w:hAnchor="page" w:x="721" w:y="15985" w:anchorLock="1"/>
      <w:spacing w:before="60" w:after="0" w:line="288" w:lineRule="auto"/>
    </w:pPr>
    <w:rPr>
      <w:rFonts w:ascii="Arial" w:eastAsia="Times New Roman" w:hAnsi="Arial" w:cs="Arial"/>
      <w:sz w:val="16"/>
      <w:szCs w:val="20"/>
      <w:lang w:val="en-US"/>
    </w:rPr>
  </w:style>
  <w:style w:type="paragraph" w:customStyle="1" w:styleId="DocumentID-BLT">
    <w:name w:val="DocumentID-BLT"/>
    <w:basedOn w:val="DocumentID-BL"/>
    <w:rsid w:val="00285B2A"/>
    <w:pPr>
      <w:framePr w:wrap="around"/>
    </w:pPr>
    <w:rPr>
      <w:vanish/>
      <w:color w:val="FF0000"/>
    </w:rPr>
  </w:style>
  <w:style w:type="paragraph" w:customStyle="1" w:styleId="DocumentID-TR">
    <w:name w:val="DocumentID-TR"/>
    <w:basedOn w:val="Normal"/>
    <w:next w:val="Header"/>
    <w:rsid w:val="00285B2A"/>
    <w:pPr>
      <w:framePr w:w="5760" w:wrap="around" w:vAnchor="page" w:hAnchor="page" w:x="5401" w:y="721" w:anchorLock="1"/>
      <w:spacing w:before="60" w:after="0" w:line="288" w:lineRule="auto"/>
      <w:jc w:val="right"/>
    </w:pPr>
    <w:rPr>
      <w:rFonts w:ascii="Arial" w:eastAsia="Times New Roman" w:hAnsi="Arial" w:cs="Arial"/>
      <w:sz w:val="16"/>
      <w:szCs w:val="20"/>
      <w:lang w:val="en-US"/>
    </w:rPr>
  </w:style>
  <w:style w:type="paragraph" w:customStyle="1" w:styleId="DocumentID-TRT">
    <w:name w:val="DocumentID-TRT"/>
    <w:basedOn w:val="DocumentID-TR"/>
    <w:rsid w:val="00285B2A"/>
    <w:pPr>
      <w:framePr w:wrap="around"/>
    </w:pPr>
    <w:rPr>
      <w:vanish/>
      <w:color w:val="FF0000"/>
    </w:rPr>
  </w:style>
  <w:style w:type="character" w:styleId="EndnoteReference">
    <w:name w:val="endnote reference"/>
    <w:basedOn w:val="DefaultParagraphFont"/>
    <w:uiPriority w:val="99"/>
    <w:rsid w:val="00285B2A"/>
    <w:rPr>
      <w:vertAlign w:val="superscript"/>
    </w:rPr>
  </w:style>
  <w:style w:type="paragraph" w:styleId="EndnoteText">
    <w:name w:val="endnote text"/>
    <w:basedOn w:val="Normal"/>
    <w:link w:val="EndnoteTextChar"/>
    <w:uiPriority w:val="99"/>
    <w:rsid w:val="00285B2A"/>
    <w:pPr>
      <w:spacing w:before="60" w:after="60" w:line="288" w:lineRule="auto"/>
    </w:pPr>
    <w:rPr>
      <w:rFonts w:ascii="Arial" w:eastAsia="Times New Roman" w:hAnsi="Arial" w:cs="Arial"/>
      <w:sz w:val="20"/>
      <w:szCs w:val="20"/>
      <w:lang w:val="en-US"/>
    </w:rPr>
  </w:style>
  <w:style w:type="character" w:customStyle="1" w:styleId="EndnoteTextChar">
    <w:name w:val="Endnote Text Char"/>
    <w:basedOn w:val="DefaultParagraphFont"/>
    <w:link w:val="EndnoteText"/>
    <w:uiPriority w:val="99"/>
    <w:rsid w:val="00285B2A"/>
    <w:rPr>
      <w:rFonts w:ascii="Arial" w:eastAsia="Times New Roman" w:hAnsi="Arial" w:cs="Arial"/>
      <w:sz w:val="20"/>
      <w:szCs w:val="20"/>
      <w:lang w:val="en-US"/>
    </w:rPr>
  </w:style>
  <w:style w:type="paragraph" w:styleId="EnvelopeAddress">
    <w:name w:val="envelope address"/>
    <w:basedOn w:val="Normal"/>
    <w:unhideWhenUsed/>
    <w:rsid w:val="00285B2A"/>
    <w:pPr>
      <w:framePr w:w="7920" w:h="1980" w:hRule="exact" w:hSpace="180" w:wrap="auto" w:hAnchor="page" w:xAlign="center" w:yAlign="bottom"/>
      <w:spacing w:before="60" w:after="0" w:line="288" w:lineRule="auto"/>
      <w:ind w:left="2880"/>
    </w:pPr>
    <w:rPr>
      <w:rFonts w:ascii="Arial" w:eastAsia="Times New Roman" w:hAnsi="Arial" w:cs="Arial"/>
      <w:sz w:val="20"/>
      <w:szCs w:val="20"/>
      <w:lang w:val="en-US"/>
    </w:rPr>
  </w:style>
  <w:style w:type="paragraph" w:styleId="EnvelopeReturn">
    <w:name w:val="envelope return"/>
    <w:basedOn w:val="Normal"/>
    <w:unhideWhenUsed/>
    <w:rsid w:val="00285B2A"/>
    <w:pPr>
      <w:spacing w:before="60" w:after="0" w:line="288" w:lineRule="auto"/>
    </w:pPr>
    <w:rPr>
      <w:rFonts w:ascii="Arial" w:eastAsia="Times New Roman" w:hAnsi="Arial" w:cs="Arial"/>
      <w:sz w:val="20"/>
      <w:szCs w:val="20"/>
      <w:lang w:val="en-US"/>
    </w:rPr>
  </w:style>
  <w:style w:type="character" w:styleId="FootnoteReference">
    <w:name w:val="footnote reference"/>
    <w:basedOn w:val="DefaultParagraphFont"/>
    <w:uiPriority w:val="99"/>
    <w:rsid w:val="00D26BF4"/>
    <w:rPr>
      <w:vertAlign w:val="superscript"/>
    </w:rPr>
  </w:style>
  <w:style w:type="paragraph" w:styleId="FootnoteText">
    <w:name w:val="footnote text"/>
    <w:aliases w:val="MGI.12.Footnote"/>
    <w:basedOn w:val="Normal"/>
    <w:link w:val="FootnoteTextChar"/>
    <w:uiPriority w:val="99"/>
    <w:qFormat/>
    <w:rsid w:val="00E56E96"/>
    <w:pPr>
      <w:tabs>
        <w:tab w:val="left" w:pos="170"/>
      </w:tabs>
      <w:spacing w:before="60" w:after="0" w:line="288" w:lineRule="auto"/>
      <w:ind w:left="170" w:hanging="170"/>
    </w:pPr>
    <w:rPr>
      <w:rFonts w:eastAsia="Times New Roman" w:cs="Arial"/>
      <w:color w:val="A6A6A6" w:themeColor="accent2"/>
      <w:sz w:val="18"/>
      <w:szCs w:val="20"/>
      <w:lang w:val="en-US"/>
    </w:rPr>
  </w:style>
  <w:style w:type="character" w:customStyle="1" w:styleId="FootnoteTextChar">
    <w:name w:val="Footnote Text Char"/>
    <w:aliases w:val="MGI.12.Footnote Char"/>
    <w:basedOn w:val="DefaultParagraphFont"/>
    <w:link w:val="FootnoteText"/>
    <w:uiPriority w:val="99"/>
    <w:rsid w:val="00E56E96"/>
    <w:rPr>
      <w:rFonts w:eastAsia="Times New Roman" w:cs="Arial"/>
      <w:color w:val="A6A6A6" w:themeColor="accent2"/>
      <w:sz w:val="18"/>
      <w:szCs w:val="20"/>
      <w:lang w:val="en-US"/>
    </w:rPr>
  </w:style>
  <w:style w:type="character" w:styleId="LineNumber">
    <w:name w:val="line number"/>
    <w:basedOn w:val="DefaultParagraphFont"/>
    <w:unhideWhenUsed/>
    <w:rsid w:val="00285B2A"/>
  </w:style>
  <w:style w:type="paragraph" w:styleId="MacroText">
    <w:name w:val="macro"/>
    <w:link w:val="MacroTextChar"/>
    <w:rsid w:val="00285B2A"/>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lang w:val="en-US"/>
    </w:rPr>
  </w:style>
  <w:style w:type="character" w:customStyle="1" w:styleId="MacroTextChar">
    <w:name w:val="Macro Text Char"/>
    <w:basedOn w:val="DefaultParagraphFont"/>
    <w:link w:val="MacroText"/>
    <w:rsid w:val="00285B2A"/>
    <w:rPr>
      <w:rFonts w:ascii="Arial" w:eastAsia="Times New Roman" w:hAnsi="Arial" w:cs="Times New Roman"/>
      <w:sz w:val="20"/>
      <w:szCs w:val="20"/>
      <w:lang w:val="en-US"/>
    </w:rPr>
  </w:style>
  <w:style w:type="character" w:styleId="PageNumber">
    <w:name w:val="page number"/>
    <w:basedOn w:val="DefaultParagraphFont"/>
    <w:rsid w:val="00285B2A"/>
    <w:rPr>
      <w:rFonts w:ascii="Arial" w:hAnsi="Arial"/>
      <w:sz w:val="16"/>
    </w:rPr>
  </w:style>
  <w:style w:type="paragraph" w:customStyle="1" w:styleId="SOPP20major">
    <w:name w:val="SOPP_20 major"/>
    <w:basedOn w:val="Normal"/>
    <w:next w:val="Normal"/>
    <w:rsid w:val="00285B2A"/>
    <w:pPr>
      <w:keepNext/>
      <w:spacing w:before="540" w:after="60" w:line="288" w:lineRule="auto"/>
      <w:ind w:right="360"/>
      <w:outlineLvl w:val="2"/>
    </w:pPr>
    <w:rPr>
      <w:rFonts w:ascii="Arial" w:eastAsia="Times New Roman" w:hAnsi="Arial" w:cs="Arial"/>
      <w:b/>
      <w:caps/>
      <w:color w:val="002960"/>
      <w:sz w:val="24"/>
      <w:szCs w:val="20"/>
      <w:lang w:val="cs-CZ"/>
    </w:rPr>
  </w:style>
  <w:style w:type="paragraph" w:customStyle="1" w:styleId="SOPP21minor">
    <w:name w:val="SOPP_21 minor"/>
    <w:basedOn w:val="Normal"/>
    <w:next w:val="Normal"/>
    <w:rsid w:val="00285B2A"/>
    <w:pPr>
      <w:keepNext/>
      <w:spacing w:before="420" w:after="60" w:line="288" w:lineRule="auto"/>
      <w:ind w:right="360"/>
      <w:outlineLvl w:val="3"/>
    </w:pPr>
    <w:rPr>
      <w:rFonts w:ascii="Arial" w:eastAsia="Times New Roman" w:hAnsi="Arial" w:cs="Arial"/>
      <w:b/>
      <w:color w:val="002960"/>
      <w:sz w:val="20"/>
      <w:szCs w:val="20"/>
      <w:lang w:val="cs-CZ"/>
    </w:rPr>
  </w:style>
  <w:style w:type="paragraph" w:customStyle="1" w:styleId="SOPP30documenttitle">
    <w:name w:val="SOPP_30 document title"/>
    <w:basedOn w:val="Normal"/>
    <w:next w:val="Normal"/>
    <w:rsid w:val="00285B2A"/>
    <w:pPr>
      <w:spacing w:before="600" w:after="360" w:line="288" w:lineRule="auto"/>
      <w:ind w:right="1080"/>
      <w:outlineLvl w:val="0"/>
    </w:pPr>
    <w:rPr>
      <w:rFonts w:ascii="Arial" w:eastAsia="Times New Roman" w:hAnsi="Arial" w:cs="Arial"/>
      <w:color w:val="002960"/>
      <w:sz w:val="44"/>
      <w:szCs w:val="20"/>
      <w:lang w:val="cs-CZ"/>
    </w:rPr>
  </w:style>
  <w:style w:type="paragraph" w:customStyle="1" w:styleId="SOPP42cc">
    <w:name w:val="SOPP_42 cc:"/>
    <w:basedOn w:val="Normal"/>
    <w:rsid w:val="00285B2A"/>
    <w:pPr>
      <w:spacing w:before="480" w:after="60" w:line="288" w:lineRule="auto"/>
      <w:ind w:left="544" w:hanging="544"/>
    </w:pPr>
    <w:rPr>
      <w:rFonts w:ascii="Arial" w:eastAsia="Times New Roman" w:hAnsi="Arial" w:cs="Arial"/>
      <w:sz w:val="20"/>
      <w:szCs w:val="20"/>
      <w:lang w:val="cs-CZ"/>
    </w:rPr>
  </w:style>
  <w:style w:type="paragraph" w:customStyle="1" w:styleId="SOPPChapter">
    <w:name w:val="SOPP_Chapter"/>
    <w:basedOn w:val="32chaptertitle"/>
    <w:rsid w:val="00285B2A"/>
    <w:rPr>
      <w:lang w:val="de-DE"/>
    </w:rPr>
  </w:style>
  <w:style w:type="paragraph" w:customStyle="1" w:styleId="StyleArialLatin12ptLeft-2cmAfter0pt">
    <w:name w:val="Style Arial (Latin) 12 pt Left:  -2 cm After:  0 pt"/>
    <w:basedOn w:val="Normal"/>
    <w:uiPriority w:val="49"/>
    <w:rsid w:val="00285B2A"/>
    <w:pPr>
      <w:spacing w:before="60" w:after="0" w:line="288" w:lineRule="auto"/>
      <w:ind w:left="-1134"/>
    </w:pPr>
    <w:rPr>
      <w:rFonts w:ascii="Arial" w:eastAsia="Times New Roman" w:hAnsi="Arial" w:cs="Arial"/>
      <w:sz w:val="20"/>
      <w:szCs w:val="20"/>
      <w:lang w:val="en-US"/>
    </w:rPr>
  </w:style>
  <w:style w:type="character" w:customStyle="1" w:styleId="StyleArialLatin13pt">
    <w:name w:val="Style Arial (Latin) 13 pt"/>
    <w:basedOn w:val="DefaultParagraphFont"/>
    <w:rsid w:val="00285B2A"/>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285B2A"/>
    <w:pPr>
      <w:spacing w:before="60" w:after="60" w:line="288" w:lineRule="auto"/>
      <w:ind w:left="-573" w:right="1077" w:hanging="561"/>
    </w:pPr>
    <w:rPr>
      <w:rFonts w:ascii="Arial" w:eastAsia="Times New Roman" w:hAnsi="Arial" w:cs="Arial"/>
      <w:sz w:val="20"/>
      <w:szCs w:val="20"/>
      <w:lang w:val="en-US"/>
    </w:rPr>
  </w:style>
  <w:style w:type="paragraph" w:customStyle="1" w:styleId="StyleArial10ptLeft-2cm">
    <w:name w:val="Style Arial 10 pt Left:  -2 cm"/>
    <w:basedOn w:val="Normal"/>
    <w:uiPriority w:val="49"/>
    <w:rsid w:val="00285B2A"/>
    <w:pPr>
      <w:spacing w:before="60" w:after="60" w:line="288" w:lineRule="auto"/>
    </w:pPr>
    <w:rPr>
      <w:rFonts w:ascii="Arial" w:eastAsia="Times New Roman" w:hAnsi="Arial" w:cs="Arial"/>
      <w:sz w:val="20"/>
      <w:szCs w:val="20"/>
      <w:lang w:val="en-US"/>
    </w:rPr>
  </w:style>
  <w:style w:type="paragraph" w:customStyle="1" w:styleId="StyleArial10ptLeft-2cmAfter0pt">
    <w:name w:val="Style Arial 10 pt Left:  -2 cm After:  0 pt"/>
    <w:basedOn w:val="Normal"/>
    <w:semiHidden/>
    <w:rsid w:val="00285B2A"/>
    <w:pPr>
      <w:spacing w:before="60" w:after="0" w:line="288" w:lineRule="auto"/>
      <w:ind w:left="-1134"/>
    </w:pPr>
    <w:rPr>
      <w:rFonts w:ascii="Arial" w:eastAsia="Times New Roman" w:hAnsi="Arial" w:cs="Arial"/>
      <w:sz w:val="20"/>
      <w:szCs w:val="20"/>
      <w:lang w:val="en-US"/>
    </w:rPr>
  </w:style>
  <w:style w:type="character" w:customStyle="1" w:styleId="StyleArial14pt">
    <w:name w:val="Style Arial 14 pt"/>
    <w:basedOn w:val="DefaultParagraphFont"/>
    <w:rsid w:val="00285B2A"/>
    <w:rPr>
      <w:rFonts w:ascii="Arial" w:hAnsi="Arial"/>
      <w:color w:val="auto"/>
      <w:sz w:val="28"/>
    </w:rPr>
  </w:style>
  <w:style w:type="paragraph" w:customStyle="1" w:styleId="StyleArial22ptCustomColorRGB04196After10pt">
    <w:name w:val="Style Arial 22 pt Custom Color(RGB(04196)) After:  10 pt"/>
    <w:basedOn w:val="Normal"/>
    <w:semiHidden/>
    <w:rsid w:val="00285B2A"/>
    <w:pPr>
      <w:spacing w:before="60" w:after="200" w:line="288" w:lineRule="auto"/>
    </w:pPr>
    <w:rPr>
      <w:rFonts w:ascii="Arial" w:eastAsia="Times New Roman" w:hAnsi="Arial" w:cs="Arial"/>
      <w:color w:val="002960"/>
      <w:sz w:val="44"/>
      <w:szCs w:val="20"/>
      <w:lang w:val="en-US"/>
    </w:rPr>
  </w:style>
  <w:style w:type="paragraph" w:customStyle="1" w:styleId="StyleArialLeft-2cmAfter0pt">
    <w:name w:val="Style Arial Left:  -2 cm After:  0 pt"/>
    <w:basedOn w:val="Normal"/>
    <w:semiHidden/>
    <w:rsid w:val="00285B2A"/>
    <w:pPr>
      <w:spacing w:before="60" w:after="0" w:line="288" w:lineRule="auto"/>
      <w:ind w:left="-1134"/>
    </w:pPr>
    <w:rPr>
      <w:rFonts w:ascii="Arial" w:eastAsia="Times New Roman" w:hAnsi="Arial" w:cs="Arial"/>
      <w:sz w:val="24"/>
      <w:szCs w:val="20"/>
      <w:lang w:val="en-US"/>
    </w:rPr>
  </w:style>
  <w:style w:type="paragraph" w:styleId="TOC4">
    <w:name w:val="toc 4"/>
    <w:basedOn w:val="Normal"/>
    <w:next w:val="Normal"/>
    <w:autoRedefine/>
    <w:rsid w:val="00285B2A"/>
    <w:pPr>
      <w:tabs>
        <w:tab w:val="right" w:leader="dot" w:pos="8309"/>
      </w:tabs>
      <w:spacing w:before="60" w:after="60" w:line="288" w:lineRule="auto"/>
      <w:ind w:left="720"/>
    </w:pPr>
    <w:rPr>
      <w:rFonts w:ascii="Arial" w:eastAsia="Times New Roman" w:hAnsi="Arial" w:cs="Arial"/>
      <w:sz w:val="20"/>
      <w:szCs w:val="20"/>
      <w:lang w:val="en-US"/>
    </w:rPr>
  </w:style>
  <w:style w:type="paragraph" w:styleId="TOC5">
    <w:name w:val="toc 5"/>
    <w:basedOn w:val="Normal"/>
    <w:next w:val="Normal"/>
    <w:autoRedefine/>
    <w:rsid w:val="00285B2A"/>
    <w:pPr>
      <w:tabs>
        <w:tab w:val="right" w:leader="dot" w:pos="8309"/>
      </w:tabs>
      <w:spacing w:before="60" w:after="60" w:line="288" w:lineRule="auto"/>
      <w:ind w:left="960"/>
    </w:pPr>
    <w:rPr>
      <w:rFonts w:ascii="Arial" w:eastAsia="Times New Roman" w:hAnsi="Arial" w:cs="Arial"/>
      <w:sz w:val="20"/>
      <w:szCs w:val="20"/>
      <w:lang w:val="en-US"/>
    </w:rPr>
  </w:style>
  <w:style w:type="paragraph" w:styleId="TOC6">
    <w:name w:val="toc 6"/>
    <w:basedOn w:val="Normal"/>
    <w:next w:val="Normal"/>
    <w:autoRedefine/>
    <w:rsid w:val="00285B2A"/>
    <w:pPr>
      <w:tabs>
        <w:tab w:val="right" w:leader="dot" w:pos="8309"/>
      </w:tabs>
      <w:spacing w:before="60" w:after="60" w:line="288" w:lineRule="auto"/>
      <w:ind w:left="1200"/>
    </w:pPr>
    <w:rPr>
      <w:rFonts w:ascii="Arial" w:eastAsia="Times New Roman" w:hAnsi="Arial" w:cs="Arial"/>
      <w:sz w:val="20"/>
      <w:szCs w:val="20"/>
      <w:lang w:val="en-US"/>
    </w:rPr>
  </w:style>
  <w:style w:type="paragraph" w:styleId="TOC7">
    <w:name w:val="toc 7"/>
    <w:basedOn w:val="Normal"/>
    <w:next w:val="Normal"/>
    <w:autoRedefine/>
    <w:rsid w:val="00285B2A"/>
    <w:pPr>
      <w:spacing w:before="60" w:after="60" w:line="288" w:lineRule="auto"/>
    </w:pPr>
    <w:rPr>
      <w:rFonts w:ascii="Arial" w:eastAsia="Times New Roman" w:hAnsi="Arial" w:cs="Arial"/>
      <w:sz w:val="20"/>
      <w:szCs w:val="20"/>
      <w:lang w:val="en-US"/>
    </w:rPr>
  </w:style>
  <w:style w:type="paragraph" w:styleId="TOC8">
    <w:name w:val="toc 8"/>
    <w:basedOn w:val="Normal"/>
    <w:next w:val="Normal"/>
    <w:autoRedefine/>
    <w:rsid w:val="00285B2A"/>
    <w:pPr>
      <w:tabs>
        <w:tab w:val="right" w:leader="dot" w:pos="8309"/>
      </w:tabs>
      <w:spacing w:before="60" w:after="60" w:line="288" w:lineRule="auto"/>
      <w:ind w:left="1680"/>
    </w:pPr>
    <w:rPr>
      <w:rFonts w:ascii="Arial" w:eastAsia="Times New Roman" w:hAnsi="Arial" w:cs="Arial"/>
      <w:sz w:val="20"/>
      <w:szCs w:val="20"/>
      <w:lang w:val="en-US"/>
    </w:rPr>
  </w:style>
  <w:style w:type="paragraph" w:styleId="TOC9">
    <w:name w:val="toc 9"/>
    <w:basedOn w:val="Normal"/>
    <w:next w:val="Normal"/>
    <w:autoRedefine/>
    <w:rsid w:val="00285B2A"/>
    <w:pPr>
      <w:tabs>
        <w:tab w:val="right" w:leader="dot" w:pos="8309"/>
      </w:tabs>
      <w:spacing w:before="60" w:after="60" w:line="288" w:lineRule="auto"/>
      <w:ind w:left="1920"/>
    </w:pPr>
    <w:rPr>
      <w:rFonts w:ascii="Arial" w:eastAsia="Times New Roman" w:hAnsi="Arial" w:cs="Arial"/>
      <w:sz w:val="20"/>
      <w:szCs w:val="20"/>
      <w:lang w:val="en-US"/>
    </w:rPr>
  </w:style>
  <w:style w:type="character" w:styleId="PlaceholderText">
    <w:name w:val="Placeholder Text"/>
    <w:basedOn w:val="DefaultParagraphFont"/>
    <w:uiPriority w:val="99"/>
    <w:semiHidden/>
    <w:rsid w:val="00285B2A"/>
    <w:rPr>
      <w:color w:val="808080"/>
    </w:rPr>
  </w:style>
  <w:style w:type="table" w:customStyle="1" w:styleId="McKTableStyle">
    <w:name w:val="McKTableStyle"/>
    <w:basedOn w:val="TableNormal"/>
    <w:uiPriority w:val="99"/>
    <w:rsid w:val="00285B2A"/>
    <w:pPr>
      <w:spacing w:before="60" w:after="60" w:line="240" w:lineRule="auto"/>
      <w:ind w:right="289"/>
    </w:pPr>
    <w:rPr>
      <w:rFonts w:ascii="Times New Roman" w:hAnsi="Times New Roman"/>
      <w:sz w:val="26"/>
      <w:lang w:val="en-US"/>
    </w:rPr>
    <w:tblPr/>
    <w:tblStylePr w:type="firstRow">
      <w:pPr>
        <w:wordWrap/>
        <w:spacing w:beforeLines="0" w:before="6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rsid w:val="00285B2A"/>
    <w:pPr>
      <w:spacing w:after="18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opener">
    <w:name w:val="36 opener"/>
    <w:basedOn w:val="Normal"/>
    <w:rsid w:val="00285B2A"/>
    <w:pPr>
      <w:tabs>
        <w:tab w:val="right" w:pos="-261"/>
      </w:tabs>
      <w:spacing w:before="60" w:after="0" w:line="288" w:lineRule="auto"/>
      <w:ind w:hanging="2160"/>
    </w:pPr>
    <w:rPr>
      <w:rFonts w:ascii="Arial" w:eastAsia="Times New Roman" w:hAnsi="Arial" w:cs="Arial"/>
      <w:sz w:val="20"/>
      <w:szCs w:val="20"/>
      <w:lang w:val="en-US"/>
    </w:rPr>
  </w:style>
  <w:style w:type="paragraph" w:customStyle="1" w:styleId="41closing">
    <w:name w:val="41 closing"/>
    <w:basedOn w:val="Normal"/>
    <w:rsid w:val="00285B2A"/>
    <w:pPr>
      <w:spacing w:before="60" w:after="60" w:line="288" w:lineRule="auto"/>
      <w:ind w:left="3958"/>
    </w:pPr>
    <w:rPr>
      <w:rFonts w:ascii="Arial" w:eastAsia="Times New Roman" w:hAnsi="Arial" w:cs="Arial"/>
      <w:sz w:val="20"/>
      <w:szCs w:val="20"/>
      <w:lang w:val="en-US"/>
    </w:rPr>
  </w:style>
  <w:style w:type="paragraph" w:customStyle="1" w:styleId="DocumentID-BLGlobal">
    <w:name w:val="DocumentID-BLGlobal"/>
    <w:basedOn w:val="Normal"/>
    <w:next w:val="Header"/>
    <w:rsid w:val="00285B2A"/>
    <w:pPr>
      <w:framePr w:hSpace="187" w:vSpace="187" w:wrap="around" w:vAnchor="page" w:hAnchor="page" w:x="721" w:y="15985" w:anchorLock="1"/>
      <w:spacing w:before="60" w:after="0" w:line="288" w:lineRule="auto"/>
    </w:pPr>
    <w:rPr>
      <w:rFonts w:ascii="Arial" w:eastAsia="Times New Roman" w:hAnsi="Arial" w:cs="Arial"/>
      <w:sz w:val="16"/>
      <w:szCs w:val="20"/>
      <w:lang w:val="en-US"/>
    </w:rPr>
  </w:style>
  <w:style w:type="paragraph" w:customStyle="1" w:styleId="DocumentID-TRGlobal">
    <w:name w:val="DocumentID-TRGlobal"/>
    <w:basedOn w:val="Normal"/>
    <w:next w:val="Header"/>
    <w:rsid w:val="00285B2A"/>
    <w:pPr>
      <w:framePr w:w="5760" w:wrap="around" w:vAnchor="page" w:hAnchor="page" w:x="5401" w:y="721" w:anchorLock="1"/>
      <w:spacing w:before="60" w:after="0" w:line="288" w:lineRule="auto"/>
      <w:jc w:val="right"/>
    </w:pPr>
    <w:rPr>
      <w:rFonts w:ascii="Arial" w:eastAsia="Times New Roman" w:hAnsi="Arial" w:cs="Arial"/>
      <w:sz w:val="16"/>
      <w:szCs w:val="20"/>
      <w:lang w:val="en-US"/>
    </w:rPr>
  </w:style>
  <w:style w:type="paragraph" w:styleId="MessageHeader">
    <w:name w:val="Message Header"/>
    <w:basedOn w:val="Normal"/>
    <w:link w:val="MessageHeaderChar"/>
    <w:unhideWhenUsed/>
    <w:rsid w:val="00285B2A"/>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pPr>
    <w:rPr>
      <w:rFonts w:ascii="Arial" w:eastAsia="Times New Roman" w:hAnsi="Arial" w:cs="Arial"/>
      <w:sz w:val="24"/>
      <w:szCs w:val="24"/>
      <w:lang w:val="en-US"/>
    </w:rPr>
  </w:style>
  <w:style w:type="character" w:customStyle="1" w:styleId="MessageHeaderChar">
    <w:name w:val="Message Header Char"/>
    <w:basedOn w:val="DefaultParagraphFont"/>
    <w:link w:val="MessageHeader"/>
    <w:rsid w:val="00285B2A"/>
    <w:rPr>
      <w:rFonts w:ascii="Arial" w:eastAsia="Times New Roman" w:hAnsi="Arial" w:cs="Arial"/>
      <w:sz w:val="24"/>
      <w:szCs w:val="24"/>
      <w:shd w:val="pct20" w:color="auto" w:fill="auto"/>
      <w:lang w:val="en-US"/>
    </w:rPr>
  </w:style>
  <w:style w:type="paragraph" w:customStyle="1" w:styleId="StyleArial22ptCustomAfter10pt">
    <w:name w:val="Style Arial 22 pt Custom After:  10 pt"/>
    <w:basedOn w:val="Normal"/>
    <w:rsid w:val="00285B2A"/>
    <w:pPr>
      <w:spacing w:before="60" w:after="200" w:line="288" w:lineRule="auto"/>
    </w:pPr>
    <w:rPr>
      <w:rFonts w:ascii="Arial" w:eastAsia="Times New Roman" w:hAnsi="Arial" w:cs="Arial"/>
      <w:sz w:val="44"/>
      <w:szCs w:val="20"/>
      <w:lang w:val="en-US"/>
    </w:rPr>
  </w:style>
  <w:style w:type="paragraph" w:customStyle="1" w:styleId="TitlePageClient">
    <w:name w:val="Title Page_Client"/>
    <w:basedOn w:val="Normal"/>
    <w:next w:val="Normal"/>
    <w:link w:val="TitlePageClientChar"/>
    <w:rsid w:val="00285B2A"/>
    <w:pPr>
      <w:spacing w:before="60" w:after="60" w:line="288" w:lineRule="auto"/>
    </w:pPr>
    <w:rPr>
      <w:rFonts w:ascii="Arial" w:eastAsia="Times New Roman" w:hAnsi="Arial" w:cs="Arial"/>
      <w:color w:val="000000"/>
      <w:sz w:val="28"/>
      <w:szCs w:val="20"/>
      <w:lang w:val="en-US"/>
    </w:rPr>
  </w:style>
  <w:style w:type="paragraph" w:customStyle="1" w:styleId="TitlePageDisclaimer">
    <w:name w:val="Title Page_Disclaimer"/>
    <w:basedOn w:val="Normal"/>
    <w:rsid w:val="00285B2A"/>
    <w:pPr>
      <w:spacing w:before="60" w:after="60" w:line="288" w:lineRule="auto"/>
    </w:pPr>
    <w:rPr>
      <w:rFonts w:ascii="Arial" w:eastAsia="Times New Roman" w:hAnsi="Arial" w:cs="Arial"/>
      <w:sz w:val="18"/>
      <w:szCs w:val="20"/>
      <w:lang w:val="en-US"/>
    </w:rPr>
  </w:style>
  <w:style w:type="paragraph" w:customStyle="1" w:styleId="TitlePageDocument">
    <w:name w:val="Title Page_Document"/>
    <w:basedOn w:val="Normal"/>
    <w:link w:val="TitlePageDocumentChar"/>
    <w:rsid w:val="00285B2A"/>
    <w:pPr>
      <w:spacing w:before="60" w:after="60" w:line="288" w:lineRule="auto"/>
    </w:pPr>
    <w:rPr>
      <w:rFonts w:ascii="Arial" w:eastAsia="Times New Roman" w:hAnsi="Arial" w:cs="Arial"/>
      <w:color w:val="000000"/>
      <w:sz w:val="20"/>
      <w:szCs w:val="20"/>
      <w:lang w:val="en-US"/>
    </w:rPr>
  </w:style>
  <w:style w:type="paragraph" w:customStyle="1" w:styleId="TitlePageTitle">
    <w:name w:val="Title Page_Title"/>
    <w:basedOn w:val="Normal"/>
    <w:next w:val="Normal"/>
    <w:link w:val="TitlePageTitleChar"/>
    <w:autoRedefine/>
    <w:rsid w:val="00285B2A"/>
    <w:pPr>
      <w:spacing w:before="60" w:after="200" w:line="288" w:lineRule="auto"/>
      <w:ind w:left="284"/>
    </w:pPr>
    <w:rPr>
      <w:rFonts w:ascii="Arial" w:eastAsia="Times New Roman" w:hAnsi="Arial" w:cs="Arial"/>
      <w:color w:val="002960"/>
      <w:sz w:val="44"/>
      <w:szCs w:val="20"/>
      <w:lang w:val="en-US"/>
    </w:rPr>
  </w:style>
  <w:style w:type="paragraph" w:styleId="Bibliography">
    <w:name w:val="Bibliography"/>
    <w:basedOn w:val="Normal"/>
    <w:next w:val="Normal"/>
    <w:uiPriority w:val="37"/>
    <w:unhideWhenUsed/>
    <w:rsid w:val="00285B2A"/>
    <w:pPr>
      <w:spacing w:before="60" w:after="60" w:line="288" w:lineRule="auto"/>
    </w:pPr>
    <w:rPr>
      <w:rFonts w:ascii="Arial" w:eastAsia="Times New Roman" w:hAnsi="Arial" w:cs="Arial"/>
      <w:sz w:val="20"/>
      <w:szCs w:val="20"/>
      <w:lang w:val="en-US"/>
    </w:rPr>
  </w:style>
  <w:style w:type="paragraph" w:styleId="BlockText">
    <w:name w:val="Block Text"/>
    <w:basedOn w:val="Normal"/>
    <w:uiPriority w:val="99"/>
    <w:unhideWhenUsed/>
    <w:rsid w:val="00285B2A"/>
    <w:pPr>
      <w:pBdr>
        <w:top w:val="single" w:sz="2" w:space="10" w:color="D9D9D9" w:themeColor="accent1"/>
        <w:left w:val="single" w:sz="2" w:space="10" w:color="D9D9D9" w:themeColor="accent1"/>
        <w:bottom w:val="single" w:sz="2" w:space="10" w:color="D9D9D9" w:themeColor="accent1"/>
        <w:right w:val="single" w:sz="2" w:space="10" w:color="D9D9D9" w:themeColor="accent1"/>
      </w:pBdr>
      <w:spacing w:before="60" w:after="60" w:line="288" w:lineRule="auto"/>
      <w:ind w:left="1152" w:right="1152"/>
    </w:pPr>
    <w:rPr>
      <w:rFonts w:eastAsiaTheme="minorEastAsia"/>
      <w:i/>
      <w:iCs/>
      <w:color w:val="D9D9D9" w:themeColor="accent1"/>
      <w:sz w:val="20"/>
      <w:szCs w:val="20"/>
      <w:lang w:val="en-US"/>
    </w:rPr>
  </w:style>
  <w:style w:type="paragraph" w:styleId="BodyText">
    <w:name w:val="Body Text"/>
    <w:basedOn w:val="Normal"/>
    <w:link w:val="BodyTextChar"/>
    <w:uiPriority w:val="99"/>
    <w:unhideWhenUsed/>
    <w:rsid w:val="00285B2A"/>
    <w:pPr>
      <w:spacing w:before="60" w:after="60" w:line="288" w:lineRule="auto"/>
    </w:pPr>
    <w:rPr>
      <w:rFonts w:ascii="Arial" w:eastAsia="Times New Roman" w:hAnsi="Arial" w:cs="Arial"/>
      <w:sz w:val="20"/>
      <w:szCs w:val="20"/>
      <w:lang w:val="en-US"/>
    </w:rPr>
  </w:style>
  <w:style w:type="character" w:customStyle="1" w:styleId="BodyTextChar">
    <w:name w:val="Body Text Char"/>
    <w:basedOn w:val="DefaultParagraphFont"/>
    <w:link w:val="BodyText"/>
    <w:uiPriority w:val="99"/>
    <w:rsid w:val="00285B2A"/>
    <w:rPr>
      <w:rFonts w:ascii="Arial" w:eastAsia="Times New Roman" w:hAnsi="Arial" w:cs="Arial"/>
      <w:sz w:val="20"/>
      <w:szCs w:val="20"/>
      <w:lang w:val="en-US"/>
    </w:rPr>
  </w:style>
  <w:style w:type="paragraph" w:styleId="BodyText2">
    <w:name w:val="Body Text 2"/>
    <w:basedOn w:val="Normal"/>
    <w:link w:val="BodyText2Char"/>
    <w:uiPriority w:val="99"/>
    <w:unhideWhenUsed/>
    <w:rsid w:val="00285B2A"/>
    <w:pPr>
      <w:spacing w:before="60" w:after="60" w:line="480" w:lineRule="auto"/>
    </w:pPr>
    <w:rPr>
      <w:rFonts w:ascii="Arial" w:eastAsia="Times New Roman" w:hAnsi="Arial" w:cs="Arial"/>
      <w:sz w:val="20"/>
      <w:szCs w:val="20"/>
      <w:lang w:val="en-US"/>
    </w:rPr>
  </w:style>
  <w:style w:type="character" w:customStyle="1" w:styleId="BodyText2Char">
    <w:name w:val="Body Text 2 Char"/>
    <w:basedOn w:val="DefaultParagraphFont"/>
    <w:link w:val="BodyText2"/>
    <w:uiPriority w:val="99"/>
    <w:rsid w:val="00285B2A"/>
    <w:rPr>
      <w:rFonts w:ascii="Arial" w:eastAsia="Times New Roman" w:hAnsi="Arial" w:cs="Arial"/>
      <w:sz w:val="20"/>
      <w:szCs w:val="20"/>
      <w:lang w:val="en-US"/>
    </w:rPr>
  </w:style>
  <w:style w:type="paragraph" w:styleId="BodyText3">
    <w:name w:val="Body Text 3"/>
    <w:basedOn w:val="Normal"/>
    <w:link w:val="BodyText3Char"/>
    <w:uiPriority w:val="99"/>
    <w:unhideWhenUsed/>
    <w:rsid w:val="00285B2A"/>
    <w:pPr>
      <w:spacing w:before="60" w:after="60" w:line="288" w:lineRule="auto"/>
    </w:pPr>
    <w:rPr>
      <w:rFonts w:ascii="Arial" w:eastAsia="Times New Roman" w:hAnsi="Arial" w:cs="Arial"/>
      <w:sz w:val="16"/>
      <w:szCs w:val="16"/>
      <w:lang w:val="en-US"/>
    </w:rPr>
  </w:style>
  <w:style w:type="character" w:customStyle="1" w:styleId="BodyText3Char">
    <w:name w:val="Body Text 3 Char"/>
    <w:basedOn w:val="DefaultParagraphFont"/>
    <w:link w:val="BodyText3"/>
    <w:uiPriority w:val="99"/>
    <w:rsid w:val="00285B2A"/>
    <w:rPr>
      <w:rFonts w:ascii="Arial" w:eastAsia="Times New Roman" w:hAnsi="Arial" w:cs="Arial"/>
      <w:sz w:val="16"/>
      <w:szCs w:val="16"/>
      <w:lang w:val="en-US"/>
    </w:rPr>
  </w:style>
  <w:style w:type="paragraph" w:styleId="BodyTextFirstIndent">
    <w:name w:val="Body Text First Indent"/>
    <w:basedOn w:val="BodyText"/>
    <w:link w:val="BodyTextFirstIndentChar"/>
    <w:uiPriority w:val="99"/>
    <w:unhideWhenUsed/>
    <w:rsid w:val="00285B2A"/>
    <w:pPr>
      <w:spacing w:after="180"/>
      <w:ind w:firstLine="360"/>
    </w:pPr>
  </w:style>
  <w:style w:type="character" w:customStyle="1" w:styleId="BodyTextFirstIndentChar">
    <w:name w:val="Body Text First Indent Char"/>
    <w:basedOn w:val="BodyTextChar"/>
    <w:link w:val="BodyTextFirstIndent"/>
    <w:uiPriority w:val="99"/>
    <w:rsid w:val="00285B2A"/>
    <w:rPr>
      <w:rFonts w:ascii="Arial" w:eastAsia="Times New Roman" w:hAnsi="Arial" w:cs="Arial"/>
      <w:sz w:val="20"/>
      <w:szCs w:val="20"/>
      <w:lang w:val="en-US"/>
    </w:rPr>
  </w:style>
  <w:style w:type="paragraph" w:styleId="BodyTextIndent">
    <w:name w:val="Body Text Indent"/>
    <w:basedOn w:val="Normal"/>
    <w:link w:val="BodyTextIndentChar"/>
    <w:uiPriority w:val="99"/>
    <w:unhideWhenUsed/>
    <w:rsid w:val="00285B2A"/>
    <w:pPr>
      <w:spacing w:before="60" w:after="60" w:line="288" w:lineRule="auto"/>
      <w:ind w:left="360"/>
    </w:pPr>
    <w:rPr>
      <w:rFonts w:ascii="Arial" w:eastAsia="Times New Roman" w:hAnsi="Arial" w:cs="Arial"/>
      <w:sz w:val="20"/>
      <w:szCs w:val="20"/>
      <w:lang w:val="en-US"/>
    </w:rPr>
  </w:style>
  <w:style w:type="character" w:customStyle="1" w:styleId="BodyTextIndentChar">
    <w:name w:val="Body Text Indent Char"/>
    <w:basedOn w:val="DefaultParagraphFont"/>
    <w:link w:val="BodyTextIndent"/>
    <w:uiPriority w:val="99"/>
    <w:rsid w:val="00285B2A"/>
    <w:rPr>
      <w:rFonts w:ascii="Arial" w:eastAsia="Times New Roman" w:hAnsi="Arial" w:cs="Arial"/>
      <w:sz w:val="20"/>
      <w:szCs w:val="20"/>
      <w:lang w:val="en-US"/>
    </w:rPr>
  </w:style>
  <w:style w:type="paragraph" w:styleId="BodyTextFirstIndent2">
    <w:name w:val="Body Text First Indent 2"/>
    <w:basedOn w:val="BodyTextIndent"/>
    <w:link w:val="BodyTextFirstIndent2Char"/>
    <w:uiPriority w:val="99"/>
    <w:unhideWhenUsed/>
    <w:rsid w:val="00285B2A"/>
    <w:pPr>
      <w:spacing w:after="180"/>
      <w:ind w:firstLine="360"/>
    </w:pPr>
  </w:style>
  <w:style w:type="character" w:customStyle="1" w:styleId="BodyTextFirstIndent2Char">
    <w:name w:val="Body Text First Indent 2 Char"/>
    <w:basedOn w:val="BodyTextIndentChar"/>
    <w:link w:val="BodyTextFirstIndent2"/>
    <w:uiPriority w:val="99"/>
    <w:rsid w:val="00285B2A"/>
    <w:rPr>
      <w:rFonts w:ascii="Arial" w:eastAsia="Times New Roman" w:hAnsi="Arial" w:cs="Arial"/>
      <w:sz w:val="20"/>
      <w:szCs w:val="20"/>
      <w:lang w:val="en-US"/>
    </w:rPr>
  </w:style>
  <w:style w:type="paragraph" w:styleId="BodyTextIndent2">
    <w:name w:val="Body Text Indent 2"/>
    <w:basedOn w:val="Normal"/>
    <w:link w:val="BodyTextIndent2Char"/>
    <w:uiPriority w:val="99"/>
    <w:unhideWhenUsed/>
    <w:rsid w:val="00285B2A"/>
    <w:pPr>
      <w:spacing w:before="60" w:after="60" w:line="480" w:lineRule="auto"/>
      <w:ind w:left="360"/>
    </w:pPr>
    <w:rPr>
      <w:rFonts w:ascii="Arial" w:eastAsia="Times New Roman" w:hAnsi="Arial" w:cs="Arial"/>
      <w:sz w:val="20"/>
      <w:szCs w:val="20"/>
      <w:lang w:val="en-US"/>
    </w:rPr>
  </w:style>
  <w:style w:type="character" w:customStyle="1" w:styleId="BodyTextIndent2Char">
    <w:name w:val="Body Text Indent 2 Char"/>
    <w:basedOn w:val="DefaultParagraphFont"/>
    <w:link w:val="BodyTextIndent2"/>
    <w:uiPriority w:val="99"/>
    <w:rsid w:val="00285B2A"/>
    <w:rPr>
      <w:rFonts w:ascii="Arial" w:eastAsia="Times New Roman" w:hAnsi="Arial" w:cs="Arial"/>
      <w:sz w:val="20"/>
      <w:szCs w:val="20"/>
      <w:lang w:val="en-US"/>
    </w:rPr>
  </w:style>
  <w:style w:type="paragraph" w:styleId="BodyTextIndent3">
    <w:name w:val="Body Text Indent 3"/>
    <w:basedOn w:val="Normal"/>
    <w:link w:val="BodyTextIndent3Char"/>
    <w:uiPriority w:val="99"/>
    <w:unhideWhenUsed/>
    <w:rsid w:val="00285B2A"/>
    <w:pPr>
      <w:spacing w:before="60" w:after="60" w:line="288" w:lineRule="auto"/>
      <w:ind w:left="360"/>
    </w:pPr>
    <w:rPr>
      <w:rFonts w:ascii="Arial" w:eastAsia="Times New Roman" w:hAnsi="Arial" w:cs="Arial"/>
      <w:sz w:val="16"/>
      <w:szCs w:val="16"/>
      <w:lang w:val="en-US"/>
    </w:rPr>
  </w:style>
  <w:style w:type="character" w:customStyle="1" w:styleId="BodyTextIndent3Char">
    <w:name w:val="Body Text Indent 3 Char"/>
    <w:basedOn w:val="DefaultParagraphFont"/>
    <w:link w:val="BodyTextIndent3"/>
    <w:uiPriority w:val="99"/>
    <w:rsid w:val="00285B2A"/>
    <w:rPr>
      <w:rFonts w:ascii="Arial" w:eastAsia="Times New Roman" w:hAnsi="Arial" w:cs="Arial"/>
      <w:sz w:val="16"/>
      <w:szCs w:val="16"/>
      <w:lang w:val="en-US"/>
    </w:rPr>
  </w:style>
  <w:style w:type="character" w:styleId="BookTitle">
    <w:name w:val="Book Title"/>
    <w:basedOn w:val="DefaultParagraphFont"/>
    <w:uiPriority w:val="33"/>
    <w:unhideWhenUsed/>
    <w:qFormat/>
    <w:rsid w:val="00285B2A"/>
    <w:rPr>
      <w:b/>
      <w:bCs/>
      <w:smallCaps/>
      <w:spacing w:val="5"/>
    </w:rPr>
  </w:style>
  <w:style w:type="paragraph" w:styleId="Closing">
    <w:name w:val="Closing"/>
    <w:basedOn w:val="Normal"/>
    <w:link w:val="ClosingChar"/>
    <w:uiPriority w:val="99"/>
    <w:unhideWhenUsed/>
    <w:rsid w:val="00285B2A"/>
    <w:pPr>
      <w:spacing w:before="60" w:after="0" w:line="288" w:lineRule="auto"/>
      <w:ind w:left="4320"/>
    </w:pPr>
    <w:rPr>
      <w:rFonts w:ascii="Arial" w:eastAsia="Times New Roman" w:hAnsi="Arial" w:cs="Arial"/>
      <w:sz w:val="20"/>
      <w:szCs w:val="20"/>
      <w:lang w:val="en-US"/>
    </w:rPr>
  </w:style>
  <w:style w:type="character" w:customStyle="1" w:styleId="ClosingChar">
    <w:name w:val="Closing Char"/>
    <w:basedOn w:val="DefaultParagraphFont"/>
    <w:link w:val="Closing"/>
    <w:uiPriority w:val="99"/>
    <w:rsid w:val="00285B2A"/>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unhideWhenUsed/>
    <w:rsid w:val="00285B2A"/>
    <w:rPr>
      <w:b/>
      <w:bCs/>
    </w:rPr>
  </w:style>
  <w:style w:type="character" w:customStyle="1" w:styleId="CommentSubjectChar">
    <w:name w:val="Comment Subject Char"/>
    <w:basedOn w:val="CommentTextChar"/>
    <w:link w:val="CommentSubject"/>
    <w:uiPriority w:val="99"/>
    <w:rsid w:val="00285B2A"/>
    <w:rPr>
      <w:rFonts w:ascii="Arial" w:eastAsia="Times New Roman" w:hAnsi="Arial" w:cs="Arial"/>
      <w:b/>
      <w:bCs/>
      <w:sz w:val="20"/>
      <w:szCs w:val="20"/>
      <w:lang w:val="en-US"/>
    </w:rPr>
  </w:style>
  <w:style w:type="paragraph" w:styleId="Date">
    <w:name w:val="Date"/>
    <w:basedOn w:val="Normal"/>
    <w:next w:val="Normal"/>
    <w:link w:val="DateChar"/>
    <w:uiPriority w:val="99"/>
    <w:unhideWhenUsed/>
    <w:rsid w:val="00285B2A"/>
    <w:pPr>
      <w:spacing w:before="60" w:after="60" w:line="288" w:lineRule="auto"/>
    </w:pPr>
    <w:rPr>
      <w:rFonts w:ascii="Arial" w:eastAsia="Times New Roman" w:hAnsi="Arial" w:cs="Arial"/>
      <w:sz w:val="20"/>
      <w:szCs w:val="20"/>
      <w:lang w:val="en-US"/>
    </w:rPr>
  </w:style>
  <w:style w:type="character" w:customStyle="1" w:styleId="DateChar">
    <w:name w:val="Date Char"/>
    <w:basedOn w:val="DefaultParagraphFont"/>
    <w:link w:val="Date"/>
    <w:uiPriority w:val="99"/>
    <w:rsid w:val="00285B2A"/>
    <w:rPr>
      <w:rFonts w:ascii="Arial" w:eastAsia="Times New Roman" w:hAnsi="Arial" w:cs="Arial"/>
      <w:sz w:val="20"/>
      <w:szCs w:val="20"/>
      <w:lang w:val="en-US"/>
    </w:rPr>
  </w:style>
  <w:style w:type="paragraph" w:styleId="E-mailSignature">
    <w:name w:val="E-mail Signature"/>
    <w:basedOn w:val="Normal"/>
    <w:link w:val="E-mailSignatureChar"/>
    <w:uiPriority w:val="99"/>
    <w:unhideWhenUsed/>
    <w:rsid w:val="00285B2A"/>
    <w:pPr>
      <w:spacing w:before="60" w:after="0" w:line="288" w:lineRule="auto"/>
    </w:pPr>
    <w:rPr>
      <w:rFonts w:ascii="Arial" w:eastAsia="Times New Roman" w:hAnsi="Arial" w:cs="Arial"/>
      <w:sz w:val="20"/>
      <w:szCs w:val="20"/>
      <w:lang w:val="en-US"/>
    </w:rPr>
  </w:style>
  <w:style w:type="character" w:customStyle="1" w:styleId="E-mailSignatureChar">
    <w:name w:val="E-mail Signature Char"/>
    <w:basedOn w:val="DefaultParagraphFont"/>
    <w:link w:val="E-mailSignature"/>
    <w:uiPriority w:val="99"/>
    <w:rsid w:val="00285B2A"/>
    <w:rPr>
      <w:rFonts w:ascii="Arial" w:eastAsia="Times New Roman" w:hAnsi="Arial" w:cs="Arial"/>
      <w:sz w:val="20"/>
      <w:szCs w:val="20"/>
      <w:lang w:val="en-US"/>
    </w:rPr>
  </w:style>
  <w:style w:type="character" w:styleId="Emphasis">
    <w:name w:val="Emphasis"/>
    <w:basedOn w:val="DefaultParagraphFont"/>
    <w:uiPriority w:val="20"/>
    <w:unhideWhenUsed/>
    <w:qFormat/>
    <w:rsid w:val="002E21B9"/>
    <w:rPr>
      <w:iCs/>
      <w:color w:val="002060"/>
      <w:sz w:val="26"/>
      <w:szCs w:val="26"/>
    </w:rPr>
  </w:style>
  <w:style w:type="character" w:styleId="FollowedHyperlink">
    <w:name w:val="FollowedHyperlink"/>
    <w:basedOn w:val="DefaultParagraphFont"/>
    <w:uiPriority w:val="99"/>
    <w:unhideWhenUsed/>
    <w:rsid w:val="00285B2A"/>
    <w:rPr>
      <w:color w:val="646464" w:themeColor="followedHyperlink"/>
      <w:u w:val="single"/>
    </w:rPr>
  </w:style>
  <w:style w:type="character" w:styleId="HTMLAcronym">
    <w:name w:val="HTML Acronym"/>
    <w:basedOn w:val="DefaultParagraphFont"/>
    <w:uiPriority w:val="99"/>
    <w:unhideWhenUsed/>
    <w:rsid w:val="00285B2A"/>
  </w:style>
  <w:style w:type="paragraph" w:styleId="HTMLAddress">
    <w:name w:val="HTML Address"/>
    <w:basedOn w:val="Normal"/>
    <w:link w:val="HTMLAddressChar"/>
    <w:uiPriority w:val="99"/>
    <w:unhideWhenUsed/>
    <w:rsid w:val="00285B2A"/>
    <w:pPr>
      <w:spacing w:before="60" w:after="0" w:line="288" w:lineRule="auto"/>
    </w:pPr>
    <w:rPr>
      <w:rFonts w:ascii="Arial" w:eastAsia="Times New Roman" w:hAnsi="Arial" w:cs="Arial"/>
      <w:i/>
      <w:iCs/>
      <w:sz w:val="20"/>
      <w:szCs w:val="20"/>
      <w:lang w:val="en-US"/>
    </w:rPr>
  </w:style>
  <w:style w:type="character" w:customStyle="1" w:styleId="HTMLAddressChar">
    <w:name w:val="HTML Address Char"/>
    <w:basedOn w:val="DefaultParagraphFont"/>
    <w:link w:val="HTMLAddress"/>
    <w:uiPriority w:val="99"/>
    <w:rsid w:val="00285B2A"/>
    <w:rPr>
      <w:rFonts w:ascii="Arial" w:eastAsia="Times New Roman" w:hAnsi="Arial" w:cs="Arial"/>
      <w:i/>
      <w:iCs/>
      <w:sz w:val="20"/>
      <w:szCs w:val="20"/>
      <w:lang w:val="en-US"/>
    </w:rPr>
  </w:style>
  <w:style w:type="character" w:styleId="HTMLCite">
    <w:name w:val="HTML Cite"/>
    <w:basedOn w:val="DefaultParagraphFont"/>
    <w:uiPriority w:val="99"/>
    <w:unhideWhenUsed/>
    <w:rsid w:val="00285B2A"/>
    <w:rPr>
      <w:i/>
      <w:iCs/>
    </w:rPr>
  </w:style>
  <w:style w:type="character" w:styleId="HTMLCode">
    <w:name w:val="HTML Code"/>
    <w:basedOn w:val="DefaultParagraphFont"/>
    <w:uiPriority w:val="99"/>
    <w:unhideWhenUsed/>
    <w:rsid w:val="00285B2A"/>
    <w:rPr>
      <w:rFonts w:ascii="Consolas" w:hAnsi="Consolas"/>
      <w:sz w:val="20"/>
      <w:szCs w:val="20"/>
    </w:rPr>
  </w:style>
  <w:style w:type="character" w:styleId="HTMLDefinition">
    <w:name w:val="HTML Definition"/>
    <w:basedOn w:val="DefaultParagraphFont"/>
    <w:uiPriority w:val="99"/>
    <w:unhideWhenUsed/>
    <w:rsid w:val="00285B2A"/>
    <w:rPr>
      <w:i/>
      <w:iCs/>
    </w:rPr>
  </w:style>
  <w:style w:type="character" w:styleId="HTMLKeyboard">
    <w:name w:val="HTML Keyboard"/>
    <w:basedOn w:val="DefaultParagraphFont"/>
    <w:uiPriority w:val="99"/>
    <w:unhideWhenUsed/>
    <w:rsid w:val="00285B2A"/>
    <w:rPr>
      <w:rFonts w:ascii="Consolas" w:hAnsi="Consolas"/>
      <w:sz w:val="20"/>
      <w:szCs w:val="20"/>
    </w:rPr>
  </w:style>
  <w:style w:type="paragraph" w:styleId="HTMLPreformatted">
    <w:name w:val="HTML Preformatted"/>
    <w:basedOn w:val="Normal"/>
    <w:link w:val="HTMLPreformattedChar"/>
    <w:uiPriority w:val="99"/>
    <w:unhideWhenUsed/>
    <w:rsid w:val="00285B2A"/>
    <w:pPr>
      <w:spacing w:before="60" w:after="0" w:line="288" w:lineRule="auto"/>
    </w:pPr>
    <w:rPr>
      <w:rFonts w:ascii="Consolas" w:eastAsia="Times New Roman" w:hAnsi="Consolas" w:cs="Arial"/>
      <w:sz w:val="20"/>
      <w:szCs w:val="20"/>
      <w:lang w:val="en-US"/>
    </w:rPr>
  </w:style>
  <w:style w:type="character" w:customStyle="1" w:styleId="HTMLPreformattedChar">
    <w:name w:val="HTML Preformatted Char"/>
    <w:basedOn w:val="DefaultParagraphFont"/>
    <w:link w:val="HTMLPreformatted"/>
    <w:uiPriority w:val="99"/>
    <w:rsid w:val="00285B2A"/>
    <w:rPr>
      <w:rFonts w:ascii="Consolas" w:eastAsia="Times New Roman" w:hAnsi="Consolas" w:cs="Arial"/>
      <w:sz w:val="20"/>
      <w:szCs w:val="20"/>
      <w:lang w:val="en-US"/>
    </w:rPr>
  </w:style>
  <w:style w:type="character" w:styleId="HTMLSample">
    <w:name w:val="HTML Sample"/>
    <w:basedOn w:val="DefaultParagraphFont"/>
    <w:uiPriority w:val="99"/>
    <w:unhideWhenUsed/>
    <w:rsid w:val="00285B2A"/>
    <w:rPr>
      <w:rFonts w:ascii="Consolas" w:hAnsi="Consolas"/>
      <w:sz w:val="24"/>
      <w:szCs w:val="24"/>
    </w:rPr>
  </w:style>
  <w:style w:type="character" w:styleId="HTMLTypewriter">
    <w:name w:val="HTML Typewriter"/>
    <w:basedOn w:val="DefaultParagraphFont"/>
    <w:uiPriority w:val="99"/>
    <w:unhideWhenUsed/>
    <w:rsid w:val="00285B2A"/>
    <w:rPr>
      <w:rFonts w:ascii="Consolas" w:hAnsi="Consolas"/>
      <w:sz w:val="20"/>
      <w:szCs w:val="20"/>
    </w:rPr>
  </w:style>
  <w:style w:type="character" w:styleId="HTMLVariable">
    <w:name w:val="HTML Variable"/>
    <w:basedOn w:val="DefaultParagraphFont"/>
    <w:uiPriority w:val="99"/>
    <w:unhideWhenUsed/>
    <w:rsid w:val="00285B2A"/>
    <w:rPr>
      <w:i/>
      <w:iCs/>
    </w:rPr>
  </w:style>
  <w:style w:type="paragraph" w:styleId="Index1">
    <w:name w:val="index 1"/>
    <w:basedOn w:val="Normal"/>
    <w:next w:val="Normal"/>
    <w:autoRedefine/>
    <w:uiPriority w:val="99"/>
    <w:unhideWhenUsed/>
    <w:rsid w:val="00285B2A"/>
    <w:pPr>
      <w:spacing w:before="60" w:after="0" w:line="288" w:lineRule="auto"/>
      <w:ind w:left="260" w:hanging="260"/>
    </w:pPr>
    <w:rPr>
      <w:rFonts w:ascii="Arial" w:eastAsia="Times New Roman" w:hAnsi="Arial" w:cs="Arial"/>
      <w:sz w:val="20"/>
      <w:szCs w:val="20"/>
      <w:lang w:val="en-US"/>
    </w:rPr>
  </w:style>
  <w:style w:type="paragraph" w:styleId="Index2">
    <w:name w:val="index 2"/>
    <w:basedOn w:val="Normal"/>
    <w:next w:val="Normal"/>
    <w:autoRedefine/>
    <w:uiPriority w:val="99"/>
    <w:unhideWhenUsed/>
    <w:rsid w:val="00285B2A"/>
    <w:pPr>
      <w:spacing w:before="60" w:after="0" w:line="288" w:lineRule="auto"/>
      <w:ind w:left="520" w:hanging="260"/>
    </w:pPr>
    <w:rPr>
      <w:rFonts w:ascii="Arial" w:eastAsia="Times New Roman" w:hAnsi="Arial" w:cs="Arial"/>
      <w:sz w:val="20"/>
      <w:szCs w:val="20"/>
      <w:lang w:val="en-US"/>
    </w:rPr>
  </w:style>
  <w:style w:type="paragraph" w:styleId="Index3">
    <w:name w:val="index 3"/>
    <w:basedOn w:val="Normal"/>
    <w:next w:val="Normal"/>
    <w:autoRedefine/>
    <w:uiPriority w:val="99"/>
    <w:unhideWhenUsed/>
    <w:rsid w:val="00285B2A"/>
    <w:pPr>
      <w:spacing w:before="60" w:after="0" w:line="288" w:lineRule="auto"/>
      <w:ind w:left="780" w:hanging="260"/>
    </w:pPr>
    <w:rPr>
      <w:rFonts w:ascii="Arial" w:eastAsia="Times New Roman" w:hAnsi="Arial" w:cs="Arial"/>
      <w:sz w:val="20"/>
      <w:szCs w:val="20"/>
      <w:lang w:val="en-US"/>
    </w:rPr>
  </w:style>
  <w:style w:type="paragraph" w:styleId="Index4">
    <w:name w:val="index 4"/>
    <w:basedOn w:val="Normal"/>
    <w:next w:val="Normal"/>
    <w:autoRedefine/>
    <w:uiPriority w:val="99"/>
    <w:unhideWhenUsed/>
    <w:rsid w:val="00285B2A"/>
    <w:pPr>
      <w:spacing w:before="60" w:after="0" w:line="288" w:lineRule="auto"/>
      <w:ind w:left="1040" w:hanging="260"/>
    </w:pPr>
    <w:rPr>
      <w:rFonts w:ascii="Arial" w:eastAsia="Times New Roman" w:hAnsi="Arial" w:cs="Arial"/>
      <w:sz w:val="20"/>
      <w:szCs w:val="20"/>
      <w:lang w:val="en-US"/>
    </w:rPr>
  </w:style>
  <w:style w:type="paragraph" w:styleId="Index5">
    <w:name w:val="index 5"/>
    <w:basedOn w:val="Normal"/>
    <w:next w:val="Normal"/>
    <w:autoRedefine/>
    <w:uiPriority w:val="99"/>
    <w:unhideWhenUsed/>
    <w:rsid w:val="00285B2A"/>
    <w:pPr>
      <w:spacing w:before="60" w:after="0" w:line="288" w:lineRule="auto"/>
      <w:ind w:left="1300" w:hanging="260"/>
    </w:pPr>
    <w:rPr>
      <w:rFonts w:ascii="Arial" w:eastAsia="Times New Roman" w:hAnsi="Arial" w:cs="Arial"/>
      <w:sz w:val="20"/>
      <w:szCs w:val="20"/>
      <w:lang w:val="en-US"/>
    </w:rPr>
  </w:style>
  <w:style w:type="paragraph" w:styleId="Index6">
    <w:name w:val="index 6"/>
    <w:basedOn w:val="Normal"/>
    <w:next w:val="Normal"/>
    <w:autoRedefine/>
    <w:uiPriority w:val="99"/>
    <w:unhideWhenUsed/>
    <w:rsid w:val="00285B2A"/>
    <w:pPr>
      <w:spacing w:before="60" w:after="0" w:line="288" w:lineRule="auto"/>
      <w:ind w:left="1560" w:hanging="260"/>
    </w:pPr>
    <w:rPr>
      <w:rFonts w:ascii="Arial" w:eastAsia="Times New Roman" w:hAnsi="Arial" w:cs="Arial"/>
      <w:sz w:val="20"/>
      <w:szCs w:val="20"/>
      <w:lang w:val="en-US"/>
    </w:rPr>
  </w:style>
  <w:style w:type="paragraph" w:styleId="Index7">
    <w:name w:val="index 7"/>
    <w:basedOn w:val="Normal"/>
    <w:next w:val="Normal"/>
    <w:autoRedefine/>
    <w:uiPriority w:val="99"/>
    <w:unhideWhenUsed/>
    <w:rsid w:val="00285B2A"/>
    <w:pPr>
      <w:spacing w:before="60" w:after="0" w:line="288" w:lineRule="auto"/>
      <w:ind w:left="1820" w:hanging="260"/>
    </w:pPr>
    <w:rPr>
      <w:rFonts w:ascii="Arial" w:eastAsia="Times New Roman" w:hAnsi="Arial" w:cs="Arial"/>
      <w:sz w:val="20"/>
      <w:szCs w:val="20"/>
      <w:lang w:val="en-US"/>
    </w:rPr>
  </w:style>
  <w:style w:type="paragraph" w:styleId="Index8">
    <w:name w:val="index 8"/>
    <w:basedOn w:val="Normal"/>
    <w:next w:val="Normal"/>
    <w:autoRedefine/>
    <w:uiPriority w:val="99"/>
    <w:unhideWhenUsed/>
    <w:rsid w:val="00285B2A"/>
    <w:pPr>
      <w:spacing w:before="60" w:after="0" w:line="288" w:lineRule="auto"/>
      <w:ind w:left="2080" w:hanging="260"/>
    </w:pPr>
    <w:rPr>
      <w:rFonts w:ascii="Arial" w:eastAsia="Times New Roman" w:hAnsi="Arial" w:cs="Arial"/>
      <w:sz w:val="20"/>
      <w:szCs w:val="20"/>
      <w:lang w:val="en-US"/>
    </w:rPr>
  </w:style>
  <w:style w:type="paragraph" w:styleId="Index9">
    <w:name w:val="index 9"/>
    <w:basedOn w:val="Normal"/>
    <w:next w:val="Normal"/>
    <w:autoRedefine/>
    <w:uiPriority w:val="99"/>
    <w:unhideWhenUsed/>
    <w:rsid w:val="00285B2A"/>
    <w:pPr>
      <w:spacing w:before="60" w:after="0" w:line="288" w:lineRule="auto"/>
      <w:ind w:left="2340" w:hanging="260"/>
    </w:pPr>
    <w:rPr>
      <w:rFonts w:ascii="Arial" w:eastAsia="Times New Roman" w:hAnsi="Arial" w:cs="Arial"/>
      <w:sz w:val="20"/>
      <w:szCs w:val="20"/>
      <w:lang w:val="en-US"/>
    </w:rPr>
  </w:style>
  <w:style w:type="paragraph" w:styleId="IndexHeading">
    <w:name w:val="index heading"/>
    <w:basedOn w:val="Normal"/>
    <w:next w:val="Index1"/>
    <w:uiPriority w:val="99"/>
    <w:unhideWhenUsed/>
    <w:rsid w:val="00285B2A"/>
    <w:pPr>
      <w:spacing w:before="60" w:after="60" w:line="288" w:lineRule="auto"/>
    </w:pPr>
    <w:rPr>
      <w:rFonts w:asciiTheme="majorHAnsi" w:eastAsiaTheme="majorEastAsia" w:hAnsiTheme="majorHAnsi" w:cstheme="majorBidi"/>
      <w:b/>
      <w:bCs/>
      <w:sz w:val="20"/>
      <w:szCs w:val="20"/>
      <w:lang w:val="en-US"/>
    </w:rPr>
  </w:style>
  <w:style w:type="character" w:styleId="IntenseEmphasis">
    <w:name w:val="Intense Emphasis"/>
    <w:basedOn w:val="DefaultParagraphFont"/>
    <w:uiPriority w:val="21"/>
    <w:unhideWhenUsed/>
    <w:qFormat/>
    <w:rsid w:val="00285B2A"/>
    <w:rPr>
      <w:b/>
      <w:bCs/>
      <w:i/>
      <w:iCs/>
      <w:color w:val="D9D9D9" w:themeColor="accent1"/>
    </w:rPr>
  </w:style>
  <w:style w:type="paragraph" w:styleId="IntenseQuote">
    <w:name w:val="Intense Quote"/>
    <w:basedOn w:val="Normal"/>
    <w:next w:val="Normal"/>
    <w:link w:val="IntenseQuoteChar"/>
    <w:uiPriority w:val="30"/>
    <w:unhideWhenUsed/>
    <w:qFormat/>
    <w:rsid w:val="00285B2A"/>
    <w:pPr>
      <w:pBdr>
        <w:bottom w:val="single" w:sz="4" w:space="4" w:color="D9D9D9" w:themeColor="accent1"/>
      </w:pBdr>
      <w:spacing w:before="200" w:after="280" w:line="288" w:lineRule="auto"/>
      <w:ind w:left="936" w:right="936"/>
    </w:pPr>
    <w:rPr>
      <w:rFonts w:ascii="Arial" w:eastAsia="Times New Roman" w:hAnsi="Arial" w:cs="Arial"/>
      <w:b/>
      <w:bCs/>
      <w:i/>
      <w:iCs/>
      <w:color w:val="D9D9D9" w:themeColor="accent1"/>
      <w:sz w:val="20"/>
      <w:szCs w:val="20"/>
      <w:lang w:val="en-US"/>
    </w:rPr>
  </w:style>
  <w:style w:type="character" w:customStyle="1" w:styleId="IntenseQuoteChar">
    <w:name w:val="Intense Quote Char"/>
    <w:basedOn w:val="DefaultParagraphFont"/>
    <w:link w:val="IntenseQuote"/>
    <w:uiPriority w:val="30"/>
    <w:rsid w:val="00285B2A"/>
    <w:rPr>
      <w:rFonts w:ascii="Arial" w:eastAsia="Times New Roman" w:hAnsi="Arial" w:cs="Arial"/>
      <w:b/>
      <w:bCs/>
      <w:i/>
      <w:iCs/>
      <w:color w:val="D9D9D9" w:themeColor="accent1"/>
      <w:sz w:val="20"/>
      <w:szCs w:val="20"/>
      <w:lang w:val="en-US"/>
    </w:rPr>
  </w:style>
  <w:style w:type="character" w:styleId="IntenseReference">
    <w:name w:val="Intense Reference"/>
    <w:basedOn w:val="DefaultParagraphFont"/>
    <w:uiPriority w:val="32"/>
    <w:unhideWhenUsed/>
    <w:qFormat/>
    <w:rsid w:val="00285B2A"/>
    <w:rPr>
      <w:b/>
      <w:bCs/>
      <w:smallCaps/>
      <w:color w:val="A6A6A6" w:themeColor="accent2"/>
      <w:spacing w:val="5"/>
      <w:u w:val="single"/>
    </w:rPr>
  </w:style>
  <w:style w:type="paragraph" w:styleId="List">
    <w:name w:val="List"/>
    <w:basedOn w:val="Normal"/>
    <w:uiPriority w:val="99"/>
    <w:unhideWhenUsed/>
    <w:rsid w:val="00285B2A"/>
    <w:pPr>
      <w:spacing w:before="60" w:after="60" w:line="288" w:lineRule="auto"/>
      <w:ind w:left="360" w:hanging="360"/>
      <w:contextualSpacing/>
    </w:pPr>
    <w:rPr>
      <w:rFonts w:ascii="Arial" w:eastAsia="Times New Roman" w:hAnsi="Arial" w:cs="Arial"/>
      <w:sz w:val="20"/>
      <w:szCs w:val="20"/>
      <w:lang w:val="en-US"/>
    </w:rPr>
  </w:style>
  <w:style w:type="paragraph" w:styleId="List2">
    <w:name w:val="List 2"/>
    <w:basedOn w:val="Normal"/>
    <w:uiPriority w:val="99"/>
    <w:unhideWhenUsed/>
    <w:rsid w:val="00285B2A"/>
    <w:pPr>
      <w:spacing w:before="60" w:after="60" w:line="288" w:lineRule="auto"/>
      <w:ind w:left="720" w:hanging="360"/>
      <w:contextualSpacing/>
    </w:pPr>
    <w:rPr>
      <w:rFonts w:ascii="Arial" w:eastAsia="Times New Roman" w:hAnsi="Arial" w:cs="Arial"/>
      <w:sz w:val="20"/>
      <w:szCs w:val="20"/>
      <w:lang w:val="en-US"/>
    </w:rPr>
  </w:style>
  <w:style w:type="paragraph" w:styleId="List3">
    <w:name w:val="List 3"/>
    <w:basedOn w:val="Normal"/>
    <w:uiPriority w:val="99"/>
    <w:unhideWhenUsed/>
    <w:rsid w:val="00285B2A"/>
    <w:pPr>
      <w:spacing w:before="60" w:after="60" w:line="288" w:lineRule="auto"/>
      <w:ind w:left="1080" w:hanging="360"/>
      <w:contextualSpacing/>
    </w:pPr>
    <w:rPr>
      <w:rFonts w:ascii="Arial" w:eastAsia="Times New Roman" w:hAnsi="Arial" w:cs="Arial"/>
      <w:sz w:val="20"/>
      <w:szCs w:val="20"/>
      <w:lang w:val="en-US"/>
    </w:rPr>
  </w:style>
  <w:style w:type="paragraph" w:styleId="List4">
    <w:name w:val="List 4"/>
    <w:basedOn w:val="Normal"/>
    <w:uiPriority w:val="99"/>
    <w:unhideWhenUsed/>
    <w:rsid w:val="00285B2A"/>
    <w:pPr>
      <w:spacing w:before="60" w:after="60" w:line="288" w:lineRule="auto"/>
      <w:ind w:left="1440" w:hanging="360"/>
      <w:contextualSpacing/>
    </w:pPr>
    <w:rPr>
      <w:rFonts w:ascii="Arial" w:eastAsia="Times New Roman" w:hAnsi="Arial" w:cs="Arial"/>
      <w:sz w:val="20"/>
      <w:szCs w:val="20"/>
      <w:lang w:val="en-US"/>
    </w:rPr>
  </w:style>
  <w:style w:type="paragraph" w:styleId="List5">
    <w:name w:val="List 5"/>
    <w:basedOn w:val="Normal"/>
    <w:uiPriority w:val="99"/>
    <w:unhideWhenUsed/>
    <w:rsid w:val="00285B2A"/>
    <w:pPr>
      <w:spacing w:before="60" w:after="60" w:line="288" w:lineRule="auto"/>
      <w:ind w:left="1800" w:hanging="360"/>
      <w:contextualSpacing/>
    </w:pPr>
    <w:rPr>
      <w:rFonts w:ascii="Arial" w:eastAsia="Times New Roman" w:hAnsi="Arial" w:cs="Arial"/>
      <w:sz w:val="20"/>
      <w:szCs w:val="20"/>
      <w:lang w:val="en-US"/>
    </w:rPr>
  </w:style>
  <w:style w:type="paragraph" w:styleId="ListBullet">
    <w:name w:val="List Bullet"/>
    <w:basedOn w:val="Normal"/>
    <w:uiPriority w:val="99"/>
    <w:unhideWhenUsed/>
    <w:rsid w:val="00285B2A"/>
    <w:pPr>
      <w:numPr>
        <w:numId w:val="4"/>
      </w:numPr>
      <w:spacing w:before="60" w:after="60" w:line="288" w:lineRule="auto"/>
      <w:contextualSpacing/>
    </w:pPr>
    <w:rPr>
      <w:rFonts w:ascii="Arial" w:eastAsia="Times New Roman" w:hAnsi="Arial" w:cs="Arial"/>
      <w:sz w:val="20"/>
      <w:szCs w:val="20"/>
      <w:lang w:val="en-US"/>
    </w:rPr>
  </w:style>
  <w:style w:type="paragraph" w:styleId="ListBullet2">
    <w:name w:val="List Bullet 2"/>
    <w:basedOn w:val="Normal"/>
    <w:uiPriority w:val="99"/>
    <w:unhideWhenUsed/>
    <w:rsid w:val="00285B2A"/>
    <w:pPr>
      <w:numPr>
        <w:numId w:val="5"/>
      </w:numPr>
      <w:spacing w:before="60" w:after="60" w:line="288" w:lineRule="auto"/>
      <w:contextualSpacing/>
    </w:pPr>
    <w:rPr>
      <w:rFonts w:ascii="Arial" w:eastAsia="Times New Roman" w:hAnsi="Arial" w:cs="Arial"/>
      <w:sz w:val="20"/>
      <w:szCs w:val="20"/>
      <w:lang w:val="en-US"/>
    </w:rPr>
  </w:style>
  <w:style w:type="paragraph" w:styleId="ListBullet3">
    <w:name w:val="List Bullet 3"/>
    <w:basedOn w:val="Normal"/>
    <w:uiPriority w:val="99"/>
    <w:unhideWhenUsed/>
    <w:rsid w:val="00285B2A"/>
    <w:pPr>
      <w:numPr>
        <w:numId w:val="6"/>
      </w:numPr>
      <w:spacing w:before="60" w:after="60" w:line="288" w:lineRule="auto"/>
      <w:contextualSpacing/>
    </w:pPr>
    <w:rPr>
      <w:rFonts w:ascii="Arial" w:eastAsia="Times New Roman" w:hAnsi="Arial" w:cs="Arial"/>
      <w:sz w:val="20"/>
      <w:szCs w:val="20"/>
      <w:lang w:val="en-US"/>
    </w:rPr>
  </w:style>
  <w:style w:type="paragraph" w:styleId="ListBullet4">
    <w:name w:val="List Bullet 4"/>
    <w:basedOn w:val="Normal"/>
    <w:uiPriority w:val="99"/>
    <w:unhideWhenUsed/>
    <w:rsid w:val="00285B2A"/>
    <w:pPr>
      <w:numPr>
        <w:numId w:val="7"/>
      </w:numPr>
      <w:spacing w:before="60" w:after="60" w:line="288" w:lineRule="auto"/>
      <w:contextualSpacing/>
    </w:pPr>
    <w:rPr>
      <w:rFonts w:ascii="Arial" w:eastAsia="Times New Roman" w:hAnsi="Arial" w:cs="Arial"/>
      <w:sz w:val="20"/>
      <w:szCs w:val="20"/>
      <w:lang w:val="en-US"/>
    </w:rPr>
  </w:style>
  <w:style w:type="paragraph" w:styleId="ListBullet5">
    <w:name w:val="List Bullet 5"/>
    <w:basedOn w:val="Normal"/>
    <w:uiPriority w:val="99"/>
    <w:unhideWhenUsed/>
    <w:rsid w:val="00285B2A"/>
    <w:pPr>
      <w:numPr>
        <w:numId w:val="8"/>
      </w:numPr>
      <w:spacing w:before="60" w:after="60" w:line="288" w:lineRule="auto"/>
      <w:contextualSpacing/>
    </w:pPr>
    <w:rPr>
      <w:rFonts w:ascii="Arial" w:eastAsia="Times New Roman" w:hAnsi="Arial" w:cs="Arial"/>
      <w:sz w:val="20"/>
      <w:szCs w:val="20"/>
      <w:lang w:val="en-US"/>
    </w:rPr>
  </w:style>
  <w:style w:type="paragraph" w:styleId="ListContinue">
    <w:name w:val="List Continue"/>
    <w:basedOn w:val="Normal"/>
    <w:uiPriority w:val="99"/>
    <w:unhideWhenUsed/>
    <w:rsid w:val="00285B2A"/>
    <w:pPr>
      <w:spacing w:before="60" w:after="60" w:line="288" w:lineRule="auto"/>
      <w:ind w:left="360"/>
      <w:contextualSpacing/>
    </w:pPr>
    <w:rPr>
      <w:rFonts w:ascii="Arial" w:eastAsia="Times New Roman" w:hAnsi="Arial" w:cs="Arial"/>
      <w:sz w:val="20"/>
      <w:szCs w:val="20"/>
      <w:lang w:val="en-US"/>
    </w:rPr>
  </w:style>
  <w:style w:type="paragraph" w:styleId="ListContinue2">
    <w:name w:val="List Continue 2"/>
    <w:basedOn w:val="Normal"/>
    <w:uiPriority w:val="99"/>
    <w:unhideWhenUsed/>
    <w:rsid w:val="00285B2A"/>
    <w:pPr>
      <w:spacing w:before="60" w:after="60" w:line="288" w:lineRule="auto"/>
      <w:ind w:left="720"/>
      <w:contextualSpacing/>
    </w:pPr>
    <w:rPr>
      <w:rFonts w:ascii="Arial" w:eastAsia="Times New Roman" w:hAnsi="Arial" w:cs="Arial"/>
      <w:sz w:val="20"/>
      <w:szCs w:val="20"/>
      <w:lang w:val="en-US"/>
    </w:rPr>
  </w:style>
  <w:style w:type="paragraph" w:styleId="ListContinue3">
    <w:name w:val="List Continue 3"/>
    <w:basedOn w:val="Normal"/>
    <w:uiPriority w:val="99"/>
    <w:unhideWhenUsed/>
    <w:rsid w:val="00285B2A"/>
    <w:pPr>
      <w:spacing w:before="60" w:after="60" w:line="288" w:lineRule="auto"/>
      <w:ind w:left="1080"/>
      <w:contextualSpacing/>
    </w:pPr>
    <w:rPr>
      <w:rFonts w:ascii="Arial" w:eastAsia="Times New Roman" w:hAnsi="Arial" w:cs="Arial"/>
      <w:sz w:val="20"/>
      <w:szCs w:val="20"/>
      <w:lang w:val="en-US"/>
    </w:rPr>
  </w:style>
  <w:style w:type="paragraph" w:styleId="ListContinue4">
    <w:name w:val="List Continue 4"/>
    <w:basedOn w:val="Normal"/>
    <w:uiPriority w:val="99"/>
    <w:unhideWhenUsed/>
    <w:rsid w:val="00285B2A"/>
    <w:pPr>
      <w:spacing w:before="60" w:after="60" w:line="288" w:lineRule="auto"/>
      <w:ind w:left="1440"/>
      <w:contextualSpacing/>
    </w:pPr>
    <w:rPr>
      <w:rFonts w:ascii="Arial" w:eastAsia="Times New Roman" w:hAnsi="Arial" w:cs="Arial"/>
      <w:sz w:val="20"/>
      <w:szCs w:val="20"/>
      <w:lang w:val="en-US"/>
    </w:rPr>
  </w:style>
  <w:style w:type="paragraph" w:styleId="ListContinue5">
    <w:name w:val="List Continue 5"/>
    <w:basedOn w:val="Normal"/>
    <w:uiPriority w:val="99"/>
    <w:unhideWhenUsed/>
    <w:rsid w:val="00285B2A"/>
    <w:pPr>
      <w:spacing w:before="60" w:after="60" w:line="288" w:lineRule="auto"/>
      <w:ind w:left="1800"/>
      <w:contextualSpacing/>
    </w:pPr>
    <w:rPr>
      <w:rFonts w:ascii="Arial" w:eastAsia="Times New Roman" w:hAnsi="Arial" w:cs="Arial"/>
      <w:sz w:val="20"/>
      <w:szCs w:val="20"/>
      <w:lang w:val="en-US"/>
    </w:rPr>
  </w:style>
  <w:style w:type="paragraph" w:styleId="ListNumber">
    <w:name w:val="List Number"/>
    <w:basedOn w:val="Normal"/>
    <w:uiPriority w:val="99"/>
    <w:unhideWhenUsed/>
    <w:rsid w:val="00285B2A"/>
    <w:pPr>
      <w:numPr>
        <w:numId w:val="9"/>
      </w:numPr>
      <w:spacing w:before="60" w:after="60" w:line="288" w:lineRule="auto"/>
      <w:contextualSpacing/>
    </w:pPr>
    <w:rPr>
      <w:rFonts w:ascii="Arial" w:eastAsia="Times New Roman" w:hAnsi="Arial" w:cs="Arial"/>
      <w:sz w:val="20"/>
      <w:szCs w:val="20"/>
      <w:lang w:val="en-US"/>
    </w:rPr>
  </w:style>
  <w:style w:type="paragraph" w:styleId="ListNumber2">
    <w:name w:val="List Number 2"/>
    <w:basedOn w:val="Normal"/>
    <w:uiPriority w:val="99"/>
    <w:unhideWhenUsed/>
    <w:rsid w:val="00285B2A"/>
    <w:pPr>
      <w:numPr>
        <w:numId w:val="10"/>
      </w:numPr>
      <w:spacing w:before="60" w:after="60" w:line="288" w:lineRule="auto"/>
      <w:contextualSpacing/>
    </w:pPr>
    <w:rPr>
      <w:rFonts w:ascii="Arial" w:eastAsia="Times New Roman" w:hAnsi="Arial" w:cs="Arial"/>
      <w:sz w:val="20"/>
      <w:szCs w:val="20"/>
      <w:lang w:val="en-US"/>
    </w:rPr>
  </w:style>
  <w:style w:type="paragraph" w:styleId="ListNumber3">
    <w:name w:val="List Number 3"/>
    <w:basedOn w:val="Normal"/>
    <w:uiPriority w:val="99"/>
    <w:unhideWhenUsed/>
    <w:rsid w:val="00285B2A"/>
    <w:pPr>
      <w:numPr>
        <w:numId w:val="11"/>
      </w:numPr>
      <w:spacing w:before="60" w:after="60" w:line="288" w:lineRule="auto"/>
      <w:contextualSpacing/>
    </w:pPr>
    <w:rPr>
      <w:rFonts w:ascii="Arial" w:eastAsia="Times New Roman" w:hAnsi="Arial" w:cs="Arial"/>
      <w:sz w:val="20"/>
      <w:szCs w:val="20"/>
      <w:lang w:val="en-US"/>
    </w:rPr>
  </w:style>
  <w:style w:type="paragraph" w:styleId="ListNumber4">
    <w:name w:val="List Number 4"/>
    <w:basedOn w:val="Normal"/>
    <w:uiPriority w:val="99"/>
    <w:unhideWhenUsed/>
    <w:rsid w:val="00285B2A"/>
    <w:pPr>
      <w:numPr>
        <w:numId w:val="12"/>
      </w:numPr>
      <w:spacing w:before="60" w:after="60" w:line="288" w:lineRule="auto"/>
      <w:contextualSpacing/>
    </w:pPr>
    <w:rPr>
      <w:rFonts w:ascii="Arial" w:eastAsia="Times New Roman" w:hAnsi="Arial" w:cs="Arial"/>
      <w:sz w:val="20"/>
      <w:szCs w:val="20"/>
      <w:lang w:val="en-US"/>
    </w:rPr>
  </w:style>
  <w:style w:type="paragraph" w:styleId="ListNumber5">
    <w:name w:val="List Number 5"/>
    <w:basedOn w:val="Normal"/>
    <w:uiPriority w:val="99"/>
    <w:unhideWhenUsed/>
    <w:rsid w:val="00285B2A"/>
    <w:pPr>
      <w:numPr>
        <w:numId w:val="13"/>
      </w:numPr>
      <w:spacing w:before="60" w:after="60" w:line="288" w:lineRule="auto"/>
      <w:contextualSpacing/>
    </w:pPr>
    <w:rPr>
      <w:rFonts w:ascii="Arial" w:eastAsia="Times New Roman" w:hAnsi="Arial" w:cs="Arial"/>
      <w:sz w:val="20"/>
      <w:szCs w:val="20"/>
      <w:lang w:val="en-US"/>
    </w:rPr>
  </w:style>
  <w:style w:type="paragraph" w:styleId="NormalWeb">
    <w:name w:val="Normal (Web)"/>
    <w:basedOn w:val="Normal"/>
    <w:uiPriority w:val="99"/>
    <w:unhideWhenUsed/>
    <w:rsid w:val="00285B2A"/>
    <w:pPr>
      <w:spacing w:before="60" w:after="60" w:line="288" w:lineRule="auto"/>
    </w:pPr>
    <w:rPr>
      <w:rFonts w:ascii="Arial" w:eastAsia="Times New Roman" w:hAnsi="Arial" w:cs="Arial"/>
      <w:sz w:val="24"/>
      <w:szCs w:val="24"/>
      <w:lang w:val="en-US"/>
    </w:rPr>
  </w:style>
  <w:style w:type="paragraph" w:styleId="NormalIndent">
    <w:name w:val="Normal Indent"/>
    <w:basedOn w:val="Normal"/>
    <w:uiPriority w:val="99"/>
    <w:unhideWhenUsed/>
    <w:rsid w:val="00285B2A"/>
    <w:pPr>
      <w:spacing w:before="60" w:after="60" w:line="288" w:lineRule="auto"/>
      <w:ind w:left="720"/>
    </w:pPr>
    <w:rPr>
      <w:rFonts w:ascii="Arial" w:eastAsia="Times New Roman" w:hAnsi="Arial" w:cs="Arial"/>
      <w:sz w:val="20"/>
      <w:szCs w:val="20"/>
      <w:lang w:val="en-US"/>
    </w:rPr>
  </w:style>
  <w:style w:type="paragraph" w:styleId="NoteHeading">
    <w:name w:val="Note Heading"/>
    <w:basedOn w:val="Normal"/>
    <w:next w:val="Normal"/>
    <w:link w:val="NoteHeadingChar"/>
    <w:uiPriority w:val="99"/>
    <w:unhideWhenUsed/>
    <w:rsid w:val="00285B2A"/>
    <w:pPr>
      <w:spacing w:before="60" w:after="0" w:line="288" w:lineRule="auto"/>
    </w:pPr>
    <w:rPr>
      <w:rFonts w:ascii="Arial" w:eastAsia="Times New Roman" w:hAnsi="Arial" w:cs="Arial"/>
      <w:sz w:val="20"/>
      <w:szCs w:val="20"/>
      <w:lang w:val="en-US"/>
    </w:rPr>
  </w:style>
  <w:style w:type="character" w:customStyle="1" w:styleId="NoteHeadingChar">
    <w:name w:val="Note Heading Char"/>
    <w:basedOn w:val="DefaultParagraphFont"/>
    <w:link w:val="NoteHeading"/>
    <w:uiPriority w:val="99"/>
    <w:rsid w:val="00285B2A"/>
    <w:rPr>
      <w:rFonts w:ascii="Arial" w:eastAsia="Times New Roman" w:hAnsi="Arial" w:cs="Arial"/>
      <w:sz w:val="20"/>
      <w:szCs w:val="20"/>
      <w:lang w:val="en-US"/>
    </w:rPr>
  </w:style>
  <w:style w:type="paragraph" w:styleId="PlainText">
    <w:name w:val="Plain Text"/>
    <w:basedOn w:val="Normal"/>
    <w:link w:val="PlainTextChar"/>
    <w:uiPriority w:val="99"/>
    <w:unhideWhenUsed/>
    <w:rsid w:val="00285B2A"/>
    <w:pPr>
      <w:spacing w:before="60" w:after="0" w:line="288" w:lineRule="auto"/>
    </w:pPr>
    <w:rPr>
      <w:rFonts w:ascii="Consolas" w:eastAsia="Times New Roman" w:hAnsi="Consolas" w:cs="Arial"/>
      <w:sz w:val="21"/>
      <w:szCs w:val="21"/>
      <w:lang w:val="en-US"/>
    </w:rPr>
  </w:style>
  <w:style w:type="character" w:customStyle="1" w:styleId="PlainTextChar">
    <w:name w:val="Plain Text Char"/>
    <w:basedOn w:val="DefaultParagraphFont"/>
    <w:link w:val="PlainText"/>
    <w:uiPriority w:val="99"/>
    <w:rsid w:val="00285B2A"/>
    <w:rPr>
      <w:rFonts w:ascii="Consolas" w:eastAsia="Times New Roman" w:hAnsi="Consolas" w:cs="Arial"/>
      <w:sz w:val="21"/>
      <w:szCs w:val="21"/>
      <w:lang w:val="en-US"/>
    </w:rPr>
  </w:style>
  <w:style w:type="paragraph" w:styleId="Quote">
    <w:name w:val="Quote"/>
    <w:basedOn w:val="Normal"/>
    <w:next w:val="Normal"/>
    <w:link w:val="QuoteChar"/>
    <w:uiPriority w:val="29"/>
    <w:unhideWhenUsed/>
    <w:qFormat/>
    <w:rsid w:val="00285B2A"/>
    <w:pPr>
      <w:spacing w:before="60" w:after="60" w:line="288" w:lineRule="auto"/>
    </w:pPr>
    <w:rPr>
      <w:rFonts w:ascii="Arial" w:eastAsia="Times New Roman" w:hAnsi="Arial" w:cs="Arial"/>
      <w:i/>
      <w:iCs/>
      <w:color w:val="000000" w:themeColor="text1"/>
      <w:sz w:val="20"/>
      <w:szCs w:val="20"/>
      <w:lang w:val="en-US"/>
    </w:rPr>
  </w:style>
  <w:style w:type="character" w:customStyle="1" w:styleId="QuoteChar">
    <w:name w:val="Quote Char"/>
    <w:basedOn w:val="DefaultParagraphFont"/>
    <w:link w:val="Quote"/>
    <w:uiPriority w:val="29"/>
    <w:rsid w:val="00285B2A"/>
    <w:rPr>
      <w:rFonts w:ascii="Arial" w:eastAsia="Times New Roman" w:hAnsi="Arial" w:cs="Arial"/>
      <w:i/>
      <w:iCs/>
      <w:color w:val="000000" w:themeColor="text1"/>
      <w:sz w:val="20"/>
      <w:szCs w:val="20"/>
      <w:lang w:val="en-US"/>
    </w:rPr>
  </w:style>
  <w:style w:type="paragraph" w:styleId="Salutation">
    <w:name w:val="Salutation"/>
    <w:basedOn w:val="Normal"/>
    <w:next w:val="Normal"/>
    <w:link w:val="SalutationChar"/>
    <w:uiPriority w:val="99"/>
    <w:unhideWhenUsed/>
    <w:rsid w:val="00285B2A"/>
    <w:pPr>
      <w:spacing w:before="60" w:after="60" w:line="288" w:lineRule="auto"/>
    </w:pPr>
    <w:rPr>
      <w:rFonts w:ascii="Arial" w:eastAsia="Times New Roman" w:hAnsi="Arial" w:cs="Arial"/>
      <w:sz w:val="20"/>
      <w:szCs w:val="20"/>
      <w:lang w:val="en-US"/>
    </w:rPr>
  </w:style>
  <w:style w:type="character" w:customStyle="1" w:styleId="SalutationChar">
    <w:name w:val="Salutation Char"/>
    <w:basedOn w:val="DefaultParagraphFont"/>
    <w:link w:val="Salutation"/>
    <w:uiPriority w:val="99"/>
    <w:rsid w:val="00285B2A"/>
    <w:rPr>
      <w:rFonts w:ascii="Arial" w:eastAsia="Times New Roman" w:hAnsi="Arial" w:cs="Arial"/>
      <w:sz w:val="20"/>
      <w:szCs w:val="20"/>
      <w:lang w:val="en-US"/>
    </w:rPr>
  </w:style>
  <w:style w:type="paragraph" w:styleId="Signature">
    <w:name w:val="Signature"/>
    <w:basedOn w:val="Normal"/>
    <w:link w:val="SignatureChar"/>
    <w:uiPriority w:val="99"/>
    <w:unhideWhenUsed/>
    <w:rsid w:val="00285B2A"/>
    <w:pPr>
      <w:spacing w:before="60" w:after="0" w:line="288" w:lineRule="auto"/>
      <w:ind w:left="4320"/>
    </w:pPr>
    <w:rPr>
      <w:rFonts w:ascii="Arial" w:eastAsia="Times New Roman" w:hAnsi="Arial" w:cs="Arial"/>
      <w:sz w:val="20"/>
      <w:szCs w:val="20"/>
      <w:lang w:val="en-US"/>
    </w:rPr>
  </w:style>
  <w:style w:type="character" w:customStyle="1" w:styleId="SignatureChar">
    <w:name w:val="Signature Char"/>
    <w:basedOn w:val="DefaultParagraphFont"/>
    <w:link w:val="Signature"/>
    <w:uiPriority w:val="99"/>
    <w:rsid w:val="00285B2A"/>
    <w:rPr>
      <w:rFonts w:ascii="Arial" w:eastAsia="Times New Roman" w:hAnsi="Arial" w:cs="Arial"/>
      <w:sz w:val="20"/>
      <w:szCs w:val="20"/>
      <w:lang w:val="en-US"/>
    </w:rPr>
  </w:style>
  <w:style w:type="character" w:styleId="Strong">
    <w:name w:val="Strong"/>
    <w:basedOn w:val="DefaultParagraphFont"/>
    <w:uiPriority w:val="22"/>
    <w:unhideWhenUsed/>
    <w:qFormat/>
    <w:rsid w:val="00285B2A"/>
    <w:rPr>
      <w:b/>
      <w:bCs/>
    </w:rPr>
  </w:style>
  <w:style w:type="character" w:styleId="SubtleEmphasis">
    <w:name w:val="Subtle Emphasis"/>
    <w:basedOn w:val="DefaultParagraphFont"/>
    <w:uiPriority w:val="19"/>
    <w:unhideWhenUsed/>
    <w:qFormat/>
    <w:rsid w:val="00787CB6"/>
    <w:rPr>
      <w:i/>
      <w:iCs/>
      <w:color w:val="808080" w:themeColor="text1" w:themeTint="7F"/>
      <w:sz w:val="18"/>
    </w:rPr>
  </w:style>
  <w:style w:type="character" w:styleId="SubtleReference">
    <w:name w:val="Subtle Reference"/>
    <w:basedOn w:val="DefaultParagraphFont"/>
    <w:uiPriority w:val="31"/>
    <w:unhideWhenUsed/>
    <w:qFormat/>
    <w:rsid w:val="00285B2A"/>
    <w:rPr>
      <w:smallCaps/>
      <w:color w:val="A6A6A6" w:themeColor="accent2"/>
      <w:u w:val="single"/>
    </w:rPr>
  </w:style>
  <w:style w:type="paragraph" w:styleId="TableofAuthorities">
    <w:name w:val="table of authorities"/>
    <w:basedOn w:val="Normal"/>
    <w:next w:val="Normal"/>
    <w:uiPriority w:val="99"/>
    <w:unhideWhenUsed/>
    <w:rsid w:val="00285B2A"/>
    <w:pPr>
      <w:spacing w:before="60" w:after="0" w:line="288" w:lineRule="auto"/>
      <w:ind w:left="260" w:hanging="260"/>
    </w:pPr>
    <w:rPr>
      <w:rFonts w:ascii="Arial" w:eastAsia="Times New Roman" w:hAnsi="Arial" w:cs="Arial"/>
      <w:sz w:val="20"/>
      <w:szCs w:val="20"/>
      <w:lang w:val="en-US"/>
    </w:rPr>
  </w:style>
  <w:style w:type="paragraph" w:styleId="TableofFigures">
    <w:name w:val="table of figures"/>
    <w:basedOn w:val="Normal"/>
    <w:next w:val="Normal"/>
    <w:uiPriority w:val="99"/>
    <w:unhideWhenUsed/>
    <w:rsid w:val="00285B2A"/>
    <w:pPr>
      <w:spacing w:before="60" w:after="0" w:line="288" w:lineRule="auto"/>
    </w:pPr>
    <w:rPr>
      <w:rFonts w:ascii="Arial" w:eastAsia="Times New Roman" w:hAnsi="Arial" w:cs="Arial"/>
      <w:sz w:val="20"/>
      <w:szCs w:val="20"/>
      <w:lang w:val="en-US"/>
    </w:rPr>
  </w:style>
  <w:style w:type="paragraph" w:styleId="TOAHeading">
    <w:name w:val="toa heading"/>
    <w:basedOn w:val="Normal"/>
    <w:next w:val="Normal"/>
    <w:uiPriority w:val="99"/>
    <w:unhideWhenUsed/>
    <w:rsid w:val="00285B2A"/>
    <w:pPr>
      <w:spacing w:after="60" w:line="288" w:lineRule="auto"/>
    </w:pPr>
    <w:rPr>
      <w:rFonts w:asciiTheme="majorHAnsi" w:eastAsiaTheme="majorEastAsia" w:hAnsiTheme="majorHAnsi" w:cstheme="majorBidi"/>
      <w:b/>
      <w:bCs/>
      <w:sz w:val="24"/>
      <w:szCs w:val="24"/>
      <w:lang w:val="en-US"/>
    </w:rPr>
  </w:style>
  <w:style w:type="character" w:customStyle="1" w:styleId="22numberedparagraphChar">
    <w:name w:val="22 numbered paragraph Char"/>
    <w:basedOn w:val="DefaultParagraphFont"/>
    <w:link w:val="22numberedparagraph"/>
    <w:uiPriority w:val="11"/>
    <w:rsid w:val="00285B2A"/>
    <w:rPr>
      <w:rFonts w:ascii="Arial" w:eastAsia="Times New Roman" w:hAnsi="Arial" w:cs="Arial"/>
      <w:b/>
      <w:color w:val="002960"/>
      <w:sz w:val="24"/>
      <w:szCs w:val="20"/>
      <w:lang w:val="en-US"/>
    </w:rPr>
  </w:style>
  <w:style w:type="character" w:customStyle="1" w:styleId="TitlePageClientChar">
    <w:name w:val="Title Page_Client Char"/>
    <w:basedOn w:val="DefaultParagraphFont"/>
    <w:link w:val="TitlePageClient"/>
    <w:rsid w:val="00285B2A"/>
    <w:rPr>
      <w:rFonts w:ascii="Arial" w:eastAsia="Times New Roman" w:hAnsi="Arial" w:cs="Arial"/>
      <w:color w:val="000000"/>
      <w:sz w:val="28"/>
      <w:szCs w:val="20"/>
      <w:lang w:val="en-US"/>
    </w:rPr>
  </w:style>
  <w:style w:type="character" w:customStyle="1" w:styleId="TitlePageDocumentChar">
    <w:name w:val="Title Page_Document Char"/>
    <w:basedOn w:val="DefaultParagraphFont"/>
    <w:link w:val="TitlePageDocument"/>
    <w:rsid w:val="00285B2A"/>
    <w:rPr>
      <w:rFonts w:ascii="Arial" w:eastAsia="Times New Roman" w:hAnsi="Arial" w:cs="Arial"/>
      <w:color w:val="000000"/>
      <w:sz w:val="20"/>
      <w:szCs w:val="20"/>
      <w:lang w:val="en-US"/>
    </w:rPr>
  </w:style>
  <w:style w:type="paragraph" w:customStyle="1" w:styleId="TitlePageDisclaimer0">
    <w:name w:val="Title Page Disclaimer"/>
    <w:basedOn w:val="Normal"/>
    <w:link w:val="TitlePageDisclaimerChar"/>
    <w:rsid w:val="00285B2A"/>
    <w:pPr>
      <w:spacing w:after="0" w:line="240" w:lineRule="auto"/>
    </w:pPr>
    <w:rPr>
      <w:rFonts w:ascii="Arial" w:hAnsi="Arial"/>
      <w:color w:val="000000" w:themeColor="text1"/>
      <w:sz w:val="18"/>
      <w:lang w:val="en-US"/>
    </w:rPr>
  </w:style>
  <w:style w:type="character" w:customStyle="1" w:styleId="TitlePageDisclaimerChar">
    <w:name w:val="Title Page Disclaimer Char"/>
    <w:basedOn w:val="DefaultParagraphFont"/>
    <w:link w:val="TitlePageDisclaimer0"/>
    <w:rsid w:val="00285B2A"/>
    <w:rPr>
      <w:rFonts w:ascii="Arial" w:hAnsi="Arial"/>
      <w:color w:val="000000" w:themeColor="text1"/>
      <w:sz w:val="18"/>
      <w:lang w:val="en-US"/>
    </w:rPr>
  </w:style>
  <w:style w:type="character" w:customStyle="1" w:styleId="TitlePageTitleChar">
    <w:name w:val="Title Page_Title Char"/>
    <w:basedOn w:val="DefaultParagraphFont"/>
    <w:link w:val="TitlePageTitle"/>
    <w:rsid w:val="00285B2A"/>
    <w:rPr>
      <w:rFonts w:ascii="Arial" w:eastAsia="Times New Roman" w:hAnsi="Arial" w:cs="Arial"/>
      <w:color w:val="002960"/>
      <w:sz w:val="44"/>
      <w:szCs w:val="20"/>
      <w:lang w:val="en-US"/>
    </w:rPr>
  </w:style>
  <w:style w:type="paragraph" w:customStyle="1" w:styleId="ClauseLevel1">
    <w:name w:val="ClauseLevel1"/>
    <w:basedOn w:val="Normal"/>
    <w:rsid w:val="00285B2A"/>
    <w:pPr>
      <w:keepNext/>
      <w:numPr>
        <w:numId w:val="20"/>
      </w:numPr>
      <w:spacing w:before="240" w:after="60" w:line="240" w:lineRule="auto"/>
    </w:pPr>
    <w:rPr>
      <w:rFonts w:ascii="Arial" w:eastAsia="Times New Roman" w:hAnsi="Arial" w:cs="Arial"/>
      <w:b/>
      <w:bCs/>
      <w:color w:val="000080"/>
      <w:sz w:val="20"/>
      <w:szCs w:val="20"/>
      <w:lang w:eastAsia="en-AU"/>
    </w:rPr>
  </w:style>
  <w:style w:type="paragraph" w:customStyle="1" w:styleId="ClauseLevel2">
    <w:name w:val="ClauseLevel2"/>
    <w:basedOn w:val="Normal"/>
    <w:rsid w:val="00285B2A"/>
    <w:pPr>
      <w:keepNext/>
      <w:numPr>
        <w:ilvl w:val="1"/>
        <w:numId w:val="20"/>
      </w:numPr>
      <w:spacing w:after="60" w:line="240" w:lineRule="auto"/>
    </w:pPr>
    <w:rPr>
      <w:rFonts w:ascii="Arial" w:eastAsia="Times New Roman" w:hAnsi="Arial" w:cs="Arial"/>
      <w:b/>
      <w:bCs/>
      <w:sz w:val="20"/>
      <w:szCs w:val="20"/>
      <w:lang w:eastAsia="en-AU"/>
    </w:rPr>
  </w:style>
  <w:style w:type="character" w:customStyle="1" w:styleId="ClauseLevel3Char">
    <w:name w:val="ClauseLevel3 Char"/>
    <w:link w:val="ClauseLevel3"/>
    <w:rsid w:val="00285B2A"/>
    <w:rPr>
      <w:rFonts w:ascii="Arial" w:hAnsi="Arial" w:cstheme="minorHAnsi"/>
      <w:sz w:val="20"/>
      <w:szCs w:val="20"/>
    </w:rPr>
  </w:style>
  <w:style w:type="paragraph" w:customStyle="1" w:styleId="ClauseLevel3">
    <w:name w:val="ClauseLevel3"/>
    <w:basedOn w:val="Normal"/>
    <w:link w:val="ClauseLevel3Char"/>
    <w:rsid w:val="00285B2A"/>
    <w:pPr>
      <w:numPr>
        <w:ilvl w:val="2"/>
        <w:numId w:val="20"/>
      </w:numPr>
      <w:spacing w:after="60" w:line="240" w:lineRule="auto"/>
    </w:pPr>
    <w:rPr>
      <w:rFonts w:ascii="Arial" w:hAnsi="Arial"/>
      <w:sz w:val="20"/>
      <w:szCs w:val="20"/>
    </w:rPr>
  </w:style>
  <w:style w:type="paragraph" w:customStyle="1" w:styleId="ClauseLevel4">
    <w:name w:val="ClauseLevel4"/>
    <w:basedOn w:val="Normal"/>
    <w:rsid w:val="00285B2A"/>
    <w:pPr>
      <w:numPr>
        <w:ilvl w:val="4"/>
        <w:numId w:val="20"/>
      </w:numPr>
      <w:spacing w:after="60" w:line="240" w:lineRule="auto"/>
    </w:pPr>
    <w:rPr>
      <w:rFonts w:ascii="Arial" w:eastAsia="Times New Roman" w:hAnsi="Arial" w:cs="Arial"/>
      <w:sz w:val="20"/>
      <w:szCs w:val="20"/>
      <w:lang w:eastAsia="en-AU"/>
    </w:rPr>
  </w:style>
  <w:style w:type="paragraph" w:customStyle="1" w:styleId="ClauseLevel5">
    <w:name w:val="ClauseLevel5"/>
    <w:basedOn w:val="Normal"/>
    <w:rsid w:val="00285B2A"/>
    <w:pPr>
      <w:numPr>
        <w:ilvl w:val="5"/>
        <w:numId w:val="20"/>
      </w:numPr>
      <w:spacing w:after="60" w:line="240" w:lineRule="auto"/>
    </w:pPr>
    <w:rPr>
      <w:rFonts w:ascii="Arial" w:eastAsia="Times New Roman" w:hAnsi="Arial" w:cs="Arial"/>
      <w:sz w:val="20"/>
      <w:szCs w:val="20"/>
      <w:lang w:eastAsia="en-AU"/>
    </w:rPr>
  </w:style>
  <w:style w:type="paragraph" w:customStyle="1" w:styleId="ClauseNoFormat">
    <w:name w:val="ClauseNoFormat"/>
    <w:basedOn w:val="Normal"/>
    <w:rsid w:val="00285B2A"/>
    <w:pPr>
      <w:numPr>
        <w:ilvl w:val="3"/>
        <w:numId w:val="20"/>
      </w:numPr>
      <w:spacing w:after="60" w:line="240" w:lineRule="auto"/>
    </w:pPr>
    <w:rPr>
      <w:rFonts w:ascii="Arial" w:eastAsia="Times New Roman" w:hAnsi="Arial" w:cs="Arial"/>
      <w:sz w:val="20"/>
      <w:szCs w:val="20"/>
      <w:lang w:eastAsia="en-AU"/>
    </w:rPr>
  </w:style>
  <w:style w:type="paragraph" w:customStyle="1" w:styleId="ScheduleTitle">
    <w:name w:val="ScheduleTitle"/>
    <w:basedOn w:val="Normal"/>
    <w:rsid w:val="00285B2A"/>
    <w:pPr>
      <w:keepNext/>
      <w:pageBreakBefore/>
      <w:numPr>
        <w:ilvl w:val="6"/>
        <w:numId w:val="20"/>
      </w:numPr>
      <w:spacing w:after="0" w:line="240" w:lineRule="auto"/>
    </w:pPr>
    <w:rPr>
      <w:rFonts w:ascii="Arial" w:eastAsia="Times New Roman" w:hAnsi="Arial" w:cs="Arial"/>
      <w:b/>
      <w:bCs/>
      <w:color w:val="800000"/>
      <w:sz w:val="28"/>
      <w:szCs w:val="28"/>
      <w:lang w:eastAsia="en-AU"/>
    </w:rPr>
  </w:style>
  <w:style w:type="paragraph" w:customStyle="1" w:styleId="TableText">
    <w:name w:val="Table Text"/>
    <w:basedOn w:val="Normal"/>
    <w:next w:val="Normal"/>
    <w:rsid w:val="00285B2A"/>
    <w:pPr>
      <w:tabs>
        <w:tab w:val="left" w:pos="284"/>
        <w:tab w:val="left" w:pos="2835"/>
      </w:tabs>
      <w:spacing w:before="60" w:after="60" w:line="160" w:lineRule="atLeast"/>
      <w:ind w:left="851"/>
    </w:pPr>
    <w:rPr>
      <w:rFonts w:ascii="Times New Roman" w:eastAsia="Times New Roman" w:hAnsi="Times New Roman" w:cs="Times New Roman"/>
      <w:sz w:val="20"/>
      <w:szCs w:val="20"/>
    </w:rPr>
  </w:style>
  <w:style w:type="paragraph" w:customStyle="1" w:styleId="GuideNote">
    <w:name w:val="Guide Note"/>
    <w:link w:val="GuideNoteChar"/>
    <w:rsid w:val="00285B2A"/>
    <w:pPr>
      <w:spacing w:before="60" w:after="60" w:line="240" w:lineRule="auto"/>
      <w:ind w:left="1701"/>
    </w:pPr>
    <w:rPr>
      <w:rFonts w:ascii="Arial" w:eastAsia="Times New Roman" w:hAnsi="Arial" w:cs="Times New Roman"/>
      <w:b/>
      <w:caps/>
      <w:noProof/>
      <w:vanish/>
      <w:color w:val="FF0000"/>
      <w:sz w:val="16"/>
      <w:szCs w:val="20"/>
    </w:rPr>
  </w:style>
  <w:style w:type="character" w:customStyle="1" w:styleId="GuideNoteChar">
    <w:name w:val="Guide Note Char"/>
    <w:link w:val="GuideNote"/>
    <w:rsid w:val="00285B2A"/>
    <w:rPr>
      <w:rFonts w:ascii="Arial" w:eastAsia="Times New Roman" w:hAnsi="Arial" w:cs="Times New Roman"/>
      <w:b/>
      <w:caps/>
      <w:noProof/>
      <w:vanish/>
      <w:color w:val="FF0000"/>
      <w:sz w:val="16"/>
      <w:szCs w:val="20"/>
      <w:lang w:val="en-AU"/>
    </w:rPr>
  </w:style>
  <w:style w:type="paragraph" w:customStyle="1" w:styleId="Table">
    <w:name w:val="Table"/>
    <w:basedOn w:val="Normal"/>
    <w:rsid w:val="00285B2A"/>
    <w:pPr>
      <w:tabs>
        <w:tab w:val="left" w:pos="34"/>
      </w:tabs>
      <w:spacing w:before="40" w:after="40" w:line="240" w:lineRule="auto"/>
      <w:ind w:left="34"/>
    </w:pPr>
    <w:rPr>
      <w:rFonts w:ascii="Verdana" w:eastAsia="Times New Roman" w:hAnsi="Verdana" w:cs="Times New Roman"/>
      <w:sz w:val="20"/>
      <w:szCs w:val="20"/>
    </w:rPr>
  </w:style>
  <w:style w:type="paragraph" w:customStyle="1" w:styleId="Ten1">
    <w:name w:val="Ten1"/>
    <w:basedOn w:val="Normal"/>
    <w:rsid w:val="00285B2A"/>
    <w:pPr>
      <w:numPr>
        <w:numId w:val="23"/>
      </w:numPr>
      <w:spacing w:before="60" w:after="60" w:line="240" w:lineRule="auto"/>
    </w:pPr>
    <w:rPr>
      <w:rFonts w:ascii="Arial" w:eastAsia="Times New Roman" w:hAnsi="Arial" w:cs="Times New Roman"/>
      <w:sz w:val="18"/>
      <w:szCs w:val="20"/>
    </w:rPr>
  </w:style>
  <w:style w:type="paragraph" w:customStyle="1" w:styleId="Tendernumber">
    <w:name w:val="Tender number"/>
    <w:basedOn w:val="Normal"/>
    <w:qFormat/>
    <w:rsid w:val="00285B2A"/>
    <w:pPr>
      <w:numPr>
        <w:numId w:val="22"/>
      </w:numPr>
      <w:tabs>
        <w:tab w:val="clear" w:pos="720"/>
        <w:tab w:val="num" w:pos="360"/>
      </w:tabs>
      <w:spacing w:after="60" w:line="240" w:lineRule="auto"/>
      <w:ind w:left="357" w:hanging="357"/>
    </w:pPr>
    <w:rPr>
      <w:rFonts w:ascii="Arial Bold" w:eastAsia="Times New Roman" w:hAnsi="Arial Bold" w:cs="Arial"/>
      <w:b/>
      <w:noProof/>
      <w:sz w:val="20"/>
      <w:szCs w:val="20"/>
      <w:lang w:val="en-US"/>
    </w:rPr>
  </w:style>
  <w:style w:type="paragraph" w:customStyle="1" w:styleId="Tenderbullet">
    <w:name w:val="Tender bullet"/>
    <w:basedOn w:val="Normal"/>
    <w:uiPriority w:val="1"/>
    <w:qFormat/>
    <w:rsid w:val="00285B2A"/>
    <w:pPr>
      <w:numPr>
        <w:numId w:val="21"/>
      </w:numPr>
      <w:spacing w:after="0" w:line="240" w:lineRule="auto"/>
    </w:pPr>
    <w:rPr>
      <w:rFonts w:ascii="Arial" w:eastAsia="Times New Roman" w:hAnsi="Arial" w:cs="Arial"/>
      <w:sz w:val="20"/>
      <w:szCs w:val="20"/>
      <w:lang w:val="en-US"/>
    </w:rPr>
  </w:style>
  <w:style w:type="paragraph" w:customStyle="1" w:styleId="TitlePageTitle0">
    <w:name w:val="Title Page Title"/>
    <w:basedOn w:val="Normal"/>
    <w:rsid w:val="00285B2A"/>
    <w:pPr>
      <w:spacing w:after="200" w:line="240" w:lineRule="auto"/>
      <w:ind w:left="851"/>
      <w:jc w:val="center"/>
    </w:pPr>
    <w:rPr>
      <w:rFonts w:ascii="Arial" w:eastAsia="Times New Roman" w:hAnsi="Arial" w:cs="Times New Roman"/>
      <w:b/>
      <w:sz w:val="32"/>
      <w:szCs w:val="20"/>
    </w:rPr>
  </w:style>
  <w:style w:type="paragraph" w:customStyle="1" w:styleId="RFQPARTB">
    <w:name w:val="RFQ PART B"/>
    <w:basedOn w:val="Normal"/>
    <w:uiPriority w:val="2"/>
    <w:qFormat/>
    <w:rsid w:val="00285B2A"/>
    <w:pPr>
      <w:spacing w:before="60" w:after="60" w:line="288" w:lineRule="auto"/>
    </w:pPr>
    <w:rPr>
      <w:rFonts w:ascii="Arial" w:eastAsia="Times New Roman" w:hAnsi="Arial" w:cs="Arial"/>
      <w:b/>
      <w:sz w:val="40"/>
      <w:szCs w:val="40"/>
      <w:lang w:val="en-US"/>
    </w:rPr>
  </w:style>
  <w:style w:type="paragraph" w:customStyle="1" w:styleId="Bulletpara">
    <w:name w:val="Bullet para"/>
    <w:basedOn w:val="ListParagraph"/>
    <w:link w:val="BulletparaChar"/>
    <w:rsid w:val="00285B2A"/>
    <w:pPr>
      <w:numPr>
        <w:numId w:val="24"/>
      </w:numPr>
      <w:spacing w:before="0" w:after="40" w:line="276" w:lineRule="auto"/>
      <w:contextualSpacing w:val="0"/>
    </w:pPr>
    <w:rPr>
      <w:rFonts w:eastAsia="Arial"/>
      <w:iCs/>
      <w:sz w:val="22"/>
      <w:szCs w:val="22"/>
      <w:lang w:val="en-AU"/>
    </w:rPr>
  </w:style>
  <w:style w:type="character" w:customStyle="1" w:styleId="BulletparaChar">
    <w:name w:val="Bullet para Char"/>
    <w:link w:val="Bulletpara"/>
    <w:rsid w:val="00285B2A"/>
    <w:rPr>
      <w:rFonts w:ascii="Arial" w:eastAsia="Arial" w:hAnsi="Arial" w:cs="Arial"/>
      <w:iCs/>
    </w:rPr>
  </w:style>
  <w:style w:type="paragraph" w:customStyle="1" w:styleId="ResumeBullet">
    <w:name w:val="Resume Bullet"/>
    <w:rsid w:val="00285B2A"/>
    <w:pPr>
      <w:numPr>
        <w:numId w:val="25"/>
      </w:numPr>
      <w:spacing w:before="40" w:after="40" w:line="240" w:lineRule="auto"/>
    </w:pPr>
    <w:rPr>
      <w:rFonts w:ascii="Times New Roman" w:eastAsia="Times New Roman" w:hAnsi="Times New Roman" w:cs="Times New Roman"/>
      <w:bCs/>
      <w:color w:val="000000"/>
      <w:lang w:val="en-US"/>
    </w:rPr>
  </w:style>
  <w:style w:type="paragraph" w:customStyle="1" w:styleId="70exhtblnormal">
    <w:name w:val="70 exh tbl normal"/>
    <w:basedOn w:val="Normal"/>
    <w:rsid w:val="00285B2A"/>
    <w:pPr>
      <w:spacing w:before="60" w:after="60" w:line="240" w:lineRule="auto"/>
      <w:ind w:left="144" w:right="289"/>
    </w:pPr>
    <w:rPr>
      <w:rFonts w:ascii="Arial" w:eastAsia="Times New Roman" w:hAnsi="Arial" w:cs="Times New Roman"/>
      <w:sz w:val="24"/>
      <w:szCs w:val="20"/>
      <w:lang w:val="en-US"/>
    </w:rPr>
  </w:style>
  <w:style w:type="table" w:customStyle="1" w:styleId="TableGridLight1">
    <w:name w:val="Table Grid Light1"/>
    <w:basedOn w:val="TableNormal"/>
    <w:uiPriority w:val="40"/>
    <w:rsid w:val="00285B2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85B2A"/>
    <w:pPr>
      <w:spacing w:after="0" w:line="240" w:lineRule="auto"/>
    </w:pPr>
    <w:rPr>
      <w:rFonts w:ascii="Arial" w:eastAsia="Times New Roman" w:hAnsi="Arial" w:cs="Arial"/>
      <w:sz w:val="20"/>
      <w:szCs w:val="20"/>
      <w:lang w:val="en-US"/>
    </w:rPr>
  </w:style>
  <w:style w:type="table" w:customStyle="1" w:styleId="LightShading1">
    <w:name w:val="Light Shading1"/>
    <w:basedOn w:val="TableNormal"/>
    <w:next w:val="LightShading"/>
    <w:uiPriority w:val="60"/>
    <w:rsid w:val="00285B2A"/>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85B2A"/>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285B2A"/>
  </w:style>
  <w:style w:type="table" w:customStyle="1" w:styleId="TableGrid1">
    <w:name w:val="Table Grid1"/>
    <w:basedOn w:val="TableNormal"/>
    <w:next w:val="TableGrid"/>
    <w:uiPriority w:val="59"/>
    <w:rsid w:val="00285B2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285B2A"/>
    <w:pPr>
      <w:spacing w:before="80" w:after="80" w:line="260" w:lineRule="exact"/>
    </w:pPr>
    <w:rPr>
      <w:rFonts w:ascii="Calibri" w:eastAsia="Times New Roman" w:hAnsi="Calibri" w:cs="Times New Roman"/>
    </w:rPr>
  </w:style>
  <w:style w:type="paragraph" w:customStyle="1" w:styleId="Default">
    <w:name w:val="Default"/>
    <w:rsid w:val="00285B2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pple-converted-space">
    <w:name w:val="apple-converted-space"/>
    <w:basedOn w:val="DefaultParagraphFont"/>
    <w:rsid w:val="00285B2A"/>
  </w:style>
  <w:style w:type="table" w:customStyle="1" w:styleId="LightShading2">
    <w:name w:val="Light Shading2"/>
    <w:basedOn w:val="TableNormal"/>
    <w:next w:val="LightShading"/>
    <w:uiPriority w:val="60"/>
    <w:rsid w:val="00285B2A"/>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65">
    <w:name w:val="xl65"/>
    <w:basedOn w:val="Normal"/>
    <w:rsid w:val="00285B2A"/>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66">
    <w:name w:val="xl66"/>
    <w:basedOn w:val="Normal"/>
    <w:rsid w:val="00285B2A"/>
    <w:pPr>
      <w:spacing w:before="100" w:beforeAutospacing="1" w:after="100" w:afterAutospacing="1" w:line="240" w:lineRule="auto"/>
    </w:pPr>
    <w:rPr>
      <w:rFonts w:ascii="Times New Roman" w:eastAsia="Times New Roman" w:hAnsi="Times New Roman" w:cs="Times New Roman"/>
      <w:b/>
      <w:bCs/>
      <w:sz w:val="20"/>
      <w:szCs w:val="20"/>
      <w:lang w:eastAsia="en-AU"/>
    </w:rPr>
  </w:style>
  <w:style w:type="paragraph" w:customStyle="1" w:styleId="xl67">
    <w:name w:val="xl67"/>
    <w:basedOn w:val="Normal"/>
    <w:rsid w:val="00285B2A"/>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68">
    <w:name w:val="xl68"/>
    <w:basedOn w:val="Normal"/>
    <w:rsid w:val="00285B2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xl69">
    <w:name w:val="xl69"/>
    <w:basedOn w:val="Normal"/>
    <w:rsid w:val="00285B2A"/>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2">
    <w:name w:val="No List2"/>
    <w:next w:val="NoList"/>
    <w:uiPriority w:val="99"/>
    <w:semiHidden/>
    <w:unhideWhenUsed/>
    <w:rsid w:val="00285B2A"/>
  </w:style>
  <w:style w:type="table" w:customStyle="1" w:styleId="TableGrid2">
    <w:name w:val="Table Grid2"/>
    <w:basedOn w:val="TableNormal"/>
    <w:next w:val="TableGrid"/>
    <w:uiPriority w:val="59"/>
    <w:rsid w:val="00285B2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285B2A"/>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59"/>
    <w:rsid w:val="00285B2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rsid w:val="00285B2A"/>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Bullet">
    <w:name w:val="Body Bullet"/>
    <w:autoRedefine/>
    <w:rsid w:val="00285B2A"/>
    <w:pPr>
      <w:spacing w:after="0" w:line="240" w:lineRule="auto"/>
      <w:ind w:left="284" w:hanging="284"/>
    </w:pPr>
    <w:rPr>
      <w:rFonts w:ascii="Times New Roman" w:eastAsia="Arial Unicode MS" w:hAnsi="Times New Roman" w:cs="Times New Roman"/>
      <w:color w:val="000000"/>
      <w:sz w:val="26"/>
      <w:szCs w:val="26"/>
      <w:lang w:val="en-US"/>
    </w:rPr>
  </w:style>
  <w:style w:type="paragraph" w:customStyle="1" w:styleId="font8">
    <w:name w:val="font_8"/>
    <w:basedOn w:val="Normal"/>
    <w:rsid w:val="00285B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link w:val="ListParagraph"/>
    <w:uiPriority w:val="34"/>
    <w:locked/>
    <w:rsid w:val="00285B2A"/>
    <w:rPr>
      <w:rFonts w:ascii="Arial" w:eastAsia="Times New Roman" w:hAnsi="Arial" w:cs="Arial"/>
      <w:sz w:val="20"/>
      <w:szCs w:val="20"/>
      <w:lang w:val="en-US"/>
    </w:rPr>
  </w:style>
  <w:style w:type="paragraph" w:customStyle="1" w:styleId="MGI27Boxheader">
    <w:name w:val="MGI.27.Box header"/>
    <w:basedOn w:val="Normal"/>
    <w:next w:val="Normal"/>
    <w:rsid w:val="00285B2A"/>
    <w:pPr>
      <w:keepNext/>
      <w:keepLines/>
      <w:suppressAutoHyphens/>
      <w:spacing w:after="120" w:line="270" w:lineRule="exact"/>
    </w:pPr>
    <w:rPr>
      <w:rFonts w:ascii="Georgia" w:eastAsia="Batang" w:hAnsi="Georgia" w:cs="Arial"/>
      <w:b/>
      <w:color w:val="FF6600"/>
      <w:sz w:val="20"/>
      <w:szCs w:val="20"/>
      <w:lang w:val="en-US"/>
    </w:rPr>
  </w:style>
  <w:style w:type="character" w:customStyle="1" w:styleId="Mention1">
    <w:name w:val="Mention1"/>
    <w:basedOn w:val="DefaultParagraphFont"/>
    <w:uiPriority w:val="99"/>
    <w:semiHidden/>
    <w:unhideWhenUsed/>
    <w:rsid w:val="00D46B6C"/>
    <w:rPr>
      <w:color w:val="2B579A"/>
      <w:shd w:val="clear" w:color="auto" w:fill="E6E6E6"/>
    </w:rPr>
  </w:style>
  <w:style w:type="character" w:customStyle="1" w:styleId="UnresolvedMention">
    <w:name w:val="Unresolved Mention"/>
    <w:basedOn w:val="DefaultParagraphFont"/>
    <w:uiPriority w:val="99"/>
    <w:semiHidden/>
    <w:unhideWhenUsed/>
    <w:rsid w:val="005530E8"/>
    <w:rPr>
      <w:color w:val="605E5C"/>
      <w:shd w:val="clear" w:color="auto" w:fill="E1DFDD"/>
    </w:rPr>
  </w:style>
  <w:style w:type="character" w:customStyle="1" w:styleId="polytonic">
    <w:name w:val="polytonic"/>
    <w:basedOn w:val="DefaultParagraphFont"/>
    <w:uiPriority w:val="99"/>
    <w:semiHidden/>
    <w:locked/>
    <w:rsid w:val="00F90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5057">
      <w:bodyDiv w:val="1"/>
      <w:marLeft w:val="0"/>
      <w:marRight w:val="0"/>
      <w:marTop w:val="0"/>
      <w:marBottom w:val="0"/>
      <w:divBdr>
        <w:top w:val="none" w:sz="0" w:space="0" w:color="auto"/>
        <w:left w:val="none" w:sz="0" w:space="0" w:color="auto"/>
        <w:bottom w:val="none" w:sz="0" w:space="0" w:color="auto"/>
        <w:right w:val="none" w:sz="0" w:space="0" w:color="auto"/>
      </w:divBdr>
    </w:div>
    <w:div w:id="67188473">
      <w:bodyDiv w:val="1"/>
      <w:marLeft w:val="0"/>
      <w:marRight w:val="0"/>
      <w:marTop w:val="0"/>
      <w:marBottom w:val="0"/>
      <w:divBdr>
        <w:top w:val="none" w:sz="0" w:space="0" w:color="auto"/>
        <w:left w:val="none" w:sz="0" w:space="0" w:color="auto"/>
        <w:bottom w:val="none" w:sz="0" w:space="0" w:color="auto"/>
        <w:right w:val="none" w:sz="0" w:space="0" w:color="auto"/>
      </w:divBdr>
    </w:div>
    <w:div w:id="78335168">
      <w:bodyDiv w:val="1"/>
      <w:marLeft w:val="0"/>
      <w:marRight w:val="0"/>
      <w:marTop w:val="0"/>
      <w:marBottom w:val="0"/>
      <w:divBdr>
        <w:top w:val="none" w:sz="0" w:space="0" w:color="auto"/>
        <w:left w:val="none" w:sz="0" w:space="0" w:color="auto"/>
        <w:bottom w:val="none" w:sz="0" w:space="0" w:color="auto"/>
        <w:right w:val="none" w:sz="0" w:space="0" w:color="auto"/>
      </w:divBdr>
    </w:div>
    <w:div w:id="79180032">
      <w:bodyDiv w:val="1"/>
      <w:marLeft w:val="0"/>
      <w:marRight w:val="0"/>
      <w:marTop w:val="0"/>
      <w:marBottom w:val="0"/>
      <w:divBdr>
        <w:top w:val="none" w:sz="0" w:space="0" w:color="auto"/>
        <w:left w:val="none" w:sz="0" w:space="0" w:color="auto"/>
        <w:bottom w:val="none" w:sz="0" w:space="0" w:color="auto"/>
        <w:right w:val="none" w:sz="0" w:space="0" w:color="auto"/>
      </w:divBdr>
    </w:div>
    <w:div w:id="130249607">
      <w:bodyDiv w:val="1"/>
      <w:marLeft w:val="0"/>
      <w:marRight w:val="0"/>
      <w:marTop w:val="0"/>
      <w:marBottom w:val="0"/>
      <w:divBdr>
        <w:top w:val="none" w:sz="0" w:space="0" w:color="auto"/>
        <w:left w:val="none" w:sz="0" w:space="0" w:color="auto"/>
        <w:bottom w:val="none" w:sz="0" w:space="0" w:color="auto"/>
        <w:right w:val="none" w:sz="0" w:space="0" w:color="auto"/>
      </w:divBdr>
    </w:div>
    <w:div w:id="131412288">
      <w:bodyDiv w:val="1"/>
      <w:marLeft w:val="0"/>
      <w:marRight w:val="0"/>
      <w:marTop w:val="0"/>
      <w:marBottom w:val="0"/>
      <w:divBdr>
        <w:top w:val="none" w:sz="0" w:space="0" w:color="auto"/>
        <w:left w:val="none" w:sz="0" w:space="0" w:color="auto"/>
        <w:bottom w:val="none" w:sz="0" w:space="0" w:color="auto"/>
        <w:right w:val="none" w:sz="0" w:space="0" w:color="auto"/>
      </w:divBdr>
      <w:divsChild>
        <w:div w:id="2118333396">
          <w:marLeft w:val="0"/>
          <w:marRight w:val="0"/>
          <w:marTop w:val="0"/>
          <w:marBottom w:val="0"/>
          <w:divBdr>
            <w:top w:val="none" w:sz="0" w:space="0" w:color="auto"/>
            <w:left w:val="none" w:sz="0" w:space="0" w:color="auto"/>
            <w:bottom w:val="none" w:sz="0" w:space="0" w:color="auto"/>
            <w:right w:val="none" w:sz="0" w:space="0" w:color="auto"/>
          </w:divBdr>
          <w:divsChild>
            <w:div w:id="628971206">
              <w:marLeft w:val="0"/>
              <w:marRight w:val="0"/>
              <w:marTop w:val="0"/>
              <w:marBottom w:val="165"/>
              <w:divBdr>
                <w:top w:val="none" w:sz="0" w:space="0" w:color="auto"/>
                <w:left w:val="none" w:sz="0" w:space="0" w:color="auto"/>
                <w:bottom w:val="none" w:sz="0" w:space="0" w:color="auto"/>
                <w:right w:val="none" w:sz="0" w:space="0" w:color="auto"/>
              </w:divBdr>
            </w:div>
          </w:divsChild>
        </w:div>
        <w:div w:id="58788972">
          <w:marLeft w:val="0"/>
          <w:marRight w:val="0"/>
          <w:marTop w:val="165"/>
          <w:marBottom w:val="165"/>
          <w:divBdr>
            <w:top w:val="none" w:sz="0" w:space="0" w:color="auto"/>
            <w:left w:val="none" w:sz="0" w:space="0" w:color="auto"/>
            <w:bottom w:val="none" w:sz="0" w:space="0" w:color="auto"/>
            <w:right w:val="none" w:sz="0" w:space="0" w:color="auto"/>
          </w:divBdr>
          <w:divsChild>
            <w:div w:id="1369525607">
              <w:marLeft w:val="0"/>
              <w:marRight w:val="0"/>
              <w:marTop w:val="0"/>
              <w:marBottom w:val="0"/>
              <w:divBdr>
                <w:top w:val="none" w:sz="0" w:space="0" w:color="auto"/>
                <w:left w:val="none" w:sz="0" w:space="0" w:color="auto"/>
                <w:bottom w:val="none" w:sz="0" w:space="0" w:color="auto"/>
                <w:right w:val="none" w:sz="0" w:space="0" w:color="auto"/>
              </w:divBdr>
              <w:divsChild>
                <w:div w:id="17714655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9831326">
      <w:bodyDiv w:val="1"/>
      <w:marLeft w:val="0"/>
      <w:marRight w:val="0"/>
      <w:marTop w:val="0"/>
      <w:marBottom w:val="0"/>
      <w:divBdr>
        <w:top w:val="none" w:sz="0" w:space="0" w:color="auto"/>
        <w:left w:val="none" w:sz="0" w:space="0" w:color="auto"/>
        <w:bottom w:val="none" w:sz="0" w:space="0" w:color="auto"/>
        <w:right w:val="none" w:sz="0" w:space="0" w:color="auto"/>
      </w:divBdr>
    </w:div>
    <w:div w:id="157962833">
      <w:bodyDiv w:val="1"/>
      <w:marLeft w:val="0"/>
      <w:marRight w:val="0"/>
      <w:marTop w:val="0"/>
      <w:marBottom w:val="0"/>
      <w:divBdr>
        <w:top w:val="none" w:sz="0" w:space="0" w:color="auto"/>
        <w:left w:val="none" w:sz="0" w:space="0" w:color="auto"/>
        <w:bottom w:val="none" w:sz="0" w:space="0" w:color="auto"/>
        <w:right w:val="none" w:sz="0" w:space="0" w:color="auto"/>
      </w:divBdr>
    </w:div>
    <w:div w:id="183639480">
      <w:bodyDiv w:val="1"/>
      <w:marLeft w:val="0"/>
      <w:marRight w:val="0"/>
      <w:marTop w:val="0"/>
      <w:marBottom w:val="0"/>
      <w:divBdr>
        <w:top w:val="none" w:sz="0" w:space="0" w:color="auto"/>
        <w:left w:val="none" w:sz="0" w:space="0" w:color="auto"/>
        <w:bottom w:val="none" w:sz="0" w:space="0" w:color="auto"/>
        <w:right w:val="none" w:sz="0" w:space="0" w:color="auto"/>
      </w:divBdr>
    </w:div>
    <w:div w:id="197747312">
      <w:bodyDiv w:val="1"/>
      <w:marLeft w:val="0"/>
      <w:marRight w:val="0"/>
      <w:marTop w:val="0"/>
      <w:marBottom w:val="0"/>
      <w:divBdr>
        <w:top w:val="none" w:sz="0" w:space="0" w:color="auto"/>
        <w:left w:val="none" w:sz="0" w:space="0" w:color="auto"/>
        <w:bottom w:val="none" w:sz="0" w:space="0" w:color="auto"/>
        <w:right w:val="none" w:sz="0" w:space="0" w:color="auto"/>
      </w:divBdr>
    </w:div>
    <w:div w:id="208535872">
      <w:bodyDiv w:val="1"/>
      <w:marLeft w:val="0"/>
      <w:marRight w:val="0"/>
      <w:marTop w:val="0"/>
      <w:marBottom w:val="0"/>
      <w:divBdr>
        <w:top w:val="none" w:sz="0" w:space="0" w:color="auto"/>
        <w:left w:val="none" w:sz="0" w:space="0" w:color="auto"/>
        <w:bottom w:val="none" w:sz="0" w:space="0" w:color="auto"/>
        <w:right w:val="none" w:sz="0" w:space="0" w:color="auto"/>
      </w:divBdr>
    </w:div>
    <w:div w:id="232200401">
      <w:bodyDiv w:val="1"/>
      <w:marLeft w:val="0"/>
      <w:marRight w:val="0"/>
      <w:marTop w:val="0"/>
      <w:marBottom w:val="0"/>
      <w:divBdr>
        <w:top w:val="none" w:sz="0" w:space="0" w:color="auto"/>
        <w:left w:val="none" w:sz="0" w:space="0" w:color="auto"/>
        <w:bottom w:val="none" w:sz="0" w:space="0" w:color="auto"/>
        <w:right w:val="none" w:sz="0" w:space="0" w:color="auto"/>
      </w:divBdr>
    </w:div>
    <w:div w:id="244537335">
      <w:bodyDiv w:val="1"/>
      <w:marLeft w:val="0"/>
      <w:marRight w:val="0"/>
      <w:marTop w:val="0"/>
      <w:marBottom w:val="0"/>
      <w:divBdr>
        <w:top w:val="none" w:sz="0" w:space="0" w:color="auto"/>
        <w:left w:val="none" w:sz="0" w:space="0" w:color="auto"/>
        <w:bottom w:val="none" w:sz="0" w:space="0" w:color="auto"/>
        <w:right w:val="none" w:sz="0" w:space="0" w:color="auto"/>
      </w:divBdr>
    </w:div>
    <w:div w:id="275019784">
      <w:bodyDiv w:val="1"/>
      <w:marLeft w:val="0"/>
      <w:marRight w:val="0"/>
      <w:marTop w:val="0"/>
      <w:marBottom w:val="0"/>
      <w:divBdr>
        <w:top w:val="none" w:sz="0" w:space="0" w:color="auto"/>
        <w:left w:val="none" w:sz="0" w:space="0" w:color="auto"/>
        <w:bottom w:val="none" w:sz="0" w:space="0" w:color="auto"/>
        <w:right w:val="none" w:sz="0" w:space="0" w:color="auto"/>
      </w:divBdr>
    </w:div>
    <w:div w:id="327490118">
      <w:bodyDiv w:val="1"/>
      <w:marLeft w:val="0"/>
      <w:marRight w:val="0"/>
      <w:marTop w:val="0"/>
      <w:marBottom w:val="0"/>
      <w:divBdr>
        <w:top w:val="none" w:sz="0" w:space="0" w:color="auto"/>
        <w:left w:val="none" w:sz="0" w:space="0" w:color="auto"/>
        <w:bottom w:val="none" w:sz="0" w:space="0" w:color="auto"/>
        <w:right w:val="none" w:sz="0" w:space="0" w:color="auto"/>
      </w:divBdr>
    </w:div>
    <w:div w:id="338311815">
      <w:bodyDiv w:val="1"/>
      <w:marLeft w:val="0"/>
      <w:marRight w:val="0"/>
      <w:marTop w:val="0"/>
      <w:marBottom w:val="0"/>
      <w:divBdr>
        <w:top w:val="none" w:sz="0" w:space="0" w:color="auto"/>
        <w:left w:val="none" w:sz="0" w:space="0" w:color="auto"/>
        <w:bottom w:val="none" w:sz="0" w:space="0" w:color="auto"/>
        <w:right w:val="none" w:sz="0" w:space="0" w:color="auto"/>
      </w:divBdr>
    </w:div>
    <w:div w:id="340358890">
      <w:bodyDiv w:val="1"/>
      <w:marLeft w:val="0"/>
      <w:marRight w:val="0"/>
      <w:marTop w:val="0"/>
      <w:marBottom w:val="0"/>
      <w:divBdr>
        <w:top w:val="none" w:sz="0" w:space="0" w:color="auto"/>
        <w:left w:val="none" w:sz="0" w:space="0" w:color="auto"/>
        <w:bottom w:val="none" w:sz="0" w:space="0" w:color="auto"/>
        <w:right w:val="none" w:sz="0" w:space="0" w:color="auto"/>
      </w:divBdr>
    </w:div>
    <w:div w:id="347024674">
      <w:bodyDiv w:val="1"/>
      <w:marLeft w:val="0"/>
      <w:marRight w:val="0"/>
      <w:marTop w:val="0"/>
      <w:marBottom w:val="0"/>
      <w:divBdr>
        <w:top w:val="none" w:sz="0" w:space="0" w:color="auto"/>
        <w:left w:val="none" w:sz="0" w:space="0" w:color="auto"/>
        <w:bottom w:val="none" w:sz="0" w:space="0" w:color="auto"/>
        <w:right w:val="none" w:sz="0" w:space="0" w:color="auto"/>
      </w:divBdr>
    </w:div>
    <w:div w:id="372997605">
      <w:bodyDiv w:val="1"/>
      <w:marLeft w:val="0"/>
      <w:marRight w:val="0"/>
      <w:marTop w:val="0"/>
      <w:marBottom w:val="0"/>
      <w:divBdr>
        <w:top w:val="none" w:sz="0" w:space="0" w:color="auto"/>
        <w:left w:val="none" w:sz="0" w:space="0" w:color="auto"/>
        <w:bottom w:val="none" w:sz="0" w:space="0" w:color="auto"/>
        <w:right w:val="none" w:sz="0" w:space="0" w:color="auto"/>
      </w:divBdr>
    </w:div>
    <w:div w:id="378938018">
      <w:bodyDiv w:val="1"/>
      <w:marLeft w:val="0"/>
      <w:marRight w:val="0"/>
      <w:marTop w:val="0"/>
      <w:marBottom w:val="0"/>
      <w:divBdr>
        <w:top w:val="none" w:sz="0" w:space="0" w:color="auto"/>
        <w:left w:val="none" w:sz="0" w:space="0" w:color="auto"/>
        <w:bottom w:val="none" w:sz="0" w:space="0" w:color="auto"/>
        <w:right w:val="none" w:sz="0" w:space="0" w:color="auto"/>
      </w:divBdr>
    </w:div>
    <w:div w:id="398410334">
      <w:bodyDiv w:val="1"/>
      <w:marLeft w:val="0"/>
      <w:marRight w:val="0"/>
      <w:marTop w:val="0"/>
      <w:marBottom w:val="0"/>
      <w:divBdr>
        <w:top w:val="none" w:sz="0" w:space="0" w:color="auto"/>
        <w:left w:val="none" w:sz="0" w:space="0" w:color="auto"/>
        <w:bottom w:val="none" w:sz="0" w:space="0" w:color="auto"/>
        <w:right w:val="none" w:sz="0" w:space="0" w:color="auto"/>
      </w:divBdr>
    </w:div>
    <w:div w:id="453910412">
      <w:bodyDiv w:val="1"/>
      <w:marLeft w:val="0"/>
      <w:marRight w:val="0"/>
      <w:marTop w:val="0"/>
      <w:marBottom w:val="0"/>
      <w:divBdr>
        <w:top w:val="none" w:sz="0" w:space="0" w:color="auto"/>
        <w:left w:val="none" w:sz="0" w:space="0" w:color="auto"/>
        <w:bottom w:val="none" w:sz="0" w:space="0" w:color="auto"/>
        <w:right w:val="none" w:sz="0" w:space="0" w:color="auto"/>
      </w:divBdr>
    </w:div>
    <w:div w:id="454956482">
      <w:bodyDiv w:val="1"/>
      <w:marLeft w:val="0"/>
      <w:marRight w:val="0"/>
      <w:marTop w:val="0"/>
      <w:marBottom w:val="0"/>
      <w:divBdr>
        <w:top w:val="none" w:sz="0" w:space="0" w:color="auto"/>
        <w:left w:val="none" w:sz="0" w:space="0" w:color="auto"/>
        <w:bottom w:val="none" w:sz="0" w:space="0" w:color="auto"/>
        <w:right w:val="none" w:sz="0" w:space="0" w:color="auto"/>
      </w:divBdr>
    </w:div>
    <w:div w:id="475610430">
      <w:bodyDiv w:val="1"/>
      <w:marLeft w:val="0"/>
      <w:marRight w:val="0"/>
      <w:marTop w:val="0"/>
      <w:marBottom w:val="0"/>
      <w:divBdr>
        <w:top w:val="none" w:sz="0" w:space="0" w:color="auto"/>
        <w:left w:val="none" w:sz="0" w:space="0" w:color="auto"/>
        <w:bottom w:val="none" w:sz="0" w:space="0" w:color="auto"/>
        <w:right w:val="none" w:sz="0" w:space="0" w:color="auto"/>
      </w:divBdr>
    </w:div>
    <w:div w:id="500316259">
      <w:bodyDiv w:val="1"/>
      <w:marLeft w:val="0"/>
      <w:marRight w:val="0"/>
      <w:marTop w:val="0"/>
      <w:marBottom w:val="0"/>
      <w:divBdr>
        <w:top w:val="none" w:sz="0" w:space="0" w:color="auto"/>
        <w:left w:val="none" w:sz="0" w:space="0" w:color="auto"/>
        <w:bottom w:val="none" w:sz="0" w:space="0" w:color="auto"/>
        <w:right w:val="none" w:sz="0" w:space="0" w:color="auto"/>
      </w:divBdr>
    </w:div>
    <w:div w:id="527305110">
      <w:bodyDiv w:val="1"/>
      <w:marLeft w:val="0"/>
      <w:marRight w:val="0"/>
      <w:marTop w:val="0"/>
      <w:marBottom w:val="0"/>
      <w:divBdr>
        <w:top w:val="none" w:sz="0" w:space="0" w:color="auto"/>
        <w:left w:val="none" w:sz="0" w:space="0" w:color="auto"/>
        <w:bottom w:val="none" w:sz="0" w:space="0" w:color="auto"/>
        <w:right w:val="none" w:sz="0" w:space="0" w:color="auto"/>
      </w:divBdr>
    </w:div>
    <w:div w:id="530729052">
      <w:bodyDiv w:val="1"/>
      <w:marLeft w:val="0"/>
      <w:marRight w:val="0"/>
      <w:marTop w:val="0"/>
      <w:marBottom w:val="0"/>
      <w:divBdr>
        <w:top w:val="none" w:sz="0" w:space="0" w:color="auto"/>
        <w:left w:val="none" w:sz="0" w:space="0" w:color="auto"/>
        <w:bottom w:val="none" w:sz="0" w:space="0" w:color="auto"/>
        <w:right w:val="none" w:sz="0" w:space="0" w:color="auto"/>
      </w:divBdr>
    </w:div>
    <w:div w:id="573471774">
      <w:bodyDiv w:val="1"/>
      <w:marLeft w:val="0"/>
      <w:marRight w:val="0"/>
      <w:marTop w:val="0"/>
      <w:marBottom w:val="0"/>
      <w:divBdr>
        <w:top w:val="none" w:sz="0" w:space="0" w:color="auto"/>
        <w:left w:val="none" w:sz="0" w:space="0" w:color="auto"/>
        <w:bottom w:val="none" w:sz="0" w:space="0" w:color="auto"/>
        <w:right w:val="none" w:sz="0" w:space="0" w:color="auto"/>
      </w:divBdr>
    </w:div>
    <w:div w:id="577523309">
      <w:bodyDiv w:val="1"/>
      <w:marLeft w:val="0"/>
      <w:marRight w:val="0"/>
      <w:marTop w:val="0"/>
      <w:marBottom w:val="0"/>
      <w:divBdr>
        <w:top w:val="none" w:sz="0" w:space="0" w:color="auto"/>
        <w:left w:val="none" w:sz="0" w:space="0" w:color="auto"/>
        <w:bottom w:val="none" w:sz="0" w:space="0" w:color="auto"/>
        <w:right w:val="none" w:sz="0" w:space="0" w:color="auto"/>
      </w:divBdr>
    </w:div>
    <w:div w:id="616720976">
      <w:bodyDiv w:val="1"/>
      <w:marLeft w:val="0"/>
      <w:marRight w:val="0"/>
      <w:marTop w:val="0"/>
      <w:marBottom w:val="0"/>
      <w:divBdr>
        <w:top w:val="none" w:sz="0" w:space="0" w:color="auto"/>
        <w:left w:val="none" w:sz="0" w:space="0" w:color="auto"/>
        <w:bottom w:val="none" w:sz="0" w:space="0" w:color="auto"/>
        <w:right w:val="none" w:sz="0" w:space="0" w:color="auto"/>
      </w:divBdr>
    </w:div>
    <w:div w:id="645816525">
      <w:bodyDiv w:val="1"/>
      <w:marLeft w:val="0"/>
      <w:marRight w:val="0"/>
      <w:marTop w:val="0"/>
      <w:marBottom w:val="0"/>
      <w:divBdr>
        <w:top w:val="none" w:sz="0" w:space="0" w:color="auto"/>
        <w:left w:val="none" w:sz="0" w:space="0" w:color="auto"/>
        <w:bottom w:val="none" w:sz="0" w:space="0" w:color="auto"/>
        <w:right w:val="none" w:sz="0" w:space="0" w:color="auto"/>
      </w:divBdr>
    </w:div>
    <w:div w:id="654839860">
      <w:bodyDiv w:val="1"/>
      <w:marLeft w:val="0"/>
      <w:marRight w:val="0"/>
      <w:marTop w:val="0"/>
      <w:marBottom w:val="0"/>
      <w:divBdr>
        <w:top w:val="none" w:sz="0" w:space="0" w:color="auto"/>
        <w:left w:val="none" w:sz="0" w:space="0" w:color="auto"/>
        <w:bottom w:val="none" w:sz="0" w:space="0" w:color="auto"/>
        <w:right w:val="none" w:sz="0" w:space="0" w:color="auto"/>
      </w:divBdr>
    </w:div>
    <w:div w:id="654845313">
      <w:bodyDiv w:val="1"/>
      <w:marLeft w:val="0"/>
      <w:marRight w:val="0"/>
      <w:marTop w:val="0"/>
      <w:marBottom w:val="0"/>
      <w:divBdr>
        <w:top w:val="none" w:sz="0" w:space="0" w:color="auto"/>
        <w:left w:val="none" w:sz="0" w:space="0" w:color="auto"/>
        <w:bottom w:val="none" w:sz="0" w:space="0" w:color="auto"/>
        <w:right w:val="none" w:sz="0" w:space="0" w:color="auto"/>
      </w:divBdr>
    </w:div>
    <w:div w:id="660932870">
      <w:bodyDiv w:val="1"/>
      <w:marLeft w:val="0"/>
      <w:marRight w:val="0"/>
      <w:marTop w:val="0"/>
      <w:marBottom w:val="0"/>
      <w:divBdr>
        <w:top w:val="none" w:sz="0" w:space="0" w:color="auto"/>
        <w:left w:val="none" w:sz="0" w:space="0" w:color="auto"/>
        <w:bottom w:val="none" w:sz="0" w:space="0" w:color="auto"/>
        <w:right w:val="none" w:sz="0" w:space="0" w:color="auto"/>
      </w:divBdr>
    </w:div>
    <w:div w:id="670454793">
      <w:bodyDiv w:val="1"/>
      <w:marLeft w:val="0"/>
      <w:marRight w:val="0"/>
      <w:marTop w:val="0"/>
      <w:marBottom w:val="0"/>
      <w:divBdr>
        <w:top w:val="none" w:sz="0" w:space="0" w:color="auto"/>
        <w:left w:val="none" w:sz="0" w:space="0" w:color="auto"/>
        <w:bottom w:val="none" w:sz="0" w:space="0" w:color="auto"/>
        <w:right w:val="none" w:sz="0" w:space="0" w:color="auto"/>
      </w:divBdr>
    </w:div>
    <w:div w:id="676079921">
      <w:bodyDiv w:val="1"/>
      <w:marLeft w:val="0"/>
      <w:marRight w:val="0"/>
      <w:marTop w:val="0"/>
      <w:marBottom w:val="0"/>
      <w:divBdr>
        <w:top w:val="none" w:sz="0" w:space="0" w:color="auto"/>
        <w:left w:val="none" w:sz="0" w:space="0" w:color="auto"/>
        <w:bottom w:val="none" w:sz="0" w:space="0" w:color="auto"/>
        <w:right w:val="none" w:sz="0" w:space="0" w:color="auto"/>
      </w:divBdr>
    </w:div>
    <w:div w:id="688263613">
      <w:bodyDiv w:val="1"/>
      <w:marLeft w:val="0"/>
      <w:marRight w:val="0"/>
      <w:marTop w:val="0"/>
      <w:marBottom w:val="0"/>
      <w:divBdr>
        <w:top w:val="none" w:sz="0" w:space="0" w:color="auto"/>
        <w:left w:val="none" w:sz="0" w:space="0" w:color="auto"/>
        <w:bottom w:val="none" w:sz="0" w:space="0" w:color="auto"/>
        <w:right w:val="none" w:sz="0" w:space="0" w:color="auto"/>
      </w:divBdr>
    </w:div>
    <w:div w:id="704137324">
      <w:bodyDiv w:val="1"/>
      <w:marLeft w:val="0"/>
      <w:marRight w:val="0"/>
      <w:marTop w:val="0"/>
      <w:marBottom w:val="0"/>
      <w:divBdr>
        <w:top w:val="none" w:sz="0" w:space="0" w:color="auto"/>
        <w:left w:val="none" w:sz="0" w:space="0" w:color="auto"/>
        <w:bottom w:val="none" w:sz="0" w:space="0" w:color="auto"/>
        <w:right w:val="none" w:sz="0" w:space="0" w:color="auto"/>
      </w:divBdr>
    </w:div>
    <w:div w:id="704259129">
      <w:bodyDiv w:val="1"/>
      <w:marLeft w:val="0"/>
      <w:marRight w:val="0"/>
      <w:marTop w:val="0"/>
      <w:marBottom w:val="0"/>
      <w:divBdr>
        <w:top w:val="none" w:sz="0" w:space="0" w:color="auto"/>
        <w:left w:val="none" w:sz="0" w:space="0" w:color="auto"/>
        <w:bottom w:val="none" w:sz="0" w:space="0" w:color="auto"/>
        <w:right w:val="none" w:sz="0" w:space="0" w:color="auto"/>
      </w:divBdr>
    </w:div>
    <w:div w:id="713425345">
      <w:bodyDiv w:val="1"/>
      <w:marLeft w:val="0"/>
      <w:marRight w:val="0"/>
      <w:marTop w:val="0"/>
      <w:marBottom w:val="0"/>
      <w:divBdr>
        <w:top w:val="none" w:sz="0" w:space="0" w:color="auto"/>
        <w:left w:val="none" w:sz="0" w:space="0" w:color="auto"/>
        <w:bottom w:val="none" w:sz="0" w:space="0" w:color="auto"/>
        <w:right w:val="none" w:sz="0" w:space="0" w:color="auto"/>
      </w:divBdr>
      <w:divsChild>
        <w:div w:id="551624534">
          <w:marLeft w:val="0"/>
          <w:marRight w:val="0"/>
          <w:marTop w:val="0"/>
          <w:marBottom w:val="0"/>
          <w:divBdr>
            <w:top w:val="none" w:sz="0" w:space="0" w:color="auto"/>
            <w:left w:val="none" w:sz="0" w:space="0" w:color="auto"/>
            <w:bottom w:val="none" w:sz="0" w:space="0" w:color="auto"/>
            <w:right w:val="none" w:sz="0" w:space="0" w:color="auto"/>
          </w:divBdr>
        </w:div>
        <w:div w:id="631864183">
          <w:marLeft w:val="0"/>
          <w:marRight w:val="0"/>
          <w:marTop w:val="0"/>
          <w:marBottom w:val="0"/>
          <w:divBdr>
            <w:top w:val="none" w:sz="0" w:space="0" w:color="auto"/>
            <w:left w:val="none" w:sz="0" w:space="0" w:color="auto"/>
            <w:bottom w:val="none" w:sz="0" w:space="0" w:color="auto"/>
            <w:right w:val="none" w:sz="0" w:space="0" w:color="auto"/>
          </w:divBdr>
        </w:div>
      </w:divsChild>
    </w:div>
    <w:div w:id="729185112">
      <w:bodyDiv w:val="1"/>
      <w:marLeft w:val="0"/>
      <w:marRight w:val="0"/>
      <w:marTop w:val="0"/>
      <w:marBottom w:val="0"/>
      <w:divBdr>
        <w:top w:val="none" w:sz="0" w:space="0" w:color="auto"/>
        <w:left w:val="none" w:sz="0" w:space="0" w:color="auto"/>
        <w:bottom w:val="none" w:sz="0" w:space="0" w:color="auto"/>
        <w:right w:val="none" w:sz="0" w:space="0" w:color="auto"/>
      </w:divBdr>
    </w:div>
    <w:div w:id="748767081">
      <w:bodyDiv w:val="1"/>
      <w:marLeft w:val="0"/>
      <w:marRight w:val="0"/>
      <w:marTop w:val="0"/>
      <w:marBottom w:val="0"/>
      <w:divBdr>
        <w:top w:val="none" w:sz="0" w:space="0" w:color="auto"/>
        <w:left w:val="none" w:sz="0" w:space="0" w:color="auto"/>
        <w:bottom w:val="none" w:sz="0" w:space="0" w:color="auto"/>
        <w:right w:val="none" w:sz="0" w:space="0" w:color="auto"/>
      </w:divBdr>
    </w:div>
    <w:div w:id="825052013">
      <w:bodyDiv w:val="1"/>
      <w:marLeft w:val="0"/>
      <w:marRight w:val="0"/>
      <w:marTop w:val="0"/>
      <w:marBottom w:val="0"/>
      <w:divBdr>
        <w:top w:val="none" w:sz="0" w:space="0" w:color="auto"/>
        <w:left w:val="none" w:sz="0" w:space="0" w:color="auto"/>
        <w:bottom w:val="none" w:sz="0" w:space="0" w:color="auto"/>
        <w:right w:val="none" w:sz="0" w:space="0" w:color="auto"/>
      </w:divBdr>
    </w:div>
    <w:div w:id="844171056">
      <w:bodyDiv w:val="1"/>
      <w:marLeft w:val="0"/>
      <w:marRight w:val="0"/>
      <w:marTop w:val="0"/>
      <w:marBottom w:val="0"/>
      <w:divBdr>
        <w:top w:val="none" w:sz="0" w:space="0" w:color="auto"/>
        <w:left w:val="none" w:sz="0" w:space="0" w:color="auto"/>
        <w:bottom w:val="none" w:sz="0" w:space="0" w:color="auto"/>
        <w:right w:val="none" w:sz="0" w:space="0" w:color="auto"/>
      </w:divBdr>
    </w:div>
    <w:div w:id="902252721">
      <w:bodyDiv w:val="1"/>
      <w:marLeft w:val="0"/>
      <w:marRight w:val="0"/>
      <w:marTop w:val="0"/>
      <w:marBottom w:val="0"/>
      <w:divBdr>
        <w:top w:val="none" w:sz="0" w:space="0" w:color="auto"/>
        <w:left w:val="none" w:sz="0" w:space="0" w:color="auto"/>
        <w:bottom w:val="none" w:sz="0" w:space="0" w:color="auto"/>
        <w:right w:val="none" w:sz="0" w:space="0" w:color="auto"/>
      </w:divBdr>
    </w:div>
    <w:div w:id="931739918">
      <w:bodyDiv w:val="1"/>
      <w:marLeft w:val="0"/>
      <w:marRight w:val="0"/>
      <w:marTop w:val="0"/>
      <w:marBottom w:val="0"/>
      <w:divBdr>
        <w:top w:val="none" w:sz="0" w:space="0" w:color="auto"/>
        <w:left w:val="none" w:sz="0" w:space="0" w:color="auto"/>
        <w:bottom w:val="none" w:sz="0" w:space="0" w:color="auto"/>
        <w:right w:val="none" w:sz="0" w:space="0" w:color="auto"/>
      </w:divBdr>
    </w:div>
    <w:div w:id="956908100">
      <w:bodyDiv w:val="1"/>
      <w:marLeft w:val="0"/>
      <w:marRight w:val="0"/>
      <w:marTop w:val="0"/>
      <w:marBottom w:val="0"/>
      <w:divBdr>
        <w:top w:val="none" w:sz="0" w:space="0" w:color="auto"/>
        <w:left w:val="none" w:sz="0" w:space="0" w:color="auto"/>
        <w:bottom w:val="none" w:sz="0" w:space="0" w:color="auto"/>
        <w:right w:val="none" w:sz="0" w:space="0" w:color="auto"/>
      </w:divBdr>
    </w:div>
    <w:div w:id="994794102">
      <w:bodyDiv w:val="1"/>
      <w:marLeft w:val="0"/>
      <w:marRight w:val="0"/>
      <w:marTop w:val="0"/>
      <w:marBottom w:val="0"/>
      <w:divBdr>
        <w:top w:val="none" w:sz="0" w:space="0" w:color="auto"/>
        <w:left w:val="none" w:sz="0" w:space="0" w:color="auto"/>
        <w:bottom w:val="none" w:sz="0" w:space="0" w:color="auto"/>
        <w:right w:val="none" w:sz="0" w:space="0" w:color="auto"/>
      </w:divBdr>
    </w:div>
    <w:div w:id="1020428063">
      <w:bodyDiv w:val="1"/>
      <w:marLeft w:val="0"/>
      <w:marRight w:val="0"/>
      <w:marTop w:val="0"/>
      <w:marBottom w:val="0"/>
      <w:divBdr>
        <w:top w:val="none" w:sz="0" w:space="0" w:color="auto"/>
        <w:left w:val="none" w:sz="0" w:space="0" w:color="auto"/>
        <w:bottom w:val="none" w:sz="0" w:space="0" w:color="auto"/>
        <w:right w:val="none" w:sz="0" w:space="0" w:color="auto"/>
      </w:divBdr>
    </w:div>
    <w:div w:id="1033993310">
      <w:bodyDiv w:val="1"/>
      <w:marLeft w:val="0"/>
      <w:marRight w:val="0"/>
      <w:marTop w:val="0"/>
      <w:marBottom w:val="0"/>
      <w:divBdr>
        <w:top w:val="none" w:sz="0" w:space="0" w:color="auto"/>
        <w:left w:val="none" w:sz="0" w:space="0" w:color="auto"/>
        <w:bottom w:val="none" w:sz="0" w:space="0" w:color="auto"/>
        <w:right w:val="none" w:sz="0" w:space="0" w:color="auto"/>
      </w:divBdr>
    </w:div>
    <w:div w:id="1048379662">
      <w:bodyDiv w:val="1"/>
      <w:marLeft w:val="0"/>
      <w:marRight w:val="0"/>
      <w:marTop w:val="0"/>
      <w:marBottom w:val="0"/>
      <w:divBdr>
        <w:top w:val="none" w:sz="0" w:space="0" w:color="auto"/>
        <w:left w:val="none" w:sz="0" w:space="0" w:color="auto"/>
        <w:bottom w:val="none" w:sz="0" w:space="0" w:color="auto"/>
        <w:right w:val="none" w:sz="0" w:space="0" w:color="auto"/>
      </w:divBdr>
    </w:div>
    <w:div w:id="1067608748">
      <w:bodyDiv w:val="1"/>
      <w:marLeft w:val="0"/>
      <w:marRight w:val="0"/>
      <w:marTop w:val="0"/>
      <w:marBottom w:val="0"/>
      <w:divBdr>
        <w:top w:val="none" w:sz="0" w:space="0" w:color="auto"/>
        <w:left w:val="none" w:sz="0" w:space="0" w:color="auto"/>
        <w:bottom w:val="none" w:sz="0" w:space="0" w:color="auto"/>
        <w:right w:val="none" w:sz="0" w:space="0" w:color="auto"/>
      </w:divBdr>
    </w:div>
    <w:div w:id="1069575607">
      <w:bodyDiv w:val="1"/>
      <w:marLeft w:val="0"/>
      <w:marRight w:val="0"/>
      <w:marTop w:val="0"/>
      <w:marBottom w:val="0"/>
      <w:divBdr>
        <w:top w:val="none" w:sz="0" w:space="0" w:color="auto"/>
        <w:left w:val="none" w:sz="0" w:space="0" w:color="auto"/>
        <w:bottom w:val="none" w:sz="0" w:space="0" w:color="auto"/>
        <w:right w:val="none" w:sz="0" w:space="0" w:color="auto"/>
      </w:divBdr>
    </w:div>
    <w:div w:id="1074817100">
      <w:bodyDiv w:val="1"/>
      <w:marLeft w:val="0"/>
      <w:marRight w:val="0"/>
      <w:marTop w:val="0"/>
      <w:marBottom w:val="0"/>
      <w:divBdr>
        <w:top w:val="none" w:sz="0" w:space="0" w:color="auto"/>
        <w:left w:val="none" w:sz="0" w:space="0" w:color="auto"/>
        <w:bottom w:val="none" w:sz="0" w:space="0" w:color="auto"/>
        <w:right w:val="none" w:sz="0" w:space="0" w:color="auto"/>
      </w:divBdr>
    </w:div>
    <w:div w:id="1081685597">
      <w:bodyDiv w:val="1"/>
      <w:marLeft w:val="0"/>
      <w:marRight w:val="0"/>
      <w:marTop w:val="0"/>
      <w:marBottom w:val="0"/>
      <w:divBdr>
        <w:top w:val="none" w:sz="0" w:space="0" w:color="auto"/>
        <w:left w:val="none" w:sz="0" w:space="0" w:color="auto"/>
        <w:bottom w:val="none" w:sz="0" w:space="0" w:color="auto"/>
        <w:right w:val="none" w:sz="0" w:space="0" w:color="auto"/>
      </w:divBdr>
    </w:div>
    <w:div w:id="1083525124">
      <w:bodyDiv w:val="1"/>
      <w:marLeft w:val="0"/>
      <w:marRight w:val="0"/>
      <w:marTop w:val="0"/>
      <w:marBottom w:val="0"/>
      <w:divBdr>
        <w:top w:val="none" w:sz="0" w:space="0" w:color="auto"/>
        <w:left w:val="none" w:sz="0" w:space="0" w:color="auto"/>
        <w:bottom w:val="none" w:sz="0" w:space="0" w:color="auto"/>
        <w:right w:val="none" w:sz="0" w:space="0" w:color="auto"/>
      </w:divBdr>
    </w:div>
    <w:div w:id="1095398508">
      <w:bodyDiv w:val="1"/>
      <w:marLeft w:val="0"/>
      <w:marRight w:val="0"/>
      <w:marTop w:val="0"/>
      <w:marBottom w:val="0"/>
      <w:divBdr>
        <w:top w:val="none" w:sz="0" w:space="0" w:color="auto"/>
        <w:left w:val="none" w:sz="0" w:space="0" w:color="auto"/>
        <w:bottom w:val="none" w:sz="0" w:space="0" w:color="auto"/>
        <w:right w:val="none" w:sz="0" w:space="0" w:color="auto"/>
      </w:divBdr>
    </w:div>
    <w:div w:id="1106999434">
      <w:bodyDiv w:val="1"/>
      <w:marLeft w:val="0"/>
      <w:marRight w:val="0"/>
      <w:marTop w:val="0"/>
      <w:marBottom w:val="0"/>
      <w:divBdr>
        <w:top w:val="none" w:sz="0" w:space="0" w:color="auto"/>
        <w:left w:val="none" w:sz="0" w:space="0" w:color="auto"/>
        <w:bottom w:val="none" w:sz="0" w:space="0" w:color="auto"/>
        <w:right w:val="none" w:sz="0" w:space="0" w:color="auto"/>
      </w:divBdr>
    </w:div>
    <w:div w:id="1109933196">
      <w:bodyDiv w:val="1"/>
      <w:marLeft w:val="0"/>
      <w:marRight w:val="0"/>
      <w:marTop w:val="0"/>
      <w:marBottom w:val="0"/>
      <w:divBdr>
        <w:top w:val="none" w:sz="0" w:space="0" w:color="auto"/>
        <w:left w:val="none" w:sz="0" w:space="0" w:color="auto"/>
        <w:bottom w:val="none" w:sz="0" w:space="0" w:color="auto"/>
        <w:right w:val="none" w:sz="0" w:space="0" w:color="auto"/>
      </w:divBdr>
    </w:div>
    <w:div w:id="1115751081">
      <w:bodyDiv w:val="1"/>
      <w:marLeft w:val="0"/>
      <w:marRight w:val="0"/>
      <w:marTop w:val="0"/>
      <w:marBottom w:val="0"/>
      <w:divBdr>
        <w:top w:val="none" w:sz="0" w:space="0" w:color="auto"/>
        <w:left w:val="none" w:sz="0" w:space="0" w:color="auto"/>
        <w:bottom w:val="none" w:sz="0" w:space="0" w:color="auto"/>
        <w:right w:val="none" w:sz="0" w:space="0" w:color="auto"/>
      </w:divBdr>
    </w:div>
    <w:div w:id="1118723984">
      <w:bodyDiv w:val="1"/>
      <w:marLeft w:val="0"/>
      <w:marRight w:val="0"/>
      <w:marTop w:val="0"/>
      <w:marBottom w:val="0"/>
      <w:divBdr>
        <w:top w:val="none" w:sz="0" w:space="0" w:color="auto"/>
        <w:left w:val="none" w:sz="0" w:space="0" w:color="auto"/>
        <w:bottom w:val="none" w:sz="0" w:space="0" w:color="auto"/>
        <w:right w:val="none" w:sz="0" w:space="0" w:color="auto"/>
      </w:divBdr>
    </w:div>
    <w:div w:id="1128206475">
      <w:bodyDiv w:val="1"/>
      <w:marLeft w:val="0"/>
      <w:marRight w:val="0"/>
      <w:marTop w:val="0"/>
      <w:marBottom w:val="0"/>
      <w:divBdr>
        <w:top w:val="none" w:sz="0" w:space="0" w:color="auto"/>
        <w:left w:val="none" w:sz="0" w:space="0" w:color="auto"/>
        <w:bottom w:val="none" w:sz="0" w:space="0" w:color="auto"/>
        <w:right w:val="none" w:sz="0" w:space="0" w:color="auto"/>
      </w:divBdr>
    </w:div>
    <w:div w:id="1132675430">
      <w:bodyDiv w:val="1"/>
      <w:marLeft w:val="0"/>
      <w:marRight w:val="0"/>
      <w:marTop w:val="0"/>
      <w:marBottom w:val="0"/>
      <w:divBdr>
        <w:top w:val="none" w:sz="0" w:space="0" w:color="auto"/>
        <w:left w:val="none" w:sz="0" w:space="0" w:color="auto"/>
        <w:bottom w:val="none" w:sz="0" w:space="0" w:color="auto"/>
        <w:right w:val="none" w:sz="0" w:space="0" w:color="auto"/>
      </w:divBdr>
    </w:div>
    <w:div w:id="1136802575">
      <w:bodyDiv w:val="1"/>
      <w:marLeft w:val="0"/>
      <w:marRight w:val="0"/>
      <w:marTop w:val="0"/>
      <w:marBottom w:val="0"/>
      <w:divBdr>
        <w:top w:val="none" w:sz="0" w:space="0" w:color="auto"/>
        <w:left w:val="none" w:sz="0" w:space="0" w:color="auto"/>
        <w:bottom w:val="none" w:sz="0" w:space="0" w:color="auto"/>
        <w:right w:val="none" w:sz="0" w:space="0" w:color="auto"/>
      </w:divBdr>
    </w:div>
    <w:div w:id="1137845462">
      <w:bodyDiv w:val="1"/>
      <w:marLeft w:val="0"/>
      <w:marRight w:val="0"/>
      <w:marTop w:val="0"/>
      <w:marBottom w:val="0"/>
      <w:divBdr>
        <w:top w:val="none" w:sz="0" w:space="0" w:color="auto"/>
        <w:left w:val="none" w:sz="0" w:space="0" w:color="auto"/>
        <w:bottom w:val="none" w:sz="0" w:space="0" w:color="auto"/>
        <w:right w:val="none" w:sz="0" w:space="0" w:color="auto"/>
      </w:divBdr>
    </w:div>
    <w:div w:id="1150753597">
      <w:bodyDiv w:val="1"/>
      <w:marLeft w:val="0"/>
      <w:marRight w:val="0"/>
      <w:marTop w:val="0"/>
      <w:marBottom w:val="0"/>
      <w:divBdr>
        <w:top w:val="none" w:sz="0" w:space="0" w:color="auto"/>
        <w:left w:val="none" w:sz="0" w:space="0" w:color="auto"/>
        <w:bottom w:val="none" w:sz="0" w:space="0" w:color="auto"/>
        <w:right w:val="none" w:sz="0" w:space="0" w:color="auto"/>
      </w:divBdr>
    </w:div>
    <w:div w:id="1157960064">
      <w:bodyDiv w:val="1"/>
      <w:marLeft w:val="0"/>
      <w:marRight w:val="0"/>
      <w:marTop w:val="0"/>
      <w:marBottom w:val="0"/>
      <w:divBdr>
        <w:top w:val="none" w:sz="0" w:space="0" w:color="auto"/>
        <w:left w:val="none" w:sz="0" w:space="0" w:color="auto"/>
        <w:bottom w:val="none" w:sz="0" w:space="0" w:color="auto"/>
        <w:right w:val="none" w:sz="0" w:space="0" w:color="auto"/>
      </w:divBdr>
    </w:div>
    <w:div w:id="1172834112">
      <w:bodyDiv w:val="1"/>
      <w:marLeft w:val="0"/>
      <w:marRight w:val="0"/>
      <w:marTop w:val="0"/>
      <w:marBottom w:val="0"/>
      <w:divBdr>
        <w:top w:val="none" w:sz="0" w:space="0" w:color="auto"/>
        <w:left w:val="none" w:sz="0" w:space="0" w:color="auto"/>
        <w:bottom w:val="none" w:sz="0" w:space="0" w:color="auto"/>
        <w:right w:val="none" w:sz="0" w:space="0" w:color="auto"/>
      </w:divBdr>
    </w:div>
    <w:div w:id="1189368798">
      <w:bodyDiv w:val="1"/>
      <w:marLeft w:val="0"/>
      <w:marRight w:val="0"/>
      <w:marTop w:val="0"/>
      <w:marBottom w:val="0"/>
      <w:divBdr>
        <w:top w:val="none" w:sz="0" w:space="0" w:color="auto"/>
        <w:left w:val="none" w:sz="0" w:space="0" w:color="auto"/>
        <w:bottom w:val="none" w:sz="0" w:space="0" w:color="auto"/>
        <w:right w:val="none" w:sz="0" w:space="0" w:color="auto"/>
      </w:divBdr>
    </w:div>
    <w:div w:id="1206983232">
      <w:bodyDiv w:val="1"/>
      <w:marLeft w:val="0"/>
      <w:marRight w:val="0"/>
      <w:marTop w:val="0"/>
      <w:marBottom w:val="0"/>
      <w:divBdr>
        <w:top w:val="none" w:sz="0" w:space="0" w:color="auto"/>
        <w:left w:val="none" w:sz="0" w:space="0" w:color="auto"/>
        <w:bottom w:val="none" w:sz="0" w:space="0" w:color="auto"/>
        <w:right w:val="none" w:sz="0" w:space="0" w:color="auto"/>
      </w:divBdr>
      <w:divsChild>
        <w:div w:id="422117598">
          <w:marLeft w:val="0"/>
          <w:marRight w:val="0"/>
          <w:marTop w:val="0"/>
          <w:marBottom w:val="0"/>
          <w:divBdr>
            <w:top w:val="none" w:sz="0" w:space="0" w:color="auto"/>
            <w:left w:val="none" w:sz="0" w:space="0" w:color="auto"/>
            <w:bottom w:val="none" w:sz="0" w:space="0" w:color="auto"/>
            <w:right w:val="none" w:sz="0" w:space="0" w:color="auto"/>
          </w:divBdr>
        </w:div>
        <w:div w:id="447166355">
          <w:marLeft w:val="0"/>
          <w:marRight w:val="0"/>
          <w:marTop w:val="0"/>
          <w:marBottom w:val="0"/>
          <w:divBdr>
            <w:top w:val="none" w:sz="0" w:space="0" w:color="auto"/>
            <w:left w:val="none" w:sz="0" w:space="0" w:color="auto"/>
            <w:bottom w:val="none" w:sz="0" w:space="0" w:color="auto"/>
            <w:right w:val="none" w:sz="0" w:space="0" w:color="auto"/>
          </w:divBdr>
        </w:div>
      </w:divsChild>
    </w:div>
    <w:div w:id="1235048807">
      <w:bodyDiv w:val="1"/>
      <w:marLeft w:val="0"/>
      <w:marRight w:val="0"/>
      <w:marTop w:val="0"/>
      <w:marBottom w:val="0"/>
      <w:divBdr>
        <w:top w:val="none" w:sz="0" w:space="0" w:color="auto"/>
        <w:left w:val="none" w:sz="0" w:space="0" w:color="auto"/>
        <w:bottom w:val="none" w:sz="0" w:space="0" w:color="auto"/>
        <w:right w:val="none" w:sz="0" w:space="0" w:color="auto"/>
      </w:divBdr>
    </w:div>
    <w:div w:id="1258489595">
      <w:bodyDiv w:val="1"/>
      <w:marLeft w:val="0"/>
      <w:marRight w:val="0"/>
      <w:marTop w:val="0"/>
      <w:marBottom w:val="0"/>
      <w:divBdr>
        <w:top w:val="none" w:sz="0" w:space="0" w:color="auto"/>
        <w:left w:val="none" w:sz="0" w:space="0" w:color="auto"/>
        <w:bottom w:val="none" w:sz="0" w:space="0" w:color="auto"/>
        <w:right w:val="none" w:sz="0" w:space="0" w:color="auto"/>
      </w:divBdr>
    </w:div>
    <w:div w:id="1274509455">
      <w:bodyDiv w:val="1"/>
      <w:marLeft w:val="0"/>
      <w:marRight w:val="0"/>
      <w:marTop w:val="0"/>
      <w:marBottom w:val="0"/>
      <w:divBdr>
        <w:top w:val="none" w:sz="0" w:space="0" w:color="auto"/>
        <w:left w:val="none" w:sz="0" w:space="0" w:color="auto"/>
        <w:bottom w:val="none" w:sz="0" w:space="0" w:color="auto"/>
        <w:right w:val="none" w:sz="0" w:space="0" w:color="auto"/>
      </w:divBdr>
    </w:div>
    <w:div w:id="1275596402">
      <w:bodyDiv w:val="1"/>
      <w:marLeft w:val="0"/>
      <w:marRight w:val="0"/>
      <w:marTop w:val="0"/>
      <w:marBottom w:val="0"/>
      <w:divBdr>
        <w:top w:val="none" w:sz="0" w:space="0" w:color="auto"/>
        <w:left w:val="none" w:sz="0" w:space="0" w:color="auto"/>
        <w:bottom w:val="none" w:sz="0" w:space="0" w:color="auto"/>
        <w:right w:val="none" w:sz="0" w:space="0" w:color="auto"/>
      </w:divBdr>
    </w:div>
    <w:div w:id="1297955398">
      <w:bodyDiv w:val="1"/>
      <w:marLeft w:val="0"/>
      <w:marRight w:val="0"/>
      <w:marTop w:val="0"/>
      <w:marBottom w:val="0"/>
      <w:divBdr>
        <w:top w:val="none" w:sz="0" w:space="0" w:color="auto"/>
        <w:left w:val="none" w:sz="0" w:space="0" w:color="auto"/>
        <w:bottom w:val="none" w:sz="0" w:space="0" w:color="auto"/>
        <w:right w:val="none" w:sz="0" w:space="0" w:color="auto"/>
      </w:divBdr>
    </w:div>
    <w:div w:id="1301884078">
      <w:bodyDiv w:val="1"/>
      <w:marLeft w:val="0"/>
      <w:marRight w:val="0"/>
      <w:marTop w:val="0"/>
      <w:marBottom w:val="0"/>
      <w:divBdr>
        <w:top w:val="none" w:sz="0" w:space="0" w:color="auto"/>
        <w:left w:val="none" w:sz="0" w:space="0" w:color="auto"/>
        <w:bottom w:val="none" w:sz="0" w:space="0" w:color="auto"/>
        <w:right w:val="none" w:sz="0" w:space="0" w:color="auto"/>
      </w:divBdr>
    </w:div>
    <w:div w:id="1310087579">
      <w:bodyDiv w:val="1"/>
      <w:marLeft w:val="0"/>
      <w:marRight w:val="0"/>
      <w:marTop w:val="0"/>
      <w:marBottom w:val="0"/>
      <w:divBdr>
        <w:top w:val="none" w:sz="0" w:space="0" w:color="auto"/>
        <w:left w:val="none" w:sz="0" w:space="0" w:color="auto"/>
        <w:bottom w:val="none" w:sz="0" w:space="0" w:color="auto"/>
        <w:right w:val="none" w:sz="0" w:space="0" w:color="auto"/>
      </w:divBdr>
    </w:div>
    <w:div w:id="1343975331">
      <w:bodyDiv w:val="1"/>
      <w:marLeft w:val="0"/>
      <w:marRight w:val="0"/>
      <w:marTop w:val="0"/>
      <w:marBottom w:val="0"/>
      <w:divBdr>
        <w:top w:val="none" w:sz="0" w:space="0" w:color="auto"/>
        <w:left w:val="none" w:sz="0" w:space="0" w:color="auto"/>
        <w:bottom w:val="none" w:sz="0" w:space="0" w:color="auto"/>
        <w:right w:val="none" w:sz="0" w:space="0" w:color="auto"/>
      </w:divBdr>
    </w:div>
    <w:div w:id="1371567146">
      <w:bodyDiv w:val="1"/>
      <w:marLeft w:val="0"/>
      <w:marRight w:val="0"/>
      <w:marTop w:val="0"/>
      <w:marBottom w:val="0"/>
      <w:divBdr>
        <w:top w:val="none" w:sz="0" w:space="0" w:color="auto"/>
        <w:left w:val="none" w:sz="0" w:space="0" w:color="auto"/>
        <w:bottom w:val="none" w:sz="0" w:space="0" w:color="auto"/>
        <w:right w:val="none" w:sz="0" w:space="0" w:color="auto"/>
      </w:divBdr>
    </w:div>
    <w:div w:id="1373529734">
      <w:bodyDiv w:val="1"/>
      <w:marLeft w:val="0"/>
      <w:marRight w:val="0"/>
      <w:marTop w:val="0"/>
      <w:marBottom w:val="0"/>
      <w:divBdr>
        <w:top w:val="none" w:sz="0" w:space="0" w:color="auto"/>
        <w:left w:val="none" w:sz="0" w:space="0" w:color="auto"/>
        <w:bottom w:val="none" w:sz="0" w:space="0" w:color="auto"/>
        <w:right w:val="none" w:sz="0" w:space="0" w:color="auto"/>
      </w:divBdr>
    </w:div>
    <w:div w:id="1399278533">
      <w:bodyDiv w:val="1"/>
      <w:marLeft w:val="0"/>
      <w:marRight w:val="0"/>
      <w:marTop w:val="0"/>
      <w:marBottom w:val="0"/>
      <w:divBdr>
        <w:top w:val="none" w:sz="0" w:space="0" w:color="auto"/>
        <w:left w:val="none" w:sz="0" w:space="0" w:color="auto"/>
        <w:bottom w:val="none" w:sz="0" w:space="0" w:color="auto"/>
        <w:right w:val="none" w:sz="0" w:space="0" w:color="auto"/>
      </w:divBdr>
    </w:div>
    <w:div w:id="1400135999">
      <w:bodyDiv w:val="1"/>
      <w:marLeft w:val="0"/>
      <w:marRight w:val="0"/>
      <w:marTop w:val="0"/>
      <w:marBottom w:val="0"/>
      <w:divBdr>
        <w:top w:val="none" w:sz="0" w:space="0" w:color="auto"/>
        <w:left w:val="none" w:sz="0" w:space="0" w:color="auto"/>
        <w:bottom w:val="none" w:sz="0" w:space="0" w:color="auto"/>
        <w:right w:val="none" w:sz="0" w:space="0" w:color="auto"/>
      </w:divBdr>
    </w:div>
    <w:div w:id="1436754839">
      <w:bodyDiv w:val="1"/>
      <w:marLeft w:val="0"/>
      <w:marRight w:val="0"/>
      <w:marTop w:val="0"/>
      <w:marBottom w:val="0"/>
      <w:divBdr>
        <w:top w:val="none" w:sz="0" w:space="0" w:color="auto"/>
        <w:left w:val="none" w:sz="0" w:space="0" w:color="auto"/>
        <w:bottom w:val="none" w:sz="0" w:space="0" w:color="auto"/>
        <w:right w:val="none" w:sz="0" w:space="0" w:color="auto"/>
      </w:divBdr>
    </w:div>
    <w:div w:id="1460609804">
      <w:bodyDiv w:val="1"/>
      <w:marLeft w:val="0"/>
      <w:marRight w:val="0"/>
      <w:marTop w:val="0"/>
      <w:marBottom w:val="0"/>
      <w:divBdr>
        <w:top w:val="none" w:sz="0" w:space="0" w:color="auto"/>
        <w:left w:val="none" w:sz="0" w:space="0" w:color="auto"/>
        <w:bottom w:val="none" w:sz="0" w:space="0" w:color="auto"/>
        <w:right w:val="none" w:sz="0" w:space="0" w:color="auto"/>
      </w:divBdr>
    </w:div>
    <w:div w:id="1491290715">
      <w:bodyDiv w:val="1"/>
      <w:marLeft w:val="0"/>
      <w:marRight w:val="0"/>
      <w:marTop w:val="0"/>
      <w:marBottom w:val="0"/>
      <w:divBdr>
        <w:top w:val="none" w:sz="0" w:space="0" w:color="auto"/>
        <w:left w:val="none" w:sz="0" w:space="0" w:color="auto"/>
        <w:bottom w:val="none" w:sz="0" w:space="0" w:color="auto"/>
        <w:right w:val="none" w:sz="0" w:space="0" w:color="auto"/>
      </w:divBdr>
    </w:div>
    <w:div w:id="1491822515">
      <w:bodyDiv w:val="1"/>
      <w:marLeft w:val="0"/>
      <w:marRight w:val="0"/>
      <w:marTop w:val="0"/>
      <w:marBottom w:val="0"/>
      <w:divBdr>
        <w:top w:val="none" w:sz="0" w:space="0" w:color="auto"/>
        <w:left w:val="none" w:sz="0" w:space="0" w:color="auto"/>
        <w:bottom w:val="none" w:sz="0" w:space="0" w:color="auto"/>
        <w:right w:val="none" w:sz="0" w:space="0" w:color="auto"/>
      </w:divBdr>
    </w:div>
    <w:div w:id="1556966575">
      <w:bodyDiv w:val="1"/>
      <w:marLeft w:val="0"/>
      <w:marRight w:val="0"/>
      <w:marTop w:val="0"/>
      <w:marBottom w:val="0"/>
      <w:divBdr>
        <w:top w:val="none" w:sz="0" w:space="0" w:color="auto"/>
        <w:left w:val="none" w:sz="0" w:space="0" w:color="auto"/>
        <w:bottom w:val="none" w:sz="0" w:space="0" w:color="auto"/>
        <w:right w:val="none" w:sz="0" w:space="0" w:color="auto"/>
      </w:divBdr>
    </w:div>
    <w:div w:id="1576739277">
      <w:bodyDiv w:val="1"/>
      <w:marLeft w:val="0"/>
      <w:marRight w:val="0"/>
      <w:marTop w:val="0"/>
      <w:marBottom w:val="0"/>
      <w:divBdr>
        <w:top w:val="none" w:sz="0" w:space="0" w:color="auto"/>
        <w:left w:val="none" w:sz="0" w:space="0" w:color="auto"/>
        <w:bottom w:val="none" w:sz="0" w:space="0" w:color="auto"/>
        <w:right w:val="none" w:sz="0" w:space="0" w:color="auto"/>
      </w:divBdr>
    </w:div>
    <w:div w:id="1589193619">
      <w:bodyDiv w:val="1"/>
      <w:marLeft w:val="0"/>
      <w:marRight w:val="0"/>
      <w:marTop w:val="0"/>
      <w:marBottom w:val="0"/>
      <w:divBdr>
        <w:top w:val="none" w:sz="0" w:space="0" w:color="auto"/>
        <w:left w:val="none" w:sz="0" w:space="0" w:color="auto"/>
        <w:bottom w:val="none" w:sz="0" w:space="0" w:color="auto"/>
        <w:right w:val="none" w:sz="0" w:space="0" w:color="auto"/>
      </w:divBdr>
    </w:div>
    <w:div w:id="1593390885">
      <w:bodyDiv w:val="1"/>
      <w:marLeft w:val="0"/>
      <w:marRight w:val="0"/>
      <w:marTop w:val="0"/>
      <w:marBottom w:val="0"/>
      <w:divBdr>
        <w:top w:val="none" w:sz="0" w:space="0" w:color="auto"/>
        <w:left w:val="none" w:sz="0" w:space="0" w:color="auto"/>
        <w:bottom w:val="none" w:sz="0" w:space="0" w:color="auto"/>
        <w:right w:val="none" w:sz="0" w:space="0" w:color="auto"/>
      </w:divBdr>
    </w:div>
    <w:div w:id="1610965473">
      <w:bodyDiv w:val="1"/>
      <w:marLeft w:val="0"/>
      <w:marRight w:val="0"/>
      <w:marTop w:val="0"/>
      <w:marBottom w:val="0"/>
      <w:divBdr>
        <w:top w:val="none" w:sz="0" w:space="0" w:color="auto"/>
        <w:left w:val="none" w:sz="0" w:space="0" w:color="auto"/>
        <w:bottom w:val="none" w:sz="0" w:space="0" w:color="auto"/>
        <w:right w:val="none" w:sz="0" w:space="0" w:color="auto"/>
      </w:divBdr>
    </w:div>
    <w:div w:id="1628508477">
      <w:bodyDiv w:val="1"/>
      <w:marLeft w:val="0"/>
      <w:marRight w:val="0"/>
      <w:marTop w:val="0"/>
      <w:marBottom w:val="0"/>
      <w:divBdr>
        <w:top w:val="none" w:sz="0" w:space="0" w:color="auto"/>
        <w:left w:val="none" w:sz="0" w:space="0" w:color="auto"/>
        <w:bottom w:val="none" w:sz="0" w:space="0" w:color="auto"/>
        <w:right w:val="none" w:sz="0" w:space="0" w:color="auto"/>
      </w:divBdr>
    </w:div>
    <w:div w:id="1630472798">
      <w:bodyDiv w:val="1"/>
      <w:marLeft w:val="0"/>
      <w:marRight w:val="0"/>
      <w:marTop w:val="0"/>
      <w:marBottom w:val="0"/>
      <w:divBdr>
        <w:top w:val="none" w:sz="0" w:space="0" w:color="auto"/>
        <w:left w:val="none" w:sz="0" w:space="0" w:color="auto"/>
        <w:bottom w:val="none" w:sz="0" w:space="0" w:color="auto"/>
        <w:right w:val="none" w:sz="0" w:space="0" w:color="auto"/>
      </w:divBdr>
    </w:div>
    <w:div w:id="1653634812">
      <w:bodyDiv w:val="1"/>
      <w:marLeft w:val="0"/>
      <w:marRight w:val="0"/>
      <w:marTop w:val="0"/>
      <w:marBottom w:val="0"/>
      <w:divBdr>
        <w:top w:val="none" w:sz="0" w:space="0" w:color="auto"/>
        <w:left w:val="none" w:sz="0" w:space="0" w:color="auto"/>
        <w:bottom w:val="none" w:sz="0" w:space="0" w:color="auto"/>
        <w:right w:val="none" w:sz="0" w:space="0" w:color="auto"/>
      </w:divBdr>
    </w:div>
    <w:div w:id="1657799909">
      <w:bodyDiv w:val="1"/>
      <w:marLeft w:val="0"/>
      <w:marRight w:val="0"/>
      <w:marTop w:val="0"/>
      <w:marBottom w:val="0"/>
      <w:divBdr>
        <w:top w:val="none" w:sz="0" w:space="0" w:color="auto"/>
        <w:left w:val="none" w:sz="0" w:space="0" w:color="auto"/>
        <w:bottom w:val="none" w:sz="0" w:space="0" w:color="auto"/>
        <w:right w:val="none" w:sz="0" w:space="0" w:color="auto"/>
      </w:divBdr>
    </w:div>
    <w:div w:id="1704935861">
      <w:bodyDiv w:val="1"/>
      <w:marLeft w:val="0"/>
      <w:marRight w:val="0"/>
      <w:marTop w:val="0"/>
      <w:marBottom w:val="0"/>
      <w:divBdr>
        <w:top w:val="none" w:sz="0" w:space="0" w:color="auto"/>
        <w:left w:val="none" w:sz="0" w:space="0" w:color="auto"/>
        <w:bottom w:val="none" w:sz="0" w:space="0" w:color="auto"/>
        <w:right w:val="none" w:sz="0" w:space="0" w:color="auto"/>
      </w:divBdr>
    </w:div>
    <w:div w:id="1718891969">
      <w:bodyDiv w:val="1"/>
      <w:marLeft w:val="0"/>
      <w:marRight w:val="0"/>
      <w:marTop w:val="0"/>
      <w:marBottom w:val="0"/>
      <w:divBdr>
        <w:top w:val="none" w:sz="0" w:space="0" w:color="auto"/>
        <w:left w:val="none" w:sz="0" w:space="0" w:color="auto"/>
        <w:bottom w:val="none" w:sz="0" w:space="0" w:color="auto"/>
        <w:right w:val="none" w:sz="0" w:space="0" w:color="auto"/>
      </w:divBdr>
    </w:div>
    <w:div w:id="1806459780">
      <w:bodyDiv w:val="1"/>
      <w:marLeft w:val="0"/>
      <w:marRight w:val="0"/>
      <w:marTop w:val="0"/>
      <w:marBottom w:val="0"/>
      <w:divBdr>
        <w:top w:val="none" w:sz="0" w:space="0" w:color="auto"/>
        <w:left w:val="none" w:sz="0" w:space="0" w:color="auto"/>
        <w:bottom w:val="none" w:sz="0" w:space="0" w:color="auto"/>
        <w:right w:val="none" w:sz="0" w:space="0" w:color="auto"/>
      </w:divBdr>
    </w:div>
    <w:div w:id="1820614958">
      <w:bodyDiv w:val="1"/>
      <w:marLeft w:val="0"/>
      <w:marRight w:val="0"/>
      <w:marTop w:val="0"/>
      <w:marBottom w:val="0"/>
      <w:divBdr>
        <w:top w:val="none" w:sz="0" w:space="0" w:color="auto"/>
        <w:left w:val="none" w:sz="0" w:space="0" w:color="auto"/>
        <w:bottom w:val="none" w:sz="0" w:space="0" w:color="auto"/>
        <w:right w:val="none" w:sz="0" w:space="0" w:color="auto"/>
      </w:divBdr>
    </w:div>
    <w:div w:id="1848207321">
      <w:bodyDiv w:val="1"/>
      <w:marLeft w:val="0"/>
      <w:marRight w:val="0"/>
      <w:marTop w:val="0"/>
      <w:marBottom w:val="0"/>
      <w:divBdr>
        <w:top w:val="none" w:sz="0" w:space="0" w:color="auto"/>
        <w:left w:val="none" w:sz="0" w:space="0" w:color="auto"/>
        <w:bottom w:val="none" w:sz="0" w:space="0" w:color="auto"/>
        <w:right w:val="none" w:sz="0" w:space="0" w:color="auto"/>
      </w:divBdr>
    </w:div>
    <w:div w:id="1858956345">
      <w:bodyDiv w:val="1"/>
      <w:marLeft w:val="0"/>
      <w:marRight w:val="0"/>
      <w:marTop w:val="0"/>
      <w:marBottom w:val="0"/>
      <w:divBdr>
        <w:top w:val="none" w:sz="0" w:space="0" w:color="auto"/>
        <w:left w:val="none" w:sz="0" w:space="0" w:color="auto"/>
        <w:bottom w:val="none" w:sz="0" w:space="0" w:color="auto"/>
        <w:right w:val="none" w:sz="0" w:space="0" w:color="auto"/>
      </w:divBdr>
    </w:div>
    <w:div w:id="1881622113">
      <w:bodyDiv w:val="1"/>
      <w:marLeft w:val="0"/>
      <w:marRight w:val="0"/>
      <w:marTop w:val="0"/>
      <w:marBottom w:val="0"/>
      <w:divBdr>
        <w:top w:val="none" w:sz="0" w:space="0" w:color="auto"/>
        <w:left w:val="none" w:sz="0" w:space="0" w:color="auto"/>
        <w:bottom w:val="none" w:sz="0" w:space="0" w:color="auto"/>
        <w:right w:val="none" w:sz="0" w:space="0" w:color="auto"/>
      </w:divBdr>
    </w:div>
    <w:div w:id="1898660078">
      <w:bodyDiv w:val="1"/>
      <w:marLeft w:val="0"/>
      <w:marRight w:val="0"/>
      <w:marTop w:val="0"/>
      <w:marBottom w:val="0"/>
      <w:divBdr>
        <w:top w:val="none" w:sz="0" w:space="0" w:color="auto"/>
        <w:left w:val="none" w:sz="0" w:space="0" w:color="auto"/>
        <w:bottom w:val="none" w:sz="0" w:space="0" w:color="auto"/>
        <w:right w:val="none" w:sz="0" w:space="0" w:color="auto"/>
      </w:divBdr>
    </w:div>
    <w:div w:id="1926646954">
      <w:bodyDiv w:val="1"/>
      <w:marLeft w:val="0"/>
      <w:marRight w:val="0"/>
      <w:marTop w:val="0"/>
      <w:marBottom w:val="0"/>
      <w:divBdr>
        <w:top w:val="none" w:sz="0" w:space="0" w:color="auto"/>
        <w:left w:val="none" w:sz="0" w:space="0" w:color="auto"/>
        <w:bottom w:val="none" w:sz="0" w:space="0" w:color="auto"/>
        <w:right w:val="none" w:sz="0" w:space="0" w:color="auto"/>
      </w:divBdr>
    </w:div>
    <w:div w:id="1934781138">
      <w:bodyDiv w:val="1"/>
      <w:marLeft w:val="0"/>
      <w:marRight w:val="0"/>
      <w:marTop w:val="0"/>
      <w:marBottom w:val="0"/>
      <w:divBdr>
        <w:top w:val="none" w:sz="0" w:space="0" w:color="auto"/>
        <w:left w:val="none" w:sz="0" w:space="0" w:color="auto"/>
        <w:bottom w:val="none" w:sz="0" w:space="0" w:color="auto"/>
        <w:right w:val="none" w:sz="0" w:space="0" w:color="auto"/>
      </w:divBdr>
    </w:div>
    <w:div w:id="1942372102">
      <w:bodyDiv w:val="1"/>
      <w:marLeft w:val="0"/>
      <w:marRight w:val="0"/>
      <w:marTop w:val="0"/>
      <w:marBottom w:val="0"/>
      <w:divBdr>
        <w:top w:val="none" w:sz="0" w:space="0" w:color="auto"/>
        <w:left w:val="none" w:sz="0" w:space="0" w:color="auto"/>
        <w:bottom w:val="none" w:sz="0" w:space="0" w:color="auto"/>
        <w:right w:val="none" w:sz="0" w:space="0" w:color="auto"/>
      </w:divBdr>
    </w:div>
    <w:div w:id="1973557754">
      <w:bodyDiv w:val="1"/>
      <w:marLeft w:val="0"/>
      <w:marRight w:val="0"/>
      <w:marTop w:val="0"/>
      <w:marBottom w:val="0"/>
      <w:divBdr>
        <w:top w:val="none" w:sz="0" w:space="0" w:color="auto"/>
        <w:left w:val="none" w:sz="0" w:space="0" w:color="auto"/>
        <w:bottom w:val="none" w:sz="0" w:space="0" w:color="auto"/>
        <w:right w:val="none" w:sz="0" w:space="0" w:color="auto"/>
      </w:divBdr>
    </w:div>
    <w:div w:id="2005624087">
      <w:bodyDiv w:val="1"/>
      <w:marLeft w:val="0"/>
      <w:marRight w:val="0"/>
      <w:marTop w:val="0"/>
      <w:marBottom w:val="0"/>
      <w:divBdr>
        <w:top w:val="none" w:sz="0" w:space="0" w:color="auto"/>
        <w:left w:val="none" w:sz="0" w:space="0" w:color="auto"/>
        <w:bottom w:val="none" w:sz="0" w:space="0" w:color="auto"/>
        <w:right w:val="none" w:sz="0" w:space="0" w:color="auto"/>
      </w:divBdr>
    </w:div>
    <w:div w:id="2006516591">
      <w:bodyDiv w:val="1"/>
      <w:marLeft w:val="0"/>
      <w:marRight w:val="0"/>
      <w:marTop w:val="0"/>
      <w:marBottom w:val="0"/>
      <w:divBdr>
        <w:top w:val="none" w:sz="0" w:space="0" w:color="auto"/>
        <w:left w:val="none" w:sz="0" w:space="0" w:color="auto"/>
        <w:bottom w:val="none" w:sz="0" w:space="0" w:color="auto"/>
        <w:right w:val="none" w:sz="0" w:space="0" w:color="auto"/>
      </w:divBdr>
    </w:div>
    <w:div w:id="2007508849">
      <w:bodyDiv w:val="1"/>
      <w:marLeft w:val="0"/>
      <w:marRight w:val="0"/>
      <w:marTop w:val="0"/>
      <w:marBottom w:val="0"/>
      <w:divBdr>
        <w:top w:val="none" w:sz="0" w:space="0" w:color="auto"/>
        <w:left w:val="none" w:sz="0" w:space="0" w:color="auto"/>
        <w:bottom w:val="none" w:sz="0" w:space="0" w:color="auto"/>
        <w:right w:val="none" w:sz="0" w:space="0" w:color="auto"/>
      </w:divBdr>
    </w:div>
    <w:div w:id="2013756684">
      <w:bodyDiv w:val="1"/>
      <w:marLeft w:val="0"/>
      <w:marRight w:val="0"/>
      <w:marTop w:val="0"/>
      <w:marBottom w:val="0"/>
      <w:divBdr>
        <w:top w:val="none" w:sz="0" w:space="0" w:color="auto"/>
        <w:left w:val="none" w:sz="0" w:space="0" w:color="auto"/>
        <w:bottom w:val="none" w:sz="0" w:space="0" w:color="auto"/>
        <w:right w:val="none" w:sz="0" w:space="0" w:color="auto"/>
      </w:divBdr>
    </w:div>
    <w:div w:id="2030447507">
      <w:bodyDiv w:val="1"/>
      <w:marLeft w:val="0"/>
      <w:marRight w:val="0"/>
      <w:marTop w:val="0"/>
      <w:marBottom w:val="0"/>
      <w:divBdr>
        <w:top w:val="none" w:sz="0" w:space="0" w:color="auto"/>
        <w:left w:val="none" w:sz="0" w:space="0" w:color="auto"/>
        <w:bottom w:val="none" w:sz="0" w:space="0" w:color="auto"/>
        <w:right w:val="none" w:sz="0" w:space="0" w:color="auto"/>
      </w:divBdr>
    </w:div>
    <w:div w:id="2046832450">
      <w:bodyDiv w:val="1"/>
      <w:marLeft w:val="0"/>
      <w:marRight w:val="0"/>
      <w:marTop w:val="0"/>
      <w:marBottom w:val="0"/>
      <w:divBdr>
        <w:top w:val="none" w:sz="0" w:space="0" w:color="auto"/>
        <w:left w:val="none" w:sz="0" w:space="0" w:color="auto"/>
        <w:bottom w:val="none" w:sz="0" w:space="0" w:color="auto"/>
        <w:right w:val="none" w:sz="0" w:space="0" w:color="auto"/>
      </w:divBdr>
    </w:div>
    <w:div w:id="2065830334">
      <w:bodyDiv w:val="1"/>
      <w:marLeft w:val="0"/>
      <w:marRight w:val="0"/>
      <w:marTop w:val="0"/>
      <w:marBottom w:val="0"/>
      <w:divBdr>
        <w:top w:val="none" w:sz="0" w:space="0" w:color="auto"/>
        <w:left w:val="none" w:sz="0" w:space="0" w:color="auto"/>
        <w:bottom w:val="none" w:sz="0" w:space="0" w:color="auto"/>
        <w:right w:val="none" w:sz="0" w:space="0" w:color="auto"/>
      </w:divBdr>
    </w:div>
    <w:div w:id="213844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7.jpg"/></Relationships>
</file>

<file path=word/_rels/footnotes.xml.rels><?xml version="1.0" encoding="UTF-8" standalone="yes"?>
<Relationships xmlns="http://schemas.openxmlformats.org/package/2006/relationships"><Relationship Id="rId1" Type="http://schemas.openxmlformats.org/officeDocument/2006/relationships/hyperlink" Target="https://doi.org/10.1787/sti_scoreboard-2017-graph133-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stantin%20Matthies\Documents\Admin%20and%20Training\Templates\Verticals\160610%20Alphabeta%20Template%20KM%20v1.dotx" TargetMode="External"/></Relationships>
</file>

<file path=word/theme/theme1.xml><?xml version="1.0" encoding="utf-8"?>
<a:theme xmlns:a="http://schemas.openxmlformats.org/drawingml/2006/main" name="Office Theme">
  <a:themeElements>
    <a:clrScheme name="Custom 2">
      <a:dk1>
        <a:srgbClr val="000000"/>
      </a:dk1>
      <a:lt1>
        <a:srgbClr val="FFFFFF"/>
      </a:lt1>
      <a:dk2>
        <a:srgbClr val="002060"/>
      </a:dk2>
      <a:lt2>
        <a:srgbClr val="FF8600"/>
      </a:lt2>
      <a:accent1>
        <a:srgbClr val="D9D9D9"/>
      </a:accent1>
      <a:accent2>
        <a:srgbClr val="A6A6A6"/>
      </a:accent2>
      <a:accent3>
        <a:srgbClr val="7D9AAA"/>
      </a:accent3>
      <a:accent4>
        <a:srgbClr val="577586"/>
      </a:accent4>
      <a:accent5>
        <a:srgbClr val="4CB8C1"/>
      </a:accent5>
      <a:accent6>
        <a:srgbClr val="99DEF9"/>
      </a:accent6>
      <a:hlink>
        <a:srgbClr val="A6A6A6"/>
      </a:hlink>
      <a:folHlink>
        <a:srgbClr val="646464"/>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adb9bed2e36e4a93af574aeb444da63e xmlns="f7542fce-ffe0-493b-b9b7-89db4158a116">
      <Terms xmlns="http://schemas.microsoft.com/office/infopath/2007/PartnerControls">
        <TermInfo xmlns="http://schemas.microsoft.com/office/infopath/2007/PartnerControls">
          <TermName xmlns="http://schemas.microsoft.com/office/infopath/2007/PartnerControls">BIRDI</TermName>
          <TermId xmlns="http://schemas.microsoft.com/office/infopath/2007/PartnerControls">faf1c1e8-256d-4b24-a790-2136b30499c6</TermId>
        </TermInfo>
      </Terms>
    </adb9bed2e36e4a93af574aeb444da63e>
    <TaxCatchAll xmlns="f7542fce-ffe0-493b-b9b7-89db4158a116">
      <Value>53</Value>
      <Value>606</Value>
      <Value>151</Value>
      <Value>837</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Receipt</TermName>
          <TermId xmlns="http://schemas.microsoft.com/office/infopath/2007/PartnerControls">61febf28-7a1a-4cd0-bd7d-272a1bbf4400</TermId>
        </TermInfo>
      </Terms>
    </pe2555c81638466f9eb614edb9ecde52>
    <g7bcb40ba23249a78edca7d43a67c1c9 xmlns="f7542fce-ffe0-493b-b9b7-89db4158a116">
      <Terms xmlns="http://schemas.microsoft.com/office/infopath/2007/PartnerControls"/>
    </g7bcb40ba23249a78edca7d43a67c1c9>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6B53C6333D945B3F21B6564643F42" ma:contentTypeVersion="13" ma:contentTypeDescription="Create a new document." ma:contentTypeScope="" ma:versionID="2e3a60739c8e5816409dfb12baa6f25d">
  <xsd:schema xmlns:xsd="http://www.w3.org/2001/XMLSchema" xmlns:xs="http://www.w3.org/2001/XMLSchema" xmlns:p="http://schemas.microsoft.com/office/2006/metadata/properties" xmlns:ns1="http://schemas.microsoft.com/sharepoint/v3" xmlns:ns2="f7542fce-ffe0-493b-b9b7-89db4158a116" xmlns:ns3="ec396c6e-058f-4081-9b46-8acd17ff2be5" targetNamespace="http://schemas.microsoft.com/office/2006/metadata/properties" ma:root="true" ma:fieldsID="e42eb3a1a0d322e8a54780b8318bffe3" ns1:_="" ns2:_="" ns3:_="">
    <xsd:import namespace="http://schemas.microsoft.com/sharepoint/v3"/>
    <xsd:import namespace="f7542fce-ffe0-493b-b9b7-89db4158a116"/>
    <xsd:import namespace="ec396c6e-058f-4081-9b46-8acd17ff2be5"/>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d4cb2b9-def1-4341-a0c7-12b8b10a24e4}" ma:internalName="TaxCatchAll" ma:showField="CatchAllData" ma:web="ec396c6e-058f-4081-9b46-8acd17ff2be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d9c7a7c-5fef-4375-ad40-aaaae04e48da"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6c6e-058f-4081-9b46-8acd17ff2be5"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b:Source>
    <b:Tag>Har15</b:Tag>
    <b:SourceType>InternetSite</b:SourceType>
    <b:Guid>{09AA57DA-DD08-43FD-AB76-DE1405DB2B83}</b:Guid>
    <b:Author>
      <b:Author>
        <b:Corporate>Marine Software</b:Corporate>
        <b:NameList>
          <b:Person>
            <b:Last>Harrington</b:Last>
            <b:First>Peter</b:First>
          </b:Person>
        </b:NameList>
      </b:Author>
    </b:Author>
    <b:Title>3 Simple Steps to Boost Performance on Bing Ads in 2015</b:Title>
    <b:Year>2015</b:Year>
    <b:InternetSiteTitle>Marine Software</b:InternetSiteTitle>
    <b:Month>January</b:Month>
    <b:Day>14</b:Day>
    <b:URL>http://insights.marinsoftware.com/publishers/bing/3-simple-steps-to-boost-performance-on-bing-ads-in-2015/</b:URL>
    <b:RefOrder>2</b:RefOrder>
  </b:Source>
  <b:Source>
    <b:Tag>Cen16</b:Tag>
    <b:SourceType>InternetSite</b:SourceType>
    <b:Guid>{685F3C82-EA8C-4E33-88BC-C2EB0CC1A3F9}</b:Guid>
    <b:Author>
      <b:Author>
        <b:Corporate>Central Intelligence Agency</b:Corporate>
      </b:Author>
    </b:Author>
    <b:Title>CIA - The World Factbook</b:Title>
    <b:InternetSiteTitle>CIA - The World Factbook</b:InternetSiteTitle>
    <b:Year>2016</b:Year>
    <b:Month>June</b:Month>
    <b:Day>1</b:Day>
    <b:URL>https://www.cia.gov/library/publications/the-world-factbook/</b:URL>
    <b:RefOrder>1</b:RefOrder>
  </b:Source>
  <b:Source>
    <b:Tag>Int161</b:Tag>
    <b:SourceType>InternetSite</b:SourceType>
    <b:Guid>{F4FF6F95-A5E2-4F6D-BC49-7E870B395409}</b:Guid>
    <b:Author>
      <b:Author>
        <b:Corporate>International Labour Organization (ILO)</b:Corporate>
      </b:Author>
    </b:Author>
    <b:Title>Country Profiles</b:Title>
    <b:InternetSiteTitle>ILO.org</b:InternetSiteTitle>
    <b:Year>2016</b:Year>
    <b:Month>June</b:Month>
    <b:Day>1</b:Day>
    <b:URL>http://www.ilo.org/ilostat/faces/home/statisticaldata/ContryProfileId;jsessionid=0bByWMA_-4GKfeH6Fug07gbURMD8OkNKjgPJezLFzvlHonISxcZ6!237166015?_afrLoop=700907167578650&amp;_adf.ctrl-state=2cxveksll_158#%40%3F_afrLoop%3D700907167578650%26_adf.ctrl-state%3Dk2e</b:URL>
    <b:RefOrder>3</b:RefOrder>
  </b:Source>
  <b:Source>
    <b:Tag>Goo14</b:Tag>
    <b:SourceType>Report</b:SourceType>
    <b:Guid>{2D1C63EB-52F1-4C0E-B43F-FA3126110284}</b:Guid>
    <b:Author>
      <b:Author>
        <b:Corporate>Google</b:Corporate>
      </b:Author>
    </b:Author>
    <b:Title>Economic Impact United States 2014</b:Title>
    <b:Year>2014</b:Year>
    <b:Publisher>Google, Inc.</b:Publisher>
    <b:RefOrder>4</b:RefOrder>
  </b:Source>
  <b:Source>
    <b:Tag>The14</b:Tag>
    <b:SourceType>Report</b:SourceType>
    <b:Guid>{5844F0DB-D634-405E-8732-11EB45EDA8D2}</b:Guid>
    <b:Title>Email Statistics Report, 2014-2018</b:Title>
    <b:Year>2014</b:Year>
    <b:Author>
      <b:Author>
        <b:Corporate>The Radicati Group</b:Corporate>
      </b:Author>
    </b:Author>
    <b:Publisher>The Radicati Group, Inc.</b:Publisher>
    <b:RefOrder>5</b:RefOrder>
  </b:Source>
  <b:Source>
    <b:Tag>Goo15</b:Tag>
    <b:SourceType>Report</b:SourceType>
    <b:Guid>{10FB09A8-6A01-4922-80E1-D888824536B4}</b:Guid>
    <b:Author>
      <b:Author>
        <b:Corporate>Google Inc.</b:Corporate>
      </b:Author>
    </b:Author>
    <b:Title>Form 10-K for fiscal year ended December 31, 2015 Submission to US SEC.</b:Title>
    <b:Year>2015</b:Year>
    <b:RefOrder>6</b:RefOrder>
  </b:Source>
  <b:Source>
    <b:Tag>Goo163</b:Tag>
    <b:SourceType>InternetSite</b:SourceType>
    <b:Guid>{035313E9-5B79-44F8-8ECD-3E1FD5BA6866}</b:Guid>
    <b:Author>
      <b:Author>
        <b:Corporate>Google</b:Corporate>
      </b:Author>
    </b:Author>
    <b:Title>Google Display Benchmark Tool</b:Title>
    <b:InternetSiteTitle>Rich Media Galley</b:InternetSiteTitle>
    <b:Year>2016</b:Year>
    <b:Month>June</b:Month>
    <b:Day>1</b:Day>
    <b:URL>http://www.richmediagallery.com/tools/benchmarks</b:URL>
    <b:RefOrder>7</b:RefOrder>
  </b:Source>
  <b:Source>
    <b:Tag>Del15</b:Tag>
    <b:SourceType>Report</b:SourceType>
    <b:Guid>{1C847DCE-1E02-40D3-8B1E-5310C64705C8}</b:Guid>
    <b:Title>Google’s Economic Impact United Kingdom | 2014</b:Title>
    <b:Year>2015</b:Year>
    <b:Author>
      <b:Author>
        <b:Corporate>Deloitte</b:Corporate>
      </b:Author>
    </b:Author>
    <b:Publisher>Deloitte LLP</b:Publisher>
    <b:RefOrder>8</b:RefOrder>
  </b:Source>
  <b:Source>
    <b:Tag>Goo164</b:Tag>
    <b:SourceType>InternetSite</b:SourceType>
    <b:Guid>{0F758BE8-2B00-49FF-A479-B959F7035A7F}</b:Guid>
    <b:Author>
      <b:Author>
        <b:Corporate>Google</b:Corporate>
      </b:Author>
    </b:Author>
    <b:Title>How Google protects your data</b:Title>
    <b:InternetSiteTitle>Google Apps for Work</b:InternetSiteTitle>
    <b:Year>2016</b:Year>
    <b:Month>June</b:Month>
    <b:Day>1</b:Day>
    <b:URL>https://apps.google.com/learn-more/how_google_protects_your_data.html</b:URL>
    <b:RefOrder>9</b:RefOrder>
  </b:Source>
  <b:Source>
    <b:Tag>Kno16</b:Tag>
    <b:SourceType>InternetSite</b:SourceType>
    <b:Guid>{CFEE113B-6A30-4A3C-8384-C419C2082341}</b:Guid>
    <b:Author>
      <b:Author>
        <b:Corporate>Knoema</b:Corporate>
      </b:Author>
    </b:Author>
    <b:Title>Knoema - World Data Atlas - Demographics</b:Title>
    <b:InternetSiteTitle>Knoema</b:InternetSiteTitle>
    <b:Year>2016</b:Year>
    <b:Month>June</b:Month>
    <b:Day>1</b:Day>
    <b:URL>https://knoema.com/atlas/topics/Demographics</b:URL>
    <b:RefOrder>10</b:RefOrder>
  </b:Source>
  <b:Source>
    <b:Tag>Int16</b:Tag>
    <b:SourceType>InternetSite</b:SourceType>
    <b:Guid>{B296D15E-F139-4481-9DAB-DF479553FCB1}</b:Guid>
    <b:Author>
      <b:Author>
        <b:Corporate>Internet Live Stats</b:Corporate>
      </b:Author>
    </b:Author>
    <b:Title>Internet Live Stats</b:Title>
    <b:InternetSiteTitle>Internet Live Stats</b:InternetSiteTitle>
    <b:Year>2016</b:Year>
    <b:Month>June</b:Month>
    <b:Day>1</b:Day>
    <b:URL>http://www.internetlivestats.com/internet-users/</b:URL>
    <b:RefOrder>11</b:RefOrder>
  </b:Source>
  <b:Source>
    <b:Tag>Mar15</b:Tag>
    <b:SourceType>Report</b:SourceType>
    <b:Guid>{45F82104-C592-496F-A713-7D1FFC0C1277}</b:Guid>
    <b:Title>Mobile Advertising Around the Globe - 2015 Annual Report</b:Title>
    <b:Year>2015</b:Year>
    <b:Author>
      <b:Author>
        <b:Corporate>Marine Software</b:Corporate>
      </b:Author>
    </b:Author>
    <b:Publisher>Marine Software</b:Publisher>
    <b:RefOrder>12</b:RefOrder>
  </b:Source>
  <b:Source>
    <b:Tag>The161</b:Tag>
    <b:SourceType>InternetSite</b:SourceType>
    <b:Guid>{4A936717-4A06-47A2-83D4-7375804A0BE8}</b:Guid>
    <b:Author>
      <b:Author>
        <b:Corporate>The Organisation for Economic Co-operation and Development (OECD)</b:Corporate>
      </b:Author>
    </b:Author>
    <b:Title>OECD Home - Trade- Input-Output Tables</b:Title>
    <b:InternetSiteTitle>OECD.org</b:InternetSiteTitle>
    <b:Year>2016</b:Year>
    <b:Month>June</b:Month>
    <b:Day>1</b:Day>
    <b:URL>http://www.oecd.org/trade/input-outputtables.htm</b:URL>
    <b:RefOrder>13</b:RefOrder>
  </b:Source>
  <b:Source>
    <b:Tag>Sim16</b:Tag>
    <b:SourceType>InternetSite</b:SourceType>
    <b:Guid>{3FFCAD4C-B355-4102-A47C-4D855DC6E375}</b:Guid>
    <b:Author>
      <b:Author>
        <b:Corporate>SimilarWeb</b:Corporate>
      </b:Author>
    </b:Author>
    <b:Title>SimilarWeb PRO</b:Title>
    <b:InternetSiteTitle>SimilarWeb: Website Traffic &amp; Mobile App Analytics</b:InternetSiteTitle>
    <b:Year>2016</b:Year>
    <b:Month>June</b:Month>
    <b:Day>1</b:Day>
    <b:URL>https://www.similarweb.com/</b:URL>
    <b:RefOrder>14</b:RefOrder>
  </b:Source>
  <b:Source>
    <b:Tag>Sta161</b:Tag>
    <b:SourceType>InternetSite</b:SourceType>
    <b:Guid>{9538E6C5-7B16-43D3-BDA0-893A74E21070}</b:Guid>
    <b:Author>
      <b:Author>
        <b:Corporate>Statista</b:Corporate>
      </b:Author>
    </b:Author>
    <b:Title>Statista - Digital Markets</b:Title>
    <b:InternetSiteTitle>Statista - The Statistics Portal</b:InternetSiteTitle>
    <b:Year>2016</b:Year>
    <b:Month>June</b:Month>
    <b:Day>1</b:Day>
    <b:URL>http://www.statista.com/</b:URL>
    <b:RefOrder>15</b:RefOrder>
  </b:Source>
  <b:Source>
    <b:Tag>Sta162</b:Tag>
    <b:SourceType>InternetSite</b:SourceType>
    <b:Guid>{B05BC408-2DA1-4F4F-8217-224C1DC7283D}</b:Guid>
    <b:Author>
      <b:Author>
        <b:Corporate>StatsCounter</b:Corporate>
      </b:Author>
    </b:Author>
    <b:Title>StatsCounter Global Stats</b:Title>
    <b:InternetSiteTitle>StatsCounter Global Stats</b:InternetSiteTitle>
    <b:Year>2016</b:Year>
    <b:Month>June</b:Month>
    <b:Day>1</b:Day>
    <b:URL>http://gs.statcounter.com</b:URL>
    <b:RefOrder>16</b:RefOrder>
  </b:Source>
  <b:Source>
    <b:Tag>Mar151</b:Tag>
    <b:SourceType>Report</b:SourceType>
    <b:Guid>{58D76818-6A8A-464D-8CD5-3AC8C70B3006}</b:Guid>
    <b:Author>
      <b:Author>
        <b:Corporate>Marine Software</b:Corporate>
      </b:Author>
    </b:Author>
    <b:Title>The Q4 2014 Performance Marketer’s Benchmark Report: Vital Search, Social &amp; Display Performance Data by Device</b:Title>
    <b:Year>2015</b:Year>
    <b:Publisher>Marine Software</b:Publisher>
    <b:RefOrder>17</b:RefOrder>
  </b:Source>
  <b:Source>
    <b:Tag>For15</b:Tag>
    <b:SourceType>Report</b:SourceType>
    <b:Guid>{ED5EEAAB-09DD-4697-9F34-19677831D9D9}</b:Guid>
    <b:Author>
      <b:Author>
        <b:Corporate>Forrester Consulting</b:Corporate>
      </b:Author>
    </b:Author>
    <b:Title>The Total Economic Impact of Google Apps For Work</b:Title>
    <b:Year>2015</b:Year>
    <b:Publisher>Forrester Research, Inc.</b:Publisher>
    <b:RefOrder>18</b:RefOrder>
  </b:Source>
  <b:Source>
    <b:Tag>Soc16</b:Tag>
    <b:SourceType>InternetSite</b:SourceType>
    <b:Guid>{F1595E66-E663-4998-82EE-B5993BD69DE5}</b:Guid>
    <b:Author>
      <b:Author>
        <b:Corporate>Socialblade</b:Corporate>
      </b:Author>
    </b:Author>
    <b:Title>Top 100 YouTube Channels</b:Title>
    <b:InternetSiteTitle>Socialblade</b:InternetSiteTitle>
    <b:Year>2016</b:Year>
    <b:Month>June</b:Month>
    <b:Day>1</b:Day>
    <b:URL>http://socialblade.com/youtube/top/100/mostsubscribed</b:URL>
    <b:RefOrder>19</b:RefOrder>
  </b:Source>
  <b:Source>
    <b:Tag>eMa16</b:Tag>
    <b:SourceType>InternetSite</b:SourceType>
    <b:Guid>{A29E5D15-5AD8-4F5F-8DFA-8FFF6A8D75DB}</b:Guid>
    <b:Author>
      <b:Author>
        <b:Corporate>eMarketer</b:Corporate>
      </b:Author>
    </b:Author>
    <b:Title>Various Articles</b:Title>
    <b:InternetSiteTitle>eMarketer</b:InternetSiteTitle>
    <b:Year>2016</b:Year>
    <b:Month>June</b:Month>
    <b:Day>1</b:Day>
    <b:URL>www.emarketer.com</b:URL>
    <b:RefOrder>20</b:RefOrder>
  </b:Source>
  <b:Source>
    <b:Tag>Goo13</b:Tag>
    <b:SourceType>Report</b:SourceType>
    <b:Guid>{C305F4D0-FDBD-4F09-B14A-B5ABC2F6B41E}</b:Guid>
    <b:Title>What’s trending in display for publishers?</b:Title>
    <b:Year>2013</b:Year>
    <b:Author>
      <b:Author>
        <b:Corporate>Google DoubleClick</b:Corporate>
      </b:Author>
    </b:Author>
    <b:RefOrder>21</b:RefOrder>
  </b:Source>
  <b:Source>
    <b:Tag>Wor16</b:Tag>
    <b:SourceType>InternetSite</b:SourceType>
    <b:Guid>{FDA8AD83-D354-4270-80EE-28A1EF589C0A}</b:Guid>
    <b:Author>
      <b:Author>
        <b:Corporate>World Input-Output Database (WIOD)</b:Corporate>
      </b:Author>
    </b:Author>
    <b:Title>WIOD Home- Data - Input-Output Tables</b:Title>
    <b:InternetSiteTitle>WIOD.org</b:InternetSiteTitle>
    <b:Year>2016</b:Year>
    <b:Month>June</b:Month>
    <b:Day>1</b:Day>
    <b:URL>http://www.wiod.org/new_site/database/niots.htm</b:URL>
    <b:RefOrder>22</b:RefOrder>
  </b:Source>
  <b:Source>
    <b:Tag>The16</b:Tag>
    <b:SourceType>InternetSite</b:SourceType>
    <b:Guid>{4267A961-0B33-4BEE-86BD-51C0342C3C0B}</b:Guid>
    <b:Author>
      <b:Author>
        <b:Corporate>The World Bank</b:Corporate>
      </b:Author>
    </b:Author>
    <b:Title>World Development Indicators</b:Title>
    <b:InternetSiteTitle>Data - World Bank</b:InternetSiteTitle>
    <b:Year>2016</b:Year>
    <b:Month>June</b:Month>
    <b:Day>1</b:Day>
    <b:URL>http://data.worldbank.org/data-catalog/world-development-indicators</b:URL>
    <b:RefOrder>23</b:RefOrder>
  </b:Source>
  <b:Source>
    <b:Tag>XRa16</b:Tag>
    <b:SourceType>InternetSite</b:SourceType>
    <b:Guid>{03829DF7-2431-48F6-93F5-D108A9271ECF}</b:Guid>
    <b:Author>
      <b:Author>
        <b:Corporate>X-Rates</b:Corporate>
      </b:Author>
    </b:Author>
    <b:Title>X-Rates Historical Look Up</b:Title>
    <b:InternetSiteTitle>X-Rates</b:InternetSiteTitle>
    <b:Year>2016</b:Year>
    <b:Month>June</b:Month>
    <b:Day>1</b:Day>
    <b:URL>http://www.x-rates.com/historical/</b:URL>
    <b:RefOrder>24</b:RefOrder>
  </b:Source>
  <b:Source>
    <b:Tag>Wha16</b:Tag>
    <b:SourceType>InternetSite</b:SourceType>
    <b:Guid>{92D1B344-3BF7-4BBF-9A66-4AE7D1CF4E1C}</b:Guid>
    <b:Author>
      <b:Author>
        <b:Corporate>What's Advertising CEO</b:Corporate>
      </b:Author>
    </b:Author>
    <b:Title>YOUTUBE CPM BY COUNTRIES</b:Title>
    <b:InternetSiteTitle>What's Advertising</b:InternetSiteTitle>
    <b:Year>2016</b:Year>
    <b:Month>June</b:Month>
    <b:Day>1</b:Day>
    <b:URL>http://whatadvertising.blogspot.sg/2015/04/youtube-cpm-by-countries.html</b:URL>
    <b:RefOrder>25</b:RefOrder>
  </b:Source>
  <b:Source>
    <b:Tag>Che14</b:Tag>
    <b:SourceType>JournalArticle</b:SourceType>
    <b:Guid>{3671CE84-60E1-4F9D-AF63-0D51619704DB}</b:Guid>
    <b:Title>A day without a search engine: an experimental study of online and offline searches</b:Title>
    <b:JournalName>Experimental Economics</b:JournalName>
    <b:Year>2014</b:Year>
    <b:Pages>Vol 17, Issue 4, pp 512-536</b:Pages>
    <b:Author>
      <b:Author>
        <b:NameList>
          <b:Person>
            <b:Last>Chen</b:Last>
            <b:First>Yan</b:First>
          </b:Person>
          <b:Person>
            <b:Last>YoungJoo Jeon</b:Last>
            <b:First>Grace</b:First>
          </b:Person>
          <b:Person>
            <b:Last>Kim</b:Last>
            <b:First>Yong-Mi</b:First>
          </b:Person>
        </b:NameList>
      </b:Author>
    </b:Author>
    <b:RefOrder>26</b:RefOrder>
  </b:Source>
  <b:Source>
    <b:Tag>Gra12</b:Tag>
    <b:SourceType>ConferenceProceedings</b:SourceType>
    <b:Guid>{01FEDBA4-C9DA-4FDF-B41E-A54D4A7A7742}</b:Guid>
    <b:Title>Beyond Google Search Press Play for Display Video and Social</b:Title>
    <b:Year>2012</b:Year>
    <b:City>Edinburgh</b:City>
    <b:Author>
      <b:Author>
        <b:NameList>
          <b:Person>
            <b:Last>Gray</b:Last>
            <b:First>Danny</b:First>
          </b:Person>
        </b:NameList>
      </b:Author>
    </b:Author>
    <b:RefOrder>27</b:RefOrder>
  </b:Source>
  <b:Source>
    <b:Tag>Gup15</b:Tag>
    <b:SourceType>JournalArticle</b:SourceType>
    <b:Guid>{3528231F-AE43-432C-BD67-5068D765F93B}</b:Guid>
    <b:Title>Do display ads influence search? Attribution and dynamics in online advertising</b:Title>
    <b:Year>2015</b:Year>
    <b:JournalName>International Journal of Research in Marketing</b:JournalName>
    <b:Author>
      <b:Author>
        <b:NameList>
          <b:Person>
            <b:Last>Gupta</b:Last>
            <b:First>Sunil</b:First>
          </b:Person>
          <b:Person>
            <b:Last>Pauwels</b:Last>
            <b:First>Koen</b:First>
          </b:Person>
          <b:Person>
            <b:Last>Kireyev</b:Last>
            <b:First>Pavel</b:First>
          </b:Person>
        </b:NameList>
      </b:Author>
    </b:Author>
    <b:RefOrder>28</b:RefOrder>
  </b:Source>
  <b:Source>
    <b:Tag>Irv15</b:Tag>
    <b:SourceType>InternetSite</b:SourceType>
    <b:Guid>{DCA3B94E-8FCC-4BA2-8F5E-E5D10AD36E9D}</b:Guid>
    <b:Title>Average Cost per Click by Country: Where in the World Are the Highest CPCs?</b:Title>
    <b:InternetSiteTitle>WordStream</b:InternetSiteTitle>
    <b:Year>2015</b:Year>
    <b:Month>September</b:Month>
    <b:Day>3</b:Day>
    <b:URL>http://www.wordstream.com/blog/ws/2015/07/06/average-cost-per-click</b:URL>
    <b:Author>
      <b:Author>
        <b:NameList>
          <b:Person>
            <b:Last>Irvine</b:Last>
            <b:First>Mark</b:First>
          </b:Person>
        </b:NameList>
      </b:Author>
    </b:Author>
    <b:RefOrder>29</b:RefOrder>
  </b:Source>
  <b:Source>
    <b:Tag>Jan09</b:Tag>
    <b:SourceType>JournalArticle</b:SourceType>
    <b:Guid>{999837F6-3B2B-4998-B8E6-DA0DBE419C39}</b:Guid>
    <b:Title>Investigating customer click through behaviour with integrated sponsored and nonsponsored results</b:Title>
    <b:JournalName>International Journal of Internet Marketing and Advertising</b:JournalName>
    <b:Year>2009</b:Year>
    <b:Pages>Vol. 5, No. 1-2, pp. 74-94</b:Pages>
    <b:Author>
      <b:Author>
        <b:NameList>
          <b:Person>
            <b:Last>Jansen</b:Last>
            <b:Middle>J.</b:Middle>
            <b:First>Bernard</b:First>
          </b:Person>
          <b:Person>
            <b:Last>Spink</b:Last>
            <b:First>Amanda</b:First>
          </b:Person>
        </b:NameList>
      </b:Author>
    </b:Author>
    <b:RefOrder>30</b:RefOrder>
  </b:Source>
  <b:Source>
    <b:Tag>Lar15</b:Tag>
    <b:SourceType>InternetSite</b:SourceType>
    <b:Guid>{BA0BE752-8E92-456C-9C6A-61D2E83DF9F9}</b:Guid>
    <b:Title>Gmail Now Has 900M Active Users, 75% On Mobile</b:Title>
    <b:Year>2015</b:Year>
    <b:Author>
      <b:Author>
        <b:NameList>
          <b:Person>
            <b:Last>Lardinois</b:Last>
            <b:First>Frederic</b:First>
          </b:Person>
        </b:NameList>
      </b:Author>
    </b:Author>
    <b:InternetSiteTitle>Techcrunch</b:InternetSiteTitle>
    <b:Month>May</b:Month>
    <b:Day>28</b:Day>
    <b:URL>https://techcrunch.com/2015/05/28/gmail-now-has-900m-active-users-75-on-mobile/?ncid=rss</b:URL>
    <b:RefOrder>31</b:RefOrder>
  </b:Source>
  <b:Source>
    <b:Tag>Lun15</b:Tag>
    <b:SourceType>InternetSite</b:SourceType>
    <b:Guid>{06849597-A3EB-4548-88A4-34AAA1EB9DA5}</b:Guid>
    <b:Title>Google Apps For Work Passes 2M Paid Businesses, Now Vets And Recommends 3rd-Party Apps</b:Title>
    <b:InternetSiteTitle>TechCrunch</b:InternetSiteTitle>
    <b:Year>2015</b:Year>
    <b:Month>November</b:Month>
    <b:Day>3</b:Day>
    <b:URL>https://techcrunch.com/2015/11/03/google-apps-for-work-expands/</b:URL>
    <b:Author>
      <b:Author>
        <b:NameList>
          <b:Person>
            <b:Last>Lunden</b:Last>
            <b:First>Ingrid</b:First>
          </b:Person>
        </b:NameList>
      </b:Author>
    </b:Author>
    <b:RefOrder>32</b:RefOrder>
  </b:Source>
  <b:Source>
    <b:Tag>Var12</b:Tag>
    <b:SourceType>ConferenceProceedings</b:SourceType>
    <b:Guid>{04716892-2A81-47B2-94E7-393C64F3FC0F}</b:Guid>
    <b:Title>Economic Value of Google</b:Title>
    <b:Year>2011</b:Year>
    <b:Publisher>Google, Inc.</b:Publisher>
    <b:Author>
      <b:Author>
        <b:NameList>
          <b:Person>
            <b:Last>Varian</b:Last>
            <b:First>Hal</b:First>
          </b:Person>
        </b:NameList>
      </b:Author>
    </b:Author>
    <b:RefOrder>33</b:RefOrder>
  </b:Source>
  <b:Source>
    <b:Tag>Var09</b:Tag>
    <b:SourceType>JournalArticle</b:SourceType>
    <b:Guid>{68D40234-6317-4A52-B8E7-F2D3D48FC8DA}</b:Guid>
    <b:Title>Online Ad Auctions</b:Title>
    <b:JournalName>The American Economic Review</b:JournalName>
    <b:Year>2009</b:Year>
    <b:Pages>Vol. 99, No. 2, pp. 430-434</b:Pages>
    <b:Author>
      <b:Author>
        <b:NameList>
          <b:Person>
            <b:Last>Varian</b:Last>
            <b:Middle>R</b:Middle>
            <b:First>Hal</b:First>
          </b:Person>
        </b:NameList>
      </b:Author>
    </b:Author>
    <b:RefOrder>34</b:RefOrder>
  </b:Source>
  <b:Source>
    <b:Tag>Yan13</b:Tag>
    <b:SourceType>JournalArticle</b:SourceType>
    <b:Guid>{A618BFAB-9AC2-46EA-A9FB-9153177902C3}</b:Guid>
    <b:Title>Framing Influences Willingness to Pay but Not Willingness to Accept</b:Title>
    <b:Year>2013</b:Year>
    <b:JournalName>Journal of Marketing Research</b:JournalName>
    <b:Pages> Vol. 50, No. 6, pp. 725-738.</b:Pages>
    <b:Author>
      <b:Author>
        <b:NameList>
          <b:Person>
            <b:Last>Yang</b:Last>
            <b:First>Yang</b:First>
          </b:Person>
          <b:Person>
            <b:Last>Vosgerau</b:Last>
            <b:First>Joachim</b:First>
          </b:Person>
          <b:Person>
            <b:Last>Loewenstein</b:Last>
            <b:First>George</b:First>
          </b:Person>
        </b:NameList>
      </b:Author>
    </b:Author>
    <b:RefOrder>35</b:RefOrder>
  </b:Source>
  <b:Source>
    <b:Tag>Wom16</b:Tag>
    <b:SourceType>InternetSite</b:SourceType>
    <b:Guid>{38438B59-5B61-4E43-A23A-CCBF9B8CA115}</b:Guid>
    <b:Author>
      <b:Author>
        <b:Corporate>Women Will by Google</b:Corporate>
      </b:Author>
    </b:Author>
    <b:Title>Women Will - Data Explorer</b:Title>
    <b:InternetSiteTitle>Women Will</b:InternetSiteTitle>
    <b:Year>2016</b:Year>
    <b:Month>June</b:Month>
    <b:Day>1</b:Day>
    <b:URL>ttps://www.womenwill.com/data/</b:URL>
    <b:RefOrder>36</b:RefOrder>
  </b:Source>
  <b:Source>
    <b:Tag>Goo166</b:Tag>
    <b:SourceType>InternetSite</b:SourceType>
    <b:Guid>{4A238A15-5B78-4523-AAE6-396E51B88E77}</b:Guid>
    <b:Title>Google.org - Local-Giving</b:Title>
    <b:Year>2016</b:Year>
    <b:Author>
      <b:Author>
        <b:Corporate>Google.org</b:Corporate>
      </b:Author>
    </b:Author>
    <b:InternetSiteTitle>Google.org</b:InternetSiteTitle>
    <b:Month>June</b:Month>
    <b:Day>1</b:Day>
    <b:URL>https://www.google.org/local-giving/community-grants/</b:URL>
    <b:RefOrder>37</b:RefOrder>
  </b:Source>
  <b:Source>
    <b:Tag>Yuk13</b:Tag>
    <b:SourceType>InternetSite</b:SourceType>
    <b:Guid>{7D13A6A1-399C-45FE-B330-EF5E503B584D}</b:Guid>
    <b:Title>How Stores.jp is helping small businesses in Japan come online</b:Title>
    <b:Year>2013</b:Year>
    <b:Author>
      <b:Author>
        <b:NameList>
          <b:Person>
            <b:Last>Mitsuhashi</b:Last>
            <b:First>Yukari</b:First>
          </b:Person>
        </b:NameList>
      </b:Author>
    </b:Author>
    <b:InternetSiteTitle>The Bridge</b:InternetSiteTitle>
    <b:Month>March</b:Month>
    <b:Day>28</b:Day>
    <b:URL>http://thebridge.jp/en/2013/03/storesjp</b:URL>
    <b:RefOrder>38</b:RefOrder>
  </b:Source>
  <b:Source>
    <b:Tag>Sta15</b:Tag>
    <b:SourceType>Report</b:SourceType>
    <b:Guid>{6F204E69-F3B1-404A-B4CF-FF55DDC787BF}</b:Guid>
    <b:Title>Statistical Handbook of Japan 2015</b:Title>
    <b:Year>2015</b:Year>
    <b:Author>
      <b:Author>
        <b:Corporate>Statistics Japan</b:Corporate>
      </b:Author>
    </b:Author>
    <b:Publisher>Statistics Bureau, Ministry of Internal Affairs and Communications</b:Publisher>
    <b:RefOrder>39</b:RefOrder>
  </b:Source>
  <b:Source>
    <b:Tag>Tod13</b:Tag>
    <b:SourceType>InternetSite</b:SourceType>
    <b:Guid>{7E2B207E-17E4-4DA4-B97B-4097DAE486D2}</b:Guid>
    <b:Author>
      <b:Author>
        <b:NameList>
          <b:Person>
            <b:Last>Spangler</b:Last>
            <b:First>Todd</b:First>
          </b:Person>
        </b:NameList>
      </b:Author>
    </b:Author>
    <b:Title>YouTube Standardizes Ad-Revenue Split for All Partners, But Offers Upside Potential</b:Title>
    <b:InternetSiteTitle>Variety.com</b:InternetSiteTitle>
    <b:Year>2013</b:Year>
    <b:Month>November</b:Month>
    <b:Day>1</b:Day>
    <b:URL>http://variety.com/2013/digital/news/youtube-standardizes-ad-revenue-split-for-all-partners-but-offers-upside-potential-1200786223/</b:URL>
    <b:RefOrder>40</b:RefOrder>
  </b:Source>
  <b:Source>
    <b:Tag>Sam16</b:Tag>
    <b:SourceType>InternetSite</b:SourceType>
    <b:Guid>{C167461C-146F-41DF-B176-1833468D57BE}</b:Guid>
    <b:Author>
      <b:Author>
        <b:NameList>
          <b:Person>
            <b:Last>Cheney</b:Last>
            <b:First>Sam</b:First>
          </b:Person>
        </b:NameList>
      </b:Author>
    </b:Author>
    <b:Title>Tinder Keeps the Fire Burning</b:Title>
    <b:InternetSiteTitle>App Annie</b:InternetSiteTitle>
    <b:Year>2016</b:Year>
    <b:Month>July</b:Month>
    <b:Day>26</b:Day>
    <b:URL>https://www.appannie.com/insights/market-data/app-annie-index-apps-may-2016-tinder-keeps-fire-burning/</b:URL>
    <b:RefOrder>41</b:RefOrder>
  </b:Source>
  <b:Source>
    <b:Tag>Sup16</b:Tag>
    <b:SourceType>Report</b:SourceType>
    <b:Guid>{EEC082D6-DB73-43AB-A07D-003A704E811B}</b:Guid>
    <b:Title>Asia Mobile Games Report 2016</b:Title>
    <b:Year>2016</b:Year>
    <b:Author>
      <b:Author>
        <b:Corporate>SuperData</b:Corporate>
      </b:Author>
    </b:Author>
    <b:Publisher>SuperData Research</b:Publisher>
    <b:RefOrder>42</b:RefOrder>
  </b:Source>
  <b:Source>
    <b:Tag>App162</b:Tag>
    <b:SourceType>Report</b:SourceType>
    <b:Guid>{0AE4A9BC-6138-4512-A1ED-1786F6736E1C}</b:Guid>
    <b:Author>
      <b:Author>
        <b:Corporate>App Annie</b:Corporate>
      </b:Author>
    </b:Author>
    <b:Title>Understanding the Mobile Games Market in Japan</b:Title>
    <b:Year>2016</b:Year>
    <b:Publisher>App Annie Insights</b:Publisher>
    <b:RefOrder>43</b:RefOrder>
  </b:Source>
  <b:Source>
    <b:Tag>AdJ14</b:Tag>
    <b:SourceType>Report</b:SourceType>
    <b:Guid>{00152909-79E1-4EF7-8A5C-84CD24244E9A}</b:Guid>
    <b:Author>
      <b:Author>
        <b:Corporate>AdJapon</b:Corporate>
      </b:Author>
    </b:Author>
    <b:Title>The Japanese Mobile App Market 2014</b:Title>
    <b:Year>2014</b:Year>
    <b:RefOrder>44</b:RefOrder>
  </b:Source>
  <b:Source>
    <b:Tag>eMa15</b:Tag>
    <b:SourceType>InternetSite</b:SourceType>
    <b:Guid>{07A51C4D-09B1-43A8-8F85-DAEC26CA3936}</b:Guid>
    <b:Author>
      <b:Author>
        <b:Corporate>eMarketer</b:Corporate>
      </b:Author>
    </b:Author>
    <b:Title>Mobile Phone Users in Japan Upgrade to Smartphones, Finally</b:Title>
    <b:InternetSiteTitle>eMarketer</b:InternetSiteTitle>
    <b:Year>2015</b:Year>
    <b:Month>April</b:Month>
    <b:Day>19</b:Day>
    <b:URL>http://www.emarketer.com/Article/Mobile-Phone-Users-Japan-Upgrade-Smartphones-Finally/1012880</b:URL>
    <b:RefOrder>45</b:RefOrder>
  </b:Source>
  <b:Source>
    <b:Tag>Bug10</b:Tag>
    <b:SourceType>InternetSite</b:SourceType>
    <b:Guid>{1DABA612-A8E4-430C-BB28-4A852EA76E4F}</b:Guid>
    <b:Title>A new way to measure word-of-mouth marketing</b:Title>
    <b:InternetSiteTitle>McKinsey.com</b:InternetSiteTitle>
    <b:Year>2010</b:Year>
    <b:Month>April</b:Month>
    <b:URL>http://www.mckinsey.com/business-functions/marketing-and-sales/our-insights/a-new-way-to-measure-word-of-mouth-marketing</b:URL>
    <b:Author>
      <b:Author>
        <b:NameList>
          <b:Person>
            <b:Last>Bughin</b:Last>
            <b:First>Jacques</b:First>
          </b:Person>
          <b:Person>
            <b:Last>Doogan</b:Last>
            <b:First>Jonathan</b:First>
          </b:Person>
          <b:Person>
            <b:Last>Vetvik</b:Last>
            <b:Middle>Jorgen</b:Middle>
            <b:First>Ole</b:First>
          </b:Person>
        </b:NameList>
      </b:Author>
    </b:Author>
    <b:PeriodicalTitle>McKinsey Quarterly</b:PeriodicalTitle>
    <b:RefOrder>46</b:RefOrder>
  </b:Source>
  <b:Source>
    <b:Tag>Aug15</b:Tag>
    <b:SourceType>Report</b:SourceType>
    <b:Guid>{D4086F67-FF1A-4B0D-BA77-F3B72BD24635}</b:Guid>
    <b:Title>State of Influencer Engagement 2015</b:Title>
    <b:Year>2015</b:Year>
    <b:Author>
      <b:Author>
        <b:Corporate>Augure</b:Corporate>
      </b:Author>
    </b:Author>
    <b:Publisher>Augure</b:Publisher>
    <b:RefOrder>47</b:RefOrder>
  </b:Source>
  <b:Source>
    <b:Tag>Kim15</b:Tag>
    <b:SourceType>InternetSite</b:SourceType>
    <b:Guid>{353B5995-E0B5-4C70-B682-B22F24570334}</b:Guid>
    <b:Title>Why Influencer Marketing is the New Content King</b:Title>
    <b:Year>2015</b:Year>
    <b:Author>
      <b:Author>
        <b:NameList>
          <b:Person>
            <b:Last>Morrison</b:Last>
            <b:First>Kimberlee</b:First>
          </b:Person>
        </b:NameList>
      </b:Author>
    </b:Author>
    <b:InternetSiteTitle>SocialTimes (Adweek)</b:InternetSiteTitle>
    <b:Month>April</b:Month>
    <b:Day>3</b:Day>
    <b:URL>http://www.adweek.com/socialtimes/why-influencer-marketing-is-the-new-content-king-infographic/618187</b:URL>
    <b:RefOrder>48</b:RefOrder>
  </b:Source>
  <b:Source>
    <b:Tag>Dig</b:Tag>
    <b:SourceType>InternetSite</b:SourceType>
    <b:Guid>{396C29C6-1EB8-49D8-82AA-84273546906B}</b:Guid>
    <b:Author>
      <b:Author>
        <b:Corporate>Digital Training Academy</b:Corporate>
      </b:Author>
    </b:Author>
    <b:Title>Digital Vs TV spend: Cadbury's online video advertising gets 4 times more ROI than TV</b:Title>
    <b:InternetSiteTitle>DigitalTrainingAcademy.com</b:InternetSiteTitle>
    <b:URL>http://www.digitaltrainingacademy.com/casestudies/2012/03/digital_vs_tv_spend_cadburys_o.php</b:URL>
    <b:RefOrder>49</b:RefOrder>
  </b:Source>
  <b:Source>
    <b:Tag>JRa14</b:Tag>
    <b:SourceType>InternetSite</b:SourceType>
    <b:Guid>{11DD76CD-2AF9-41FD-B7EB-2A0D39F95D12}</b:Guid>
    <b:Author>
      <b:Author>
        <b:NameList>
          <b:Person>
            <b:Last>Raksha</b:Last>
            <b:First>J</b:First>
          </b:Person>
        </b:NameList>
      </b:Author>
    </b:Author>
    <b:Title>YouTube Video Influence 64% Of Consumers To Make Purchases !</b:Title>
    <b:InternetSiteTitle>DazeInfo</b:InternetSiteTitle>
    <b:Year>2014</b:Year>
    <b:Month>August</b:Month>
    <b:Day>11</b:Day>
    <b:URL>http://dazeinfo.com/2014/08/11/youtube-video-influence-64-consumers-make-purchases/</b:URL>
    <b:RefOrder>50</b:RefOrder>
  </b:Source>
  <b:Source>
    <b:Tag>McK151</b:Tag>
    <b:SourceType>Report</b:SourceType>
    <b:Guid>{8591E17B-65AF-41C3-AF58-BFF98D1A59E4}</b:Guid>
    <b:Author>
      <b:Author>
        <b:Corporate>McKinsey &amp; Company</b:Corporate>
      </b:Author>
    </b:Author>
    <b:Title>How a private-sector transformation could revive Japan</b:Title>
    <b:Year>2015</b:Year>
    <b:Publisher>McKinsey Global Institute (MGI)</b:Publisher>
    <b:RefOrder>51</b:RefOrder>
  </b:Source>
  <b:Source>
    <b:Tag>McK15</b:Tag>
    <b:SourceType>Report</b:SourceType>
    <b:Guid>{AE8DB2D5-E9EC-4F2E-8C0D-25633CF57843}</b:Guid>
    <b:Author>
      <b:Author>
        <b:Corporate>McKinsey &amp; Company</b:Corporate>
      </b:Author>
    </b:Author>
    <b:Title>The Future of Japan: Reigniting Productivity and Growth</b:Title>
    <b:Year>2015</b:Year>
    <b:Publisher>McKinsey Global Institute (MGI)</b:Publisher>
    <b:RefOrder>52</b:RefOrder>
  </b:Source>
  <b:Source>
    <b:Tag>Dal15</b:Tag>
    <b:SourceType>Report</b:SourceType>
    <b:Guid>{6ED82034-939F-4F08-9E7D-EB71059EE6D9}</b:Guid>
    <b:Author>
      <b:Author>
        <b:Corporate>Dalberg</b:Corporate>
      </b:Author>
    </b:Author>
    <b:Title>Smart Maps for Smart Cities: Urban India's US$8 Billion+ Opportunity</b:Title>
    <b:Year>2015</b:Year>
    <b:RefOrder>53</b:RefOrder>
  </b:Source>
  <b:Source>
    <b:Tag>Goo11</b:Tag>
    <b:SourceType>InternetSite</b:SourceType>
    <b:Guid>{0D99E85E-9BE6-4B1D-A186-E1560E81EF78}</b:Guid>
    <b:Author>
      <b:Author>
        <b:Corporate>Google.org</b:Corporate>
      </b:Author>
    </b:Author>
    <b:Title>More resources for those affected by the Japan earthquake and tsunami</b:Title>
    <b:Year>2011</b:Year>
    <b:InternetSiteTitle>The Official google.org blog</b:InternetSiteTitle>
    <b:Month>March</b:Month>
    <b:Day>16</b:Day>
    <b:URL>http://blog.google.org/2011/03/more-resources-for-those-affected-by.html</b:URL>
    <b:RefOrder>54</b:RefOrder>
  </b:Source>
  <b:Source>
    <b:Tag>Goo141</b:Tag>
    <b:SourceType>InternetSite</b:SourceType>
    <b:Guid>{CC2CD89B-DC6D-49C4-8247-E405B5E05079}</b:Guid>
    <b:Author>
      <b:Author>
        <b:Corporate>Google</b:Corporate>
      </b:Author>
    </b:Author>
    <b:Title>Rebuilding Tohoku three years on from the earthquake</b:Title>
    <b:InternetSiteTitle>Google Asia Pacific Blog</b:InternetSiteTitle>
    <b:Year>2014</b:Year>
    <b:Month>March</b:Month>
    <b:Day>11</b:Day>
    <b:URL>https://asia.googleblog.com/2014/03/rebuilding-tohoku-three-years-on-from.html</b:URL>
    <b:RefOrder>55</b:RefOrder>
  </b:Source>
</b:Sources>
</file>

<file path=customXml/itemProps1.xml><?xml version="1.0" encoding="utf-8"?>
<ds:datastoreItem xmlns:ds="http://schemas.openxmlformats.org/officeDocument/2006/customXml" ds:itemID="{8DA86190-0B9B-4D8F-9783-1F9A87F5D1FF}">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sharepoint/v3"/>
    <ds:schemaRef ds:uri="http://purl.org/dc/terms/"/>
    <ds:schemaRef ds:uri="http://purl.org/dc/dcmitype/"/>
    <ds:schemaRef ds:uri="f7542fce-ffe0-493b-b9b7-89db4158a116"/>
    <ds:schemaRef ds:uri="ec396c6e-058f-4081-9b46-8acd17ff2be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59F9A94-6A7C-4F95-9FA6-AB40EEB6A6FF}">
  <ds:schemaRefs>
    <ds:schemaRef ds:uri="http://schemas.microsoft.com/sharepoint/v3/contenttype/forms"/>
  </ds:schemaRefs>
</ds:datastoreItem>
</file>

<file path=customXml/itemProps3.xml><?xml version="1.0" encoding="utf-8"?>
<ds:datastoreItem xmlns:ds="http://schemas.openxmlformats.org/officeDocument/2006/customXml" ds:itemID="{29631261-1965-4FFD-A1D6-DB6843B16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ec396c6e-058f-4081-9b46-8acd17ff2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7B4BE3-5195-42F8-8D2A-134146DCB5D9}">
  <ds:schemaRefs>
    <ds:schemaRef ds:uri="http://schemas.microsoft.com/sharepoint/events"/>
  </ds:schemaRefs>
</ds:datastoreItem>
</file>

<file path=customXml/itemProps5.xml><?xml version="1.0" encoding="utf-8"?>
<ds:datastoreItem xmlns:ds="http://schemas.openxmlformats.org/officeDocument/2006/customXml" ds:itemID="{BE65B66A-7E23-4CAD-8EEF-BD6BD7E2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160610 Alphabeta Template KM v1.dotx</Template>
  <TotalTime>11</TotalTime>
  <Pages>57</Pages>
  <Words>10881</Words>
  <Characters>62028</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72764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Jim Minifie</dc:creator>
  <cp:keywords/>
  <dc:description/>
  <cp:lastModifiedBy>Francis, Sophie</cp:lastModifiedBy>
  <cp:revision>5</cp:revision>
  <cp:lastPrinted>2020-02-24T03:30:00Z</cp:lastPrinted>
  <dcterms:created xsi:type="dcterms:W3CDTF">2020-02-24T03:21:00Z</dcterms:created>
  <dcterms:modified xsi:type="dcterms:W3CDTF">2020-02-24T03:32:00Z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0x0101008836B53C6333D945B3F21B6564643F42</vt:lpwstr>
  </property>
  <property fmtid="{D5CDD505-2E9C-101B-9397-08002B2CF9AE}" pid="3" name="DocHub_Year">
    <vt:lpwstr>606;#2019|7e451fe0-4dc6-437a-a849-bab7965a9aee</vt:lpwstr>
  </property>
  <property fmtid="{D5CDD505-2E9C-101B-9397-08002B2CF9AE}" pid="4" name="DocHub_DocumentType">
    <vt:lpwstr>151;#Receipt|61febf28-7a1a-4cd0-bd7d-272a1bbf4400</vt:lpwstr>
  </property>
  <property fmtid="{D5CDD505-2E9C-101B-9397-08002B2CF9AE}" pid="5" name="DocHub_SecurityClassification">
    <vt:lpwstr>53;#For Official Use Only|11f6fb0b-52ce-4109-8f7f-521b2a62f692</vt:lpwstr>
  </property>
  <property fmtid="{D5CDD505-2E9C-101B-9397-08002B2CF9AE}" pid="6" name="DocHub_Keywords">
    <vt:lpwstr>837;#BIRDI|faf1c1e8-256d-4b24-a790-2136b30499c6</vt:lpwstr>
  </property>
  <property fmtid="{D5CDD505-2E9C-101B-9397-08002B2CF9AE}" pid="7" name="DocHub_WorkActivity">
    <vt:lpwstr/>
  </property>
</Properties>
</file>