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theme/themeOverride1.xml" ContentType="application/vnd.openxmlformats-officedocument.themeOverride+xml"/>
  <Override PartName="/word/charts/chart3.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2.xml" ContentType="application/vnd.openxmlformats-officedocument.themeOverride+xml"/>
  <Override PartName="/word/charts/chart4.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3.xml" ContentType="application/vnd.openxmlformats-officedocument.themeOverride+xml"/>
  <Override PartName="/word/charts/chart5.xml" ContentType="application/vnd.openxmlformats-officedocument.drawingml.chart+xml"/>
  <Override PartName="/word/charts/chart6.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style4.xml" ContentType="application/vnd.ms-office.chartstyle+xml"/>
  <Override PartName="/word/charts/colors4.xml" ContentType="application/vnd.ms-office.chartcolorstyle+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35BA4E2" w14:textId="758A2E54" w:rsidR="00E1621D" w:rsidRDefault="00406C79">
      <w:pPr>
        <w:spacing w:after="200" w:line="276" w:lineRule="auto"/>
      </w:pPr>
      <w:r>
        <w:rPr>
          <w:b/>
          <w:noProof/>
        </w:rPr>
        <w:pict w14:anchorId="6A08ADB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alt="Cover image shows texture of mineral rock. The logos of the Department of Industry, Innovation and Science and the Office of the Chief Economist. The title reads, Outlook for Selected Critical Minerals, Australia, August 2019" style="position:absolute;margin-left:-81.45pt;margin-top:-77.2pt;width:625.6pt;height:860.95pt;z-index:-251654144;mso-position-horizontal-relative:text;mso-position-vertical-relative:text">
            <v:imagedata r:id="rId12" o:title="Critical minerals report - Cover digital-01" cropleft="31983f"/>
          </v:shape>
        </w:pict>
      </w:r>
      <w:r w:rsidR="00E1621D">
        <w:rPr>
          <w:b/>
        </w:rPr>
        <w:br w:type="page"/>
      </w:r>
    </w:p>
    <w:sdt>
      <w:sdtPr>
        <w:rPr>
          <w:rFonts w:asciiTheme="minorHAnsi" w:hAnsiTheme="minorHAnsi" w:cstheme="minorBidi"/>
          <w:b w:val="0"/>
          <w:color w:val="auto"/>
          <w:sz w:val="22"/>
          <w:szCs w:val="22"/>
        </w:rPr>
        <w:id w:val="-1679722402"/>
        <w:docPartObj>
          <w:docPartGallery w:val="Table of Contents"/>
          <w:docPartUnique/>
        </w:docPartObj>
      </w:sdtPr>
      <w:sdtEndPr>
        <w:rPr>
          <w:color w:val="373737"/>
          <w:sz w:val="20"/>
        </w:rPr>
      </w:sdtEndPr>
      <w:sdtContent>
        <w:p w14:paraId="281043C2" w14:textId="0469A13F" w:rsidR="00EF5617" w:rsidRPr="005D6102" w:rsidRDefault="00EF5617" w:rsidP="009971BD">
          <w:pPr>
            <w:pStyle w:val="Contents"/>
          </w:pPr>
          <w:r w:rsidRPr="005D6102">
            <w:t>Contents</w:t>
          </w:r>
        </w:p>
        <w:p w14:paraId="258E1D97" w14:textId="61667B05" w:rsidR="00817A47" w:rsidRDefault="00EF5617">
          <w:pPr>
            <w:pStyle w:val="TOC1"/>
            <w:rPr>
              <w:rFonts w:eastAsiaTheme="minorEastAsia"/>
              <w:b w:val="0"/>
              <w:szCs w:val="22"/>
              <w:lang w:eastAsia="en-AU"/>
            </w:rPr>
          </w:pPr>
          <w:r w:rsidRPr="005D6102">
            <w:rPr>
              <w:b w:val="0"/>
              <w:color w:val="595A5B"/>
            </w:rPr>
            <w:fldChar w:fldCharType="begin"/>
          </w:r>
          <w:r w:rsidRPr="005D6102">
            <w:rPr>
              <w:b w:val="0"/>
            </w:rPr>
            <w:instrText xml:space="preserve"> TOC \o "1-1" \t "Heading 2,2,Heading 6,6" </w:instrText>
          </w:r>
          <w:r w:rsidRPr="005D6102">
            <w:rPr>
              <w:b w:val="0"/>
              <w:color w:val="595A5B"/>
            </w:rPr>
            <w:fldChar w:fldCharType="separate"/>
          </w:r>
          <w:r w:rsidR="00817A47">
            <w:t>Why critical minerals matter – new technologies and growing markets</w:t>
          </w:r>
          <w:r w:rsidR="00817A47">
            <w:tab/>
          </w:r>
          <w:r w:rsidR="00817A47">
            <w:fldChar w:fldCharType="begin"/>
          </w:r>
          <w:r w:rsidR="00817A47">
            <w:instrText xml:space="preserve"> PAGEREF _Toc17803326 \h </w:instrText>
          </w:r>
          <w:r w:rsidR="00817A47">
            <w:fldChar w:fldCharType="separate"/>
          </w:r>
          <w:r w:rsidR="00A7507E">
            <w:t>1</w:t>
          </w:r>
          <w:r w:rsidR="00817A47">
            <w:fldChar w:fldCharType="end"/>
          </w:r>
        </w:p>
        <w:p w14:paraId="5812033E" w14:textId="338A4EE0" w:rsidR="00817A47" w:rsidRDefault="00817A47">
          <w:pPr>
            <w:pStyle w:val="TOC1"/>
            <w:rPr>
              <w:rFonts w:eastAsiaTheme="minorEastAsia"/>
              <w:b w:val="0"/>
              <w:szCs w:val="22"/>
              <w:lang w:eastAsia="en-AU"/>
            </w:rPr>
          </w:pPr>
          <w:r>
            <w:t>Focus of this report</w:t>
          </w:r>
          <w:r>
            <w:tab/>
          </w:r>
          <w:r>
            <w:fldChar w:fldCharType="begin"/>
          </w:r>
          <w:r>
            <w:instrText xml:space="preserve"> PAGEREF _Toc17803327 \h </w:instrText>
          </w:r>
          <w:r>
            <w:fldChar w:fldCharType="separate"/>
          </w:r>
          <w:r w:rsidR="00A7507E">
            <w:t>2</w:t>
          </w:r>
          <w:r>
            <w:fldChar w:fldCharType="end"/>
          </w:r>
        </w:p>
        <w:p w14:paraId="4613561D" w14:textId="5C00BBF8" w:rsidR="00817A47" w:rsidRDefault="00817A47">
          <w:pPr>
            <w:pStyle w:val="TOC1"/>
            <w:rPr>
              <w:rFonts w:eastAsiaTheme="minorEastAsia"/>
              <w:b w:val="0"/>
              <w:szCs w:val="22"/>
              <w:lang w:eastAsia="en-AU"/>
            </w:rPr>
          </w:pPr>
          <w:r>
            <w:t>What Australia has to offer</w:t>
          </w:r>
          <w:r>
            <w:tab/>
          </w:r>
          <w:r>
            <w:fldChar w:fldCharType="begin"/>
          </w:r>
          <w:r>
            <w:instrText xml:space="preserve"> PAGEREF _Toc17803328 \h </w:instrText>
          </w:r>
          <w:r>
            <w:fldChar w:fldCharType="separate"/>
          </w:r>
          <w:r w:rsidR="00A7507E">
            <w:t>3</w:t>
          </w:r>
          <w:r>
            <w:fldChar w:fldCharType="end"/>
          </w:r>
        </w:p>
        <w:p w14:paraId="6EDB6249" w14:textId="2337F5B5" w:rsidR="00817A47" w:rsidRDefault="00817A47">
          <w:pPr>
            <w:pStyle w:val="TOC1"/>
            <w:rPr>
              <w:rFonts w:eastAsiaTheme="minorEastAsia"/>
              <w:b w:val="0"/>
              <w:szCs w:val="22"/>
              <w:lang w:eastAsia="en-AU"/>
            </w:rPr>
          </w:pPr>
          <w:r>
            <w:t>Development projects in Australia</w:t>
          </w:r>
          <w:r>
            <w:tab/>
          </w:r>
          <w:r>
            <w:fldChar w:fldCharType="begin"/>
          </w:r>
          <w:r>
            <w:instrText xml:space="preserve"> PAGEREF _Toc17803329 \h </w:instrText>
          </w:r>
          <w:r>
            <w:fldChar w:fldCharType="separate"/>
          </w:r>
          <w:r w:rsidR="00A7507E">
            <w:t>6</w:t>
          </w:r>
          <w:r>
            <w:fldChar w:fldCharType="end"/>
          </w:r>
        </w:p>
        <w:p w14:paraId="71567CDC" w14:textId="1942DA2B" w:rsidR="00817A47" w:rsidRDefault="00817A47">
          <w:pPr>
            <w:pStyle w:val="TOC1"/>
            <w:rPr>
              <w:rFonts w:eastAsiaTheme="minorEastAsia"/>
              <w:b w:val="0"/>
              <w:szCs w:val="22"/>
              <w:lang w:eastAsia="en-AU"/>
            </w:rPr>
          </w:pPr>
          <w:r>
            <w:t>Australia’s Critical Minerals Strategy</w:t>
          </w:r>
          <w:r>
            <w:tab/>
          </w:r>
          <w:r>
            <w:fldChar w:fldCharType="begin"/>
          </w:r>
          <w:r>
            <w:instrText xml:space="preserve"> PAGEREF _Toc17803330 \h </w:instrText>
          </w:r>
          <w:r>
            <w:fldChar w:fldCharType="separate"/>
          </w:r>
          <w:r w:rsidR="00A7507E">
            <w:t>8</w:t>
          </w:r>
          <w:r>
            <w:fldChar w:fldCharType="end"/>
          </w:r>
        </w:p>
        <w:p w14:paraId="1E00E4F5" w14:textId="34B86B41" w:rsidR="00817A47" w:rsidRDefault="00817A47">
          <w:pPr>
            <w:pStyle w:val="TOC1"/>
            <w:rPr>
              <w:rFonts w:eastAsiaTheme="minorEastAsia"/>
              <w:b w:val="0"/>
              <w:szCs w:val="22"/>
              <w:lang w:eastAsia="en-AU"/>
            </w:rPr>
          </w:pPr>
          <w:r>
            <w:t>Niobium</w:t>
          </w:r>
          <w:r>
            <w:tab/>
          </w:r>
          <w:r>
            <w:fldChar w:fldCharType="begin"/>
          </w:r>
          <w:r>
            <w:instrText xml:space="preserve"> PAGEREF _Toc17803331 \h </w:instrText>
          </w:r>
          <w:r>
            <w:fldChar w:fldCharType="separate"/>
          </w:r>
          <w:r w:rsidR="00A7507E">
            <w:t>10</w:t>
          </w:r>
          <w:r>
            <w:fldChar w:fldCharType="end"/>
          </w:r>
        </w:p>
        <w:p w14:paraId="51E7242C" w14:textId="21F768F8" w:rsidR="00817A47" w:rsidRDefault="00817A47">
          <w:pPr>
            <w:pStyle w:val="TOC1"/>
            <w:rPr>
              <w:rFonts w:eastAsiaTheme="minorEastAsia"/>
              <w:b w:val="0"/>
              <w:szCs w:val="22"/>
              <w:lang w:eastAsia="en-AU"/>
            </w:rPr>
          </w:pPr>
          <w:r>
            <w:t>Rare Earth Elements</w:t>
          </w:r>
          <w:r>
            <w:tab/>
          </w:r>
          <w:r>
            <w:fldChar w:fldCharType="begin"/>
          </w:r>
          <w:r>
            <w:instrText xml:space="preserve"> PAGEREF _Toc17803338 \h </w:instrText>
          </w:r>
          <w:r>
            <w:fldChar w:fldCharType="separate"/>
          </w:r>
          <w:r w:rsidR="00A7507E">
            <w:t>13</w:t>
          </w:r>
          <w:r>
            <w:fldChar w:fldCharType="end"/>
          </w:r>
        </w:p>
        <w:p w14:paraId="58977AD0" w14:textId="2B82A918" w:rsidR="00817A47" w:rsidRDefault="00817A47">
          <w:pPr>
            <w:pStyle w:val="TOC1"/>
            <w:rPr>
              <w:rFonts w:eastAsiaTheme="minorEastAsia"/>
              <w:b w:val="0"/>
              <w:szCs w:val="22"/>
              <w:lang w:eastAsia="en-AU"/>
            </w:rPr>
          </w:pPr>
          <w:r>
            <w:t>Cobalt</w:t>
          </w:r>
          <w:r>
            <w:tab/>
          </w:r>
          <w:r>
            <w:fldChar w:fldCharType="begin"/>
          </w:r>
          <w:r>
            <w:instrText xml:space="preserve"> PAGEREF _Toc17803345 \h </w:instrText>
          </w:r>
          <w:r>
            <w:fldChar w:fldCharType="separate"/>
          </w:r>
          <w:r w:rsidR="00A7507E">
            <w:t>22</w:t>
          </w:r>
          <w:r>
            <w:fldChar w:fldCharType="end"/>
          </w:r>
        </w:p>
        <w:p w14:paraId="5BC277FF" w14:textId="4E9DBDA2" w:rsidR="00817A47" w:rsidRPr="002253B3" w:rsidRDefault="00817A47">
          <w:pPr>
            <w:pStyle w:val="TOC1"/>
            <w:rPr>
              <w:rFonts w:eastAsiaTheme="minorEastAsia"/>
              <w:b w:val="0"/>
            </w:rPr>
          </w:pPr>
          <w:r>
            <w:t>Antimony</w:t>
          </w:r>
          <w:r>
            <w:tab/>
          </w:r>
          <w:r>
            <w:fldChar w:fldCharType="begin"/>
          </w:r>
          <w:r>
            <w:instrText xml:space="preserve"> PAGEREF _Toc17803352 \h </w:instrText>
          </w:r>
          <w:r>
            <w:fldChar w:fldCharType="separate"/>
          </w:r>
          <w:r w:rsidR="00A7507E">
            <w:t>28</w:t>
          </w:r>
          <w:r>
            <w:fldChar w:fldCharType="end"/>
          </w:r>
        </w:p>
        <w:p w14:paraId="74F9E1F0" w14:textId="1480C75F" w:rsidR="00817A47" w:rsidRDefault="00817A47">
          <w:pPr>
            <w:pStyle w:val="TOC1"/>
            <w:rPr>
              <w:rFonts w:eastAsiaTheme="minorEastAsia"/>
              <w:b w:val="0"/>
              <w:szCs w:val="22"/>
              <w:lang w:eastAsia="en-AU"/>
            </w:rPr>
          </w:pPr>
          <w:r>
            <w:t>Magnesium</w:t>
          </w:r>
          <w:r>
            <w:tab/>
          </w:r>
          <w:r>
            <w:fldChar w:fldCharType="begin"/>
          </w:r>
          <w:r>
            <w:instrText xml:space="preserve"> PAGEREF _Toc17803360 \h </w:instrText>
          </w:r>
          <w:r>
            <w:fldChar w:fldCharType="separate"/>
          </w:r>
          <w:r w:rsidR="00A7507E">
            <w:t>33</w:t>
          </w:r>
          <w:r>
            <w:fldChar w:fldCharType="end"/>
          </w:r>
        </w:p>
        <w:p w14:paraId="4BBB3AC7" w14:textId="2B6D40FC" w:rsidR="00817A47" w:rsidRDefault="00817A47">
          <w:pPr>
            <w:pStyle w:val="TOC1"/>
            <w:rPr>
              <w:rFonts w:eastAsiaTheme="minorEastAsia"/>
              <w:b w:val="0"/>
              <w:szCs w:val="22"/>
              <w:lang w:eastAsia="en-AU"/>
            </w:rPr>
          </w:pPr>
          <w:r>
            <w:t>Tungsten</w:t>
          </w:r>
          <w:r>
            <w:tab/>
          </w:r>
          <w:r>
            <w:fldChar w:fldCharType="begin"/>
          </w:r>
          <w:r>
            <w:instrText xml:space="preserve"> PAGEREF _Toc17803367 \h </w:instrText>
          </w:r>
          <w:r>
            <w:fldChar w:fldCharType="separate"/>
          </w:r>
          <w:r w:rsidR="00A7507E">
            <w:t>37</w:t>
          </w:r>
          <w:r>
            <w:fldChar w:fldCharType="end"/>
          </w:r>
        </w:p>
        <w:p w14:paraId="6550A1FE" w14:textId="17802103" w:rsidR="00EF5617" w:rsidRPr="005D6102" w:rsidRDefault="00EF5617" w:rsidP="0070688F">
          <w:pPr>
            <w:pStyle w:val="CoverNormal"/>
            <w:sectPr w:rsidR="00EF5617" w:rsidRPr="005D6102" w:rsidSect="009971BD">
              <w:headerReference w:type="default" r:id="rId13"/>
              <w:footerReference w:type="default" r:id="rId14"/>
              <w:footerReference w:type="first" r:id="rId15"/>
              <w:pgSz w:w="11906" w:h="16838" w:code="9"/>
              <w:pgMar w:top="1440" w:right="1440" w:bottom="1440" w:left="1440" w:header="709" w:footer="709" w:gutter="0"/>
              <w:pgNumType w:fmt="lowerRoman" w:start="0"/>
              <w:cols w:space="708"/>
              <w:docGrid w:linePitch="360"/>
            </w:sectPr>
          </w:pPr>
          <w:r w:rsidRPr="005D6102">
            <w:rPr>
              <w:rFonts w:ascii="Arial" w:eastAsia="Times New Roman" w:hAnsi="Arial"/>
              <w:b/>
              <w:noProof/>
              <w:szCs w:val="24"/>
            </w:rPr>
            <w:fldChar w:fldCharType="end"/>
          </w:r>
        </w:p>
      </w:sdtContent>
    </w:sdt>
    <w:p w14:paraId="1D5859B2" w14:textId="18690D38" w:rsidR="00D94555" w:rsidRPr="005D6102" w:rsidRDefault="00D94555" w:rsidP="00D94555">
      <w:pPr>
        <w:pStyle w:val="Heading1"/>
        <w:ind w:left="0" w:firstLine="0"/>
      </w:pPr>
      <w:bookmarkStart w:id="0" w:name="_Toc17803326"/>
      <w:bookmarkStart w:id="1" w:name="_Toc16143254"/>
      <w:r w:rsidRPr="005D6102">
        <w:lastRenderedPageBreak/>
        <w:t>Why critical minerals matter – new technologies and growing markets</w:t>
      </w:r>
      <w:bookmarkEnd w:id="0"/>
      <w:bookmarkEnd w:id="1"/>
    </w:p>
    <w:p w14:paraId="15DBC9ED" w14:textId="71DA7F36" w:rsidR="0066437C" w:rsidRPr="005D6102" w:rsidRDefault="00D94555" w:rsidP="00D94555">
      <w:pPr>
        <w:pStyle w:val="BodyText"/>
      </w:pPr>
      <w:r w:rsidRPr="005D6102">
        <w:t xml:space="preserve">Critical minerals are metals and non-metals that </w:t>
      </w:r>
      <w:r w:rsidR="00212DA2" w:rsidRPr="005D6102">
        <w:t>have</w:t>
      </w:r>
      <w:r w:rsidR="00C4589D" w:rsidRPr="005D6102">
        <w:t xml:space="preserve"> important</w:t>
      </w:r>
      <w:r w:rsidRPr="005D6102">
        <w:t xml:space="preserve"> </w:t>
      </w:r>
      <w:r w:rsidR="00212DA2" w:rsidRPr="005D6102">
        <w:t>economic functions</w:t>
      </w:r>
      <w:r w:rsidR="00C4589D" w:rsidRPr="005D6102">
        <w:t xml:space="preserve">, </w:t>
      </w:r>
      <w:r w:rsidR="00A0206E" w:rsidRPr="005D6102">
        <w:t>can</w:t>
      </w:r>
      <w:r w:rsidR="00A0206E">
        <w:t>not</w:t>
      </w:r>
      <w:r w:rsidR="00A0206E" w:rsidRPr="005D6102">
        <w:t xml:space="preserve"> </w:t>
      </w:r>
      <w:r w:rsidR="009D06DB" w:rsidRPr="005D6102">
        <w:t xml:space="preserve">be easily substituted </w:t>
      </w:r>
      <w:r w:rsidR="00C4589D" w:rsidRPr="005D6102">
        <w:t>and which face some degree of</w:t>
      </w:r>
      <w:r w:rsidRPr="005D6102">
        <w:t xml:space="preserve"> supply </w:t>
      </w:r>
      <w:r w:rsidR="00C4589D" w:rsidRPr="005D6102">
        <w:t>risk</w:t>
      </w:r>
      <w:r w:rsidR="00212DA2" w:rsidRPr="005D6102">
        <w:t xml:space="preserve">. </w:t>
      </w:r>
      <w:r w:rsidR="00AF13DB" w:rsidRPr="005D6102">
        <w:t>Supply</w:t>
      </w:r>
      <w:r w:rsidR="00212DA2" w:rsidRPr="005D6102">
        <w:t xml:space="preserve"> risks can stem from</w:t>
      </w:r>
      <w:r w:rsidRPr="005D6102">
        <w:t xml:space="preserve"> geological scarcity, geopolitical issues, trade policy or other factors.</w:t>
      </w:r>
      <w:r w:rsidR="0066437C" w:rsidRPr="005D6102">
        <w:t xml:space="preserve"> What constitutes as ‘critical’ differs between countries</w:t>
      </w:r>
      <w:r w:rsidR="00C96E50" w:rsidRPr="005D6102">
        <w:t>,</w:t>
      </w:r>
      <w:r w:rsidR="0066437C" w:rsidRPr="005D6102">
        <w:t xml:space="preserve"> depending on essential demand applications, productive capacity and import dependence. </w:t>
      </w:r>
    </w:p>
    <w:p w14:paraId="7C179338" w14:textId="42141EB0" w:rsidR="00D94555" w:rsidRPr="005D6102" w:rsidRDefault="00D94555" w:rsidP="00D94555">
      <w:pPr>
        <w:pStyle w:val="BodyText"/>
      </w:pPr>
      <w:r w:rsidRPr="005D6102">
        <w:t xml:space="preserve">Critical minerals are </w:t>
      </w:r>
      <w:r w:rsidR="00AF13DB" w:rsidRPr="005D6102">
        <w:t>important for industrial progress and</w:t>
      </w:r>
      <w:r w:rsidR="00212DA2" w:rsidRPr="005D6102">
        <w:t xml:space="preserve"> </w:t>
      </w:r>
      <w:r w:rsidRPr="005D6102">
        <w:t>emerging technologies</w:t>
      </w:r>
      <w:r w:rsidR="00C4589D" w:rsidRPr="005D6102">
        <w:t>. They are used for</w:t>
      </w:r>
      <w:r w:rsidRPr="005D6102">
        <w:t xml:space="preserve"> renewable en</w:t>
      </w:r>
      <w:r w:rsidR="00AF460E" w:rsidRPr="005D6102">
        <w:t>ergy systems, electric vehicles</w:t>
      </w:r>
      <w:r w:rsidRPr="005D6102">
        <w:t>, rechargeable batteries, consumer electronics, telecommunications, specialty alloys, and defence technologies.</w:t>
      </w:r>
    </w:p>
    <w:p w14:paraId="5EBF41AE" w14:textId="1E6498D3" w:rsidR="00200CFC" w:rsidRPr="005D6102" w:rsidRDefault="00D94555" w:rsidP="00D94555">
      <w:pPr>
        <w:pStyle w:val="BodyText"/>
      </w:pPr>
      <w:r w:rsidRPr="005D6102">
        <w:t xml:space="preserve">Growth in these markets is expected to boost world demand for critical minerals. </w:t>
      </w:r>
      <w:r w:rsidR="000F6830" w:rsidRPr="005D6102">
        <w:t>Australia’s</w:t>
      </w:r>
      <w:r w:rsidRPr="005D6102">
        <w:t xml:space="preserve"> resource endowment</w:t>
      </w:r>
      <w:r w:rsidR="00B30C66" w:rsidRPr="005D6102">
        <w:t>,</w:t>
      </w:r>
      <w:r w:rsidRPr="005D6102">
        <w:t xml:space="preserve"> mining capability </w:t>
      </w:r>
      <w:r w:rsidR="00B30C66" w:rsidRPr="005D6102">
        <w:t xml:space="preserve">and existing processing infrastructure </w:t>
      </w:r>
      <w:r w:rsidR="000F6830" w:rsidRPr="005D6102">
        <w:t>mean it is well placed to support this demand</w:t>
      </w:r>
      <w:r w:rsidRPr="005D6102">
        <w:t xml:space="preserve">. </w:t>
      </w:r>
    </w:p>
    <w:p w14:paraId="326D18FE" w14:textId="77777777" w:rsidR="003F018F" w:rsidRPr="005D6102" w:rsidRDefault="003F018F" w:rsidP="00D94555">
      <w:pPr>
        <w:pStyle w:val="BodyText"/>
      </w:pPr>
    </w:p>
    <w:p w14:paraId="6920B738" w14:textId="1E65B08B" w:rsidR="000D0B1D" w:rsidRPr="005D6102" w:rsidRDefault="00AF1EEF">
      <w:pPr>
        <w:spacing w:after="200" w:line="276" w:lineRule="auto"/>
        <w:rPr>
          <w:rFonts w:asciiTheme="majorHAnsi" w:eastAsia="Times New Roman" w:hAnsiTheme="majorHAnsi" w:cs="Arial"/>
          <w:b/>
          <w:bCs/>
          <w:color w:val="005CAF"/>
          <w:kern w:val="32"/>
          <w:sz w:val="32"/>
          <w:szCs w:val="32"/>
        </w:rPr>
      </w:pPr>
      <w:bookmarkStart w:id="2" w:name="_Toc16143255"/>
      <w:r w:rsidRPr="00AF1EEF">
        <w:rPr>
          <w:noProof/>
          <w:lang w:eastAsia="en-AU"/>
        </w:rPr>
        <w:drawing>
          <wp:inline distT="0" distB="0" distL="0" distR="0" wp14:anchorId="59172D55" wp14:editId="4F325312">
            <wp:extent cx="5902325" cy="4114800"/>
            <wp:effectExtent l="0" t="0" r="3175" b="0"/>
            <wp:docPr id="26" name="Picture 26" descr="This infographic shows some of the main uses of critical minerals, incluidng in electric vehicle batteries, electricity generation and storage." title="Info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thurtell\AppData\Local\Microsoft\Windows\INetCache\Content.Outlook\LEV31YTX\infographic for REQ preso (002).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02325" cy="4114800"/>
                    </a:xfrm>
                    <a:prstGeom prst="rect">
                      <a:avLst/>
                    </a:prstGeom>
                    <a:noFill/>
                    <a:ln>
                      <a:noFill/>
                    </a:ln>
                  </pic:spPr>
                </pic:pic>
              </a:graphicData>
            </a:graphic>
          </wp:inline>
        </w:drawing>
      </w:r>
      <w:r w:rsidRPr="00AF1EEF">
        <w:t xml:space="preserve"> </w:t>
      </w:r>
      <w:r w:rsidR="000D0B1D" w:rsidRPr="005D6102">
        <w:br w:type="page"/>
      </w:r>
    </w:p>
    <w:p w14:paraId="1A7BBBB2" w14:textId="47FDA7F2" w:rsidR="00EF5617" w:rsidRPr="005D6102" w:rsidRDefault="00EF5617" w:rsidP="00EF5617">
      <w:pPr>
        <w:pStyle w:val="Heading1"/>
      </w:pPr>
      <w:bookmarkStart w:id="3" w:name="_Toc17803327"/>
      <w:r w:rsidRPr="005D6102">
        <w:lastRenderedPageBreak/>
        <w:t>Focus of this report</w:t>
      </w:r>
      <w:bookmarkEnd w:id="2"/>
      <w:bookmarkEnd w:id="3"/>
    </w:p>
    <w:p w14:paraId="17DC6971" w14:textId="52206777" w:rsidR="00EF5617" w:rsidRPr="005D6102" w:rsidRDefault="00EF5617" w:rsidP="00EF5617">
      <w:pPr>
        <w:spacing w:after="120" w:line="270" w:lineRule="exact"/>
        <w:rPr>
          <w:sz w:val="20"/>
          <w:szCs w:val="20"/>
        </w:rPr>
      </w:pPr>
      <w:r w:rsidRPr="005D6102">
        <w:rPr>
          <w:sz w:val="20"/>
          <w:szCs w:val="20"/>
        </w:rPr>
        <w:t xml:space="preserve">Australia is home to a large array of critical minerals. Some, such as lithium, have already attracted significant investment, with mines opening rapidly and refineries under construction across Western Australia. Others, such as </w:t>
      </w:r>
      <w:r w:rsidR="008B3B79" w:rsidRPr="005D6102">
        <w:rPr>
          <w:sz w:val="20"/>
          <w:szCs w:val="20"/>
        </w:rPr>
        <w:t>bauxite</w:t>
      </w:r>
      <w:r w:rsidRPr="005D6102">
        <w:rPr>
          <w:sz w:val="20"/>
          <w:szCs w:val="20"/>
        </w:rPr>
        <w:t xml:space="preserve">, have been well developed for many years. </w:t>
      </w:r>
    </w:p>
    <w:p w14:paraId="7DC5DC5A" w14:textId="77777777" w:rsidR="00EF5617" w:rsidRPr="005D6102" w:rsidRDefault="00EF5617" w:rsidP="00EF5617">
      <w:pPr>
        <w:spacing w:after="120" w:line="270" w:lineRule="exact"/>
        <w:rPr>
          <w:sz w:val="20"/>
          <w:szCs w:val="20"/>
        </w:rPr>
      </w:pPr>
      <w:r w:rsidRPr="005D6102">
        <w:rPr>
          <w:sz w:val="20"/>
          <w:szCs w:val="20"/>
        </w:rPr>
        <w:t xml:space="preserve">Among the less developed minerals, some remain uneconomic, while others have not yet been found in sufficient quantities to be viable. </w:t>
      </w:r>
    </w:p>
    <w:p w14:paraId="2AA373C4" w14:textId="7D941E91" w:rsidR="00EF5617" w:rsidRPr="005D6102" w:rsidRDefault="00EF5617" w:rsidP="00EF5617">
      <w:pPr>
        <w:spacing w:after="120" w:line="270" w:lineRule="exact"/>
        <w:rPr>
          <w:sz w:val="20"/>
          <w:szCs w:val="20"/>
        </w:rPr>
      </w:pPr>
      <w:r w:rsidRPr="005D6102">
        <w:rPr>
          <w:sz w:val="20"/>
          <w:szCs w:val="20"/>
        </w:rPr>
        <w:t xml:space="preserve">This publication focuses on six critical minerals </w:t>
      </w:r>
      <w:r w:rsidR="000A73C3" w:rsidRPr="005D6102">
        <w:rPr>
          <w:sz w:val="20"/>
          <w:szCs w:val="20"/>
        </w:rPr>
        <w:t xml:space="preserve">that </w:t>
      </w:r>
      <w:r w:rsidRPr="005D6102">
        <w:rPr>
          <w:sz w:val="20"/>
          <w:szCs w:val="20"/>
        </w:rPr>
        <w:t xml:space="preserve">hold significant potential. These minerals have important uses in energy supply and technology, and are projected to be in strong demand across the globe for a number of decades to come. Mine and/or refined output </w:t>
      </w:r>
      <w:r w:rsidR="00E1238A" w:rsidRPr="005D6102">
        <w:rPr>
          <w:sz w:val="20"/>
          <w:szCs w:val="20"/>
        </w:rPr>
        <w:t>for these minerals</w:t>
      </w:r>
      <w:r w:rsidRPr="005D6102">
        <w:rPr>
          <w:sz w:val="20"/>
          <w:szCs w:val="20"/>
        </w:rPr>
        <w:t xml:space="preserve"> is often dominated by two or three countries</w:t>
      </w:r>
      <w:r w:rsidR="00E1238A" w:rsidRPr="005D6102">
        <w:rPr>
          <w:sz w:val="20"/>
          <w:szCs w:val="20"/>
        </w:rPr>
        <w:t xml:space="preserve">, and </w:t>
      </w:r>
      <w:r w:rsidR="002D350D" w:rsidRPr="005D6102">
        <w:rPr>
          <w:sz w:val="20"/>
          <w:szCs w:val="20"/>
        </w:rPr>
        <w:t>world</w:t>
      </w:r>
      <w:r w:rsidR="00F050EF" w:rsidRPr="005D6102">
        <w:rPr>
          <w:sz w:val="20"/>
          <w:szCs w:val="20"/>
        </w:rPr>
        <w:t xml:space="preserve"> </w:t>
      </w:r>
      <w:r w:rsidR="00E1238A" w:rsidRPr="005D6102">
        <w:rPr>
          <w:sz w:val="20"/>
          <w:szCs w:val="20"/>
        </w:rPr>
        <w:t xml:space="preserve">markets are mostly nascent and </w:t>
      </w:r>
      <w:r w:rsidR="00F050EF" w:rsidRPr="005D6102">
        <w:rPr>
          <w:sz w:val="20"/>
          <w:szCs w:val="20"/>
        </w:rPr>
        <w:t>under-</w:t>
      </w:r>
      <w:r w:rsidR="00E1238A" w:rsidRPr="005D6102">
        <w:rPr>
          <w:sz w:val="20"/>
          <w:szCs w:val="20"/>
        </w:rPr>
        <w:t>developed.</w:t>
      </w:r>
    </w:p>
    <w:p w14:paraId="5B9CDE79" w14:textId="3B6213FF" w:rsidR="00EF5617" w:rsidRPr="005D6102" w:rsidRDefault="00EF5617" w:rsidP="00EF5617">
      <w:pPr>
        <w:spacing w:after="120" w:line="270" w:lineRule="exact"/>
        <w:rPr>
          <w:sz w:val="20"/>
          <w:szCs w:val="20"/>
        </w:rPr>
      </w:pPr>
      <w:r w:rsidRPr="005D6102">
        <w:rPr>
          <w:sz w:val="20"/>
          <w:szCs w:val="20"/>
        </w:rPr>
        <w:t>In all cases, Australia has been identified</w:t>
      </w:r>
      <w:r w:rsidR="0030774E">
        <w:rPr>
          <w:sz w:val="20"/>
          <w:szCs w:val="20"/>
        </w:rPr>
        <w:t xml:space="preserve"> as</w:t>
      </w:r>
      <w:r w:rsidRPr="005D6102">
        <w:rPr>
          <w:sz w:val="20"/>
          <w:szCs w:val="20"/>
        </w:rPr>
        <w:t xml:space="preserve"> </w:t>
      </w:r>
      <w:r w:rsidR="00A501CC" w:rsidRPr="005D6102">
        <w:rPr>
          <w:sz w:val="20"/>
          <w:szCs w:val="20"/>
        </w:rPr>
        <w:t>one of</w:t>
      </w:r>
      <w:r w:rsidRPr="005D6102">
        <w:rPr>
          <w:sz w:val="20"/>
          <w:szCs w:val="20"/>
        </w:rPr>
        <w:t xml:space="preserve"> the top six resource</w:t>
      </w:r>
      <w:r w:rsidR="00E1238A" w:rsidRPr="005D6102">
        <w:rPr>
          <w:sz w:val="20"/>
          <w:szCs w:val="20"/>
        </w:rPr>
        <w:t xml:space="preserve"> </w:t>
      </w:r>
      <w:r w:rsidR="00A501CC" w:rsidRPr="005D6102">
        <w:rPr>
          <w:sz w:val="20"/>
          <w:szCs w:val="20"/>
        </w:rPr>
        <w:t>holders of each commodity</w:t>
      </w:r>
      <w:r w:rsidRPr="005D6102">
        <w:rPr>
          <w:sz w:val="20"/>
          <w:szCs w:val="20"/>
        </w:rPr>
        <w:t xml:space="preserve">, meaning there is potential for </w:t>
      </w:r>
      <w:r w:rsidR="0025618C" w:rsidRPr="005D6102">
        <w:rPr>
          <w:sz w:val="20"/>
          <w:szCs w:val="20"/>
        </w:rPr>
        <w:t xml:space="preserve">additional </w:t>
      </w:r>
      <w:r w:rsidR="00E1238A" w:rsidRPr="005D6102">
        <w:rPr>
          <w:sz w:val="20"/>
          <w:szCs w:val="20"/>
        </w:rPr>
        <w:t>production and investment</w:t>
      </w:r>
      <w:r w:rsidRPr="005D6102">
        <w:rPr>
          <w:sz w:val="20"/>
          <w:szCs w:val="20"/>
        </w:rPr>
        <w:t>.</w:t>
      </w:r>
    </w:p>
    <w:p w14:paraId="2C0FB19C" w14:textId="1BBF45DB" w:rsidR="00EF5617" w:rsidRPr="005D6102" w:rsidRDefault="00EF5617" w:rsidP="00EF5617">
      <w:pPr>
        <w:spacing w:after="120" w:line="270" w:lineRule="exact"/>
        <w:rPr>
          <w:sz w:val="20"/>
          <w:szCs w:val="20"/>
        </w:rPr>
      </w:pPr>
      <w:r w:rsidRPr="005D6102">
        <w:rPr>
          <w:sz w:val="20"/>
          <w:szCs w:val="20"/>
        </w:rPr>
        <w:t xml:space="preserve"> The </w:t>
      </w:r>
      <w:r w:rsidR="00E1238A" w:rsidRPr="005D6102">
        <w:rPr>
          <w:sz w:val="20"/>
          <w:szCs w:val="20"/>
        </w:rPr>
        <w:t>six</w:t>
      </w:r>
      <w:r w:rsidRPr="005D6102">
        <w:rPr>
          <w:sz w:val="20"/>
          <w:szCs w:val="20"/>
        </w:rPr>
        <w:t xml:space="preserve"> critical minerals covered in this publication are:</w:t>
      </w:r>
    </w:p>
    <w:p w14:paraId="30B6582C" w14:textId="270C1E9A" w:rsidR="00AF460E" w:rsidRPr="005D6102" w:rsidRDefault="00AF460E" w:rsidP="00AF460E">
      <w:pPr>
        <w:pStyle w:val="Keypointsbullet"/>
      </w:pPr>
      <w:r w:rsidRPr="005D6102">
        <w:t>Niobium</w:t>
      </w:r>
    </w:p>
    <w:p w14:paraId="711D657E" w14:textId="29B8A605" w:rsidR="00EF5617" w:rsidRPr="005D6102" w:rsidRDefault="00EF5617" w:rsidP="00AF460E">
      <w:pPr>
        <w:pStyle w:val="Keypointsbullet"/>
      </w:pPr>
      <w:r w:rsidRPr="005D6102">
        <w:t>Rare earth</w:t>
      </w:r>
      <w:r w:rsidR="00872BC8" w:rsidRPr="005D6102">
        <w:t xml:space="preserve"> elements</w:t>
      </w:r>
    </w:p>
    <w:p w14:paraId="0FCB78FB" w14:textId="77777777" w:rsidR="00EF5617" w:rsidRPr="005D6102" w:rsidRDefault="00EF5617" w:rsidP="00AF460E">
      <w:pPr>
        <w:pStyle w:val="Keypointsbullet"/>
      </w:pPr>
      <w:r w:rsidRPr="005D6102">
        <w:t>Cobalt</w:t>
      </w:r>
    </w:p>
    <w:p w14:paraId="1941FD1B" w14:textId="77777777" w:rsidR="00EF5617" w:rsidRPr="005D6102" w:rsidRDefault="00EF5617" w:rsidP="00AF460E">
      <w:pPr>
        <w:pStyle w:val="Keypointsbullet"/>
      </w:pPr>
      <w:r w:rsidRPr="005D6102">
        <w:t>Antimony</w:t>
      </w:r>
    </w:p>
    <w:p w14:paraId="1397B420" w14:textId="77777777" w:rsidR="00EF5617" w:rsidRPr="005D6102" w:rsidRDefault="00EF5617" w:rsidP="00AF460E">
      <w:pPr>
        <w:pStyle w:val="Keypointsbullet"/>
      </w:pPr>
      <w:r w:rsidRPr="005D6102">
        <w:t>Magnesium</w:t>
      </w:r>
    </w:p>
    <w:p w14:paraId="3DE5F5C2" w14:textId="77777777" w:rsidR="00EF5617" w:rsidRPr="005D6102" w:rsidRDefault="00EF5617" w:rsidP="00AF460E">
      <w:pPr>
        <w:pStyle w:val="Keypointsbullet"/>
      </w:pPr>
      <w:r w:rsidRPr="005D6102">
        <w:t>Tungsten</w:t>
      </w:r>
    </w:p>
    <w:p w14:paraId="3A11EDEA" w14:textId="77777777" w:rsidR="00EF5617" w:rsidRPr="005D6102" w:rsidRDefault="00EF5617" w:rsidP="00EF5617">
      <w:pPr>
        <w:rPr>
          <w:sz w:val="4"/>
          <w:szCs w:val="4"/>
        </w:rPr>
      </w:pPr>
    </w:p>
    <w:p w14:paraId="5CE10D10" w14:textId="1D7F6922" w:rsidR="00EF5617" w:rsidRPr="005D6102" w:rsidRDefault="00EF5617" w:rsidP="00EF5617">
      <w:pPr>
        <w:spacing w:after="120" w:line="270" w:lineRule="exact"/>
        <w:rPr>
          <w:sz w:val="20"/>
          <w:szCs w:val="20"/>
        </w:rPr>
      </w:pPr>
      <w:r w:rsidRPr="005D6102">
        <w:rPr>
          <w:sz w:val="20"/>
          <w:szCs w:val="20"/>
        </w:rPr>
        <w:t xml:space="preserve">Australia’s potential as a supplier of critical </w:t>
      </w:r>
      <w:r w:rsidR="0025618C" w:rsidRPr="005D6102">
        <w:rPr>
          <w:sz w:val="20"/>
          <w:szCs w:val="20"/>
        </w:rPr>
        <w:t>minerals</w:t>
      </w:r>
      <w:r w:rsidRPr="005D6102">
        <w:rPr>
          <w:sz w:val="20"/>
          <w:szCs w:val="20"/>
        </w:rPr>
        <w:t xml:space="preserve"> is not limited to these minerals, and many others also have signifi</w:t>
      </w:r>
      <w:r w:rsidR="00AF460E" w:rsidRPr="005D6102">
        <w:rPr>
          <w:sz w:val="20"/>
          <w:szCs w:val="20"/>
        </w:rPr>
        <w:t xml:space="preserve">cant prospects for the future. </w:t>
      </w:r>
      <w:r w:rsidRPr="005D6102">
        <w:rPr>
          <w:sz w:val="20"/>
          <w:szCs w:val="20"/>
        </w:rPr>
        <w:t>However, it is likely that early success will depend to a significant degree on</w:t>
      </w:r>
      <w:r w:rsidR="00A33F1D">
        <w:rPr>
          <w:sz w:val="20"/>
          <w:szCs w:val="20"/>
        </w:rPr>
        <w:t xml:space="preserve"> whether</w:t>
      </w:r>
      <w:r w:rsidRPr="005D6102">
        <w:rPr>
          <w:sz w:val="20"/>
          <w:szCs w:val="20"/>
        </w:rPr>
        <w:t xml:space="preserve"> these prospects</w:t>
      </w:r>
      <w:r w:rsidR="00A33F1D">
        <w:rPr>
          <w:sz w:val="20"/>
          <w:szCs w:val="20"/>
        </w:rPr>
        <w:t xml:space="preserve"> prove fruitful</w:t>
      </w:r>
      <w:r w:rsidRPr="005D6102">
        <w:rPr>
          <w:sz w:val="20"/>
          <w:szCs w:val="20"/>
        </w:rPr>
        <w:t xml:space="preserve">, and on our ability to </w:t>
      </w:r>
      <w:r w:rsidR="00E1238A" w:rsidRPr="005D6102">
        <w:rPr>
          <w:sz w:val="20"/>
          <w:szCs w:val="20"/>
        </w:rPr>
        <w:t xml:space="preserve">co-operatively </w:t>
      </w:r>
      <w:r w:rsidRPr="005D6102">
        <w:rPr>
          <w:sz w:val="20"/>
          <w:szCs w:val="20"/>
        </w:rPr>
        <w:t xml:space="preserve">harness the opportunities they </w:t>
      </w:r>
      <w:r w:rsidR="00E1238A" w:rsidRPr="005D6102">
        <w:rPr>
          <w:sz w:val="20"/>
          <w:szCs w:val="20"/>
        </w:rPr>
        <w:t>re</w:t>
      </w:r>
      <w:r w:rsidRPr="005D6102">
        <w:rPr>
          <w:sz w:val="20"/>
          <w:szCs w:val="20"/>
        </w:rPr>
        <w:t xml:space="preserve">present. </w:t>
      </w:r>
    </w:p>
    <w:p w14:paraId="40BEFD99" w14:textId="77777777" w:rsidR="00EF5617" w:rsidRPr="005D6102" w:rsidRDefault="00EF5617" w:rsidP="00EF5617">
      <w:pPr>
        <w:pStyle w:val="BodyText"/>
      </w:pPr>
    </w:p>
    <w:p w14:paraId="5F195FC7" w14:textId="77777777" w:rsidR="00EF5617" w:rsidRPr="005D6102" w:rsidRDefault="00EF5617">
      <w:pPr>
        <w:spacing w:after="200" w:line="276" w:lineRule="auto"/>
        <w:rPr>
          <w:rFonts w:asciiTheme="majorHAnsi" w:eastAsia="Times New Roman" w:hAnsiTheme="majorHAnsi" w:cs="Arial"/>
          <w:b/>
          <w:bCs/>
          <w:color w:val="005CAF"/>
          <w:kern w:val="32"/>
          <w:sz w:val="20"/>
          <w:szCs w:val="20"/>
        </w:rPr>
      </w:pPr>
      <w:r w:rsidRPr="005D6102">
        <w:rPr>
          <w:sz w:val="20"/>
          <w:szCs w:val="20"/>
        </w:rPr>
        <w:br w:type="page"/>
      </w:r>
    </w:p>
    <w:p w14:paraId="46BF01CA" w14:textId="77777777" w:rsidR="004A6BAE" w:rsidRPr="005D6102" w:rsidRDefault="004A6BAE" w:rsidP="0080065B">
      <w:pPr>
        <w:pStyle w:val="Heading1"/>
      </w:pPr>
      <w:bookmarkStart w:id="4" w:name="_Toc17803328"/>
      <w:bookmarkStart w:id="5" w:name="_Toc16143256"/>
      <w:r w:rsidRPr="005D6102">
        <w:lastRenderedPageBreak/>
        <w:t>What Australia has to offer</w:t>
      </w:r>
      <w:bookmarkEnd w:id="4"/>
      <w:bookmarkEnd w:id="5"/>
    </w:p>
    <w:p w14:paraId="7FB4B1DA" w14:textId="6089C931" w:rsidR="004A6BAE" w:rsidRPr="005D6102" w:rsidRDefault="00CF7090" w:rsidP="004A6BAE">
      <w:pPr>
        <w:pStyle w:val="BodyText"/>
      </w:pPr>
      <w:r w:rsidRPr="005D6102">
        <w:t xml:space="preserve">Australia has a </w:t>
      </w:r>
      <w:r w:rsidR="00B85982" w:rsidRPr="005D6102">
        <w:t>large</w:t>
      </w:r>
      <w:r w:rsidR="004A6BAE" w:rsidRPr="005D6102">
        <w:t xml:space="preserve"> natural resource endowment </w:t>
      </w:r>
      <w:r w:rsidRPr="005D6102">
        <w:t>and</w:t>
      </w:r>
      <w:r w:rsidR="004A6BAE" w:rsidRPr="005D6102">
        <w:t xml:space="preserve"> one of the most diversified commodity export portfolios in the world. This endowment includes a number of critical minera</w:t>
      </w:r>
      <w:r w:rsidR="000F4982" w:rsidRPr="005D6102">
        <w:t>ls</w:t>
      </w:r>
      <w:r w:rsidR="004A6BAE" w:rsidRPr="005D6102">
        <w:t xml:space="preserve">. </w:t>
      </w:r>
    </w:p>
    <w:p w14:paraId="28B47016" w14:textId="44012AD6" w:rsidR="004A6BAE" w:rsidRPr="005D6102" w:rsidRDefault="004A6BAE" w:rsidP="00B7430A">
      <w:pPr>
        <w:pStyle w:val="BodyText"/>
      </w:pPr>
      <w:r w:rsidRPr="005D6102">
        <w:t>Australia has been a reliable, cost-competitive supplier of resource and energy commodities to the world for many decades.</w:t>
      </w:r>
      <w:r w:rsidR="000F4982" w:rsidRPr="005D6102">
        <w:t xml:space="preserve"> These commodities are exported in raw form </w:t>
      </w:r>
      <w:r w:rsidR="00E419A8" w:rsidRPr="005D6102">
        <w:t>(</w:t>
      </w:r>
      <w:r w:rsidR="00A73681" w:rsidRPr="005D6102">
        <w:t>e.g.</w:t>
      </w:r>
      <w:r w:rsidR="00E419A8" w:rsidRPr="005D6102">
        <w:t xml:space="preserve"> </w:t>
      </w:r>
      <w:r w:rsidR="002D350D" w:rsidRPr="005D6102">
        <w:t xml:space="preserve">iron ore), </w:t>
      </w:r>
      <w:r w:rsidR="000F4982" w:rsidRPr="005D6102">
        <w:t xml:space="preserve">semi-processed </w:t>
      </w:r>
      <w:r w:rsidR="0066437C" w:rsidRPr="005D6102">
        <w:t>(</w:t>
      </w:r>
      <w:r w:rsidR="00A73681" w:rsidRPr="005D6102">
        <w:t>e.g.</w:t>
      </w:r>
      <w:r w:rsidR="0066437C" w:rsidRPr="005D6102">
        <w:t xml:space="preserve"> gold </w:t>
      </w:r>
      <w:r w:rsidR="00755273" w:rsidRPr="005D6102">
        <w:t>d</w:t>
      </w:r>
      <w:r w:rsidR="0066437C" w:rsidRPr="005D6102">
        <w:t>o</w:t>
      </w:r>
      <w:r w:rsidR="002D350D" w:rsidRPr="005D6102">
        <w:t>ré</w:t>
      </w:r>
      <w:r w:rsidR="00E419A8" w:rsidRPr="005D6102">
        <w:t>)</w:t>
      </w:r>
      <w:r w:rsidR="000F4982" w:rsidRPr="005D6102">
        <w:t xml:space="preserve"> </w:t>
      </w:r>
      <w:r w:rsidR="002D350D" w:rsidRPr="005D6102">
        <w:t xml:space="preserve">or </w:t>
      </w:r>
      <w:r w:rsidR="0066437C" w:rsidRPr="005D6102">
        <w:t>refined</w:t>
      </w:r>
      <w:r w:rsidR="000F4982" w:rsidRPr="005D6102">
        <w:t xml:space="preserve"> forms</w:t>
      </w:r>
      <w:r w:rsidR="00E419A8" w:rsidRPr="005D6102">
        <w:t xml:space="preserve"> (</w:t>
      </w:r>
      <w:r w:rsidR="00A73681" w:rsidRPr="005D6102">
        <w:t>e.g.</w:t>
      </w:r>
      <w:r w:rsidR="00E419A8" w:rsidRPr="005D6102">
        <w:t xml:space="preserve"> aluminium)</w:t>
      </w:r>
      <w:r w:rsidR="000F4982" w:rsidRPr="005D6102">
        <w:t xml:space="preserve">. </w:t>
      </w:r>
    </w:p>
    <w:p w14:paraId="6CC78560" w14:textId="72ED65A1" w:rsidR="009742BC" w:rsidRPr="005D6102" w:rsidRDefault="009742BC" w:rsidP="00B7430A">
      <w:pPr>
        <w:rPr>
          <w:rFonts w:asciiTheme="majorHAnsi" w:eastAsia="Times New Roman" w:hAnsiTheme="majorHAnsi" w:cs="Arial"/>
          <w:b/>
          <w:iCs/>
          <w:color w:val="56B4DF"/>
          <w:kern w:val="32"/>
          <w:szCs w:val="28"/>
        </w:rPr>
      </w:pPr>
      <w:r w:rsidRPr="005D6102">
        <w:rPr>
          <w:rFonts w:asciiTheme="majorHAnsi" w:eastAsia="Times New Roman" w:hAnsiTheme="majorHAnsi" w:cs="Arial"/>
          <w:b/>
          <w:iCs/>
          <w:color w:val="56B4DF"/>
          <w:kern w:val="32"/>
          <w:szCs w:val="28"/>
        </w:rPr>
        <w:t>Australia is a key producer of critical minerals</w:t>
      </w:r>
      <w:r w:rsidR="00B85982" w:rsidRPr="005D6102">
        <w:rPr>
          <w:rFonts w:asciiTheme="majorHAnsi" w:eastAsia="Times New Roman" w:hAnsiTheme="majorHAnsi" w:cs="Arial"/>
          <w:b/>
          <w:iCs/>
          <w:color w:val="56B4DF"/>
          <w:kern w:val="32"/>
          <w:szCs w:val="28"/>
        </w:rPr>
        <w:t>, with</w:t>
      </w:r>
      <w:r w:rsidR="00690EBF" w:rsidRPr="005D6102">
        <w:rPr>
          <w:rFonts w:asciiTheme="majorHAnsi" w:eastAsia="Times New Roman" w:hAnsiTheme="majorHAnsi" w:cs="Arial"/>
          <w:b/>
          <w:iCs/>
          <w:color w:val="56B4DF"/>
          <w:kern w:val="32"/>
          <w:szCs w:val="28"/>
        </w:rPr>
        <w:t xml:space="preserve"> potential</w:t>
      </w:r>
      <w:r w:rsidR="00B85982" w:rsidRPr="005D6102">
        <w:rPr>
          <w:rFonts w:asciiTheme="majorHAnsi" w:eastAsia="Times New Roman" w:hAnsiTheme="majorHAnsi" w:cs="Arial"/>
          <w:b/>
          <w:iCs/>
          <w:color w:val="56B4DF"/>
          <w:kern w:val="32"/>
          <w:szCs w:val="28"/>
        </w:rPr>
        <w:t xml:space="preserve"> to grow</w:t>
      </w:r>
    </w:p>
    <w:p w14:paraId="33223DA5" w14:textId="2FE08140" w:rsidR="004B1B4C" w:rsidRPr="005D6102" w:rsidRDefault="002D350D" w:rsidP="00CC256E">
      <w:pPr>
        <w:pStyle w:val="ListBullet"/>
        <w:numPr>
          <w:ilvl w:val="0"/>
          <w:numId w:val="49"/>
        </w:numPr>
      </w:pPr>
      <w:r w:rsidRPr="005D6102">
        <w:t>Australia has the world</w:t>
      </w:r>
      <w:r w:rsidR="00C70012" w:rsidRPr="005D6102">
        <w:t>’s</w:t>
      </w:r>
      <w:r w:rsidRPr="005D6102">
        <w:t xml:space="preserve"> largest resources of rutile (titanium), zirconium (zircon) and tantalum, as well as non-</w:t>
      </w:r>
      <w:r w:rsidR="004B1B4C" w:rsidRPr="005D6102">
        <w:t>critical</w:t>
      </w:r>
      <w:r w:rsidRPr="005D6102">
        <w:t xml:space="preserve"> minerals such as lead, nickel, uranium, gold an</w:t>
      </w:r>
      <w:r w:rsidR="004B1B4C" w:rsidRPr="005D6102">
        <w:t xml:space="preserve">d iron ore. </w:t>
      </w:r>
    </w:p>
    <w:p w14:paraId="538511DD" w14:textId="0F243BB7" w:rsidR="00BD166C" w:rsidRPr="005D6102" w:rsidRDefault="00BD166C" w:rsidP="00BD166C">
      <w:pPr>
        <w:pStyle w:val="ListBullet"/>
        <w:numPr>
          <w:ilvl w:val="0"/>
          <w:numId w:val="49"/>
        </w:numPr>
      </w:pPr>
      <w:r w:rsidRPr="005D6102">
        <w:t xml:space="preserve">Australia’s resources of </w:t>
      </w:r>
      <w:r w:rsidR="00C70012" w:rsidRPr="005D6102">
        <w:t xml:space="preserve">critical minerals such as </w:t>
      </w:r>
      <w:r w:rsidRPr="005D6102">
        <w:t>antimony, cobalt, lithium, magnesite, manganese ore, niobium, tungsten and vanadium</w:t>
      </w:r>
      <w:r w:rsidR="00340696" w:rsidRPr="005D6102">
        <w:t>,</w:t>
      </w:r>
      <w:r w:rsidRPr="005D6102">
        <w:t xml:space="preserve"> all rank in the top five globally.</w:t>
      </w:r>
    </w:p>
    <w:p w14:paraId="330B34A3" w14:textId="6A9DEDB3" w:rsidR="00BD166C" w:rsidRPr="005D6102" w:rsidRDefault="00BD166C" w:rsidP="00BD166C">
      <w:pPr>
        <w:pStyle w:val="ListBullet"/>
        <w:numPr>
          <w:ilvl w:val="0"/>
          <w:numId w:val="49"/>
        </w:numPr>
      </w:pPr>
      <w:r w:rsidRPr="005D6102">
        <w:t>Australia is the world’s top producer of spodumene (lithium), rutile and zirconium.</w:t>
      </w:r>
    </w:p>
    <w:p w14:paraId="243784D1" w14:textId="3ACC343A" w:rsidR="009742BC" w:rsidRPr="005D6102" w:rsidRDefault="00BD166C" w:rsidP="00C70012">
      <w:pPr>
        <w:pStyle w:val="ListBullet"/>
        <w:numPr>
          <w:ilvl w:val="0"/>
          <w:numId w:val="49"/>
        </w:numPr>
      </w:pPr>
      <w:r w:rsidRPr="005D6102">
        <w:t>Australia has potential for more undiscovered resources. Well-established mining regions cover just 20 per cent of Australia, with the remaining 80 per cent of the continent largely unexplored.</w:t>
      </w:r>
    </w:p>
    <w:p w14:paraId="767E3415" w14:textId="5A267244" w:rsidR="005D5190" w:rsidRPr="005D6102" w:rsidRDefault="005D5190" w:rsidP="005D5190">
      <w:pPr>
        <w:rPr>
          <w:rFonts w:asciiTheme="majorHAnsi" w:eastAsia="Times New Roman" w:hAnsiTheme="majorHAnsi" w:cs="Arial"/>
          <w:b/>
          <w:iCs/>
          <w:color w:val="56B4DF"/>
          <w:kern w:val="32"/>
          <w:szCs w:val="28"/>
        </w:rPr>
      </w:pPr>
      <w:r w:rsidRPr="005D6102">
        <w:rPr>
          <w:rFonts w:asciiTheme="majorHAnsi" w:eastAsia="Times New Roman" w:hAnsiTheme="majorHAnsi" w:cs="Arial"/>
          <w:b/>
          <w:iCs/>
          <w:color w:val="56B4DF"/>
          <w:kern w:val="32"/>
          <w:szCs w:val="28"/>
        </w:rPr>
        <w:t>Australia offers a strong and supportive investment climate</w:t>
      </w:r>
    </w:p>
    <w:p w14:paraId="62A1002A" w14:textId="081058EB" w:rsidR="005D5190" w:rsidRPr="005D6102" w:rsidRDefault="005D5190" w:rsidP="00B85982">
      <w:pPr>
        <w:pStyle w:val="ListBullet"/>
        <w:numPr>
          <w:ilvl w:val="0"/>
          <w:numId w:val="49"/>
        </w:numPr>
      </w:pPr>
      <w:r w:rsidRPr="005D6102">
        <w:t xml:space="preserve">Australia </w:t>
      </w:r>
      <w:r w:rsidR="00B85982" w:rsidRPr="005D6102">
        <w:t>has</w:t>
      </w:r>
      <w:r w:rsidRPr="005D6102">
        <w:t xml:space="preserve"> a stable investment environment, </w:t>
      </w:r>
      <w:r w:rsidR="00B71F5D">
        <w:t>good</w:t>
      </w:r>
      <w:r w:rsidR="00B71F5D" w:rsidRPr="005D6102">
        <w:t xml:space="preserve"> </w:t>
      </w:r>
      <w:r w:rsidRPr="005D6102">
        <w:t xml:space="preserve">infrastructure for road, rail and seaborne trade, and no significant security issues that could threaten supplies. </w:t>
      </w:r>
      <w:r w:rsidR="00B54F32" w:rsidRPr="005D6102">
        <w:t>Human capital is high</w:t>
      </w:r>
      <w:r w:rsidR="00340696" w:rsidRPr="005D6102">
        <w:t>,</w:t>
      </w:r>
      <w:r w:rsidR="00B54F32" w:rsidRPr="005D6102">
        <w:t xml:space="preserve"> with key strengths in pro</w:t>
      </w:r>
      <w:r w:rsidR="00E72EA6" w:rsidRPr="005D6102">
        <w:t xml:space="preserve">ject management, skilled trades, </w:t>
      </w:r>
      <w:r w:rsidR="00B54F32" w:rsidRPr="005D6102">
        <w:t xml:space="preserve">engineering and other professions. </w:t>
      </w:r>
      <w:r w:rsidRPr="005D6102">
        <w:t xml:space="preserve">It is ranked second in the world by the Fraser Institute </w:t>
      </w:r>
      <w:r w:rsidR="00BC3B9B" w:rsidRPr="005D6102">
        <w:t xml:space="preserve">(2018) </w:t>
      </w:r>
      <w:r w:rsidR="00E539B5" w:rsidRPr="005D6102">
        <w:t>for most attractive jurisdiction for mining investment,</w:t>
      </w:r>
      <w:r w:rsidRPr="005D6102">
        <w:t xml:space="preserve"> based on its policies and mineral potential.</w:t>
      </w:r>
    </w:p>
    <w:p w14:paraId="559032E2" w14:textId="2A3692AC" w:rsidR="005D5190" w:rsidRPr="005D6102" w:rsidRDefault="00B54F32" w:rsidP="00B85982">
      <w:pPr>
        <w:pStyle w:val="ListBullet"/>
        <w:numPr>
          <w:ilvl w:val="0"/>
          <w:numId w:val="49"/>
        </w:numPr>
      </w:pPr>
      <w:r w:rsidRPr="005D6102">
        <w:t xml:space="preserve">High construction, </w:t>
      </w:r>
      <w:r w:rsidR="005D5190" w:rsidRPr="005D6102">
        <w:t xml:space="preserve">environmental </w:t>
      </w:r>
      <w:r w:rsidRPr="005D6102">
        <w:t xml:space="preserve">and safety </w:t>
      </w:r>
      <w:r w:rsidR="00E72EA6" w:rsidRPr="005D6102">
        <w:t>standards apply</w:t>
      </w:r>
      <w:r w:rsidR="005D5190" w:rsidRPr="005D6102">
        <w:t xml:space="preserve"> to mining projects across Australia’s thousands of mines, protecting the industry’s social licence to operate.</w:t>
      </w:r>
    </w:p>
    <w:p w14:paraId="17FCE9F6" w14:textId="1391799D" w:rsidR="005D5190" w:rsidRPr="005D6102" w:rsidRDefault="005D5190" w:rsidP="00B85982">
      <w:pPr>
        <w:pStyle w:val="ListBullet"/>
        <w:numPr>
          <w:ilvl w:val="0"/>
          <w:numId w:val="49"/>
        </w:numPr>
      </w:pPr>
      <w:r w:rsidRPr="005D6102">
        <w:t xml:space="preserve">Australia’s strengths are also reflected in its huge </w:t>
      </w:r>
      <w:r w:rsidR="00E419A8" w:rsidRPr="005D6102">
        <w:t>mining equipment, technology and services (</w:t>
      </w:r>
      <w:r w:rsidRPr="005D6102">
        <w:t>METS</w:t>
      </w:r>
      <w:r w:rsidR="00E419A8" w:rsidRPr="005D6102">
        <w:t>)</w:t>
      </w:r>
      <w:r w:rsidR="00662ED9">
        <w:t xml:space="preserve"> sector. The METS sector was</w:t>
      </w:r>
      <w:r w:rsidR="00E419A8" w:rsidRPr="005D6102">
        <w:t xml:space="preserve"> responsible for</w:t>
      </w:r>
      <w:r w:rsidR="00F8169A">
        <w:t xml:space="preserve"> $9</w:t>
      </w:r>
      <w:r w:rsidRPr="005D6102">
        <w:t>2 billion in gross value-add</w:t>
      </w:r>
      <w:r w:rsidR="00E478A0">
        <w:t>ed</w:t>
      </w:r>
      <w:r w:rsidRPr="005D6102">
        <w:t xml:space="preserve"> </w:t>
      </w:r>
      <w:r w:rsidR="00662ED9">
        <w:t xml:space="preserve">in </w:t>
      </w:r>
      <w:r w:rsidR="00662ED9" w:rsidRPr="005D6102">
        <w:t>201</w:t>
      </w:r>
      <w:r w:rsidR="00662ED9">
        <w:t>7-18</w:t>
      </w:r>
      <w:r w:rsidR="00E478A0">
        <w:t xml:space="preserve"> </w:t>
      </w:r>
      <w:r w:rsidR="00E478A0" w:rsidRPr="005D6102">
        <w:t>an</w:t>
      </w:r>
      <w:r w:rsidR="00E478A0">
        <w:t xml:space="preserve">d employs an estimated half a million </w:t>
      </w:r>
      <w:r w:rsidR="00E478A0" w:rsidRPr="005D6102">
        <w:t>Australians</w:t>
      </w:r>
      <w:r w:rsidRPr="005D6102">
        <w:t>. Australian capital cities have creative METS hubs supporting the mining industry, with 201 METS companies’ head offices being located in Sydney, 186 in Perth and 149 in Brisbane.</w:t>
      </w:r>
    </w:p>
    <w:p w14:paraId="3C3FBD51" w14:textId="3DB550FF" w:rsidR="008C4F27" w:rsidRPr="005D6102" w:rsidRDefault="005D5190" w:rsidP="00B85982">
      <w:pPr>
        <w:pStyle w:val="ListBullet"/>
        <w:numPr>
          <w:ilvl w:val="0"/>
          <w:numId w:val="49"/>
        </w:numPr>
      </w:pPr>
      <w:r w:rsidRPr="005D6102">
        <w:t>Australia</w:t>
      </w:r>
      <w:r w:rsidR="00E4257A" w:rsidRPr="005D6102">
        <w:t>’s</w:t>
      </w:r>
      <w:r w:rsidRPr="005D6102">
        <w:t xml:space="preserve"> Federal and State governments have dedicated resources ministers and a range of policies, incentives</w:t>
      </w:r>
      <w:r w:rsidR="00E419A8" w:rsidRPr="005D6102">
        <w:t xml:space="preserve"> and </w:t>
      </w:r>
      <w:r w:rsidRPr="005D6102">
        <w:t xml:space="preserve">programs </w:t>
      </w:r>
      <w:r w:rsidR="00BE0CDF" w:rsidRPr="005D6102">
        <w:t xml:space="preserve">support mining </w:t>
      </w:r>
      <w:r w:rsidRPr="005D6102">
        <w:t>investment. These include</w:t>
      </w:r>
      <w:r w:rsidR="008C4F27" w:rsidRPr="005D6102">
        <w:t xml:space="preserve">: </w:t>
      </w:r>
    </w:p>
    <w:p w14:paraId="5CA83E62" w14:textId="0913A775" w:rsidR="005D5190" w:rsidRPr="005D6102" w:rsidRDefault="008C4F27" w:rsidP="008C4F27">
      <w:pPr>
        <w:pStyle w:val="ListBullet"/>
        <w:numPr>
          <w:ilvl w:val="1"/>
          <w:numId w:val="49"/>
        </w:numPr>
      </w:pPr>
      <w:r w:rsidRPr="005D6102">
        <w:t>T</w:t>
      </w:r>
      <w:r w:rsidR="005D5190" w:rsidRPr="005D6102">
        <w:t>he Australian Government’s Major Projects Facilitation Agency, which provides a single entry point for major project proponents seeking tailored information and facilitation of their regulatory approval requirements.</w:t>
      </w:r>
    </w:p>
    <w:p w14:paraId="3D6E2266" w14:textId="285316E1" w:rsidR="005D5190" w:rsidRPr="005D6102" w:rsidRDefault="008C4F27" w:rsidP="008C4F27">
      <w:pPr>
        <w:pStyle w:val="ListBullet"/>
        <w:numPr>
          <w:ilvl w:val="1"/>
          <w:numId w:val="49"/>
        </w:numPr>
      </w:pPr>
      <w:r w:rsidRPr="005D6102">
        <w:t>A total of</w:t>
      </w:r>
      <w:r w:rsidR="005D5190" w:rsidRPr="005D6102">
        <w:t xml:space="preserve"> 15 Research and Development (R&amp;D) facilities focusing on the resource sector. Through its Growth Centres Initiative, the Australian Government supports an industry-led plan for the Australian METS sector.</w:t>
      </w:r>
    </w:p>
    <w:p w14:paraId="36DE2BCC" w14:textId="14B8E273" w:rsidR="00CC256E" w:rsidRPr="005D6102" w:rsidRDefault="00416E91" w:rsidP="00CC256E">
      <w:pPr>
        <w:pStyle w:val="ListBullet"/>
        <w:numPr>
          <w:ilvl w:val="1"/>
          <w:numId w:val="49"/>
        </w:numPr>
      </w:pPr>
      <w:r w:rsidRPr="005D6102">
        <w:t>The</w:t>
      </w:r>
      <w:r w:rsidR="005D5190" w:rsidRPr="005D6102">
        <w:t xml:space="preserve"> R&amp;D Tax Incentive</w:t>
      </w:r>
      <w:r w:rsidR="008C4F27" w:rsidRPr="005D6102">
        <w:t>, which</w:t>
      </w:r>
      <w:r w:rsidR="005D5190" w:rsidRPr="005D6102">
        <w:t xml:space="preserve"> provides a national platform of support for R&amp;D in Australia.</w:t>
      </w:r>
    </w:p>
    <w:p w14:paraId="5A3E714F" w14:textId="6289853A" w:rsidR="005D5190" w:rsidRPr="005D6102" w:rsidRDefault="00CC256E" w:rsidP="008C4F27">
      <w:pPr>
        <w:pStyle w:val="ListBullet"/>
        <w:numPr>
          <w:ilvl w:val="1"/>
          <w:numId w:val="49"/>
        </w:numPr>
      </w:pPr>
      <w:r w:rsidRPr="005D6102">
        <w:t xml:space="preserve">A Critical Minerals Strategy (see table </w:t>
      </w:r>
      <w:r w:rsidR="00013859">
        <w:t>1.4</w:t>
      </w:r>
      <w:r w:rsidRPr="005D6102">
        <w:t xml:space="preserve"> below)</w:t>
      </w:r>
      <w:r w:rsidR="005D5190" w:rsidRPr="005D6102">
        <w:t xml:space="preserve"> </w:t>
      </w:r>
    </w:p>
    <w:p w14:paraId="41C09B46" w14:textId="77777777" w:rsidR="00CC256E" w:rsidRPr="005D6102" w:rsidRDefault="00CC256E" w:rsidP="005D5190">
      <w:pPr>
        <w:rPr>
          <w:sz w:val="20"/>
        </w:rPr>
      </w:pPr>
    </w:p>
    <w:p w14:paraId="3E687AFD" w14:textId="50C8E0DB" w:rsidR="004A6BAE" w:rsidRPr="005D6102" w:rsidRDefault="004A6BAE" w:rsidP="005D5190">
      <w:pPr>
        <w:rPr>
          <w:color w:val="373737"/>
          <w:sz w:val="20"/>
        </w:rPr>
      </w:pPr>
      <w:r w:rsidRPr="005D6102">
        <w:rPr>
          <w:sz w:val="20"/>
        </w:rPr>
        <w:t xml:space="preserve">Figure </w:t>
      </w:r>
      <w:r w:rsidR="00013859">
        <w:rPr>
          <w:sz w:val="20"/>
        </w:rPr>
        <w:t>1</w:t>
      </w:r>
      <w:r w:rsidR="00CC256E" w:rsidRPr="005D6102">
        <w:rPr>
          <w:sz w:val="20"/>
        </w:rPr>
        <w:t>.</w:t>
      </w:r>
      <w:r w:rsidRPr="005D6102">
        <w:rPr>
          <w:sz w:val="20"/>
        </w:rPr>
        <w:t>1 shows Australia’s mineral deposits, including the major critical minerals, and major mines.</w:t>
      </w:r>
    </w:p>
    <w:p w14:paraId="0E382858" w14:textId="63E21D46" w:rsidR="004A6BAE" w:rsidRPr="005D6102" w:rsidRDefault="004A6BAE" w:rsidP="004A6BAE">
      <w:pPr>
        <w:pStyle w:val="Caption"/>
        <w:pBdr>
          <w:top w:val="single" w:sz="2" w:space="3" w:color="595A5B"/>
        </w:pBdr>
      </w:pPr>
      <w:r w:rsidRPr="005D6102">
        <w:lastRenderedPageBreak/>
        <w:t xml:space="preserve">Figure </w:t>
      </w:r>
      <w:r w:rsidR="000D0B1D" w:rsidRPr="005D6102">
        <w:rPr>
          <w:noProof/>
        </w:rPr>
        <w:t>1</w:t>
      </w:r>
      <w:r w:rsidRPr="005D6102">
        <w:t>.</w:t>
      </w:r>
      <w:r w:rsidR="000F4B63">
        <w:rPr>
          <w:noProof/>
        </w:rPr>
        <w:fldChar w:fldCharType="begin"/>
      </w:r>
      <w:r w:rsidR="000F4B63">
        <w:rPr>
          <w:noProof/>
        </w:rPr>
        <w:instrText xml:space="preserve"> SEQ Figure \* ARABIC \s 1 </w:instrText>
      </w:r>
      <w:r w:rsidR="000F4B63">
        <w:rPr>
          <w:noProof/>
        </w:rPr>
        <w:fldChar w:fldCharType="separate"/>
      </w:r>
      <w:r w:rsidR="00A7507E">
        <w:rPr>
          <w:noProof/>
        </w:rPr>
        <w:t>1</w:t>
      </w:r>
      <w:r w:rsidR="000F4B63">
        <w:rPr>
          <w:noProof/>
        </w:rPr>
        <w:fldChar w:fldCharType="end"/>
      </w:r>
      <w:r w:rsidRPr="005D6102">
        <w:t xml:space="preserve">: Critical </w:t>
      </w:r>
      <w:r w:rsidR="00013859">
        <w:t>m</w:t>
      </w:r>
      <w:r w:rsidRPr="005D6102">
        <w:t xml:space="preserve">ineral </w:t>
      </w:r>
      <w:r w:rsidR="00013859">
        <w:t>d</w:t>
      </w:r>
      <w:r w:rsidRPr="005D6102">
        <w:t xml:space="preserve">eposits and </w:t>
      </w:r>
      <w:r w:rsidR="00013859">
        <w:t>m</w:t>
      </w:r>
      <w:r w:rsidRPr="005D6102">
        <w:t xml:space="preserve">ajor </w:t>
      </w:r>
      <w:r w:rsidR="00013859">
        <w:t>m</w:t>
      </w:r>
      <w:r w:rsidRPr="005D6102">
        <w:t>ines in Australia</w:t>
      </w:r>
    </w:p>
    <w:p w14:paraId="56AAA2A7" w14:textId="0403AB2B" w:rsidR="009C39BD" w:rsidRPr="005D6102" w:rsidRDefault="009C39BD" w:rsidP="009C39BD">
      <w:pPr>
        <w:pStyle w:val="Placeholder"/>
      </w:pPr>
      <w:r w:rsidRPr="005D6102">
        <w:rPr>
          <w:noProof/>
          <w:lang w:eastAsia="en-AU"/>
        </w:rPr>
        <w:drawing>
          <wp:inline distT="0" distB="0" distL="0" distR="0" wp14:anchorId="1BCA3C4F" wp14:editId="286125E9">
            <wp:extent cx="5655310" cy="3890010"/>
            <wp:effectExtent l="0" t="0" r="2540" b="0"/>
            <wp:docPr id="25" name="Picture 25" descr="This figures shows a map of Australia highlighting resource depositis including critical mineral deposits and major mines." title="Figure 1.1: Critical mineral deposits and major mines in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Map Aust resources.png"/>
                    <pic:cNvPicPr/>
                  </pic:nvPicPr>
                  <pic:blipFill>
                    <a:blip r:embed="rId17">
                      <a:extLst>
                        <a:ext uri="{28A0092B-C50C-407E-A947-70E740481C1C}">
                          <a14:useLocalDpi xmlns:a14="http://schemas.microsoft.com/office/drawing/2010/main" val="0"/>
                        </a:ext>
                      </a:extLst>
                    </a:blip>
                    <a:stretch>
                      <a:fillRect/>
                    </a:stretch>
                  </pic:blipFill>
                  <pic:spPr>
                    <a:xfrm>
                      <a:off x="0" y="0"/>
                      <a:ext cx="5655310" cy="3890010"/>
                    </a:xfrm>
                    <a:prstGeom prst="rect">
                      <a:avLst/>
                    </a:prstGeom>
                  </pic:spPr>
                </pic:pic>
              </a:graphicData>
            </a:graphic>
          </wp:inline>
        </w:drawing>
      </w:r>
    </w:p>
    <w:p w14:paraId="45F35A66" w14:textId="4C82C05B" w:rsidR="00C70012" w:rsidRPr="005D6102" w:rsidRDefault="00C70012" w:rsidP="00C70012">
      <w:pPr>
        <w:pStyle w:val="Source"/>
      </w:pPr>
      <w:r w:rsidRPr="005D6102">
        <w:t xml:space="preserve">Source: Geoscience Australia </w:t>
      </w:r>
      <w:r w:rsidR="000D0B1D" w:rsidRPr="005D6102">
        <w:t>(2019)</w:t>
      </w:r>
    </w:p>
    <w:p w14:paraId="2EE01B33" w14:textId="77777777" w:rsidR="00371A23" w:rsidRPr="005D6102" w:rsidRDefault="00371A23">
      <w:pPr>
        <w:spacing w:after="200" w:line="276" w:lineRule="auto"/>
        <w:rPr>
          <w:rFonts w:asciiTheme="majorHAnsi" w:eastAsia="Times New Roman" w:hAnsiTheme="majorHAnsi" w:cs="Arial"/>
          <w:b/>
          <w:bCs/>
          <w:color w:val="005CAF"/>
          <w:kern w:val="32"/>
          <w:sz w:val="32"/>
          <w:szCs w:val="32"/>
        </w:rPr>
      </w:pPr>
      <w:r w:rsidRPr="005D6102">
        <w:rPr>
          <w:rFonts w:asciiTheme="majorHAnsi" w:eastAsia="Times New Roman" w:hAnsiTheme="majorHAnsi" w:cs="Arial"/>
          <w:b/>
          <w:bCs/>
          <w:color w:val="005CAF"/>
          <w:kern w:val="32"/>
          <w:sz w:val="32"/>
          <w:szCs w:val="32"/>
        </w:rPr>
        <w:br w:type="page"/>
      </w:r>
    </w:p>
    <w:p w14:paraId="3826E3D0" w14:textId="3E38B2C3" w:rsidR="00835C84" w:rsidRPr="005D6102" w:rsidRDefault="00835C84" w:rsidP="00835C84">
      <w:pPr>
        <w:pStyle w:val="Caption"/>
      </w:pPr>
      <w:r w:rsidRPr="005D6102">
        <w:lastRenderedPageBreak/>
        <w:t xml:space="preserve">Table </w:t>
      </w:r>
      <w:r w:rsidR="000D0B1D" w:rsidRPr="005D6102">
        <w:rPr>
          <w:noProof/>
        </w:rPr>
        <w:t>1</w:t>
      </w:r>
      <w:r w:rsidRPr="005D6102">
        <w:t>.</w:t>
      </w:r>
      <w:r w:rsidRPr="005D6102">
        <w:rPr>
          <w:noProof/>
        </w:rPr>
        <w:fldChar w:fldCharType="begin"/>
      </w:r>
      <w:r w:rsidRPr="005D6102">
        <w:rPr>
          <w:noProof/>
        </w:rPr>
        <w:instrText xml:space="preserve"> SEQ Table \* ARABIC \s 1 </w:instrText>
      </w:r>
      <w:r w:rsidRPr="005D6102">
        <w:rPr>
          <w:noProof/>
        </w:rPr>
        <w:fldChar w:fldCharType="separate"/>
      </w:r>
      <w:r w:rsidR="00A7507E">
        <w:rPr>
          <w:noProof/>
        </w:rPr>
        <w:t>1</w:t>
      </w:r>
      <w:r w:rsidRPr="005D6102">
        <w:rPr>
          <w:noProof/>
        </w:rPr>
        <w:fldChar w:fldCharType="end"/>
      </w:r>
      <w:r w:rsidRPr="005D6102">
        <w:t>: Australia’s critical minerals share and ranking</w:t>
      </w:r>
      <w:r w:rsidR="000A02FE" w:rsidRPr="005D6102">
        <w:t>, 2018</w:t>
      </w:r>
    </w:p>
    <w:tbl>
      <w:tblPr>
        <w:tblStyle w:val="OCETable"/>
        <w:tblW w:w="0" w:type="auto"/>
        <w:tblLook w:val="04A0" w:firstRow="1" w:lastRow="0" w:firstColumn="1" w:lastColumn="0" w:noHBand="0" w:noVBand="1"/>
        <w:tblCaption w:val="Table 1.1: Australia’s critical minerals share and ranking, 2018"/>
        <w:tblDescription w:val="This table lists 24 minerals that are commonly considered 'critical minerals', and identifies Australia's resource and production in terms of world ranking and share of world."/>
      </w:tblPr>
      <w:tblGrid>
        <w:gridCol w:w="1869"/>
        <w:gridCol w:w="1286"/>
        <w:gridCol w:w="1532"/>
        <w:gridCol w:w="1258"/>
        <w:gridCol w:w="1450"/>
        <w:gridCol w:w="1511"/>
      </w:tblGrid>
      <w:tr w:rsidR="0070688F" w:rsidRPr="005D6102" w14:paraId="5BABA417" w14:textId="77777777" w:rsidTr="0070688F">
        <w:trPr>
          <w:cnfStyle w:val="100000000000" w:firstRow="1" w:lastRow="0" w:firstColumn="0" w:lastColumn="0" w:oddVBand="0" w:evenVBand="0" w:oddHBand="0" w:evenHBand="0" w:firstRowFirstColumn="0" w:firstRowLastColumn="0" w:lastRowFirstColumn="0" w:lastRowLastColumn="0"/>
          <w:trHeight w:val="379"/>
          <w:tblHeader/>
        </w:trPr>
        <w:tc>
          <w:tcPr>
            <w:tcW w:w="1869" w:type="dxa"/>
          </w:tcPr>
          <w:p w14:paraId="15D5DAFF" w14:textId="77777777" w:rsidR="00644241" w:rsidRPr="005D6102" w:rsidRDefault="00644241" w:rsidP="00835C84">
            <w:pPr>
              <w:rPr>
                <w:sz w:val="28"/>
                <w:szCs w:val="28"/>
              </w:rPr>
            </w:pPr>
            <w:r w:rsidRPr="005D6102">
              <w:t>Commodity</w:t>
            </w:r>
          </w:p>
        </w:tc>
        <w:tc>
          <w:tcPr>
            <w:tcW w:w="1286" w:type="dxa"/>
          </w:tcPr>
          <w:p w14:paraId="3268A00A" w14:textId="4ABDC668" w:rsidR="00644241" w:rsidRPr="005D6102" w:rsidRDefault="00644241" w:rsidP="00A76128">
            <w:pPr>
              <w:rPr>
                <w:rFonts w:cs="Arial"/>
                <w:sz w:val="17"/>
                <w:szCs w:val="17"/>
              </w:rPr>
            </w:pPr>
            <w:r w:rsidRPr="005D6102">
              <w:rPr>
                <w:rFonts w:cs="Arial"/>
                <w:sz w:val="17"/>
                <w:szCs w:val="17"/>
              </w:rPr>
              <w:t>Australia’s Geological Potential</w:t>
            </w:r>
          </w:p>
        </w:tc>
        <w:tc>
          <w:tcPr>
            <w:tcW w:w="1532" w:type="dxa"/>
          </w:tcPr>
          <w:p w14:paraId="483F196A" w14:textId="7A452A6F" w:rsidR="00644241" w:rsidRPr="005D6102" w:rsidRDefault="00644241" w:rsidP="00835C84">
            <w:pPr>
              <w:rPr>
                <w:sz w:val="28"/>
                <w:szCs w:val="28"/>
              </w:rPr>
            </w:pPr>
            <w:r w:rsidRPr="005D6102">
              <w:t>Australia’s ranking for resources</w:t>
            </w:r>
            <w:r w:rsidR="00435680" w:rsidRPr="005D6102">
              <w:t xml:space="preserve"> </w:t>
            </w:r>
          </w:p>
        </w:tc>
        <w:tc>
          <w:tcPr>
            <w:tcW w:w="1258" w:type="dxa"/>
          </w:tcPr>
          <w:p w14:paraId="37BEDADD" w14:textId="77777777" w:rsidR="00644241" w:rsidRPr="005D6102" w:rsidRDefault="00644241" w:rsidP="00835C84">
            <w:pPr>
              <w:rPr>
                <w:sz w:val="28"/>
                <w:szCs w:val="28"/>
              </w:rPr>
            </w:pPr>
            <w:r w:rsidRPr="005D6102">
              <w:t>Share of world resources</w:t>
            </w:r>
          </w:p>
        </w:tc>
        <w:tc>
          <w:tcPr>
            <w:tcW w:w="1450" w:type="dxa"/>
          </w:tcPr>
          <w:p w14:paraId="2FDF2495" w14:textId="77777777" w:rsidR="00644241" w:rsidRPr="005D6102" w:rsidRDefault="00644241" w:rsidP="00835C84">
            <w:r w:rsidRPr="005D6102">
              <w:t>Australia’s ranking for production</w:t>
            </w:r>
          </w:p>
        </w:tc>
        <w:tc>
          <w:tcPr>
            <w:tcW w:w="1511" w:type="dxa"/>
          </w:tcPr>
          <w:p w14:paraId="1E8B28DF" w14:textId="77777777" w:rsidR="00644241" w:rsidRPr="005D6102" w:rsidRDefault="00644241" w:rsidP="00835C84">
            <w:pPr>
              <w:rPr>
                <w:sz w:val="28"/>
                <w:szCs w:val="28"/>
              </w:rPr>
            </w:pPr>
            <w:r w:rsidRPr="005D6102">
              <w:t>Share of world production</w:t>
            </w:r>
          </w:p>
        </w:tc>
      </w:tr>
      <w:tr w:rsidR="00096FB1" w:rsidRPr="005D6102" w14:paraId="4F34D5A9" w14:textId="77777777" w:rsidTr="00096FB1">
        <w:trPr>
          <w:cnfStyle w:val="000000100000" w:firstRow="0" w:lastRow="0" w:firstColumn="0" w:lastColumn="0" w:oddVBand="0" w:evenVBand="0" w:oddHBand="1" w:evenHBand="0" w:firstRowFirstColumn="0" w:firstRowLastColumn="0" w:lastRowFirstColumn="0" w:lastRowLastColumn="0"/>
        </w:trPr>
        <w:tc>
          <w:tcPr>
            <w:tcW w:w="1869" w:type="dxa"/>
          </w:tcPr>
          <w:p w14:paraId="62C2DF38" w14:textId="428BCE84" w:rsidR="00096FB1" w:rsidRPr="005D6102" w:rsidRDefault="00096FB1" w:rsidP="00096FB1">
            <w:pPr>
              <w:rPr>
                <w:sz w:val="28"/>
                <w:szCs w:val="28"/>
              </w:rPr>
            </w:pPr>
            <w:r w:rsidRPr="005D6102">
              <w:t>Antimony</w:t>
            </w:r>
          </w:p>
        </w:tc>
        <w:tc>
          <w:tcPr>
            <w:tcW w:w="1286" w:type="dxa"/>
          </w:tcPr>
          <w:p w14:paraId="1B083916" w14:textId="781C8906" w:rsidR="00096FB1" w:rsidRPr="005D6102" w:rsidRDefault="00096FB1" w:rsidP="00096FB1">
            <w:pPr>
              <w:jc w:val="right"/>
            </w:pPr>
            <w:r w:rsidRPr="005D6102">
              <w:t>Moderate</w:t>
            </w:r>
          </w:p>
        </w:tc>
        <w:tc>
          <w:tcPr>
            <w:tcW w:w="1532" w:type="dxa"/>
          </w:tcPr>
          <w:p w14:paraId="68FA5184" w14:textId="3FDD66B5" w:rsidR="00096FB1" w:rsidRPr="005D6102" w:rsidRDefault="00435680" w:rsidP="00096FB1">
            <w:pPr>
              <w:jc w:val="right"/>
              <w:rPr>
                <w:sz w:val="28"/>
                <w:szCs w:val="28"/>
              </w:rPr>
            </w:pPr>
            <w:r w:rsidRPr="005D6102">
              <w:t>4</w:t>
            </w:r>
          </w:p>
        </w:tc>
        <w:tc>
          <w:tcPr>
            <w:tcW w:w="1258" w:type="dxa"/>
          </w:tcPr>
          <w:p w14:paraId="66161D8D" w14:textId="77777777" w:rsidR="00096FB1" w:rsidRPr="005D6102" w:rsidRDefault="00096FB1" w:rsidP="00096FB1">
            <w:pPr>
              <w:jc w:val="right"/>
              <w:rPr>
                <w:sz w:val="28"/>
                <w:szCs w:val="28"/>
              </w:rPr>
            </w:pPr>
            <w:r w:rsidRPr="005D6102">
              <w:t>9%</w:t>
            </w:r>
          </w:p>
        </w:tc>
        <w:tc>
          <w:tcPr>
            <w:tcW w:w="1450" w:type="dxa"/>
          </w:tcPr>
          <w:p w14:paraId="797899F0" w14:textId="1BF2D62F" w:rsidR="00096FB1" w:rsidRPr="005D6102" w:rsidRDefault="00435680" w:rsidP="00096FB1">
            <w:pPr>
              <w:jc w:val="right"/>
            </w:pPr>
            <w:r w:rsidRPr="005D6102">
              <w:t>4</w:t>
            </w:r>
          </w:p>
        </w:tc>
        <w:tc>
          <w:tcPr>
            <w:tcW w:w="1511" w:type="dxa"/>
          </w:tcPr>
          <w:p w14:paraId="22B685B9" w14:textId="69DBD6E7" w:rsidR="00096FB1" w:rsidRPr="005D6102" w:rsidRDefault="00435680" w:rsidP="00096FB1">
            <w:pPr>
              <w:jc w:val="right"/>
              <w:rPr>
                <w:sz w:val="28"/>
                <w:szCs w:val="28"/>
              </w:rPr>
            </w:pPr>
            <w:r w:rsidRPr="005D6102">
              <w:t>4</w:t>
            </w:r>
            <w:r w:rsidR="00096FB1" w:rsidRPr="005D6102">
              <w:t>%</w:t>
            </w:r>
          </w:p>
        </w:tc>
      </w:tr>
      <w:tr w:rsidR="00435680" w:rsidRPr="005D6102" w14:paraId="43D32CDC" w14:textId="77777777" w:rsidTr="00096FB1">
        <w:trPr>
          <w:cnfStyle w:val="000000010000" w:firstRow="0" w:lastRow="0" w:firstColumn="0" w:lastColumn="0" w:oddVBand="0" w:evenVBand="0" w:oddHBand="0" w:evenHBand="1" w:firstRowFirstColumn="0" w:firstRowLastColumn="0" w:lastRowFirstColumn="0" w:lastRowLastColumn="0"/>
        </w:trPr>
        <w:tc>
          <w:tcPr>
            <w:tcW w:w="1869" w:type="dxa"/>
          </w:tcPr>
          <w:p w14:paraId="7B31BF50" w14:textId="3596B383" w:rsidR="00435680" w:rsidRPr="005D6102" w:rsidRDefault="00435680" w:rsidP="00435680">
            <w:r w:rsidRPr="005D6102">
              <w:t>Beryllium</w:t>
            </w:r>
          </w:p>
        </w:tc>
        <w:tc>
          <w:tcPr>
            <w:tcW w:w="1286" w:type="dxa"/>
          </w:tcPr>
          <w:p w14:paraId="3E855F4B" w14:textId="05E6E972" w:rsidR="00435680" w:rsidRPr="005D6102" w:rsidRDefault="00435680" w:rsidP="00435680">
            <w:pPr>
              <w:jc w:val="right"/>
            </w:pPr>
            <w:r w:rsidRPr="005D6102">
              <w:t>Moderate</w:t>
            </w:r>
          </w:p>
        </w:tc>
        <w:tc>
          <w:tcPr>
            <w:tcW w:w="1532" w:type="dxa"/>
          </w:tcPr>
          <w:p w14:paraId="1DA58435" w14:textId="0C163B2C" w:rsidR="00435680" w:rsidRPr="005D6102" w:rsidRDefault="00435680" w:rsidP="00435680">
            <w:pPr>
              <w:jc w:val="right"/>
            </w:pPr>
            <w:r w:rsidRPr="005D6102">
              <w:t>-</w:t>
            </w:r>
          </w:p>
        </w:tc>
        <w:tc>
          <w:tcPr>
            <w:tcW w:w="1258" w:type="dxa"/>
          </w:tcPr>
          <w:p w14:paraId="71CDB56D" w14:textId="4BE8B0C2" w:rsidR="00435680" w:rsidRPr="005D6102" w:rsidRDefault="00435680" w:rsidP="00435680">
            <w:pPr>
              <w:jc w:val="right"/>
            </w:pPr>
            <w:r w:rsidRPr="005D6102">
              <w:t>-</w:t>
            </w:r>
          </w:p>
        </w:tc>
        <w:tc>
          <w:tcPr>
            <w:tcW w:w="1450" w:type="dxa"/>
          </w:tcPr>
          <w:p w14:paraId="7BB5FE12" w14:textId="38D1D34A" w:rsidR="00435680" w:rsidRPr="005D6102" w:rsidRDefault="00435680" w:rsidP="00435680">
            <w:pPr>
              <w:jc w:val="right"/>
            </w:pPr>
            <w:r w:rsidRPr="005D6102">
              <w:t>-</w:t>
            </w:r>
          </w:p>
        </w:tc>
        <w:tc>
          <w:tcPr>
            <w:tcW w:w="1511" w:type="dxa"/>
          </w:tcPr>
          <w:p w14:paraId="0FE0F2E6" w14:textId="46DA08F7" w:rsidR="00435680" w:rsidRPr="005D6102" w:rsidRDefault="00435680" w:rsidP="00435680">
            <w:pPr>
              <w:jc w:val="right"/>
            </w:pPr>
            <w:r w:rsidRPr="005D6102">
              <w:t>-</w:t>
            </w:r>
          </w:p>
        </w:tc>
      </w:tr>
      <w:tr w:rsidR="00435680" w:rsidRPr="005D6102" w14:paraId="4172C22B" w14:textId="77777777" w:rsidTr="00096FB1">
        <w:trPr>
          <w:cnfStyle w:val="000000100000" w:firstRow="0" w:lastRow="0" w:firstColumn="0" w:lastColumn="0" w:oddVBand="0" w:evenVBand="0" w:oddHBand="1" w:evenHBand="0" w:firstRowFirstColumn="0" w:firstRowLastColumn="0" w:lastRowFirstColumn="0" w:lastRowLastColumn="0"/>
        </w:trPr>
        <w:tc>
          <w:tcPr>
            <w:tcW w:w="1869" w:type="dxa"/>
          </w:tcPr>
          <w:p w14:paraId="0F55A287" w14:textId="368C7E67" w:rsidR="00435680" w:rsidRPr="005D6102" w:rsidRDefault="00435680" w:rsidP="00435680">
            <w:r w:rsidRPr="005D6102">
              <w:t>Bismuth</w:t>
            </w:r>
          </w:p>
        </w:tc>
        <w:tc>
          <w:tcPr>
            <w:tcW w:w="1286" w:type="dxa"/>
          </w:tcPr>
          <w:p w14:paraId="6348CD2A" w14:textId="7C3B427B" w:rsidR="00435680" w:rsidRPr="005D6102" w:rsidRDefault="00435680" w:rsidP="00435680">
            <w:pPr>
              <w:jc w:val="right"/>
            </w:pPr>
            <w:r w:rsidRPr="005D6102">
              <w:t>Moderate</w:t>
            </w:r>
          </w:p>
        </w:tc>
        <w:tc>
          <w:tcPr>
            <w:tcW w:w="1532" w:type="dxa"/>
          </w:tcPr>
          <w:p w14:paraId="7AF39FF7" w14:textId="32E045B2" w:rsidR="00435680" w:rsidRPr="005D6102" w:rsidRDefault="00435680" w:rsidP="00435680">
            <w:pPr>
              <w:jc w:val="right"/>
            </w:pPr>
            <w:r w:rsidRPr="005D6102">
              <w:t>-</w:t>
            </w:r>
          </w:p>
        </w:tc>
        <w:tc>
          <w:tcPr>
            <w:tcW w:w="1258" w:type="dxa"/>
          </w:tcPr>
          <w:p w14:paraId="6F4CD385" w14:textId="60DE8C1D" w:rsidR="00435680" w:rsidRPr="005D6102" w:rsidRDefault="00435680" w:rsidP="00435680">
            <w:pPr>
              <w:jc w:val="right"/>
            </w:pPr>
            <w:r w:rsidRPr="005D6102">
              <w:t>-</w:t>
            </w:r>
          </w:p>
        </w:tc>
        <w:tc>
          <w:tcPr>
            <w:tcW w:w="1450" w:type="dxa"/>
          </w:tcPr>
          <w:p w14:paraId="715B7AD7" w14:textId="54B21531" w:rsidR="00435680" w:rsidRPr="005D6102" w:rsidRDefault="00435680" w:rsidP="00435680">
            <w:pPr>
              <w:jc w:val="right"/>
            </w:pPr>
            <w:r w:rsidRPr="005D6102">
              <w:t>-</w:t>
            </w:r>
          </w:p>
        </w:tc>
        <w:tc>
          <w:tcPr>
            <w:tcW w:w="1511" w:type="dxa"/>
          </w:tcPr>
          <w:p w14:paraId="5D848F1A" w14:textId="7D8D7348" w:rsidR="00435680" w:rsidRPr="005D6102" w:rsidRDefault="00435680" w:rsidP="00435680">
            <w:pPr>
              <w:jc w:val="right"/>
            </w:pPr>
            <w:r w:rsidRPr="005D6102">
              <w:t>-</w:t>
            </w:r>
          </w:p>
        </w:tc>
      </w:tr>
      <w:tr w:rsidR="00435680" w:rsidRPr="005D6102" w14:paraId="73A4EF62" w14:textId="77777777" w:rsidTr="00096FB1">
        <w:trPr>
          <w:cnfStyle w:val="000000010000" w:firstRow="0" w:lastRow="0" w:firstColumn="0" w:lastColumn="0" w:oddVBand="0" w:evenVBand="0" w:oddHBand="0" w:evenHBand="1" w:firstRowFirstColumn="0" w:firstRowLastColumn="0" w:lastRowFirstColumn="0" w:lastRowLastColumn="0"/>
        </w:trPr>
        <w:tc>
          <w:tcPr>
            <w:tcW w:w="1869" w:type="dxa"/>
          </w:tcPr>
          <w:p w14:paraId="24003E40" w14:textId="37E884A4" w:rsidR="00435680" w:rsidRPr="005D6102" w:rsidRDefault="00435680" w:rsidP="00435680">
            <w:r w:rsidRPr="005D6102">
              <w:t>Chromium</w:t>
            </w:r>
          </w:p>
        </w:tc>
        <w:tc>
          <w:tcPr>
            <w:tcW w:w="1286" w:type="dxa"/>
          </w:tcPr>
          <w:p w14:paraId="3860E39C" w14:textId="2AF6CD8D" w:rsidR="00435680" w:rsidRPr="005D6102" w:rsidRDefault="00435680" w:rsidP="00435680">
            <w:pPr>
              <w:jc w:val="right"/>
            </w:pPr>
            <w:r w:rsidRPr="005D6102">
              <w:t>High</w:t>
            </w:r>
          </w:p>
        </w:tc>
        <w:tc>
          <w:tcPr>
            <w:tcW w:w="1532" w:type="dxa"/>
          </w:tcPr>
          <w:p w14:paraId="7808A0A6" w14:textId="59385664" w:rsidR="00435680" w:rsidRPr="005D6102" w:rsidRDefault="00435680" w:rsidP="00435680">
            <w:pPr>
              <w:jc w:val="right"/>
            </w:pPr>
            <w:r w:rsidRPr="005D6102">
              <w:t>-</w:t>
            </w:r>
          </w:p>
        </w:tc>
        <w:tc>
          <w:tcPr>
            <w:tcW w:w="1258" w:type="dxa"/>
          </w:tcPr>
          <w:p w14:paraId="7E07FD5B" w14:textId="61570EB2" w:rsidR="00435680" w:rsidRPr="005D6102" w:rsidRDefault="00435680" w:rsidP="00435680">
            <w:pPr>
              <w:jc w:val="right"/>
            </w:pPr>
            <w:r w:rsidRPr="005D6102">
              <w:t>-</w:t>
            </w:r>
          </w:p>
        </w:tc>
        <w:tc>
          <w:tcPr>
            <w:tcW w:w="1450" w:type="dxa"/>
          </w:tcPr>
          <w:p w14:paraId="138F9268" w14:textId="63DBB0BB" w:rsidR="00435680" w:rsidRPr="005D6102" w:rsidRDefault="00435680" w:rsidP="00435680">
            <w:pPr>
              <w:jc w:val="right"/>
            </w:pPr>
            <w:r w:rsidRPr="005D6102">
              <w:t>-</w:t>
            </w:r>
          </w:p>
        </w:tc>
        <w:tc>
          <w:tcPr>
            <w:tcW w:w="1511" w:type="dxa"/>
          </w:tcPr>
          <w:p w14:paraId="05F06D7C" w14:textId="016C6EEF" w:rsidR="00435680" w:rsidRPr="005D6102" w:rsidRDefault="00435680" w:rsidP="00435680">
            <w:pPr>
              <w:jc w:val="right"/>
            </w:pPr>
            <w:r w:rsidRPr="005D6102">
              <w:t>-</w:t>
            </w:r>
          </w:p>
        </w:tc>
      </w:tr>
      <w:tr w:rsidR="00435680" w:rsidRPr="005D6102" w14:paraId="6B260A0C" w14:textId="77777777" w:rsidTr="00096FB1">
        <w:trPr>
          <w:cnfStyle w:val="000000100000" w:firstRow="0" w:lastRow="0" w:firstColumn="0" w:lastColumn="0" w:oddVBand="0" w:evenVBand="0" w:oddHBand="1" w:evenHBand="0" w:firstRowFirstColumn="0" w:firstRowLastColumn="0" w:lastRowFirstColumn="0" w:lastRowLastColumn="0"/>
        </w:trPr>
        <w:tc>
          <w:tcPr>
            <w:tcW w:w="1869" w:type="dxa"/>
          </w:tcPr>
          <w:p w14:paraId="031DD12A" w14:textId="1976DF66" w:rsidR="00435680" w:rsidRPr="005D6102" w:rsidRDefault="00435680" w:rsidP="00435680">
            <w:r w:rsidRPr="005D6102">
              <w:t>Cobalt</w:t>
            </w:r>
          </w:p>
        </w:tc>
        <w:tc>
          <w:tcPr>
            <w:tcW w:w="1286" w:type="dxa"/>
          </w:tcPr>
          <w:p w14:paraId="29EDF7F3" w14:textId="2DEB74CC" w:rsidR="00435680" w:rsidRPr="005D6102" w:rsidRDefault="00435680" w:rsidP="00435680">
            <w:pPr>
              <w:jc w:val="right"/>
            </w:pPr>
            <w:r w:rsidRPr="005D6102">
              <w:t>High</w:t>
            </w:r>
          </w:p>
        </w:tc>
        <w:tc>
          <w:tcPr>
            <w:tcW w:w="1532" w:type="dxa"/>
          </w:tcPr>
          <w:p w14:paraId="294DE7E5" w14:textId="2E501FD8" w:rsidR="00435680" w:rsidRPr="005D6102" w:rsidRDefault="000D27CB" w:rsidP="00435680">
            <w:pPr>
              <w:jc w:val="right"/>
            </w:pPr>
            <w:r w:rsidRPr="005D6102">
              <w:t>2</w:t>
            </w:r>
          </w:p>
        </w:tc>
        <w:tc>
          <w:tcPr>
            <w:tcW w:w="1258" w:type="dxa"/>
          </w:tcPr>
          <w:p w14:paraId="2CC5F2AA" w14:textId="5AA02BD8" w:rsidR="00435680" w:rsidRPr="005D6102" w:rsidRDefault="00435680" w:rsidP="00435680">
            <w:pPr>
              <w:jc w:val="right"/>
            </w:pPr>
            <w:r w:rsidRPr="005D6102">
              <w:t>17%</w:t>
            </w:r>
          </w:p>
        </w:tc>
        <w:tc>
          <w:tcPr>
            <w:tcW w:w="1450" w:type="dxa"/>
          </w:tcPr>
          <w:p w14:paraId="40FB3F9F" w14:textId="4E613E1D" w:rsidR="00435680" w:rsidRPr="005D6102" w:rsidRDefault="000D27CB" w:rsidP="00435680">
            <w:pPr>
              <w:jc w:val="right"/>
            </w:pPr>
            <w:r w:rsidRPr="005D6102">
              <w:t>3</w:t>
            </w:r>
          </w:p>
        </w:tc>
        <w:tc>
          <w:tcPr>
            <w:tcW w:w="1511" w:type="dxa"/>
          </w:tcPr>
          <w:p w14:paraId="01C484C4" w14:textId="193EC2AF" w:rsidR="00435680" w:rsidRPr="005D6102" w:rsidRDefault="00587AD8" w:rsidP="00435680">
            <w:pPr>
              <w:jc w:val="right"/>
            </w:pPr>
            <w:r>
              <w:t>3</w:t>
            </w:r>
            <w:r w:rsidR="00435680" w:rsidRPr="005D6102">
              <w:t>%</w:t>
            </w:r>
          </w:p>
        </w:tc>
      </w:tr>
      <w:tr w:rsidR="000D27CB" w:rsidRPr="005D6102" w14:paraId="73A7B00D" w14:textId="77777777" w:rsidTr="00096FB1">
        <w:trPr>
          <w:cnfStyle w:val="000000010000" w:firstRow="0" w:lastRow="0" w:firstColumn="0" w:lastColumn="0" w:oddVBand="0" w:evenVBand="0" w:oddHBand="0" w:evenHBand="1" w:firstRowFirstColumn="0" w:firstRowLastColumn="0" w:lastRowFirstColumn="0" w:lastRowLastColumn="0"/>
        </w:trPr>
        <w:tc>
          <w:tcPr>
            <w:tcW w:w="1869" w:type="dxa"/>
          </w:tcPr>
          <w:p w14:paraId="6F10386C" w14:textId="145B276F" w:rsidR="000D27CB" w:rsidRPr="005D6102" w:rsidRDefault="000D27CB" w:rsidP="00435680">
            <w:r w:rsidRPr="005D6102">
              <w:t>Gallium</w:t>
            </w:r>
          </w:p>
        </w:tc>
        <w:tc>
          <w:tcPr>
            <w:tcW w:w="1286" w:type="dxa"/>
          </w:tcPr>
          <w:p w14:paraId="5C516B69" w14:textId="302E5720" w:rsidR="000D27CB" w:rsidRPr="005D6102" w:rsidRDefault="000D27CB" w:rsidP="00435680">
            <w:pPr>
              <w:jc w:val="right"/>
            </w:pPr>
            <w:r w:rsidRPr="005D6102">
              <w:t>High</w:t>
            </w:r>
          </w:p>
        </w:tc>
        <w:tc>
          <w:tcPr>
            <w:tcW w:w="1532" w:type="dxa"/>
          </w:tcPr>
          <w:p w14:paraId="3A9295CE" w14:textId="7CD14674" w:rsidR="000D27CB" w:rsidRPr="005D6102" w:rsidRDefault="000D27CB" w:rsidP="00435680">
            <w:pPr>
              <w:jc w:val="right"/>
            </w:pPr>
            <w:r w:rsidRPr="005D6102">
              <w:t>-</w:t>
            </w:r>
          </w:p>
        </w:tc>
        <w:tc>
          <w:tcPr>
            <w:tcW w:w="1258" w:type="dxa"/>
          </w:tcPr>
          <w:p w14:paraId="2489C093" w14:textId="0388DC8F" w:rsidR="000D27CB" w:rsidRPr="005D6102" w:rsidRDefault="000D27CB" w:rsidP="00435680">
            <w:pPr>
              <w:jc w:val="right"/>
            </w:pPr>
            <w:r w:rsidRPr="005D6102">
              <w:t>-</w:t>
            </w:r>
          </w:p>
        </w:tc>
        <w:tc>
          <w:tcPr>
            <w:tcW w:w="1450" w:type="dxa"/>
          </w:tcPr>
          <w:p w14:paraId="53AD9ED8" w14:textId="34821CB6" w:rsidR="000D27CB" w:rsidRPr="005D6102" w:rsidRDefault="000D27CB" w:rsidP="00435680">
            <w:pPr>
              <w:jc w:val="right"/>
            </w:pPr>
            <w:r w:rsidRPr="005D6102">
              <w:t>-</w:t>
            </w:r>
          </w:p>
        </w:tc>
        <w:tc>
          <w:tcPr>
            <w:tcW w:w="1511" w:type="dxa"/>
          </w:tcPr>
          <w:p w14:paraId="46B39D55" w14:textId="1949F227" w:rsidR="000D27CB" w:rsidRPr="005D6102" w:rsidRDefault="000D27CB" w:rsidP="00435680">
            <w:pPr>
              <w:jc w:val="right"/>
            </w:pPr>
            <w:r w:rsidRPr="005D6102">
              <w:t>-</w:t>
            </w:r>
          </w:p>
        </w:tc>
      </w:tr>
      <w:tr w:rsidR="00096FB1" w:rsidRPr="005D6102" w14:paraId="1BF2EFC4" w14:textId="77777777" w:rsidTr="00096FB1">
        <w:trPr>
          <w:cnfStyle w:val="000000100000" w:firstRow="0" w:lastRow="0" w:firstColumn="0" w:lastColumn="0" w:oddVBand="0" w:evenVBand="0" w:oddHBand="1" w:evenHBand="0" w:firstRowFirstColumn="0" w:firstRowLastColumn="0" w:lastRowFirstColumn="0" w:lastRowLastColumn="0"/>
        </w:trPr>
        <w:tc>
          <w:tcPr>
            <w:tcW w:w="1869" w:type="dxa"/>
          </w:tcPr>
          <w:p w14:paraId="38F58ADD" w14:textId="61B6D37D" w:rsidR="00096FB1" w:rsidRPr="005D6102" w:rsidRDefault="000D27CB" w:rsidP="00096FB1">
            <w:r w:rsidRPr="005D6102">
              <w:t>Germanium</w:t>
            </w:r>
          </w:p>
        </w:tc>
        <w:tc>
          <w:tcPr>
            <w:tcW w:w="1286" w:type="dxa"/>
          </w:tcPr>
          <w:p w14:paraId="5847AC84" w14:textId="64E5579A" w:rsidR="00096FB1" w:rsidRPr="005D6102" w:rsidRDefault="00096FB1" w:rsidP="00096FB1">
            <w:pPr>
              <w:jc w:val="right"/>
            </w:pPr>
            <w:r w:rsidRPr="005D6102">
              <w:t>High</w:t>
            </w:r>
          </w:p>
        </w:tc>
        <w:tc>
          <w:tcPr>
            <w:tcW w:w="1532" w:type="dxa"/>
          </w:tcPr>
          <w:p w14:paraId="3EDD0B4A" w14:textId="02768CC3" w:rsidR="00096FB1" w:rsidRPr="005D6102" w:rsidRDefault="00096FB1" w:rsidP="00096FB1">
            <w:pPr>
              <w:jc w:val="right"/>
            </w:pPr>
            <w:r w:rsidRPr="005D6102">
              <w:t>-</w:t>
            </w:r>
          </w:p>
        </w:tc>
        <w:tc>
          <w:tcPr>
            <w:tcW w:w="1258" w:type="dxa"/>
          </w:tcPr>
          <w:p w14:paraId="4106E8E7" w14:textId="1902C7DE" w:rsidR="00096FB1" w:rsidRPr="005D6102" w:rsidRDefault="00096FB1" w:rsidP="00096FB1">
            <w:pPr>
              <w:jc w:val="right"/>
            </w:pPr>
            <w:r w:rsidRPr="005D6102">
              <w:t>-</w:t>
            </w:r>
          </w:p>
        </w:tc>
        <w:tc>
          <w:tcPr>
            <w:tcW w:w="1450" w:type="dxa"/>
          </w:tcPr>
          <w:p w14:paraId="4121C9A6" w14:textId="1ABA5DE1" w:rsidR="00096FB1" w:rsidRPr="005D6102" w:rsidRDefault="000D27CB" w:rsidP="00096FB1">
            <w:pPr>
              <w:jc w:val="right"/>
            </w:pPr>
            <w:r w:rsidRPr="005D6102">
              <w:t>-</w:t>
            </w:r>
          </w:p>
        </w:tc>
        <w:tc>
          <w:tcPr>
            <w:tcW w:w="1511" w:type="dxa"/>
          </w:tcPr>
          <w:p w14:paraId="4841B614" w14:textId="034DFB85" w:rsidR="00096FB1" w:rsidRPr="005D6102" w:rsidRDefault="000D27CB" w:rsidP="00096FB1">
            <w:pPr>
              <w:jc w:val="right"/>
            </w:pPr>
            <w:r w:rsidRPr="005D6102">
              <w:t>-</w:t>
            </w:r>
          </w:p>
        </w:tc>
      </w:tr>
      <w:tr w:rsidR="00096FB1" w:rsidRPr="005D6102" w14:paraId="16688AC0" w14:textId="77777777" w:rsidTr="00096FB1">
        <w:trPr>
          <w:cnfStyle w:val="000000010000" w:firstRow="0" w:lastRow="0" w:firstColumn="0" w:lastColumn="0" w:oddVBand="0" w:evenVBand="0" w:oddHBand="0" w:evenHBand="1" w:firstRowFirstColumn="0" w:firstRowLastColumn="0" w:lastRowFirstColumn="0" w:lastRowLastColumn="0"/>
        </w:trPr>
        <w:tc>
          <w:tcPr>
            <w:tcW w:w="1869" w:type="dxa"/>
          </w:tcPr>
          <w:p w14:paraId="51E4E527" w14:textId="3A5A9ACF" w:rsidR="00096FB1" w:rsidRPr="005D6102" w:rsidRDefault="000D27CB" w:rsidP="00096FB1">
            <w:r w:rsidRPr="005D6102">
              <w:t>Graphite</w:t>
            </w:r>
          </w:p>
        </w:tc>
        <w:tc>
          <w:tcPr>
            <w:tcW w:w="1286" w:type="dxa"/>
          </w:tcPr>
          <w:p w14:paraId="108ABE81" w14:textId="4AFAD0F9" w:rsidR="00096FB1" w:rsidRPr="005D6102" w:rsidRDefault="000D27CB" w:rsidP="00096FB1">
            <w:pPr>
              <w:jc w:val="right"/>
            </w:pPr>
            <w:r w:rsidRPr="005D6102">
              <w:t>Moderate</w:t>
            </w:r>
          </w:p>
        </w:tc>
        <w:tc>
          <w:tcPr>
            <w:tcW w:w="1532" w:type="dxa"/>
          </w:tcPr>
          <w:p w14:paraId="5537F6C9" w14:textId="2885B726" w:rsidR="00096FB1" w:rsidRPr="005D6102" w:rsidRDefault="000D27CB" w:rsidP="00096FB1">
            <w:pPr>
              <w:jc w:val="right"/>
            </w:pPr>
            <w:r w:rsidRPr="005D6102">
              <w:t>-</w:t>
            </w:r>
          </w:p>
        </w:tc>
        <w:tc>
          <w:tcPr>
            <w:tcW w:w="1258" w:type="dxa"/>
          </w:tcPr>
          <w:p w14:paraId="5F037341" w14:textId="2CCFEBD2" w:rsidR="00096FB1" w:rsidRPr="005D6102" w:rsidRDefault="000D27CB" w:rsidP="00096FB1">
            <w:pPr>
              <w:jc w:val="right"/>
            </w:pPr>
            <w:r w:rsidRPr="005D6102">
              <w:t>3</w:t>
            </w:r>
            <w:r w:rsidR="00096FB1" w:rsidRPr="005D6102">
              <w:t>%</w:t>
            </w:r>
          </w:p>
        </w:tc>
        <w:tc>
          <w:tcPr>
            <w:tcW w:w="1450" w:type="dxa"/>
          </w:tcPr>
          <w:p w14:paraId="22697695" w14:textId="54B51C3B" w:rsidR="00096FB1" w:rsidRPr="005D6102" w:rsidRDefault="000D27CB" w:rsidP="00096FB1">
            <w:pPr>
              <w:jc w:val="right"/>
            </w:pPr>
            <w:r w:rsidRPr="005D6102">
              <w:t>-</w:t>
            </w:r>
          </w:p>
        </w:tc>
        <w:tc>
          <w:tcPr>
            <w:tcW w:w="1511" w:type="dxa"/>
          </w:tcPr>
          <w:p w14:paraId="42F6F02B" w14:textId="4308F04E" w:rsidR="00096FB1" w:rsidRPr="005D6102" w:rsidRDefault="000D27CB" w:rsidP="00096FB1">
            <w:pPr>
              <w:jc w:val="right"/>
            </w:pPr>
            <w:r w:rsidRPr="005D6102">
              <w:t>-</w:t>
            </w:r>
          </w:p>
        </w:tc>
      </w:tr>
      <w:tr w:rsidR="00096FB1" w:rsidRPr="005D6102" w14:paraId="012E166F" w14:textId="77777777" w:rsidTr="00096FB1">
        <w:trPr>
          <w:cnfStyle w:val="000000100000" w:firstRow="0" w:lastRow="0" w:firstColumn="0" w:lastColumn="0" w:oddVBand="0" w:evenVBand="0" w:oddHBand="1" w:evenHBand="0" w:firstRowFirstColumn="0" w:firstRowLastColumn="0" w:lastRowFirstColumn="0" w:lastRowLastColumn="0"/>
        </w:trPr>
        <w:tc>
          <w:tcPr>
            <w:tcW w:w="1869" w:type="dxa"/>
          </w:tcPr>
          <w:p w14:paraId="439F9528" w14:textId="6B11E2AB" w:rsidR="00096FB1" w:rsidRPr="005D6102" w:rsidRDefault="000D27CB" w:rsidP="00096FB1">
            <w:r w:rsidRPr="005D6102">
              <w:t>Hafnium</w:t>
            </w:r>
          </w:p>
        </w:tc>
        <w:tc>
          <w:tcPr>
            <w:tcW w:w="1286" w:type="dxa"/>
          </w:tcPr>
          <w:p w14:paraId="5D209202" w14:textId="1BD7637A" w:rsidR="00096FB1" w:rsidRPr="005D6102" w:rsidRDefault="00096FB1" w:rsidP="00096FB1">
            <w:pPr>
              <w:jc w:val="right"/>
            </w:pPr>
            <w:r w:rsidRPr="005D6102">
              <w:t>High</w:t>
            </w:r>
          </w:p>
        </w:tc>
        <w:tc>
          <w:tcPr>
            <w:tcW w:w="1532" w:type="dxa"/>
          </w:tcPr>
          <w:p w14:paraId="5C29FC37" w14:textId="3222EB47" w:rsidR="00096FB1" w:rsidRPr="005D6102" w:rsidRDefault="00096FB1" w:rsidP="00096FB1">
            <w:pPr>
              <w:jc w:val="right"/>
            </w:pPr>
            <w:r w:rsidRPr="005D6102">
              <w:t>-</w:t>
            </w:r>
          </w:p>
        </w:tc>
        <w:tc>
          <w:tcPr>
            <w:tcW w:w="1258" w:type="dxa"/>
          </w:tcPr>
          <w:p w14:paraId="51BDBE45" w14:textId="00A8D12C" w:rsidR="00096FB1" w:rsidRPr="005D6102" w:rsidRDefault="00096FB1" w:rsidP="00096FB1">
            <w:pPr>
              <w:jc w:val="right"/>
            </w:pPr>
            <w:r w:rsidRPr="005D6102">
              <w:t>-</w:t>
            </w:r>
          </w:p>
        </w:tc>
        <w:tc>
          <w:tcPr>
            <w:tcW w:w="1450" w:type="dxa"/>
          </w:tcPr>
          <w:p w14:paraId="7739334E" w14:textId="676D384F" w:rsidR="00096FB1" w:rsidRPr="005D6102" w:rsidRDefault="00096FB1" w:rsidP="00096FB1">
            <w:pPr>
              <w:jc w:val="right"/>
            </w:pPr>
            <w:r w:rsidRPr="005D6102">
              <w:t>-</w:t>
            </w:r>
          </w:p>
        </w:tc>
        <w:tc>
          <w:tcPr>
            <w:tcW w:w="1511" w:type="dxa"/>
          </w:tcPr>
          <w:p w14:paraId="68723A29" w14:textId="5A50DBEC" w:rsidR="00096FB1" w:rsidRPr="005D6102" w:rsidRDefault="00096FB1" w:rsidP="00096FB1">
            <w:pPr>
              <w:jc w:val="right"/>
            </w:pPr>
            <w:r w:rsidRPr="005D6102">
              <w:t>-</w:t>
            </w:r>
          </w:p>
        </w:tc>
      </w:tr>
      <w:tr w:rsidR="000D27CB" w:rsidRPr="005D6102" w14:paraId="6C4A9FA1" w14:textId="77777777" w:rsidTr="00096FB1">
        <w:trPr>
          <w:cnfStyle w:val="000000010000" w:firstRow="0" w:lastRow="0" w:firstColumn="0" w:lastColumn="0" w:oddVBand="0" w:evenVBand="0" w:oddHBand="0" w:evenHBand="1" w:firstRowFirstColumn="0" w:firstRowLastColumn="0" w:lastRowFirstColumn="0" w:lastRowLastColumn="0"/>
        </w:trPr>
        <w:tc>
          <w:tcPr>
            <w:tcW w:w="1869" w:type="dxa"/>
          </w:tcPr>
          <w:p w14:paraId="074CC5A9" w14:textId="314E50FC" w:rsidR="000D27CB" w:rsidRPr="005D6102" w:rsidRDefault="000D27CB" w:rsidP="000D27CB">
            <w:r w:rsidRPr="005D6102">
              <w:t>Helium</w:t>
            </w:r>
          </w:p>
        </w:tc>
        <w:tc>
          <w:tcPr>
            <w:tcW w:w="1286" w:type="dxa"/>
          </w:tcPr>
          <w:p w14:paraId="27478D3B" w14:textId="448560AC" w:rsidR="000D27CB" w:rsidRPr="005D6102" w:rsidRDefault="000D27CB" w:rsidP="000D27CB">
            <w:pPr>
              <w:jc w:val="right"/>
            </w:pPr>
            <w:r w:rsidRPr="005D6102">
              <w:t>Moderate</w:t>
            </w:r>
          </w:p>
        </w:tc>
        <w:tc>
          <w:tcPr>
            <w:tcW w:w="1532" w:type="dxa"/>
          </w:tcPr>
          <w:p w14:paraId="7F01EA0B" w14:textId="1AC89482" w:rsidR="000D27CB" w:rsidRPr="005D6102" w:rsidRDefault="000D27CB" w:rsidP="000D27CB">
            <w:pPr>
              <w:jc w:val="right"/>
            </w:pPr>
            <w:r w:rsidRPr="005D6102">
              <w:t>-</w:t>
            </w:r>
          </w:p>
        </w:tc>
        <w:tc>
          <w:tcPr>
            <w:tcW w:w="1258" w:type="dxa"/>
          </w:tcPr>
          <w:p w14:paraId="077CB17E" w14:textId="1BF603A4" w:rsidR="000D27CB" w:rsidRPr="005D6102" w:rsidRDefault="000D27CB" w:rsidP="000D27CB">
            <w:pPr>
              <w:jc w:val="right"/>
            </w:pPr>
            <w:r w:rsidRPr="005D6102">
              <w:t>-</w:t>
            </w:r>
          </w:p>
        </w:tc>
        <w:tc>
          <w:tcPr>
            <w:tcW w:w="1450" w:type="dxa"/>
          </w:tcPr>
          <w:p w14:paraId="55B1EE3D" w14:textId="47F66639" w:rsidR="000D27CB" w:rsidRPr="005D6102" w:rsidRDefault="000D27CB" w:rsidP="000D27CB">
            <w:pPr>
              <w:jc w:val="right"/>
            </w:pPr>
            <w:r w:rsidRPr="005D6102">
              <w:t>-</w:t>
            </w:r>
          </w:p>
        </w:tc>
        <w:tc>
          <w:tcPr>
            <w:tcW w:w="1511" w:type="dxa"/>
          </w:tcPr>
          <w:p w14:paraId="260D6E3B" w14:textId="4C8027FA" w:rsidR="000D27CB" w:rsidRPr="005D6102" w:rsidRDefault="000D27CB" w:rsidP="000D27CB">
            <w:pPr>
              <w:jc w:val="right"/>
            </w:pPr>
            <w:r w:rsidRPr="005D6102">
              <w:t>3%</w:t>
            </w:r>
          </w:p>
        </w:tc>
      </w:tr>
      <w:tr w:rsidR="00295859" w:rsidRPr="005D6102" w14:paraId="5B195770" w14:textId="77777777" w:rsidTr="00096FB1">
        <w:trPr>
          <w:cnfStyle w:val="000000100000" w:firstRow="0" w:lastRow="0" w:firstColumn="0" w:lastColumn="0" w:oddVBand="0" w:evenVBand="0" w:oddHBand="1" w:evenHBand="0" w:firstRowFirstColumn="0" w:firstRowLastColumn="0" w:lastRowFirstColumn="0" w:lastRowLastColumn="0"/>
        </w:trPr>
        <w:tc>
          <w:tcPr>
            <w:tcW w:w="1869" w:type="dxa"/>
          </w:tcPr>
          <w:p w14:paraId="2143AFBE" w14:textId="5D9448E6" w:rsidR="00295859" w:rsidRPr="005D6102" w:rsidRDefault="00295859" w:rsidP="00295859">
            <w:r w:rsidRPr="005D6102">
              <w:t>Indium</w:t>
            </w:r>
          </w:p>
        </w:tc>
        <w:tc>
          <w:tcPr>
            <w:tcW w:w="1286" w:type="dxa"/>
          </w:tcPr>
          <w:p w14:paraId="3CB9E2CA" w14:textId="4A691A49" w:rsidR="00295859" w:rsidRPr="005D6102" w:rsidRDefault="00295859" w:rsidP="00295859">
            <w:pPr>
              <w:jc w:val="right"/>
            </w:pPr>
            <w:r w:rsidRPr="005D6102">
              <w:t>High</w:t>
            </w:r>
          </w:p>
        </w:tc>
        <w:tc>
          <w:tcPr>
            <w:tcW w:w="1532" w:type="dxa"/>
          </w:tcPr>
          <w:p w14:paraId="423E4642" w14:textId="703444CA" w:rsidR="00295859" w:rsidRPr="005D6102" w:rsidRDefault="00295859" w:rsidP="00295859">
            <w:pPr>
              <w:jc w:val="right"/>
            </w:pPr>
            <w:r w:rsidRPr="005D6102">
              <w:t>-</w:t>
            </w:r>
          </w:p>
        </w:tc>
        <w:tc>
          <w:tcPr>
            <w:tcW w:w="1258" w:type="dxa"/>
          </w:tcPr>
          <w:p w14:paraId="6A1A3AE0" w14:textId="203FF89D" w:rsidR="00295859" w:rsidRPr="005D6102" w:rsidRDefault="00295859" w:rsidP="00295859">
            <w:pPr>
              <w:jc w:val="right"/>
            </w:pPr>
            <w:r w:rsidRPr="005D6102">
              <w:t>-</w:t>
            </w:r>
          </w:p>
        </w:tc>
        <w:tc>
          <w:tcPr>
            <w:tcW w:w="1450" w:type="dxa"/>
          </w:tcPr>
          <w:p w14:paraId="0B51889B" w14:textId="513162FF" w:rsidR="00295859" w:rsidRPr="005D6102" w:rsidRDefault="00295859" w:rsidP="00295859">
            <w:pPr>
              <w:jc w:val="right"/>
            </w:pPr>
            <w:r w:rsidRPr="005D6102">
              <w:t>-</w:t>
            </w:r>
          </w:p>
        </w:tc>
        <w:tc>
          <w:tcPr>
            <w:tcW w:w="1511" w:type="dxa"/>
          </w:tcPr>
          <w:p w14:paraId="51F264FE" w14:textId="06E6C15A" w:rsidR="00295859" w:rsidRPr="005D6102" w:rsidRDefault="00295859" w:rsidP="00295859">
            <w:pPr>
              <w:jc w:val="right"/>
            </w:pPr>
            <w:r w:rsidRPr="005D6102">
              <w:t>-</w:t>
            </w:r>
          </w:p>
        </w:tc>
      </w:tr>
      <w:tr w:rsidR="00295859" w:rsidRPr="005D6102" w14:paraId="78E47D6B" w14:textId="77777777" w:rsidTr="00096FB1">
        <w:trPr>
          <w:cnfStyle w:val="000000010000" w:firstRow="0" w:lastRow="0" w:firstColumn="0" w:lastColumn="0" w:oddVBand="0" w:evenVBand="0" w:oddHBand="0" w:evenHBand="1" w:firstRowFirstColumn="0" w:firstRowLastColumn="0" w:lastRowFirstColumn="0" w:lastRowLastColumn="0"/>
        </w:trPr>
        <w:tc>
          <w:tcPr>
            <w:tcW w:w="1869" w:type="dxa"/>
          </w:tcPr>
          <w:p w14:paraId="2C59B149" w14:textId="39104F65" w:rsidR="00295859" w:rsidRPr="005D6102" w:rsidRDefault="00295859" w:rsidP="00295859">
            <w:r w:rsidRPr="005D6102">
              <w:t>Lithium</w:t>
            </w:r>
          </w:p>
        </w:tc>
        <w:tc>
          <w:tcPr>
            <w:tcW w:w="1286" w:type="dxa"/>
          </w:tcPr>
          <w:p w14:paraId="07F2FBF0" w14:textId="3D223936" w:rsidR="00295859" w:rsidRPr="005D6102" w:rsidRDefault="00295859" w:rsidP="00295859">
            <w:pPr>
              <w:jc w:val="right"/>
            </w:pPr>
            <w:r w:rsidRPr="005D6102">
              <w:t>High</w:t>
            </w:r>
          </w:p>
        </w:tc>
        <w:tc>
          <w:tcPr>
            <w:tcW w:w="1532" w:type="dxa"/>
          </w:tcPr>
          <w:p w14:paraId="0FB7E56E" w14:textId="66B9501B" w:rsidR="00295859" w:rsidRPr="005D6102" w:rsidRDefault="00295859" w:rsidP="00295859">
            <w:pPr>
              <w:jc w:val="right"/>
            </w:pPr>
            <w:r w:rsidRPr="005D6102">
              <w:t>3</w:t>
            </w:r>
          </w:p>
        </w:tc>
        <w:tc>
          <w:tcPr>
            <w:tcW w:w="1258" w:type="dxa"/>
          </w:tcPr>
          <w:p w14:paraId="1CE96C21" w14:textId="6E42FDBD" w:rsidR="00295859" w:rsidRPr="005D6102" w:rsidRDefault="00295859" w:rsidP="00295859">
            <w:pPr>
              <w:jc w:val="right"/>
            </w:pPr>
            <w:r w:rsidRPr="005D6102">
              <w:t>17%</w:t>
            </w:r>
          </w:p>
        </w:tc>
        <w:tc>
          <w:tcPr>
            <w:tcW w:w="1450" w:type="dxa"/>
          </w:tcPr>
          <w:p w14:paraId="41E5E62F" w14:textId="1B0D2503" w:rsidR="00295859" w:rsidRPr="005D6102" w:rsidRDefault="00295859" w:rsidP="00295859">
            <w:pPr>
              <w:jc w:val="right"/>
            </w:pPr>
            <w:r w:rsidRPr="005D6102">
              <w:t>1</w:t>
            </w:r>
          </w:p>
        </w:tc>
        <w:tc>
          <w:tcPr>
            <w:tcW w:w="1511" w:type="dxa"/>
          </w:tcPr>
          <w:p w14:paraId="2BBC7BC2" w14:textId="59309D53" w:rsidR="00295859" w:rsidRPr="005D6102" w:rsidRDefault="00295859" w:rsidP="00295859">
            <w:pPr>
              <w:jc w:val="right"/>
            </w:pPr>
            <w:r w:rsidRPr="005D6102">
              <w:t>33%</w:t>
            </w:r>
          </w:p>
        </w:tc>
      </w:tr>
      <w:tr w:rsidR="00295859" w:rsidRPr="005D6102" w14:paraId="7D32E129" w14:textId="77777777" w:rsidTr="00096FB1">
        <w:trPr>
          <w:cnfStyle w:val="000000100000" w:firstRow="0" w:lastRow="0" w:firstColumn="0" w:lastColumn="0" w:oddVBand="0" w:evenVBand="0" w:oddHBand="1" w:evenHBand="0" w:firstRowFirstColumn="0" w:firstRowLastColumn="0" w:lastRowFirstColumn="0" w:lastRowLastColumn="0"/>
        </w:trPr>
        <w:tc>
          <w:tcPr>
            <w:tcW w:w="1869" w:type="dxa"/>
          </w:tcPr>
          <w:p w14:paraId="1403AD5B" w14:textId="09C2CF32" w:rsidR="00295859" w:rsidRPr="005D6102" w:rsidRDefault="00295859" w:rsidP="00295859">
            <w:r w:rsidRPr="005D6102">
              <w:t>Magnesium</w:t>
            </w:r>
          </w:p>
        </w:tc>
        <w:tc>
          <w:tcPr>
            <w:tcW w:w="1286" w:type="dxa"/>
          </w:tcPr>
          <w:p w14:paraId="6C1E4137" w14:textId="45DD1967" w:rsidR="00295859" w:rsidRPr="005D6102" w:rsidRDefault="00295859" w:rsidP="00295859">
            <w:pPr>
              <w:jc w:val="right"/>
            </w:pPr>
            <w:r w:rsidRPr="005D6102">
              <w:t>Moderate</w:t>
            </w:r>
          </w:p>
        </w:tc>
        <w:tc>
          <w:tcPr>
            <w:tcW w:w="1532" w:type="dxa"/>
          </w:tcPr>
          <w:p w14:paraId="5FB8CDEB" w14:textId="5BEE1921" w:rsidR="00295859" w:rsidRPr="005D6102" w:rsidRDefault="00295859" w:rsidP="00295859">
            <w:pPr>
              <w:jc w:val="right"/>
            </w:pPr>
            <w:r w:rsidRPr="005D6102">
              <w:t>5</w:t>
            </w:r>
          </w:p>
        </w:tc>
        <w:tc>
          <w:tcPr>
            <w:tcW w:w="1258" w:type="dxa"/>
          </w:tcPr>
          <w:p w14:paraId="4FC0A2C9" w14:textId="584700BF" w:rsidR="00295859" w:rsidRPr="005D6102" w:rsidRDefault="00295859" w:rsidP="00295859">
            <w:pPr>
              <w:jc w:val="right"/>
            </w:pPr>
            <w:r w:rsidRPr="005D6102">
              <w:t>-</w:t>
            </w:r>
          </w:p>
        </w:tc>
        <w:tc>
          <w:tcPr>
            <w:tcW w:w="1450" w:type="dxa"/>
          </w:tcPr>
          <w:p w14:paraId="2C31E0DF" w14:textId="36F47F98" w:rsidR="00295859" w:rsidRPr="005D6102" w:rsidRDefault="00295859" w:rsidP="00295859">
            <w:pPr>
              <w:jc w:val="right"/>
            </w:pPr>
            <w:r w:rsidRPr="005D6102">
              <w:t>4</w:t>
            </w:r>
          </w:p>
        </w:tc>
        <w:tc>
          <w:tcPr>
            <w:tcW w:w="1511" w:type="dxa"/>
          </w:tcPr>
          <w:p w14:paraId="108C9B6A" w14:textId="5CCFCCBF" w:rsidR="00295859" w:rsidRPr="005D6102" w:rsidRDefault="00295859" w:rsidP="00295859">
            <w:pPr>
              <w:jc w:val="right"/>
            </w:pPr>
            <w:r w:rsidRPr="005D6102">
              <w:t>-</w:t>
            </w:r>
          </w:p>
        </w:tc>
      </w:tr>
      <w:tr w:rsidR="00295859" w:rsidRPr="005D6102" w14:paraId="7DC2D6AD" w14:textId="77777777" w:rsidTr="00096FB1">
        <w:trPr>
          <w:cnfStyle w:val="000000010000" w:firstRow="0" w:lastRow="0" w:firstColumn="0" w:lastColumn="0" w:oddVBand="0" w:evenVBand="0" w:oddHBand="0" w:evenHBand="1" w:firstRowFirstColumn="0" w:firstRowLastColumn="0" w:lastRowFirstColumn="0" w:lastRowLastColumn="0"/>
        </w:trPr>
        <w:tc>
          <w:tcPr>
            <w:tcW w:w="1869" w:type="dxa"/>
          </w:tcPr>
          <w:p w14:paraId="50E9FAAE" w14:textId="1656DF47" w:rsidR="00295859" w:rsidRPr="005D6102" w:rsidRDefault="00295859" w:rsidP="00295859">
            <w:r w:rsidRPr="005D6102">
              <w:t>Manganese</w:t>
            </w:r>
          </w:p>
        </w:tc>
        <w:tc>
          <w:tcPr>
            <w:tcW w:w="1286" w:type="dxa"/>
          </w:tcPr>
          <w:p w14:paraId="3B42D0F5" w14:textId="3C5936A6" w:rsidR="00295859" w:rsidRPr="005D6102" w:rsidRDefault="00295859" w:rsidP="00295859">
            <w:pPr>
              <w:jc w:val="right"/>
            </w:pPr>
            <w:r w:rsidRPr="005D6102">
              <w:t>High</w:t>
            </w:r>
          </w:p>
        </w:tc>
        <w:tc>
          <w:tcPr>
            <w:tcW w:w="1532" w:type="dxa"/>
          </w:tcPr>
          <w:p w14:paraId="0D57287D" w14:textId="459260AF" w:rsidR="00295859" w:rsidRPr="005D6102" w:rsidRDefault="00295859" w:rsidP="00295859">
            <w:pPr>
              <w:jc w:val="right"/>
            </w:pPr>
            <w:r w:rsidRPr="005D6102">
              <w:t>3</w:t>
            </w:r>
          </w:p>
        </w:tc>
        <w:tc>
          <w:tcPr>
            <w:tcW w:w="1258" w:type="dxa"/>
          </w:tcPr>
          <w:p w14:paraId="63B902F3" w14:textId="1B94065F" w:rsidR="00295859" w:rsidRPr="005D6102" w:rsidRDefault="00295859" w:rsidP="00295859">
            <w:pPr>
              <w:jc w:val="right"/>
            </w:pPr>
            <w:r w:rsidRPr="005D6102">
              <w:t>32%</w:t>
            </w:r>
          </w:p>
        </w:tc>
        <w:tc>
          <w:tcPr>
            <w:tcW w:w="1450" w:type="dxa"/>
          </w:tcPr>
          <w:p w14:paraId="4BB2FF51" w14:textId="18C53A77" w:rsidR="00295859" w:rsidRPr="005D6102" w:rsidRDefault="00295859" w:rsidP="00295859">
            <w:pPr>
              <w:jc w:val="right"/>
            </w:pPr>
            <w:r w:rsidRPr="005D6102">
              <w:t>3</w:t>
            </w:r>
          </w:p>
        </w:tc>
        <w:tc>
          <w:tcPr>
            <w:tcW w:w="1511" w:type="dxa"/>
          </w:tcPr>
          <w:p w14:paraId="2CF99481" w14:textId="3B85C803" w:rsidR="00295859" w:rsidRPr="005D6102" w:rsidRDefault="00295859" w:rsidP="00295859">
            <w:pPr>
              <w:jc w:val="right"/>
            </w:pPr>
            <w:r w:rsidRPr="005D6102">
              <w:t>20%</w:t>
            </w:r>
          </w:p>
        </w:tc>
      </w:tr>
      <w:tr w:rsidR="00295859" w:rsidRPr="005D6102" w14:paraId="05620F04" w14:textId="77777777" w:rsidTr="00096FB1">
        <w:trPr>
          <w:cnfStyle w:val="000000100000" w:firstRow="0" w:lastRow="0" w:firstColumn="0" w:lastColumn="0" w:oddVBand="0" w:evenVBand="0" w:oddHBand="1" w:evenHBand="0" w:firstRowFirstColumn="0" w:firstRowLastColumn="0" w:lastRowFirstColumn="0" w:lastRowLastColumn="0"/>
        </w:trPr>
        <w:tc>
          <w:tcPr>
            <w:tcW w:w="1869" w:type="dxa"/>
          </w:tcPr>
          <w:p w14:paraId="52D2195D" w14:textId="47EDFEBC" w:rsidR="00295859" w:rsidRPr="005D6102" w:rsidRDefault="00295859" w:rsidP="00295859">
            <w:r w:rsidRPr="005D6102">
              <w:t>Niobium</w:t>
            </w:r>
          </w:p>
        </w:tc>
        <w:tc>
          <w:tcPr>
            <w:tcW w:w="1286" w:type="dxa"/>
          </w:tcPr>
          <w:p w14:paraId="6123E1EB" w14:textId="419CC5BE" w:rsidR="00295859" w:rsidRPr="005D6102" w:rsidRDefault="00295859" w:rsidP="00295859">
            <w:pPr>
              <w:jc w:val="right"/>
            </w:pPr>
            <w:r w:rsidRPr="005D6102">
              <w:t>High</w:t>
            </w:r>
          </w:p>
        </w:tc>
        <w:tc>
          <w:tcPr>
            <w:tcW w:w="1532" w:type="dxa"/>
          </w:tcPr>
          <w:p w14:paraId="389EEC1B" w14:textId="467E940D" w:rsidR="00295859" w:rsidRPr="005D6102" w:rsidRDefault="00295859" w:rsidP="00295859">
            <w:pPr>
              <w:jc w:val="right"/>
            </w:pPr>
            <w:r w:rsidRPr="005D6102">
              <w:t>2</w:t>
            </w:r>
          </w:p>
        </w:tc>
        <w:tc>
          <w:tcPr>
            <w:tcW w:w="1258" w:type="dxa"/>
          </w:tcPr>
          <w:p w14:paraId="43D4ABB0" w14:textId="58051812" w:rsidR="00295859" w:rsidRPr="005D6102" w:rsidRDefault="00295859" w:rsidP="00295859">
            <w:pPr>
              <w:jc w:val="right"/>
            </w:pPr>
            <w:r w:rsidRPr="005D6102">
              <w:t>7%</w:t>
            </w:r>
          </w:p>
        </w:tc>
        <w:tc>
          <w:tcPr>
            <w:tcW w:w="1450" w:type="dxa"/>
          </w:tcPr>
          <w:p w14:paraId="50CB5DA5" w14:textId="3AE3A1DA" w:rsidR="00295859" w:rsidRPr="005D6102" w:rsidRDefault="00295859" w:rsidP="00295859">
            <w:pPr>
              <w:jc w:val="right"/>
            </w:pPr>
            <w:r w:rsidRPr="005D6102">
              <w:t>-</w:t>
            </w:r>
          </w:p>
        </w:tc>
        <w:tc>
          <w:tcPr>
            <w:tcW w:w="1511" w:type="dxa"/>
          </w:tcPr>
          <w:p w14:paraId="24D47390" w14:textId="25E62534" w:rsidR="00295859" w:rsidRPr="005D6102" w:rsidRDefault="00295859" w:rsidP="00295859">
            <w:pPr>
              <w:jc w:val="right"/>
            </w:pPr>
            <w:r w:rsidRPr="005D6102">
              <w:t>-</w:t>
            </w:r>
          </w:p>
        </w:tc>
      </w:tr>
      <w:tr w:rsidR="00295859" w:rsidRPr="005D6102" w14:paraId="7652F944" w14:textId="77777777" w:rsidTr="00096FB1">
        <w:trPr>
          <w:cnfStyle w:val="000000010000" w:firstRow="0" w:lastRow="0" w:firstColumn="0" w:lastColumn="0" w:oddVBand="0" w:evenVBand="0" w:oddHBand="0" w:evenHBand="1" w:firstRowFirstColumn="0" w:firstRowLastColumn="0" w:lastRowFirstColumn="0" w:lastRowLastColumn="0"/>
        </w:trPr>
        <w:tc>
          <w:tcPr>
            <w:tcW w:w="1869" w:type="dxa"/>
          </w:tcPr>
          <w:p w14:paraId="701DFA49" w14:textId="27305A39" w:rsidR="00295859" w:rsidRPr="005D6102" w:rsidRDefault="00295859" w:rsidP="00295859">
            <w:r w:rsidRPr="005D6102">
              <w:t>Platinum-group elements</w:t>
            </w:r>
          </w:p>
        </w:tc>
        <w:tc>
          <w:tcPr>
            <w:tcW w:w="1286" w:type="dxa"/>
          </w:tcPr>
          <w:p w14:paraId="4917C305" w14:textId="583B1408" w:rsidR="00295859" w:rsidRPr="005D6102" w:rsidRDefault="00295859" w:rsidP="00295859">
            <w:pPr>
              <w:jc w:val="right"/>
            </w:pPr>
            <w:r w:rsidRPr="005D6102">
              <w:t>High</w:t>
            </w:r>
          </w:p>
        </w:tc>
        <w:tc>
          <w:tcPr>
            <w:tcW w:w="1532" w:type="dxa"/>
          </w:tcPr>
          <w:p w14:paraId="2FA18470" w14:textId="6D7C5BFB" w:rsidR="00295859" w:rsidRPr="005D6102" w:rsidRDefault="00295859" w:rsidP="00295859">
            <w:pPr>
              <w:jc w:val="right"/>
            </w:pPr>
            <w:r w:rsidRPr="005D6102">
              <w:t>Minor</w:t>
            </w:r>
          </w:p>
        </w:tc>
        <w:tc>
          <w:tcPr>
            <w:tcW w:w="1258" w:type="dxa"/>
          </w:tcPr>
          <w:p w14:paraId="62628C8F" w14:textId="56E1ADA9" w:rsidR="00295859" w:rsidRPr="005D6102" w:rsidRDefault="00295859" w:rsidP="00295859">
            <w:pPr>
              <w:jc w:val="right"/>
            </w:pPr>
            <w:r w:rsidRPr="005D6102">
              <w:t>8%</w:t>
            </w:r>
          </w:p>
        </w:tc>
        <w:tc>
          <w:tcPr>
            <w:tcW w:w="1450" w:type="dxa"/>
          </w:tcPr>
          <w:p w14:paraId="79B73BE9" w14:textId="2AD00171" w:rsidR="00295859" w:rsidRPr="005D6102" w:rsidRDefault="00295859" w:rsidP="00295859">
            <w:pPr>
              <w:jc w:val="right"/>
            </w:pPr>
            <w:r w:rsidRPr="005D6102">
              <w:t>Minor</w:t>
            </w:r>
          </w:p>
        </w:tc>
        <w:tc>
          <w:tcPr>
            <w:tcW w:w="1511" w:type="dxa"/>
          </w:tcPr>
          <w:p w14:paraId="0582646A" w14:textId="23BD108B" w:rsidR="00295859" w:rsidRPr="005D6102" w:rsidRDefault="00295859" w:rsidP="00295859">
            <w:pPr>
              <w:jc w:val="right"/>
            </w:pPr>
            <w:r w:rsidRPr="005D6102">
              <w:t>1.3%</w:t>
            </w:r>
          </w:p>
        </w:tc>
      </w:tr>
      <w:tr w:rsidR="00295859" w:rsidRPr="005D6102" w14:paraId="612BEE83" w14:textId="77777777" w:rsidTr="00096FB1">
        <w:trPr>
          <w:cnfStyle w:val="000000100000" w:firstRow="0" w:lastRow="0" w:firstColumn="0" w:lastColumn="0" w:oddVBand="0" w:evenVBand="0" w:oddHBand="1" w:evenHBand="0" w:firstRowFirstColumn="0" w:firstRowLastColumn="0" w:lastRowFirstColumn="0" w:lastRowLastColumn="0"/>
        </w:trPr>
        <w:tc>
          <w:tcPr>
            <w:tcW w:w="1869" w:type="dxa"/>
          </w:tcPr>
          <w:p w14:paraId="7FA27F8D" w14:textId="5FA990DD" w:rsidR="00295859" w:rsidRPr="005D6102" w:rsidRDefault="00295859" w:rsidP="00295859">
            <w:r w:rsidRPr="005D6102">
              <w:t>Rare-earth elements</w:t>
            </w:r>
          </w:p>
        </w:tc>
        <w:tc>
          <w:tcPr>
            <w:tcW w:w="1286" w:type="dxa"/>
          </w:tcPr>
          <w:p w14:paraId="1804300C" w14:textId="3F52B8F5" w:rsidR="00295859" w:rsidRPr="005D6102" w:rsidRDefault="00295859" w:rsidP="00295859">
            <w:pPr>
              <w:jc w:val="right"/>
            </w:pPr>
            <w:r w:rsidRPr="005D6102">
              <w:t>High</w:t>
            </w:r>
          </w:p>
        </w:tc>
        <w:tc>
          <w:tcPr>
            <w:tcW w:w="1532" w:type="dxa"/>
          </w:tcPr>
          <w:p w14:paraId="73B3FE85" w14:textId="638E6E76" w:rsidR="00295859" w:rsidRPr="005D6102" w:rsidRDefault="00295859" w:rsidP="00295859">
            <w:pPr>
              <w:jc w:val="right"/>
            </w:pPr>
            <w:r w:rsidRPr="005D6102">
              <w:t>6</w:t>
            </w:r>
          </w:p>
        </w:tc>
        <w:tc>
          <w:tcPr>
            <w:tcW w:w="1258" w:type="dxa"/>
          </w:tcPr>
          <w:p w14:paraId="5B381D11" w14:textId="6A308E70" w:rsidR="00295859" w:rsidRPr="005D6102" w:rsidRDefault="00295859" w:rsidP="00295859">
            <w:pPr>
              <w:jc w:val="right"/>
            </w:pPr>
            <w:r w:rsidRPr="005D6102">
              <w:t>3%</w:t>
            </w:r>
          </w:p>
        </w:tc>
        <w:tc>
          <w:tcPr>
            <w:tcW w:w="1450" w:type="dxa"/>
          </w:tcPr>
          <w:p w14:paraId="12BFEC9F" w14:textId="63D55C44" w:rsidR="00295859" w:rsidRPr="005D6102" w:rsidRDefault="00295859" w:rsidP="00295859">
            <w:pPr>
              <w:jc w:val="right"/>
            </w:pPr>
            <w:r w:rsidRPr="005D6102">
              <w:t>2</w:t>
            </w:r>
          </w:p>
        </w:tc>
        <w:tc>
          <w:tcPr>
            <w:tcW w:w="1511" w:type="dxa"/>
          </w:tcPr>
          <w:p w14:paraId="67E54243" w14:textId="7893F84D" w:rsidR="00295859" w:rsidRPr="005D6102" w:rsidRDefault="00295859" w:rsidP="00295859">
            <w:pPr>
              <w:jc w:val="right"/>
            </w:pPr>
            <w:r w:rsidRPr="005D6102">
              <w:t>11%</w:t>
            </w:r>
          </w:p>
        </w:tc>
      </w:tr>
      <w:tr w:rsidR="00295859" w:rsidRPr="005D6102" w14:paraId="1CD87FB3" w14:textId="77777777" w:rsidTr="00096FB1">
        <w:trPr>
          <w:cnfStyle w:val="000000010000" w:firstRow="0" w:lastRow="0" w:firstColumn="0" w:lastColumn="0" w:oddVBand="0" w:evenVBand="0" w:oddHBand="0" w:evenHBand="1" w:firstRowFirstColumn="0" w:firstRowLastColumn="0" w:lastRowFirstColumn="0" w:lastRowLastColumn="0"/>
        </w:trPr>
        <w:tc>
          <w:tcPr>
            <w:tcW w:w="1869" w:type="dxa"/>
          </w:tcPr>
          <w:p w14:paraId="207C5123" w14:textId="5BC40E3B" w:rsidR="00295859" w:rsidRPr="005D6102" w:rsidRDefault="00295859" w:rsidP="00295859">
            <w:r w:rsidRPr="005D6102">
              <w:t>Rhenium</w:t>
            </w:r>
          </w:p>
        </w:tc>
        <w:tc>
          <w:tcPr>
            <w:tcW w:w="1286" w:type="dxa"/>
          </w:tcPr>
          <w:p w14:paraId="5C416555" w14:textId="49160BBD" w:rsidR="00295859" w:rsidRPr="005D6102" w:rsidRDefault="00295859" w:rsidP="00295859">
            <w:pPr>
              <w:jc w:val="right"/>
            </w:pPr>
            <w:r w:rsidRPr="005D6102">
              <w:t>Moderate</w:t>
            </w:r>
          </w:p>
        </w:tc>
        <w:tc>
          <w:tcPr>
            <w:tcW w:w="1532" w:type="dxa"/>
          </w:tcPr>
          <w:p w14:paraId="53D961DE" w14:textId="100481DD" w:rsidR="00295859" w:rsidRPr="005D6102" w:rsidRDefault="00295859" w:rsidP="00295859">
            <w:pPr>
              <w:jc w:val="right"/>
            </w:pPr>
            <w:r w:rsidRPr="005D6102">
              <w:t>-</w:t>
            </w:r>
          </w:p>
        </w:tc>
        <w:tc>
          <w:tcPr>
            <w:tcW w:w="1258" w:type="dxa"/>
          </w:tcPr>
          <w:p w14:paraId="558C6261" w14:textId="17F6B6DB" w:rsidR="00295859" w:rsidRPr="005D6102" w:rsidRDefault="00295859" w:rsidP="00295859">
            <w:pPr>
              <w:jc w:val="right"/>
            </w:pPr>
            <w:r w:rsidRPr="005D6102">
              <w:t>-</w:t>
            </w:r>
          </w:p>
        </w:tc>
        <w:tc>
          <w:tcPr>
            <w:tcW w:w="1450" w:type="dxa"/>
          </w:tcPr>
          <w:p w14:paraId="05A71030" w14:textId="6ED1B28B" w:rsidR="00295859" w:rsidRPr="005D6102" w:rsidRDefault="00295859" w:rsidP="00295859">
            <w:pPr>
              <w:jc w:val="right"/>
            </w:pPr>
            <w:r w:rsidRPr="005D6102">
              <w:t>-</w:t>
            </w:r>
          </w:p>
        </w:tc>
        <w:tc>
          <w:tcPr>
            <w:tcW w:w="1511" w:type="dxa"/>
          </w:tcPr>
          <w:p w14:paraId="7524B8F5" w14:textId="5C8E579D" w:rsidR="00295859" w:rsidRPr="005D6102" w:rsidRDefault="00295859" w:rsidP="00295859">
            <w:pPr>
              <w:jc w:val="right"/>
            </w:pPr>
            <w:r w:rsidRPr="005D6102">
              <w:t>-</w:t>
            </w:r>
          </w:p>
        </w:tc>
      </w:tr>
      <w:tr w:rsidR="00295859" w:rsidRPr="005D6102" w14:paraId="5DE42EF7" w14:textId="77777777" w:rsidTr="00096FB1">
        <w:trPr>
          <w:cnfStyle w:val="000000100000" w:firstRow="0" w:lastRow="0" w:firstColumn="0" w:lastColumn="0" w:oddVBand="0" w:evenVBand="0" w:oddHBand="1" w:evenHBand="0" w:firstRowFirstColumn="0" w:firstRowLastColumn="0" w:lastRowFirstColumn="0" w:lastRowLastColumn="0"/>
        </w:trPr>
        <w:tc>
          <w:tcPr>
            <w:tcW w:w="1869" w:type="dxa"/>
          </w:tcPr>
          <w:p w14:paraId="397CB36C" w14:textId="578676F4" w:rsidR="00295859" w:rsidRPr="005D6102" w:rsidRDefault="00295859" w:rsidP="00295859">
            <w:r w:rsidRPr="005D6102">
              <w:t>Scandium</w:t>
            </w:r>
          </w:p>
        </w:tc>
        <w:tc>
          <w:tcPr>
            <w:tcW w:w="1286" w:type="dxa"/>
          </w:tcPr>
          <w:p w14:paraId="7FFC158A" w14:textId="2291EFC1" w:rsidR="00295859" w:rsidRPr="005D6102" w:rsidRDefault="00295859" w:rsidP="00295859">
            <w:pPr>
              <w:jc w:val="right"/>
            </w:pPr>
            <w:r w:rsidRPr="005D6102">
              <w:t>High</w:t>
            </w:r>
          </w:p>
        </w:tc>
        <w:tc>
          <w:tcPr>
            <w:tcW w:w="1532" w:type="dxa"/>
          </w:tcPr>
          <w:p w14:paraId="04D35123" w14:textId="3EC72CB2" w:rsidR="00295859" w:rsidRPr="005D6102" w:rsidRDefault="00295859" w:rsidP="00295859">
            <w:pPr>
              <w:jc w:val="right"/>
            </w:pPr>
            <w:r w:rsidRPr="005D6102">
              <w:t>-</w:t>
            </w:r>
          </w:p>
        </w:tc>
        <w:tc>
          <w:tcPr>
            <w:tcW w:w="1258" w:type="dxa"/>
          </w:tcPr>
          <w:p w14:paraId="39DC64E3" w14:textId="7A0A7730" w:rsidR="00295859" w:rsidRPr="005D6102" w:rsidRDefault="00295859" w:rsidP="00295859">
            <w:pPr>
              <w:jc w:val="right"/>
            </w:pPr>
            <w:r w:rsidRPr="005D6102">
              <w:t>-</w:t>
            </w:r>
          </w:p>
        </w:tc>
        <w:tc>
          <w:tcPr>
            <w:tcW w:w="1450" w:type="dxa"/>
          </w:tcPr>
          <w:p w14:paraId="571722A5" w14:textId="7E8B540F" w:rsidR="00295859" w:rsidRPr="005D6102" w:rsidRDefault="00295859" w:rsidP="00295859">
            <w:pPr>
              <w:jc w:val="right"/>
            </w:pPr>
            <w:r w:rsidRPr="005D6102">
              <w:t>-</w:t>
            </w:r>
          </w:p>
        </w:tc>
        <w:tc>
          <w:tcPr>
            <w:tcW w:w="1511" w:type="dxa"/>
          </w:tcPr>
          <w:p w14:paraId="2D98E70A" w14:textId="6F4C2724" w:rsidR="00295859" w:rsidRPr="005D6102" w:rsidRDefault="00295859" w:rsidP="00295859">
            <w:pPr>
              <w:jc w:val="right"/>
            </w:pPr>
            <w:r w:rsidRPr="005D6102">
              <w:t>-</w:t>
            </w:r>
          </w:p>
        </w:tc>
      </w:tr>
      <w:tr w:rsidR="00096FB1" w:rsidRPr="005D6102" w14:paraId="5206A826" w14:textId="77777777" w:rsidTr="00096FB1">
        <w:trPr>
          <w:cnfStyle w:val="000000010000" w:firstRow="0" w:lastRow="0" w:firstColumn="0" w:lastColumn="0" w:oddVBand="0" w:evenVBand="0" w:oddHBand="0" w:evenHBand="1" w:firstRowFirstColumn="0" w:firstRowLastColumn="0" w:lastRowFirstColumn="0" w:lastRowLastColumn="0"/>
        </w:trPr>
        <w:tc>
          <w:tcPr>
            <w:tcW w:w="1869" w:type="dxa"/>
          </w:tcPr>
          <w:p w14:paraId="62A99E70" w14:textId="60EC2373" w:rsidR="00096FB1" w:rsidRPr="005D6102" w:rsidRDefault="00295859" w:rsidP="00096FB1">
            <w:r w:rsidRPr="005D6102">
              <w:t>Tantalum</w:t>
            </w:r>
            <w:r w:rsidR="00425DE5" w:rsidRPr="005D6102">
              <w:t>*</w:t>
            </w:r>
          </w:p>
        </w:tc>
        <w:tc>
          <w:tcPr>
            <w:tcW w:w="1286" w:type="dxa"/>
          </w:tcPr>
          <w:p w14:paraId="3EBD55D4" w14:textId="6E6A367C" w:rsidR="00096FB1" w:rsidRPr="005D6102" w:rsidRDefault="00096FB1" w:rsidP="00096FB1">
            <w:pPr>
              <w:jc w:val="right"/>
            </w:pPr>
            <w:r w:rsidRPr="005D6102">
              <w:t>High</w:t>
            </w:r>
          </w:p>
        </w:tc>
        <w:tc>
          <w:tcPr>
            <w:tcW w:w="1532" w:type="dxa"/>
          </w:tcPr>
          <w:p w14:paraId="20301FFB" w14:textId="48D6D03D" w:rsidR="00096FB1" w:rsidRPr="005D6102" w:rsidRDefault="00295859" w:rsidP="00096FB1">
            <w:pPr>
              <w:jc w:val="right"/>
            </w:pPr>
            <w:r w:rsidRPr="005D6102">
              <w:t>1</w:t>
            </w:r>
          </w:p>
        </w:tc>
        <w:tc>
          <w:tcPr>
            <w:tcW w:w="1258" w:type="dxa"/>
          </w:tcPr>
          <w:p w14:paraId="7147AC3C" w14:textId="2FAC5404" w:rsidR="00096FB1" w:rsidRPr="005D6102" w:rsidRDefault="00295859" w:rsidP="00096FB1">
            <w:pPr>
              <w:jc w:val="right"/>
            </w:pPr>
            <w:r w:rsidRPr="005D6102">
              <w:t>69</w:t>
            </w:r>
            <w:r w:rsidR="00096FB1" w:rsidRPr="005D6102">
              <w:t>%</w:t>
            </w:r>
          </w:p>
        </w:tc>
        <w:tc>
          <w:tcPr>
            <w:tcW w:w="1450" w:type="dxa"/>
          </w:tcPr>
          <w:p w14:paraId="65A761A5" w14:textId="011FEA69" w:rsidR="00096FB1" w:rsidRPr="005D6102" w:rsidRDefault="00295859" w:rsidP="00096FB1">
            <w:pPr>
              <w:jc w:val="right"/>
            </w:pPr>
            <w:r w:rsidRPr="005D6102">
              <w:t>-</w:t>
            </w:r>
          </w:p>
        </w:tc>
        <w:tc>
          <w:tcPr>
            <w:tcW w:w="1511" w:type="dxa"/>
          </w:tcPr>
          <w:p w14:paraId="6159EDDA" w14:textId="4070602A" w:rsidR="00096FB1" w:rsidRPr="005D6102" w:rsidRDefault="00295859" w:rsidP="00096FB1">
            <w:pPr>
              <w:jc w:val="right"/>
            </w:pPr>
            <w:r w:rsidRPr="005D6102">
              <w:t>-</w:t>
            </w:r>
          </w:p>
        </w:tc>
      </w:tr>
      <w:tr w:rsidR="00096FB1" w:rsidRPr="005D6102" w14:paraId="57655E8B" w14:textId="77777777" w:rsidTr="008B73EC">
        <w:trPr>
          <w:cnfStyle w:val="000000100000" w:firstRow="0" w:lastRow="0" w:firstColumn="0" w:lastColumn="0" w:oddVBand="0" w:evenVBand="0" w:oddHBand="1" w:evenHBand="0" w:firstRowFirstColumn="0" w:firstRowLastColumn="0" w:lastRowFirstColumn="0" w:lastRowLastColumn="0"/>
          <w:trHeight w:val="556"/>
        </w:trPr>
        <w:tc>
          <w:tcPr>
            <w:tcW w:w="1869" w:type="dxa"/>
          </w:tcPr>
          <w:p w14:paraId="20C0E1FC" w14:textId="27DFA23D" w:rsidR="00096FB1" w:rsidRPr="005D6102" w:rsidRDefault="00295859" w:rsidP="00096FB1">
            <w:r w:rsidRPr="005D6102">
              <w:t>Titanium</w:t>
            </w:r>
          </w:p>
        </w:tc>
        <w:tc>
          <w:tcPr>
            <w:tcW w:w="1286" w:type="dxa"/>
          </w:tcPr>
          <w:p w14:paraId="22AA40C3" w14:textId="5DF4C984" w:rsidR="00096FB1" w:rsidRPr="005D6102" w:rsidRDefault="00295859" w:rsidP="00096FB1">
            <w:pPr>
              <w:jc w:val="right"/>
            </w:pPr>
            <w:r w:rsidRPr="005D6102">
              <w:t>High</w:t>
            </w:r>
          </w:p>
        </w:tc>
        <w:tc>
          <w:tcPr>
            <w:tcW w:w="1532" w:type="dxa"/>
          </w:tcPr>
          <w:p w14:paraId="78F44271" w14:textId="77777777" w:rsidR="002749FD" w:rsidRPr="005D6102" w:rsidRDefault="00295859" w:rsidP="00295859">
            <w:pPr>
              <w:jc w:val="right"/>
            </w:pPr>
            <w:r w:rsidRPr="005D6102">
              <w:t>Ilmenite</w:t>
            </w:r>
            <w:r w:rsidR="002749FD" w:rsidRPr="005D6102">
              <w:t xml:space="preserve"> 1 </w:t>
            </w:r>
          </w:p>
          <w:p w14:paraId="788345DD" w14:textId="13705E7F" w:rsidR="00096FB1" w:rsidRPr="005D6102" w:rsidRDefault="007154B5" w:rsidP="00096FB1">
            <w:pPr>
              <w:jc w:val="right"/>
            </w:pPr>
            <w:r>
              <w:t>R</w:t>
            </w:r>
            <w:r w:rsidR="00F50D2F" w:rsidRPr="005D6102">
              <w:t>utile</w:t>
            </w:r>
            <w:r w:rsidR="002749FD" w:rsidRPr="005D6102">
              <w:t xml:space="preserve"> 1</w:t>
            </w:r>
          </w:p>
        </w:tc>
        <w:tc>
          <w:tcPr>
            <w:tcW w:w="1258" w:type="dxa"/>
          </w:tcPr>
          <w:p w14:paraId="756DCF8F" w14:textId="603E11DE" w:rsidR="002749FD" w:rsidRPr="005D6102" w:rsidRDefault="002749FD" w:rsidP="002749FD">
            <w:pPr>
              <w:jc w:val="right"/>
            </w:pPr>
            <w:r w:rsidRPr="005D6102">
              <w:t xml:space="preserve">Ilmenite </w:t>
            </w:r>
            <w:r w:rsidR="00F50D2F" w:rsidRPr="005D6102">
              <w:t>30%</w:t>
            </w:r>
            <w:r w:rsidRPr="005D6102">
              <w:t xml:space="preserve"> </w:t>
            </w:r>
          </w:p>
          <w:p w14:paraId="5F1C24FF" w14:textId="229B7428" w:rsidR="00096FB1" w:rsidRPr="005D6102" w:rsidRDefault="007154B5" w:rsidP="00096FB1">
            <w:pPr>
              <w:jc w:val="right"/>
            </w:pPr>
            <w:r>
              <w:t>R</w:t>
            </w:r>
            <w:r w:rsidR="00F50D2F" w:rsidRPr="005D6102">
              <w:t>utile 50%</w:t>
            </w:r>
          </w:p>
        </w:tc>
        <w:tc>
          <w:tcPr>
            <w:tcW w:w="1450" w:type="dxa"/>
          </w:tcPr>
          <w:p w14:paraId="58C67F86" w14:textId="77777777" w:rsidR="00F50D2F" w:rsidRPr="005D6102" w:rsidRDefault="00F50D2F" w:rsidP="00F50D2F">
            <w:pPr>
              <w:jc w:val="right"/>
            </w:pPr>
            <w:r w:rsidRPr="005D6102">
              <w:t xml:space="preserve">Ilmenite 1 </w:t>
            </w:r>
          </w:p>
          <w:p w14:paraId="55C43243" w14:textId="456A4DE4" w:rsidR="00096FB1" w:rsidRPr="005D6102" w:rsidRDefault="007154B5" w:rsidP="00096FB1">
            <w:pPr>
              <w:jc w:val="right"/>
            </w:pPr>
            <w:r>
              <w:t>R</w:t>
            </w:r>
            <w:r w:rsidR="00F50D2F" w:rsidRPr="005D6102">
              <w:t>utile 1</w:t>
            </w:r>
          </w:p>
        </w:tc>
        <w:tc>
          <w:tcPr>
            <w:tcW w:w="1511" w:type="dxa"/>
          </w:tcPr>
          <w:p w14:paraId="09AD9DA9" w14:textId="0F2BC36F" w:rsidR="00F50D2F" w:rsidRPr="005D6102" w:rsidRDefault="00F50D2F" w:rsidP="00F50D2F">
            <w:pPr>
              <w:jc w:val="right"/>
            </w:pPr>
            <w:r w:rsidRPr="005D6102">
              <w:t xml:space="preserve">Ilmenite 22% </w:t>
            </w:r>
          </w:p>
          <w:p w14:paraId="62C91632" w14:textId="0265C9A5" w:rsidR="00096FB1" w:rsidRPr="005D6102" w:rsidRDefault="007154B5" w:rsidP="00096FB1">
            <w:pPr>
              <w:jc w:val="right"/>
            </w:pPr>
            <w:r>
              <w:t>R</w:t>
            </w:r>
            <w:r w:rsidR="00F50D2F" w:rsidRPr="005D6102">
              <w:t>utile 40%</w:t>
            </w:r>
          </w:p>
        </w:tc>
      </w:tr>
      <w:tr w:rsidR="00096FB1" w:rsidRPr="005D6102" w14:paraId="3D7E1BFA" w14:textId="77777777" w:rsidTr="00096FB1">
        <w:trPr>
          <w:cnfStyle w:val="000000010000" w:firstRow="0" w:lastRow="0" w:firstColumn="0" w:lastColumn="0" w:oddVBand="0" w:evenVBand="0" w:oddHBand="0" w:evenHBand="1" w:firstRowFirstColumn="0" w:firstRowLastColumn="0" w:lastRowFirstColumn="0" w:lastRowLastColumn="0"/>
        </w:trPr>
        <w:tc>
          <w:tcPr>
            <w:tcW w:w="1869" w:type="dxa"/>
          </w:tcPr>
          <w:p w14:paraId="646D9F7B" w14:textId="70A33CA8" w:rsidR="00096FB1" w:rsidRPr="005D6102" w:rsidRDefault="00295859" w:rsidP="00096FB1">
            <w:pPr>
              <w:rPr>
                <w:i/>
              </w:rPr>
            </w:pPr>
            <w:r w:rsidRPr="005D6102">
              <w:t>Tungsten</w:t>
            </w:r>
          </w:p>
        </w:tc>
        <w:tc>
          <w:tcPr>
            <w:tcW w:w="1286" w:type="dxa"/>
          </w:tcPr>
          <w:p w14:paraId="2692A9B8" w14:textId="0EADB901" w:rsidR="00096FB1" w:rsidRPr="005D6102" w:rsidRDefault="00295859" w:rsidP="00096FB1">
            <w:pPr>
              <w:jc w:val="right"/>
              <w:rPr>
                <w:i/>
              </w:rPr>
            </w:pPr>
            <w:r w:rsidRPr="005D6102">
              <w:t>Moderate</w:t>
            </w:r>
          </w:p>
        </w:tc>
        <w:tc>
          <w:tcPr>
            <w:tcW w:w="1532" w:type="dxa"/>
          </w:tcPr>
          <w:p w14:paraId="5C8C1E2E" w14:textId="5A7F6F47" w:rsidR="00096FB1" w:rsidRPr="005D6102" w:rsidRDefault="00295859" w:rsidP="00096FB1">
            <w:pPr>
              <w:jc w:val="right"/>
              <w:rPr>
                <w:i/>
              </w:rPr>
            </w:pPr>
            <w:r w:rsidRPr="005D6102">
              <w:t>2</w:t>
            </w:r>
          </w:p>
        </w:tc>
        <w:tc>
          <w:tcPr>
            <w:tcW w:w="1258" w:type="dxa"/>
          </w:tcPr>
          <w:p w14:paraId="066EA527" w14:textId="2F55C370" w:rsidR="00096FB1" w:rsidRPr="005D6102" w:rsidRDefault="00624CD1" w:rsidP="00096FB1">
            <w:pPr>
              <w:jc w:val="right"/>
              <w:rPr>
                <w:i/>
              </w:rPr>
            </w:pPr>
            <w:r>
              <w:t>12%</w:t>
            </w:r>
          </w:p>
        </w:tc>
        <w:tc>
          <w:tcPr>
            <w:tcW w:w="1450" w:type="dxa"/>
          </w:tcPr>
          <w:p w14:paraId="5DC285DC" w14:textId="4463D54E" w:rsidR="00096FB1" w:rsidRPr="005D6102" w:rsidRDefault="00295859" w:rsidP="00096FB1">
            <w:pPr>
              <w:jc w:val="right"/>
              <w:rPr>
                <w:i/>
              </w:rPr>
            </w:pPr>
            <w:r w:rsidRPr="005D6102">
              <w:t>Minor</w:t>
            </w:r>
          </w:p>
        </w:tc>
        <w:tc>
          <w:tcPr>
            <w:tcW w:w="1511" w:type="dxa"/>
          </w:tcPr>
          <w:p w14:paraId="0A9627B6" w14:textId="6ABD7584" w:rsidR="00096FB1" w:rsidRPr="005D6102" w:rsidRDefault="00295859" w:rsidP="00096FB1">
            <w:pPr>
              <w:jc w:val="right"/>
              <w:rPr>
                <w:i/>
              </w:rPr>
            </w:pPr>
            <w:r w:rsidRPr="005D6102">
              <w:t>0.12%</w:t>
            </w:r>
          </w:p>
        </w:tc>
      </w:tr>
      <w:tr w:rsidR="00096FB1" w:rsidRPr="005D6102" w14:paraId="71CC3337" w14:textId="77777777" w:rsidTr="00096FB1">
        <w:trPr>
          <w:cnfStyle w:val="000000100000" w:firstRow="0" w:lastRow="0" w:firstColumn="0" w:lastColumn="0" w:oddVBand="0" w:evenVBand="0" w:oddHBand="1" w:evenHBand="0" w:firstRowFirstColumn="0" w:firstRowLastColumn="0" w:lastRowFirstColumn="0" w:lastRowLastColumn="0"/>
        </w:trPr>
        <w:tc>
          <w:tcPr>
            <w:tcW w:w="1869" w:type="dxa"/>
          </w:tcPr>
          <w:p w14:paraId="2A041BC4" w14:textId="65E1E479" w:rsidR="00096FB1" w:rsidRPr="005D6102" w:rsidRDefault="00295859" w:rsidP="00096FB1">
            <w:pPr>
              <w:rPr>
                <w:strike/>
              </w:rPr>
            </w:pPr>
            <w:r w:rsidRPr="005D6102">
              <w:t>Vanadium</w:t>
            </w:r>
          </w:p>
        </w:tc>
        <w:tc>
          <w:tcPr>
            <w:tcW w:w="1286" w:type="dxa"/>
          </w:tcPr>
          <w:p w14:paraId="56F34937" w14:textId="1CDE60BF" w:rsidR="00096FB1" w:rsidRPr="005D6102" w:rsidRDefault="00295859" w:rsidP="00096FB1">
            <w:pPr>
              <w:jc w:val="right"/>
              <w:rPr>
                <w:strike/>
              </w:rPr>
            </w:pPr>
            <w:r w:rsidRPr="005D6102">
              <w:t>Moderate</w:t>
            </w:r>
          </w:p>
        </w:tc>
        <w:tc>
          <w:tcPr>
            <w:tcW w:w="1532" w:type="dxa"/>
          </w:tcPr>
          <w:p w14:paraId="7AA9EECA" w14:textId="0152390D" w:rsidR="00096FB1" w:rsidRPr="005D6102" w:rsidRDefault="00295859" w:rsidP="00096FB1">
            <w:pPr>
              <w:jc w:val="right"/>
            </w:pPr>
            <w:r w:rsidRPr="005D6102">
              <w:t>4</w:t>
            </w:r>
          </w:p>
        </w:tc>
        <w:tc>
          <w:tcPr>
            <w:tcW w:w="1258" w:type="dxa"/>
          </w:tcPr>
          <w:p w14:paraId="643AAB40" w14:textId="5AB43D44" w:rsidR="00096FB1" w:rsidRPr="005D6102" w:rsidRDefault="00295859" w:rsidP="00096FB1">
            <w:pPr>
              <w:jc w:val="right"/>
            </w:pPr>
            <w:r w:rsidRPr="005D6102">
              <w:t>11</w:t>
            </w:r>
            <w:r w:rsidR="00587AD8">
              <w:t>%</w:t>
            </w:r>
          </w:p>
        </w:tc>
        <w:tc>
          <w:tcPr>
            <w:tcW w:w="1450" w:type="dxa"/>
          </w:tcPr>
          <w:p w14:paraId="39C8976F" w14:textId="5F2796C9" w:rsidR="00096FB1" w:rsidRPr="005D6102" w:rsidRDefault="00295859" w:rsidP="00096FB1">
            <w:pPr>
              <w:jc w:val="right"/>
            </w:pPr>
            <w:r w:rsidRPr="005D6102">
              <w:t>0</w:t>
            </w:r>
          </w:p>
        </w:tc>
        <w:tc>
          <w:tcPr>
            <w:tcW w:w="1511" w:type="dxa"/>
          </w:tcPr>
          <w:p w14:paraId="5F66475A" w14:textId="0CD09941" w:rsidR="00096FB1" w:rsidRPr="005D6102" w:rsidRDefault="00096FB1" w:rsidP="00096FB1">
            <w:pPr>
              <w:jc w:val="right"/>
            </w:pPr>
            <w:r w:rsidRPr="005D6102">
              <w:t>-</w:t>
            </w:r>
          </w:p>
        </w:tc>
      </w:tr>
      <w:tr w:rsidR="00096FB1" w:rsidRPr="005D6102" w14:paraId="409171D1" w14:textId="77777777" w:rsidTr="00096FB1">
        <w:trPr>
          <w:cnfStyle w:val="000000010000" w:firstRow="0" w:lastRow="0" w:firstColumn="0" w:lastColumn="0" w:oddVBand="0" w:evenVBand="0" w:oddHBand="0" w:evenHBand="1" w:firstRowFirstColumn="0" w:firstRowLastColumn="0" w:lastRowFirstColumn="0" w:lastRowLastColumn="0"/>
        </w:trPr>
        <w:tc>
          <w:tcPr>
            <w:tcW w:w="1869" w:type="dxa"/>
          </w:tcPr>
          <w:p w14:paraId="41D5B7EC" w14:textId="3A6DB933" w:rsidR="00096FB1" w:rsidRPr="005D6102" w:rsidRDefault="00295859" w:rsidP="00096FB1">
            <w:pPr>
              <w:rPr>
                <w:strike/>
              </w:rPr>
            </w:pPr>
            <w:r w:rsidRPr="005D6102">
              <w:t>Zirconium</w:t>
            </w:r>
          </w:p>
        </w:tc>
        <w:tc>
          <w:tcPr>
            <w:tcW w:w="1286" w:type="dxa"/>
          </w:tcPr>
          <w:p w14:paraId="5C6BBC46" w14:textId="54DDA6A2" w:rsidR="00096FB1" w:rsidRPr="005D6102" w:rsidRDefault="00096FB1" w:rsidP="00096FB1">
            <w:pPr>
              <w:jc w:val="right"/>
              <w:rPr>
                <w:strike/>
              </w:rPr>
            </w:pPr>
            <w:r w:rsidRPr="005D6102">
              <w:t>High</w:t>
            </w:r>
          </w:p>
        </w:tc>
        <w:tc>
          <w:tcPr>
            <w:tcW w:w="1532" w:type="dxa"/>
          </w:tcPr>
          <w:p w14:paraId="3EFDA4C9" w14:textId="7FA6276B" w:rsidR="00096FB1" w:rsidRPr="005D6102" w:rsidRDefault="00295859" w:rsidP="00096FB1">
            <w:pPr>
              <w:jc w:val="right"/>
              <w:rPr>
                <w:strike/>
              </w:rPr>
            </w:pPr>
            <w:r w:rsidRPr="005D6102">
              <w:t>1</w:t>
            </w:r>
          </w:p>
        </w:tc>
        <w:tc>
          <w:tcPr>
            <w:tcW w:w="1258" w:type="dxa"/>
          </w:tcPr>
          <w:p w14:paraId="23A79ADF" w14:textId="4688649A" w:rsidR="00096FB1" w:rsidRPr="005D6102" w:rsidRDefault="00295859" w:rsidP="00096FB1">
            <w:pPr>
              <w:jc w:val="right"/>
              <w:rPr>
                <w:strike/>
              </w:rPr>
            </w:pPr>
            <w:r w:rsidRPr="005D6102">
              <w:t>17</w:t>
            </w:r>
            <w:r w:rsidR="00096FB1" w:rsidRPr="005D6102">
              <w:t>%</w:t>
            </w:r>
          </w:p>
        </w:tc>
        <w:tc>
          <w:tcPr>
            <w:tcW w:w="1450" w:type="dxa"/>
          </w:tcPr>
          <w:p w14:paraId="6FED2D68" w14:textId="7E1F2D5B" w:rsidR="00096FB1" w:rsidRPr="005D6102" w:rsidRDefault="00295859" w:rsidP="00096FB1">
            <w:pPr>
              <w:jc w:val="right"/>
              <w:rPr>
                <w:strike/>
              </w:rPr>
            </w:pPr>
            <w:r w:rsidRPr="005D6102">
              <w:t>1</w:t>
            </w:r>
          </w:p>
        </w:tc>
        <w:tc>
          <w:tcPr>
            <w:tcW w:w="1511" w:type="dxa"/>
          </w:tcPr>
          <w:p w14:paraId="78F3EB29" w14:textId="19BF14EB" w:rsidR="00096FB1" w:rsidRPr="005D6102" w:rsidRDefault="00295859" w:rsidP="00096FB1">
            <w:pPr>
              <w:jc w:val="right"/>
              <w:rPr>
                <w:strike/>
              </w:rPr>
            </w:pPr>
            <w:r w:rsidRPr="005D6102">
              <w:t>38</w:t>
            </w:r>
            <w:r w:rsidR="00096FB1" w:rsidRPr="005D6102">
              <w:t>%</w:t>
            </w:r>
          </w:p>
        </w:tc>
      </w:tr>
    </w:tbl>
    <w:p w14:paraId="2D4902A8" w14:textId="7A85B553" w:rsidR="002C04CF" w:rsidRPr="005D6102" w:rsidRDefault="000D0B1D" w:rsidP="00732F16">
      <w:pPr>
        <w:spacing w:before="60"/>
        <w:rPr>
          <w:rFonts w:eastAsia="Times New Roman" w:cs="Arial"/>
          <w:color w:val="005CAF"/>
          <w:sz w:val="16"/>
          <w:szCs w:val="20"/>
          <w:lang w:val="en"/>
        </w:rPr>
      </w:pPr>
      <w:r w:rsidRPr="005D6102">
        <w:rPr>
          <w:rFonts w:eastAsia="Times New Roman" w:cs="Arial"/>
          <w:color w:val="005CAF"/>
          <w:sz w:val="16"/>
          <w:szCs w:val="20"/>
          <w:lang w:val="en"/>
        </w:rPr>
        <w:t>Notes:</w:t>
      </w:r>
      <w:r w:rsidR="003D04C7" w:rsidRPr="005D6102">
        <w:rPr>
          <w:rFonts w:eastAsia="Times New Roman" w:cs="Arial"/>
          <w:color w:val="005CAF"/>
          <w:sz w:val="16"/>
          <w:szCs w:val="20"/>
          <w:lang w:val="en"/>
        </w:rPr>
        <w:t xml:space="preserve"> </w:t>
      </w:r>
      <w:r w:rsidRPr="005D6102">
        <w:rPr>
          <w:rFonts w:eastAsia="Times New Roman" w:cs="Arial"/>
          <w:color w:val="005CAF"/>
          <w:sz w:val="16"/>
          <w:szCs w:val="20"/>
          <w:lang w:val="en"/>
        </w:rPr>
        <w:t>This</w:t>
      </w:r>
      <w:r w:rsidR="002F7C59" w:rsidRPr="005D6102">
        <w:rPr>
          <w:rFonts w:eastAsia="Times New Roman" w:cs="Arial"/>
          <w:color w:val="005CAF"/>
          <w:sz w:val="16"/>
          <w:szCs w:val="20"/>
          <w:lang w:val="en"/>
        </w:rPr>
        <w:t xml:space="preserve"> list is not representative of </w:t>
      </w:r>
      <w:r w:rsidR="00644241" w:rsidRPr="005D6102">
        <w:rPr>
          <w:rFonts w:eastAsia="Times New Roman" w:cs="Arial"/>
          <w:color w:val="005CAF"/>
          <w:sz w:val="16"/>
          <w:szCs w:val="20"/>
          <w:lang w:val="en"/>
        </w:rPr>
        <w:t>a</w:t>
      </w:r>
      <w:r w:rsidR="002F7C59" w:rsidRPr="005D6102">
        <w:rPr>
          <w:rFonts w:eastAsia="Times New Roman" w:cs="Arial"/>
          <w:color w:val="005CAF"/>
          <w:sz w:val="16"/>
          <w:szCs w:val="20"/>
          <w:lang w:val="en"/>
        </w:rPr>
        <w:t xml:space="preserve"> </w:t>
      </w:r>
      <w:r w:rsidR="00D81436" w:rsidRPr="005D6102">
        <w:rPr>
          <w:rFonts w:eastAsia="Times New Roman" w:cs="Arial"/>
          <w:color w:val="005CAF"/>
          <w:sz w:val="16"/>
          <w:szCs w:val="20"/>
          <w:lang w:val="en"/>
        </w:rPr>
        <w:t xml:space="preserve">national </w:t>
      </w:r>
      <w:r w:rsidR="002F7C59" w:rsidRPr="005D6102">
        <w:rPr>
          <w:rFonts w:eastAsia="Times New Roman" w:cs="Arial"/>
          <w:color w:val="005CAF"/>
          <w:sz w:val="16"/>
          <w:szCs w:val="20"/>
          <w:lang w:val="en"/>
        </w:rPr>
        <w:t>critical minerals list</w:t>
      </w:r>
      <w:r w:rsidR="00D81436" w:rsidRPr="005D6102">
        <w:rPr>
          <w:rFonts w:eastAsia="Times New Roman" w:cs="Arial"/>
          <w:color w:val="005CAF"/>
          <w:sz w:val="16"/>
          <w:szCs w:val="20"/>
          <w:lang w:val="en"/>
        </w:rPr>
        <w:t xml:space="preserve"> for Australia</w:t>
      </w:r>
      <w:r w:rsidR="002F7C59" w:rsidRPr="005D6102">
        <w:rPr>
          <w:rFonts w:eastAsia="Times New Roman" w:cs="Arial"/>
          <w:color w:val="005CAF"/>
          <w:sz w:val="16"/>
          <w:szCs w:val="20"/>
          <w:lang w:val="en"/>
        </w:rPr>
        <w:t>.</w:t>
      </w:r>
      <w:r w:rsidR="00425DE5" w:rsidRPr="005D6102">
        <w:rPr>
          <w:rFonts w:eastAsia="Times New Roman" w:cs="Arial"/>
          <w:color w:val="005CAF"/>
          <w:sz w:val="16"/>
          <w:szCs w:val="20"/>
          <w:lang w:val="en"/>
        </w:rPr>
        <w:t xml:space="preserve"> *Tantalum ranking based on available reports of economic resources and does not include African resources.</w:t>
      </w:r>
    </w:p>
    <w:p w14:paraId="45BCC36C" w14:textId="129D8DDF" w:rsidR="006F15A9" w:rsidRPr="005D6102" w:rsidRDefault="002C04CF" w:rsidP="006F15A9">
      <w:pPr>
        <w:rPr>
          <w:rFonts w:eastAsia="Times New Roman" w:cs="Arial"/>
          <w:color w:val="005CAF"/>
          <w:sz w:val="16"/>
          <w:szCs w:val="20"/>
          <w:lang w:val="en"/>
        </w:rPr>
      </w:pPr>
      <w:r w:rsidRPr="005D6102">
        <w:rPr>
          <w:rFonts w:eastAsia="Times New Roman" w:cs="Arial"/>
          <w:color w:val="005CAF"/>
          <w:sz w:val="16"/>
          <w:szCs w:val="20"/>
          <w:lang w:val="en"/>
        </w:rPr>
        <w:t xml:space="preserve">Source: </w:t>
      </w:r>
      <w:r w:rsidR="000D0B1D" w:rsidRPr="005D6102">
        <w:rPr>
          <w:rFonts w:eastAsia="Times New Roman" w:cs="Arial"/>
          <w:color w:val="005CAF"/>
          <w:sz w:val="16"/>
          <w:szCs w:val="20"/>
          <w:lang w:val="en"/>
        </w:rPr>
        <w:t xml:space="preserve">Department of Industry, Innovation and Science (2019) Critical Minerals Strategy, </w:t>
      </w:r>
      <w:r w:rsidRPr="005D6102">
        <w:rPr>
          <w:rFonts w:eastAsia="Times New Roman" w:cs="Arial"/>
          <w:color w:val="005CAF"/>
          <w:sz w:val="16"/>
          <w:szCs w:val="20"/>
          <w:lang w:val="en"/>
        </w:rPr>
        <w:t>Geoscience Australia (2019</w:t>
      </w:r>
      <w:r w:rsidR="000D0B1D" w:rsidRPr="005D6102">
        <w:rPr>
          <w:rFonts w:eastAsia="Times New Roman" w:cs="Arial"/>
          <w:color w:val="005CAF"/>
          <w:sz w:val="16"/>
          <w:szCs w:val="20"/>
          <w:lang w:val="en"/>
        </w:rPr>
        <w:t>)</w:t>
      </w:r>
    </w:p>
    <w:p w14:paraId="635E6380" w14:textId="77777777" w:rsidR="00C40777" w:rsidRPr="005D6102" w:rsidRDefault="00C40777" w:rsidP="006F15A9">
      <w:pPr>
        <w:pStyle w:val="Caption"/>
      </w:pPr>
    </w:p>
    <w:p w14:paraId="75A1D73B" w14:textId="428AC3BF" w:rsidR="006F15A9" w:rsidRPr="005D6102" w:rsidRDefault="00A76128" w:rsidP="006F15A9">
      <w:pPr>
        <w:pStyle w:val="Caption"/>
      </w:pPr>
      <w:r w:rsidRPr="005D6102">
        <w:t xml:space="preserve">Table </w:t>
      </w:r>
      <w:r w:rsidRPr="005D6102">
        <w:rPr>
          <w:noProof/>
        </w:rPr>
        <w:t>1</w:t>
      </w:r>
      <w:r w:rsidRPr="005D6102">
        <w:t>.</w:t>
      </w:r>
      <w:r w:rsidRPr="005D6102">
        <w:rPr>
          <w:noProof/>
        </w:rPr>
        <w:fldChar w:fldCharType="begin"/>
      </w:r>
      <w:r w:rsidRPr="005D6102">
        <w:rPr>
          <w:noProof/>
        </w:rPr>
        <w:instrText xml:space="preserve"> SEQ Table \* ARABIC \s 1 </w:instrText>
      </w:r>
      <w:r w:rsidRPr="005D6102">
        <w:rPr>
          <w:noProof/>
        </w:rPr>
        <w:fldChar w:fldCharType="separate"/>
      </w:r>
      <w:r w:rsidR="00A7507E">
        <w:rPr>
          <w:noProof/>
        </w:rPr>
        <w:t>2</w:t>
      </w:r>
      <w:r w:rsidRPr="005D6102">
        <w:rPr>
          <w:noProof/>
        </w:rPr>
        <w:fldChar w:fldCharType="end"/>
      </w:r>
      <w:r w:rsidRPr="005D6102">
        <w:t>: Supply chain analysis — major player in aspects of critical mineral supply chain (2018)</w:t>
      </w:r>
    </w:p>
    <w:tbl>
      <w:tblPr>
        <w:tblStyle w:val="MediumList2-Accent1"/>
        <w:tblW w:w="4780" w:type="pct"/>
        <w:tblInd w:w="-10" w:type="dxa"/>
        <w:tblLook w:val="04A0" w:firstRow="1" w:lastRow="0" w:firstColumn="1" w:lastColumn="0" w:noHBand="0" w:noVBand="1"/>
        <w:tblCaption w:val="Table 1.2: Supply chain analysis — major player in aspects of critical mineral supply chain (2018)"/>
        <w:tblDescription w:val="This table outlines the dominant country at each stage of the supply chain in relation to the six focus critical minerals."/>
      </w:tblPr>
      <w:tblGrid>
        <w:gridCol w:w="1790"/>
        <w:gridCol w:w="2605"/>
        <w:gridCol w:w="2404"/>
        <w:gridCol w:w="1696"/>
      </w:tblGrid>
      <w:tr w:rsidR="006D0043" w:rsidRPr="005D6102" w14:paraId="7AFB3765" w14:textId="77777777" w:rsidTr="00003E56">
        <w:trPr>
          <w:cnfStyle w:val="100000000000" w:firstRow="1" w:lastRow="0" w:firstColumn="0" w:lastColumn="0" w:oddVBand="0" w:evenVBand="0" w:oddHBand="0" w:evenHBand="0" w:firstRowFirstColumn="0" w:firstRowLastColumn="0" w:lastRowFirstColumn="0" w:lastRowLastColumn="0"/>
          <w:trHeight w:hRule="exact" w:val="851"/>
          <w:tblHeader/>
        </w:trPr>
        <w:tc>
          <w:tcPr>
            <w:cnfStyle w:val="001000000100" w:firstRow="0" w:lastRow="0" w:firstColumn="1" w:lastColumn="0" w:oddVBand="0" w:evenVBand="0" w:oddHBand="0" w:evenHBand="0" w:firstRowFirstColumn="1" w:firstRowLastColumn="0" w:lastRowFirstColumn="0" w:lastRowLastColumn="0"/>
            <w:tcW w:w="1054" w:type="pct"/>
            <w:tcBorders>
              <w:bottom w:val="dashSmallGap" w:sz="4" w:space="0" w:color="auto"/>
            </w:tcBorders>
            <w:shd w:val="clear" w:color="auto" w:fill="005CAF" w:themeFill="accent1"/>
            <w:noWrap/>
          </w:tcPr>
          <w:p w14:paraId="5CCAD9D5" w14:textId="77777777" w:rsidR="00B57A78" w:rsidRPr="005D6102" w:rsidRDefault="00B57A78" w:rsidP="009749EF">
            <w:pPr>
              <w:rPr>
                <w:rFonts w:asciiTheme="minorHAnsi" w:eastAsiaTheme="minorEastAsia" w:hAnsiTheme="minorHAnsi" w:cstheme="minorBidi"/>
                <w:color w:val="FFFFFF" w:themeColor="background1"/>
                <w:sz w:val="18"/>
                <w:szCs w:val="18"/>
              </w:rPr>
            </w:pPr>
          </w:p>
          <w:p w14:paraId="6D13B3B1" w14:textId="77777777" w:rsidR="00B57A78" w:rsidRPr="005D6102" w:rsidRDefault="00B57A78" w:rsidP="009749EF">
            <w:pPr>
              <w:rPr>
                <w:rFonts w:asciiTheme="minorHAnsi" w:eastAsiaTheme="minorEastAsia" w:hAnsiTheme="minorHAnsi" w:cstheme="minorBidi"/>
                <w:color w:val="FFFFFF" w:themeColor="background1"/>
                <w:sz w:val="18"/>
                <w:szCs w:val="18"/>
              </w:rPr>
            </w:pPr>
          </w:p>
          <w:p w14:paraId="27E17C0C" w14:textId="4C576AB7" w:rsidR="00B57A78" w:rsidRPr="005D6102" w:rsidRDefault="00B57A78" w:rsidP="009749EF">
            <w:pPr>
              <w:rPr>
                <w:rFonts w:asciiTheme="minorHAnsi" w:eastAsiaTheme="minorEastAsia" w:hAnsiTheme="minorHAnsi" w:cstheme="minorBidi"/>
                <w:color w:val="FFFFFF" w:themeColor="background1"/>
                <w:sz w:val="18"/>
                <w:szCs w:val="18"/>
              </w:rPr>
            </w:pPr>
          </w:p>
        </w:tc>
        <w:tc>
          <w:tcPr>
            <w:tcW w:w="1533" w:type="pct"/>
            <w:tcBorders>
              <w:bottom w:val="dashSmallGap" w:sz="4" w:space="0" w:color="auto"/>
            </w:tcBorders>
            <w:shd w:val="clear" w:color="auto" w:fill="005CAF" w:themeFill="accent1"/>
          </w:tcPr>
          <w:p w14:paraId="10609DD2" w14:textId="77777777" w:rsidR="00B57A78" w:rsidRPr="005D6102" w:rsidRDefault="00B57A78" w:rsidP="009749EF">
            <w:pPr>
              <w:jc w:val="center"/>
              <w:cnfStyle w:val="100000000000" w:firstRow="1" w:lastRow="0" w:firstColumn="0" w:lastColumn="0" w:oddVBand="0" w:evenVBand="0" w:oddHBand="0" w:evenHBand="0" w:firstRowFirstColumn="0" w:firstRowLastColumn="0" w:lastRowFirstColumn="0" w:lastRowLastColumn="0"/>
              <w:rPr>
                <w:rFonts w:asciiTheme="minorHAnsi" w:eastAsiaTheme="minorEastAsia" w:hAnsiTheme="minorHAnsi" w:cstheme="minorBidi"/>
                <w:color w:val="FFFFFF" w:themeColor="background1"/>
                <w:sz w:val="18"/>
                <w:szCs w:val="18"/>
              </w:rPr>
            </w:pPr>
            <w:r w:rsidRPr="005D6102">
              <w:rPr>
                <w:rFonts w:asciiTheme="minorHAnsi" w:eastAsiaTheme="minorEastAsia" w:hAnsiTheme="minorHAnsi" w:cstheme="minorBidi"/>
                <w:color w:val="FFFFFF" w:themeColor="background1"/>
                <w:sz w:val="18"/>
                <w:szCs w:val="18"/>
              </w:rPr>
              <w:t xml:space="preserve">Primary production </w:t>
            </w:r>
          </w:p>
          <w:p w14:paraId="65934360" w14:textId="5056505E" w:rsidR="00B57A78" w:rsidRPr="005D6102" w:rsidRDefault="00B57A78" w:rsidP="00555FE8">
            <w:pPr>
              <w:jc w:val="center"/>
              <w:cnfStyle w:val="100000000000" w:firstRow="1" w:lastRow="0" w:firstColumn="0" w:lastColumn="0" w:oddVBand="0" w:evenVBand="0" w:oddHBand="0" w:evenHBand="0" w:firstRowFirstColumn="0" w:firstRowLastColumn="0" w:lastRowFirstColumn="0" w:lastRowLastColumn="0"/>
              <w:rPr>
                <w:rFonts w:asciiTheme="minorHAnsi" w:eastAsiaTheme="minorEastAsia" w:hAnsiTheme="minorHAnsi" w:cstheme="minorBidi"/>
                <w:color w:val="FFFFFF" w:themeColor="background1"/>
                <w:sz w:val="18"/>
                <w:szCs w:val="18"/>
              </w:rPr>
            </w:pPr>
            <w:r w:rsidRPr="005D6102">
              <w:rPr>
                <w:rFonts w:asciiTheme="minorHAnsi" w:eastAsiaTheme="minorEastAsia" w:hAnsiTheme="minorHAnsi" w:cstheme="minorBidi"/>
                <w:color w:val="FFFFFF" w:themeColor="background1"/>
                <w:sz w:val="18"/>
                <w:szCs w:val="18"/>
              </w:rPr>
              <w:t>(mining)</w:t>
            </w:r>
          </w:p>
        </w:tc>
        <w:tc>
          <w:tcPr>
            <w:tcW w:w="1415" w:type="pct"/>
            <w:tcBorders>
              <w:bottom w:val="dashSmallGap" w:sz="4" w:space="0" w:color="auto"/>
            </w:tcBorders>
            <w:shd w:val="clear" w:color="auto" w:fill="005CAF" w:themeFill="accent1"/>
          </w:tcPr>
          <w:p w14:paraId="5D8C9BA8" w14:textId="4700BBD4" w:rsidR="00B57A78" w:rsidRPr="005D6102" w:rsidRDefault="00B57A78" w:rsidP="00B57A78">
            <w:pPr>
              <w:jc w:val="center"/>
              <w:cnfStyle w:val="100000000000" w:firstRow="1" w:lastRow="0" w:firstColumn="0" w:lastColumn="0" w:oddVBand="0" w:evenVBand="0" w:oddHBand="0" w:evenHBand="0" w:firstRowFirstColumn="0" w:firstRowLastColumn="0" w:lastRowFirstColumn="0" w:lastRowLastColumn="0"/>
              <w:rPr>
                <w:rFonts w:asciiTheme="minorHAnsi" w:eastAsiaTheme="minorEastAsia" w:hAnsiTheme="minorHAnsi" w:cstheme="minorBidi"/>
                <w:color w:val="FFFFFF" w:themeColor="background1"/>
                <w:sz w:val="18"/>
                <w:szCs w:val="18"/>
              </w:rPr>
            </w:pPr>
            <w:r w:rsidRPr="005D6102">
              <w:rPr>
                <w:rFonts w:asciiTheme="minorHAnsi" w:eastAsiaTheme="minorEastAsia" w:hAnsiTheme="minorHAnsi" w:cstheme="minorBidi"/>
                <w:color w:val="FFFFFF" w:themeColor="background1"/>
                <w:sz w:val="18"/>
                <w:szCs w:val="18"/>
              </w:rPr>
              <w:t>Processing</w:t>
            </w:r>
          </w:p>
        </w:tc>
        <w:tc>
          <w:tcPr>
            <w:tcW w:w="998" w:type="pct"/>
            <w:tcBorders>
              <w:bottom w:val="dashSmallGap" w:sz="4" w:space="0" w:color="auto"/>
            </w:tcBorders>
            <w:shd w:val="clear" w:color="auto" w:fill="005CAF" w:themeFill="accent1"/>
          </w:tcPr>
          <w:p w14:paraId="763C5771" w14:textId="109A02E8" w:rsidR="00B57A78" w:rsidRPr="005D6102" w:rsidRDefault="00B57A78" w:rsidP="00555FE8">
            <w:pPr>
              <w:jc w:val="center"/>
              <w:cnfStyle w:val="100000000000" w:firstRow="1" w:lastRow="0" w:firstColumn="0" w:lastColumn="0" w:oddVBand="0" w:evenVBand="0" w:oddHBand="0" w:evenHBand="0" w:firstRowFirstColumn="0" w:firstRowLastColumn="0" w:lastRowFirstColumn="0" w:lastRowLastColumn="0"/>
              <w:rPr>
                <w:rFonts w:asciiTheme="minorHAnsi" w:eastAsiaTheme="minorEastAsia" w:hAnsiTheme="minorHAnsi" w:cstheme="minorBidi"/>
                <w:color w:val="FFFFFF" w:themeColor="background1"/>
                <w:sz w:val="18"/>
                <w:szCs w:val="18"/>
              </w:rPr>
            </w:pPr>
            <w:r w:rsidRPr="005D6102">
              <w:rPr>
                <w:rFonts w:asciiTheme="minorHAnsi" w:eastAsiaTheme="minorEastAsia" w:hAnsiTheme="minorHAnsi" w:cstheme="minorBidi"/>
                <w:color w:val="FFFFFF" w:themeColor="background1"/>
                <w:sz w:val="18"/>
                <w:szCs w:val="18"/>
              </w:rPr>
              <w:t>Refining</w:t>
            </w:r>
          </w:p>
        </w:tc>
      </w:tr>
      <w:tr w:rsidR="00B57A78" w:rsidRPr="005D6102" w14:paraId="1C4B91B9" w14:textId="77777777" w:rsidTr="00B57A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54" w:type="pct"/>
            <w:tcBorders>
              <w:top w:val="dashSmallGap" w:sz="4" w:space="0" w:color="auto"/>
            </w:tcBorders>
            <w:shd w:val="clear" w:color="auto" w:fill="005CAF" w:themeFill="accent1"/>
            <w:noWrap/>
          </w:tcPr>
          <w:p w14:paraId="128905B2" w14:textId="77777777" w:rsidR="00B57A78" w:rsidRPr="005D6102" w:rsidRDefault="00B57A78" w:rsidP="009749EF">
            <w:pPr>
              <w:rPr>
                <w:rFonts w:asciiTheme="minorHAnsi" w:eastAsiaTheme="minorEastAsia" w:hAnsiTheme="minorHAnsi" w:cstheme="minorBidi"/>
                <w:color w:val="FFFFFF" w:themeColor="background2"/>
                <w:sz w:val="18"/>
                <w:szCs w:val="18"/>
              </w:rPr>
            </w:pPr>
            <w:r w:rsidRPr="005D6102">
              <w:rPr>
                <w:color w:val="FFFFFF" w:themeColor="background2"/>
                <w:sz w:val="18"/>
                <w:szCs w:val="18"/>
              </w:rPr>
              <w:t>Rare earths</w:t>
            </w:r>
          </w:p>
        </w:tc>
        <w:tc>
          <w:tcPr>
            <w:tcW w:w="1533" w:type="pct"/>
            <w:tcBorders>
              <w:top w:val="dashSmallGap" w:sz="4" w:space="0" w:color="auto"/>
            </w:tcBorders>
            <w:shd w:val="clear" w:color="auto" w:fill="auto"/>
          </w:tcPr>
          <w:p w14:paraId="2DAC35A3" w14:textId="0EB0BEA5" w:rsidR="00B57A78" w:rsidRPr="005D6102" w:rsidRDefault="00B57A78" w:rsidP="009749EF">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theme="minorBidi"/>
                <w:color w:val="auto"/>
                <w:sz w:val="18"/>
                <w:szCs w:val="18"/>
              </w:rPr>
            </w:pPr>
            <w:r w:rsidRPr="005D6102">
              <w:rPr>
                <w:rFonts w:asciiTheme="minorHAnsi" w:eastAsiaTheme="minorEastAsia" w:hAnsiTheme="minorHAnsi" w:cstheme="minorBidi"/>
                <w:color w:val="auto"/>
                <w:sz w:val="18"/>
                <w:szCs w:val="18"/>
              </w:rPr>
              <w:t>China 77%</w:t>
            </w:r>
          </w:p>
        </w:tc>
        <w:tc>
          <w:tcPr>
            <w:tcW w:w="1415" w:type="pct"/>
            <w:tcBorders>
              <w:top w:val="dashSmallGap" w:sz="4" w:space="0" w:color="auto"/>
            </w:tcBorders>
            <w:shd w:val="clear" w:color="auto" w:fill="auto"/>
          </w:tcPr>
          <w:p w14:paraId="42927BFE" w14:textId="508F1D91" w:rsidR="00B57A78" w:rsidRPr="005D6102" w:rsidRDefault="00B57A78" w:rsidP="009749EF">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theme="minorBidi"/>
                <w:color w:val="auto"/>
                <w:sz w:val="18"/>
                <w:szCs w:val="18"/>
              </w:rPr>
            </w:pPr>
            <w:r w:rsidRPr="005D6102">
              <w:rPr>
                <w:rFonts w:asciiTheme="minorHAnsi" w:eastAsiaTheme="minorEastAsia" w:hAnsiTheme="minorHAnsi" w:cstheme="minorBidi"/>
                <w:color w:val="auto"/>
                <w:sz w:val="18"/>
                <w:szCs w:val="18"/>
              </w:rPr>
              <w:t>China</w:t>
            </w:r>
          </w:p>
        </w:tc>
        <w:tc>
          <w:tcPr>
            <w:tcW w:w="998" w:type="pct"/>
            <w:tcBorders>
              <w:top w:val="dashSmallGap" w:sz="4" w:space="0" w:color="auto"/>
            </w:tcBorders>
            <w:shd w:val="clear" w:color="auto" w:fill="auto"/>
          </w:tcPr>
          <w:p w14:paraId="08AB8795" w14:textId="549F75A1" w:rsidR="00B57A78" w:rsidRPr="005D6102" w:rsidRDefault="00B57A78" w:rsidP="009749EF">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theme="minorBidi"/>
                <w:color w:val="auto"/>
                <w:sz w:val="18"/>
                <w:szCs w:val="18"/>
              </w:rPr>
            </w:pPr>
            <w:r w:rsidRPr="005D6102">
              <w:rPr>
                <w:rFonts w:asciiTheme="minorHAnsi" w:eastAsiaTheme="minorEastAsia" w:hAnsiTheme="minorHAnsi" w:cstheme="minorBidi"/>
                <w:color w:val="auto"/>
                <w:sz w:val="18"/>
                <w:szCs w:val="18"/>
              </w:rPr>
              <w:t>China</w:t>
            </w:r>
          </w:p>
        </w:tc>
      </w:tr>
      <w:tr w:rsidR="00B57A78" w:rsidRPr="005D6102" w14:paraId="1CA4434C" w14:textId="77777777" w:rsidTr="00B57A78">
        <w:tc>
          <w:tcPr>
            <w:cnfStyle w:val="001000000000" w:firstRow="0" w:lastRow="0" w:firstColumn="1" w:lastColumn="0" w:oddVBand="0" w:evenVBand="0" w:oddHBand="0" w:evenHBand="0" w:firstRowFirstColumn="0" w:firstRowLastColumn="0" w:lastRowFirstColumn="0" w:lastRowLastColumn="0"/>
            <w:tcW w:w="1054" w:type="pct"/>
            <w:shd w:val="clear" w:color="auto" w:fill="005CAF" w:themeFill="accent1"/>
            <w:noWrap/>
          </w:tcPr>
          <w:p w14:paraId="1A221E08" w14:textId="77777777" w:rsidR="00B57A78" w:rsidRPr="005D6102" w:rsidRDefault="00B57A78" w:rsidP="009749EF">
            <w:pPr>
              <w:rPr>
                <w:rFonts w:asciiTheme="minorHAnsi" w:eastAsiaTheme="minorEastAsia" w:hAnsiTheme="minorHAnsi" w:cstheme="minorBidi"/>
                <w:color w:val="FFFFFF" w:themeColor="background2"/>
                <w:sz w:val="18"/>
                <w:szCs w:val="18"/>
              </w:rPr>
            </w:pPr>
            <w:r w:rsidRPr="005D6102">
              <w:rPr>
                <w:color w:val="FFFFFF" w:themeColor="background2"/>
                <w:sz w:val="18"/>
                <w:szCs w:val="18"/>
              </w:rPr>
              <w:t>Cobalt</w:t>
            </w:r>
          </w:p>
        </w:tc>
        <w:tc>
          <w:tcPr>
            <w:tcW w:w="1533" w:type="pct"/>
            <w:shd w:val="clear" w:color="auto" w:fill="auto"/>
          </w:tcPr>
          <w:p w14:paraId="29E6D8BF" w14:textId="0A03BDB2" w:rsidR="00B57A78" w:rsidRPr="005D6102" w:rsidRDefault="00B57A78" w:rsidP="009749EF">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theme="minorBidi"/>
                <w:color w:val="auto"/>
                <w:sz w:val="18"/>
                <w:szCs w:val="18"/>
              </w:rPr>
            </w:pPr>
            <w:r w:rsidRPr="005D6102">
              <w:rPr>
                <w:rFonts w:asciiTheme="minorHAnsi" w:eastAsiaTheme="minorEastAsia" w:hAnsiTheme="minorHAnsi" w:cstheme="minorBidi"/>
                <w:color w:val="auto"/>
                <w:sz w:val="18"/>
                <w:szCs w:val="18"/>
              </w:rPr>
              <w:t>Democratic Republic of the Congo 70%</w:t>
            </w:r>
          </w:p>
        </w:tc>
        <w:tc>
          <w:tcPr>
            <w:tcW w:w="1415" w:type="pct"/>
            <w:shd w:val="clear" w:color="auto" w:fill="auto"/>
          </w:tcPr>
          <w:p w14:paraId="1815E7F0" w14:textId="1703DF9F" w:rsidR="00B57A78" w:rsidRPr="005D6102" w:rsidRDefault="00B57A78" w:rsidP="009749EF">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theme="minorBidi"/>
                <w:color w:val="auto"/>
                <w:sz w:val="18"/>
                <w:szCs w:val="18"/>
              </w:rPr>
            </w:pPr>
            <w:r w:rsidRPr="005D6102">
              <w:rPr>
                <w:rFonts w:asciiTheme="minorHAnsi" w:eastAsiaTheme="minorEastAsia" w:hAnsiTheme="minorHAnsi" w:cstheme="minorBidi"/>
                <w:color w:val="auto"/>
                <w:sz w:val="18"/>
                <w:szCs w:val="18"/>
              </w:rPr>
              <w:t>Democratic Republic of the Congo 43%</w:t>
            </w:r>
          </w:p>
        </w:tc>
        <w:tc>
          <w:tcPr>
            <w:tcW w:w="998" w:type="pct"/>
            <w:shd w:val="clear" w:color="auto" w:fill="auto"/>
          </w:tcPr>
          <w:p w14:paraId="1B6F9FC8" w14:textId="350DB6EA" w:rsidR="00B57A78" w:rsidRPr="005D6102" w:rsidRDefault="00B57A78" w:rsidP="009749EF">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theme="minorBidi"/>
                <w:color w:val="auto"/>
                <w:sz w:val="18"/>
                <w:szCs w:val="18"/>
              </w:rPr>
            </w:pPr>
            <w:r w:rsidRPr="005D6102">
              <w:rPr>
                <w:rFonts w:asciiTheme="minorHAnsi" w:eastAsiaTheme="minorEastAsia" w:hAnsiTheme="minorHAnsi" w:cstheme="minorBidi"/>
                <w:color w:val="auto"/>
                <w:sz w:val="18"/>
                <w:szCs w:val="18"/>
              </w:rPr>
              <w:t>China 61%</w:t>
            </w:r>
          </w:p>
        </w:tc>
      </w:tr>
      <w:tr w:rsidR="00B57A78" w:rsidRPr="005D6102" w14:paraId="177BFB65" w14:textId="77777777" w:rsidTr="00B57A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54" w:type="pct"/>
            <w:shd w:val="clear" w:color="auto" w:fill="005CAF" w:themeFill="accent1"/>
            <w:noWrap/>
          </w:tcPr>
          <w:p w14:paraId="64B6774D" w14:textId="77777777" w:rsidR="00B57A78" w:rsidRPr="005D6102" w:rsidRDefault="00B57A78" w:rsidP="009749EF">
            <w:pPr>
              <w:rPr>
                <w:rFonts w:asciiTheme="minorHAnsi" w:eastAsiaTheme="minorEastAsia" w:hAnsiTheme="minorHAnsi" w:cstheme="minorBidi"/>
                <w:color w:val="FFFFFF" w:themeColor="background2"/>
                <w:sz w:val="18"/>
                <w:szCs w:val="18"/>
              </w:rPr>
            </w:pPr>
            <w:r w:rsidRPr="005D6102">
              <w:rPr>
                <w:color w:val="FFFFFF" w:themeColor="background2"/>
                <w:sz w:val="18"/>
                <w:szCs w:val="18"/>
              </w:rPr>
              <w:t>Niobium</w:t>
            </w:r>
          </w:p>
        </w:tc>
        <w:tc>
          <w:tcPr>
            <w:tcW w:w="1533" w:type="pct"/>
            <w:shd w:val="clear" w:color="auto" w:fill="auto"/>
          </w:tcPr>
          <w:p w14:paraId="470BA3C2" w14:textId="042669CA" w:rsidR="00B57A78" w:rsidRPr="005D6102" w:rsidRDefault="00B57A78" w:rsidP="009749EF">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theme="minorBidi"/>
                <w:color w:val="auto"/>
                <w:sz w:val="18"/>
                <w:szCs w:val="18"/>
              </w:rPr>
            </w:pPr>
            <w:r w:rsidRPr="005D6102">
              <w:rPr>
                <w:rFonts w:asciiTheme="minorHAnsi" w:eastAsiaTheme="minorEastAsia" w:hAnsiTheme="minorHAnsi" w:cstheme="minorBidi"/>
                <w:color w:val="auto"/>
                <w:sz w:val="18"/>
                <w:szCs w:val="18"/>
              </w:rPr>
              <w:t>Brazil</w:t>
            </w:r>
          </w:p>
        </w:tc>
        <w:tc>
          <w:tcPr>
            <w:tcW w:w="1415" w:type="pct"/>
            <w:shd w:val="clear" w:color="auto" w:fill="auto"/>
          </w:tcPr>
          <w:p w14:paraId="24961AB3" w14:textId="4CE568C4" w:rsidR="00B57A78" w:rsidRPr="005D6102" w:rsidRDefault="00B57A78" w:rsidP="009749EF">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theme="minorBidi"/>
                <w:color w:val="auto"/>
                <w:sz w:val="18"/>
                <w:szCs w:val="18"/>
              </w:rPr>
            </w:pPr>
            <w:r w:rsidRPr="005D6102">
              <w:rPr>
                <w:rFonts w:asciiTheme="minorHAnsi" w:eastAsiaTheme="minorEastAsia" w:hAnsiTheme="minorHAnsi" w:cstheme="minorBidi"/>
                <w:color w:val="auto"/>
                <w:sz w:val="18"/>
                <w:szCs w:val="18"/>
              </w:rPr>
              <w:t>Brazil</w:t>
            </w:r>
          </w:p>
        </w:tc>
        <w:tc>
          <w:tcPr>
            <w:tcW w:w="998" w:type="pct"/>
            <w:shd w:val="clear" w:color="auto" w:fill="auto"/>
          </w:tcPr>
          <w:p w14:paraId="2D8B1AF9" w14:textId="22B9229B" w:rsidR="00B57A78" w:rsidRPr="005D6102" w:rsidRDefault="00B57A78" w:rsidP="009749EF">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theme="minorBidi"/>
                <w:color w:val="auto"/>
                <w:sz w:val="18"/>
                <w:szCs w:val="18"/>
              </w:rPr>
            </w:pPr>
            <w:r w:rsidRPr="005D6102">
              <w:rPr>
                <w:rFonts w:asciiTheme="minorHAnsi" w:eastAsiaTheme="minorEastAsia" w:hAnsiTheme="minorHAnsi" w:cstheme="minorBidi"/>
                <w:color w:val="auto"/>
                <w:sz w:val="18"/>
                <w:szCs w:val="18"/>
              </w:rPr>
              <w:t>Brazil</w:t>
            </w:r>
          </w:p>
        </w:tc>
      </w:tr>
      <w:tr w:rsidR="00B57A78" w:rsidRPr="005D6102" w14:paraId="28619993" w14:textId="77777777" w:rsidTr="00B57A78">
        <w:tc>
          <w:tcPr>
            <w:cnfStyle w:val="001000000000" w:firstRow="0" w:lastRow="0" w:firstColumn="1" w:lastColumn="0" w:oddVBand="0" w:evenVBand="0" w:oddHBand="0" w:evenHBand="0" w:firstRowFirstColumn="0" w:firstRowLastColumn="0" w:lastRowFirstColumn="0" w:lastRowLastColumn="0"/>
            <w:tcW w:w="1054" w:type="pct"/>
            <w:shd w:val="clear" w:color="auto" w:fill="005CAF" w:themeFill="accent1"/>
            <w:noWrap/>
          </w:tcPr>
          <w:p w14:paraId="0A6814C1" w14:textId="77777777" w:rsidR="00B57A78" w:rsidRPr="005D6102" w:rsidRDefault="00B57A78" w:rsidP="009749EF">
            <w:pPr>
              <w:rPr>
                <w:rFonts w:asciiTheme="minorHAnsi" w:eastAsiaTheme="minorEastAsia" w:hAnsiTheme="minorHAnsi" w:cstheme="minorBidi"/>
                <w:color w:val="FFFFFF" w:themeColor="background2"/>
                <w:sz w:val="18"/>
                <w:szCs w:val="18"/>
              </w:rPr>
            </w:pPr>
            <w:r w:rsidRPr="005D6102">
              <w:rPr>
                <w:color w:val="FFFFFF" w:themeColor="background2"/>
                <w:sz w:val="18"/>
                <w:szCs w:val="18"/>
              </w:rPr>
              <w:t>Antimony</w:t>
            </w:r>
          </w:p>
        </w:tc>
        <w:tc>
          <w:tcPr>
            <w:tcW w:w="1533" w:type="pct"/>
            <w:shd w:val="clear" w:color="auto" w:fill="auto"/>
          </w:tcPr>
          <w:p w14:paraId="55F0F964" w14:textId="3A6EA191" w:rsidR="00B57A78" w:rsidRPr="005D6102" w:rsidRDefault="00B57A78" w:rsidP="009749EF">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theme="minorBidi"/>
                <w:color w:val="auto"/>
                <w:sz w:val="18"/>
                <w:szCs w:val="18"/>
              </w:rPr>
            </w:pPr>
            <w:r w:rsidRPr="005D6102">
              <w:rPr>
                <w:rFonts w:asciiTheme="minorHAnsi" w:eastAsiaTheme="minorEastAsia" w:hAnsiTheme="minorHAnsi" w:cstheme="minorBidi"/>
                <w:color w:val="auto"/>
                <w:sz w:val="18"/>
                <w:szCs w:val="18"/>
              </w:rPr>
              <w:t>China</w:t>
            </w:r>
            <w:r w:rsidR="00EA621E" w:rsidRPr="005D6102">
              <w:rPr>
                <w:rFonts w:asciiTheme="minorHAnsi" w:eastAsiaTheme="minorEastAsia" w:hAnsiTheme="minorHAnsi" w:cstheme="minorBidi"/>
                <w:color w:val="auto"/>
                <w:sz w:val="18"/>
                <w:szCs w:val="18"/>
              </w:rPr>
              <w:t xml:space="preserve"> 48%</w:t>
            </w:r>
          </w:p>
        </w:tc>
        <w:tc>
          <w:tcPr>
            <w:tcW w:w="1415" w:type="pct"/>
            <w:shd w:val="clear" w:color="auto" w:fill="auto"/>
          </w:tcPr>
          <w:p w14:paraId="189C63E5" w14:textId="1E8BF2B2" w:rsidR="00B57A78" w:rsidRPr="005D6102" w:rsidRDefault="00B57A78" w:rsidP="009749EF">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theme="minorBidi"/>
                <w:color w:val="auto"/>
                <w:sz w:val="18"/>
                <w:szCs w:val="18"/>
              </w:rPr>
            </w:pPr>
            <w:r w:rsidRPr="005D6102">
              <w:rPr>
                <w:rFonts w:asciiTheme="minorHAnsi" w:eastAsiaTheme="minorEastAsia" w:hAnsiTheme="minorHAnsi" w:cstheme="minorBidi"/>
                <w:color w:val="auto"/>
                <w:sz w:val="18"/>
                <w:szCs w:val="18"/>
              </w:rPr>
              <w:t>China</w:t>
            </w:r>
            <w:r w:rsidR="00321F69" w:rsidRPr="005D6102">
              <w:rPr>
                <w:rFonts w:asciiTheme="minorHAnsi" w:eastAsiaTheme="minorEastAsia" w:hAnsiTheme="minorHAnsi" w:cstheme="minorBidi"/>
                <w:color w:val="auto"/>
                <w:sz w:val="18"/>
                <w:szCs w:val="18"/>
              </w:rPr>
              <w:t xml:space="preserve"> 85%</w:t>
            </w:r>
          </w:p>
        </w:tc>
        <w:tc>
          <w:tcPr>
            <w:tcW w:w="998" w:type="pct"/>
            <w:shd w:val="clear" w:color="auto" w:fill="auto"/>
          </w:tcPr>
          <w:p w14:paraId="42B1179E" w14:textId="05CC648A" w:rsidR="00B57A78" w:rsidRPr="005D6102" w:rsidRDefault="00B57A78" w:rsidP="009749EF">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theme="minorBidi"/>
                <w:color w:val="auto"/>
                <w:sz w:val="18"/>
                <w:szCs w:val="18"/>
              </w:rPr>
            </w:pPr>
            <w:r w:rsidRPr="005D6102">
              <w:rPr>
                <w:rFonts w:asciiTheme="minorHAnsi" w:eastAsiaTheme="minorEastAsia" w:hAnsiTheme="minorHAnsi" w:cstheme="minorBidi"/>
                <w:color w:val="auto"/>
                <w:sz w:val="18"/>
                <w:szCs w:val="18"/>
              </w:rPr>
              <w:t>China</w:t>
            </w:r>
            <w:r w:rsidR="00321F69" w:rsidRPr="005D6102">
              <w:rPr>
                <w:rFonts w:asciiTheme="minorHAnsi" w:eastAsiaTheme="minorEastAsia" w:hAnsiTheme="minorHAnsi" w:cstheme="minorBidi"/>
                <w:color w:val="auto"/>
                <w:sz w:val="18"/>
                <w:szCs w:val="18"/>
              </w:rPr>
              <w:t xml:space="preserve"> 42%</w:t>
            </w:r>
          </w:p>
        </w:tc>
      </w:tr>
      <w:tr w:rsidR="00B57A78" w:rsidRPr="005D6102" w14:paraId="7E768443" w14:textId="77777777" w:rsidTr="00B57A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54" w:type="pct"/>
            <w:shd w:val="clear" w:color="auto" w:fill="005CAF" w:themeFill="accent1"/>
            <w:noWrap/>
          </w:tcPr>
          <w:p w14:paraId="434D5EF0" w14:textId="77777777" w:rsidR="00B57A78" w:rsidRPr="005D6102" w:rsidRDefault="00B57A78" w:rsidP="009749EF">
            <w:pPr>
              <w:rPr>
                <w:rFonts w:asciiTheme="minorHAnsi" w:eastAsiaTheme="minorEastAsia" w:hAnsiTheme="minorHAnsi" w:cstheme="minorBidi"/>
                <w:color w:val="FFFFFF" w:themeColor="background2"/>
                <w:sz w:val="18"/>
                <w:szCs w:val="18"/>
              </w:rPr>
            </w:pPr>
            <w:r w:rsidRPr="005D6102">
              <w:rPr>
                <w:color w:val="FFFFFF" w:themeColor="background2"/>
                <w:sz w:val="18"/>
                <w:szCs w:val="18"/>
              </w:rPr>
              <w:t>Magnesium</w:t>
            </w:r>
          </w:p>
        </w:tc>
        <w:tc>
          <w:tcPr>
            <w:tcW w:w="1533" w:type="pct"/>
            <w:shd w:val="clear" w:color="auto" w:fill="auto"/>
          </w:tcPr>
          <w:p w14:paraId="0A40026B" w14:textId="65725E89" w:rsidR="00B57A78" w:rsidRPr="005D6102" w:rsidRDefault="00B57A78" w:rsidP="009749EF">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theme="minorBidi"/>
                <w:color w:val="auto"/>
                <w:sz w:val="18"/>
                <w:szCs w:val="18"/>
              </w:rPr>
            </w:pPr>
            <w:r w:rsidRPr="005D6102">
              <w:rPr>
                <w:rFonts w:asciiTheme="minorHAnsi" w:eastAsiaTheme="minorEastAsia" w:hAnsiTheme="minorHAnsi" w:cstheme="minorBidi"/>
                <w:color w:val="auto"/>
                <w:sz w:val="18"/>
                <w:szCs w:val="18"/>
              </w:rPr>
              <w:t>China</w:t>
            </w:r>
          </w:p>
        </w:tc>
        <w:tc>
          <w:tcPr>
            <w:tcW w:w="1415" w:type="pct"/>
            <w:shd w:val="clear" w:color="auto" w:fill="auto"/>
          </w:tcPr>
          <w:p w14:paraId="54A9858E" w14:textId="46A3E25D" w:rsidR="00B57A78" w:rsidRPr="005D6102" w:rsidRDefault="00B57A78" w:rsidP="009749EF">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theme="minorBidi"/>
                <w:color w:val="auto"/>
                <w:sz w:val="18"/>
                <w:szCs w:val="18"/>
              </w:rPr>
            </w:pPr>
            <w:r w:rsidRPr="005D6102">
              <w:rPr>
                <w:rFonts w:asciiTheme="minorHAnsi" w:eastAsiaTheme="minorEastAsia" w:hAnsiTheme="minorHAnsi" w:cstheme="minorBidi"/>
                <w:color w:val="auto"/>
                <w:sz w:val="18"/>
                <w:szCs w:val="18"/>
              </w:rPr>
              <w:t>China</w:t>
            </w:r>
          </w:p>
        </w:tc>
        <w:tc>
          <w:tcPr>
            <w:tcW w:w="998" w:type="pct"/>
            <w:shd w:val="clear" w:color="auto" w:fill="auto"/>
          </w:tcPr>
          <w:p w14:paraId="06758BC1" w14:textId="2F095C04" w:rsidR="00B57A78" w:rsidRPr="005D6102" w:rsidRDefault="00B57A78" w:rsidP="009749EF">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theme="minorBidi"/>
                <w:color w:val="auto"/>
                <w:sz w:val="18"/>
                <w:szCs w:val="18"/>
              </w:rPr>
            </w:pPr>
            <w:r w:rsidRPr="005D6102">
              <w:rPr>
                <w:rFonts w:asciiTheme="minorHAnsi" w:eastAsiaTheme="minorEastAsia" w:hAnsiTheme="minorHAnsi" w:cstheme="minorBidi"/>
                <w:color w:val="auto"/>
                <w:sz w:val="18"/>
                <w:szCs w:val="18"/>
              </w:rPr>
              <w:t>China</w:t>
            </w:r>
          </w:p>
        </w:tc>
      </w:tr>
      <w:tr w:rsidR="00B57A78" w:rsidRPr="005D6102" w14:paraId="64567786" w14:textId="77777777" w:rsidTr="00B57A78">
        <w:tc>
          <w:tcPr>
            <w:cnfStyle w:val="001000000000" w:firstRow="0" w:lastRow="0" w:firstColumn="1" w:lastColumn="0" w:oddVBand="0" w:evenVBand="0" w:oddHBand="0" w:evenHBand="0" w:firstRowFirstColumn="0" w:firstRowLastColumn="0" w:lastRowFirstColumn="0" w:lastRowLastColumn="0"/>
            <w:tcW w:w="1054" w:type="pct"/>
            <w:shd w:val="clear" w:color="auto" w:fill="005CAF" w:themeFill="accent1"/>
            <w:noWrap/>
          </w:tcPr>
          <w:p w14:paraId="23BCEF69" w14:textId="77777777" w:rsidR="00B57A78" w:rsidRPr="005D6102" w:rsidRDefault="00B57A78" w:rsidP="009749EF">
            <w:pPr>
              <w:rPr>
                <w:rFonts w:eastAsiaTheme="minorEastAsia"/>
                <w:color w:val="FFFFFF" w:themeColor="background2"/>
                <w:sz w:val="18"/>
                <w:szCs w:val="18"/>
              </w:rPr>
            </w:pPr>
            <w:r w:rsidRPr="005D6102">
              <w:rPr>
                <w:color w:val="FFFFFF" w:themeColor="background2"/>
                <w:sz w:val="18"/>
                <w:szCs w:val="18"/>
              </w:rPr>
              <w:t>Tungsten</w:t>
            </w:r>
          </w:p>
        </w:tc>
        <w:tc>
          <w:tcPr>
            <w:tcW w:w="1533" w:type="pct"/>
            <w:shd w:val="clear" w:color="auto" w:fill="auto"/>
          </w:tcPr>
          <w:p w14:paraId="2239465E" w14:textId="77777777" w:rsidR="00B57A78" w:rsidRPr="005D6102" w:rsidRDefault="00B57A78" w:rsidP="009749EF">
            <w:pPr>
              <w:jc w:val="center"/>
              <w:cnfStyle w:val="000000000000" w:firstRow="0" w:lastRow="0" w:firstColumn="0" w:lastColumn="0" w:oddVBand="0" w:evenVBand="0" w:oddHBand="0" w:evenHBand="0" w:firstRowFirstColumn="0" w:firstRowLastColumn="0" w:lastRowFirstColumn="0" w:lastRowLastColumn="0"/>
              <w:rPr>
                <w:rFonts w:eastAsiaTheme="minorEastAsia"/>
                <w:sz w:val="18"/>
                <w:szCs w:val="18"/>
              </w:rPr>
            </w:pPr>
            <w:r w:rsidRPr="005D6102">
              <w:rPr>
                <w:rFonts w:eastAsiaTheme="minorEastAsia"/>
                <w:sz w:val="18"/>
                <w:szCs w:val="18"/>
              </w:rPr>
              <w:t>China 79%</w:t>
            </w:r>
          </w:p>
        </w:tc>
        <w:tc>
          <w:tcPr>
            <w:tcW w:w="1415" w:type="pct"/>
            <w:shd w:val="clear" w:color="auto" w:fill="auto"/>
          </w:tcPr>
          <w:p w14:paraId="0A4D58F9" w14:textId="77777777" w:rsidR="00B57A78" w:rsidRPr="005D6102" w:rsidRDefault="00B57A78" w:rsidP="009749EF">
            <w:pPr>
              <w:jc w:val="center"/>
              <w:cnfStyle w:val="000000000000" w:firstRow="0" w:lastRow="0" w:firstColumn="0" w:lastColumn="0" w:oddVBand="0" w:evenVBand="0" w:oddHBand="0" w:evenHBand="0" w:firstRowFirstColumn="0" w:firstRowLastColumn="0" w:lastRowFirstColumn="0" w:lastRowLastColumn="0"/>
              <w:rPr>
                <w:rFonts w:eastAsiaTheme="minorEastAsia"/>
                <w:sz w:val="18"/>
                <w:szCs w:val="18"/>
              </w:rPr>
            </w:pPr>
            <w:r w:rsidRPr="005D6102">
              <w:rPr>
                <w:rFonts w:eastAsiaTheme="minorEastAsia"/>
                <w:sz w:val="18"/>
                <w:szCs w:val="18"/>
              </w:rPr>
              <w:t>China</w:t>
            </w:r>
          </w:p>
        </w:tc>
        <w:tc>
          <w:tcPr>
            <w:tcW w:w="998" w:type="pct"/>
            <w:shd w:val="clear" w:color="auto" w:fill="auto"/>
          </w:tcPr>
          <w:p w14:paraId="545AED3F" w14:textId="279E8A3F" w:rsidR="00B57A78" w:rsidRPr="005D6102" w:rsidRDefault="00B57A78" w:rsidP="009749EF">
            <w:pPr>
              <w:jc w:val="center"/>
              <w:cnfStyle w:val="000000000000" w:firstRow="0" w:lastRow="0" w:firstColumn="0" w:lastColumn="0" w:oddVBand="0" w:evenVBand="0" w:oddHBand="0" w:evenHBand="0" w:firstRowFirstColumn="0" w:firstRowLastColumn="0" w:lastRowFirstColumn="0" w:lastRowLastColumn="0"/>
              <w:rPr>
                <w:rFonts w:eastAsiaTheme="minorEastAsia"/>
                <w:sz w:val="18"/>
                <w:szCs w:val="18"/>
              </w:rPr>
            </w:pPr>
            <w:r w:rsidRPr="005D6102">
              <w:rPr>
                <w:rFonts w:eastAsiaTheme="minorEastAsia"/>
                <w:sz w:val="18"/>
                <w:szCs w:val="18"/>
              </w:rPr>
              <w:t>China 75%</w:t>
            </w:r>
          </w:p>
        </w:tc>
      </w:tr>
    </w:tbl>
    <w:p w14:paraId="3A08AF46" w14:textId="05AFA8B5" w:rsidR="006F15A9" w:rsidRPr="005D6102" w:rsidRDefault="006F15A9" w:rsidP="006F15A9">
      <w:pPr>
        <w:pStyle w:val="Note"/>
        <w:rPr>
          <w:lang w:eastAsia="en-AU"/>
        </w:rPr>
      </w:pPr>
      <w:r w:rsidRPr="005D6102">
        <w:rPr>
          <w:lang w:eastAsia="en-AU"/>
        </w:rPr>
        <w:t xml:space="preserve">Notes: </w:t>
      </w:r>
      <w:r w:rsidR="004750C5" w:rsidRPr="005D6102">
        <w:rPr>
          <w:lang w:eastAsia="en-AU"/>
        </w:rPr>
        <w:t>Primary production refers to mine production of ores.</w:t>
      </w:r>
      <w:r w:rsidRPr="005D6102">
        <w:rPr>
          <w:lang w:eastAsia="en-AU"/>
        </w:rPr>
        <w:t xml:space="preserve"> </w:t>
      </w:r>
      <w:r w:rsidR="004750C5" w:rsidRPr="005D6102">
        <w:rPr>
          <w:lang w:eastAsia="en-AU"/>
        </w:rPr>
        <w:t xml:space="preserve">To get to saleable production a commodity goes through </w:t>
      </w:r>
      <w:r w:rsidR="00A76128" w:rsidRPr="005D6102">
        <w:rPr>
          <w:lang w:eastAsia="en-AU"/>
        </w:rPr>
        <w:t>processing</w:t>
      </w:r>
      <w:r w:rsidR="004750C5" w:rsidRPr="005D6102">
        <w:rPr>
          <w:lang w:eastAsia="en-AU"/>
        </w:rPr>
        <w:t>, which</w:t>
      </w:r>
      <w:r w:rsidR="00555FE8" w:rsidRPr="005D6102">
        <w:rPr>
          <w:lang w:eastAsia="en-AU"/>
        </w:rPr>
        <w:t xml:space="preserve"> includes </w:t>
      </w:r>
      <w:r w:rsidR="00A76128" w:rsidRPr="005D6102">
        <w:rPr>
          <w:lang w:eastAsia="en-AU"/>
        </w:rPr>
        <w:t xml:space="preserve">intermediate </w:t>
      </w:r>
      <w:r w:rsidR="004750C5" w:rsidRPr="005D6102">
        <w:rPr>
          <w:lang w:eastAsia="en-AU"/>
        </w:rPr>
        <w:t xml:space="preserve">oxides. </w:t>
      </w:r>
    </w:p>
    <w:p w14:paraId="7A38F654" w14:textId="6D398B82" w:rsidR="006F15A9" w:rsidRPr="005D6102" w:rsidRDefault="006F15A9" w:rsidP="006F15A9">
      <w:pPr>
        <w:pStyle w:val="Source"/>
        <w:rPr>
          <w:lang w:eastAsia="en-AU"/>
        </w:rPr>
      </w:pPr>
      <w:r w:rsidRPr="005D6102">
        <w:rPr>
          <w:lang w:eastAsia="en-AU"/>
        </w:rPr>
        <w:t xml:space="preserve">Source: </w:t>
      </w:r>
      <w:r w:rsidR="00D81436" w:rsidRPr="005D6102">
        <w:rPr>
          <w:lang w:eastAsia="en-AU"/>
        </w:rPr>
        <w:t>Roskill (2019)</w:t>
      </w:r>
      <w:r w:rsidR="00741E3F" w:rsidRPr="005D6102">
        <w:rPr>
          <w:lang w:eastAsia="en-AU"/>
        </w:rPr>
        <w:t>, Department of Industry Innovat</w:t>
      </w:r>
      <w:r w:rsidR="000D0B1D" w:rsidRPr="005D6102">
        <w:rPr>
          <w:lang w:eastAsia="en-AU"/>
        </w:rPr>
        <w:t>ion and Science (2019)</w:t>
      </w:r>
      <w:r w:rsidR="00741E3F" w:rsidRPr="005D6102">
        <w:rPr>
          <w:lang w:eastAsia="en-AU"/>
        </w:rPr>
        <w:t>.</w:t>
      </w:r>
    </w:p>
    <w:p w14:paraId="6D391A9F" w14:textId="77777777" w:rsidR="0070688F" w:rsidRDefault="0070688F" w:rsidP="006158CC">
      <w:pPr>
        <w:pStyle w:val="BodyText"/>
      </w:pPr>
      <w:bookmarkStart w:id="6" w:name="_Toc16143257"/>
      <w:bookmarkStart w:id="7" w:name="_Toc17803329"/>
      <w:bookmarkStart w:id="8" w:name="_GoBack"/>
      <w:bookmarkEnd w:id="8"/>
    </w:p>
    <w:p w14:paraId="53758593" w14:textId="3DCDB560" w:rsidR="002132DE" w:rsidRPr="005D6102" w:rsidRDefault="002B1195" w:rsidP="00D81436">
      <w:pPr>
        <w:pStyle w:val="Heading1"/>
        <w:ind w:left="0" w:firstLine="0"/>
      </w:pPr>
      <w:r w:rsidRPr="005D6102">
        <w:t>Development projects in Australia</w:t>
      </w:r>
      <w:bookmarkEnd w:id="6"/>
      <w:bookmarkEnd w:id="7"/>
    </w:p>
    <w:p w14:paraId="63C23990" w14:textId="5D70044C" w:rsidR="004344D4" w:rsidRPr="005D6102" w:rsidRDefault="002B1195" w:rsidP="00BB4E23">
      <w:pPr>
        <w:pStyle w:val="BodyText"/>
      </w:pPr>
      <w:r w:rsidRPr="005D6102">
        <w:t xml:space="preserve">Australia’s </w:t>
      </w:r>
      <w:r w:rsidR="00673150">
        <w:t>large</w:t>
      </w:r>
      <w:r w:rsidR="00673150" w:rsidRPr="005D6102">
        <w:t xml:space="preserve"> </w:t>
      </w:r>
      <w:r w:rsidRPr="005D6102">
        <w:t>resource endowment and supportive operations environment has</w:t>
      </w:r>
      <w:r w:rsidR="000C75B2" w:rsidRPr="005D6102">
        <w:t xml:space="preserve"> facilitated </w:t>
      </w:r>
      <w:r w:rsidRPr="005D6102">
        <w:t>a number of development projects</w:t>
      </w:r>
      <w:r w:rsidR="006739D7" w:rsidRPr="005D6102">
        <w:t xml:space="preserve">. </w:t>
      </w:r>
      <w:r w:rsidR="004344D4" w:rsidRPr="005D6102">
        <w:t xml:space="preserve">Some of these projects will create new mines and bring new critical minerals into production. Others will potentially lift critical minerals exports and production up the value chain through the development of refinery capacity. Lithium provides a notable recent example of this, with six mines having recently opened, and a range of refineries now under construction. Expanded output, in conjunction with gradual progress up the value chain, could make Australia a significant global source of high quality refined critical minerals. </w:t>
      </w:r>
    </w:p>
    <w:p w14:paraId="3C5F74C4" w14:textId="6A2F9C4A" w:rsidR="00BB4E23" w:rsidRPr="005D6102" w:rsidDel="004316F4" w:rsidRDefault="006739D7" w:rsidP="0070688F">
      <w:pPr>
        <w:pStyle w:val="BodyText"/>
        <w:spacing w:after="0"/>
      </w:pPr>
      <w:r w:rsidRPr="005D6102" w:rsidDel="004316F4">
        <w:t>S</w:t>
      </w:r>
      <w:r w:rsidR="000C75B2" w:rsidRPr="005D6102" w:rsidDel="004316F4">
        <w:t xml:space="preserve">ome prominent projects are highlighted </w:t>
      </w:r>
      <w:r w:rsidR="00BB4E23" w:rsidRPr="005D6102" w:rsidDel="004316F4">
        <w:t>below</w:t>
      </w:r>
      <w:r w:rsidR="000C75B2" w:rsidRPr="005D6102" w:rsidDel="004316F4">
        <w:t>.</w:t>
      </w:r>
    </w:p>
    <w:p w14:paraId="3221264D" w14:textId="26164391" w:rsidR="00A76128" w:rsidRPr="005D6102" w:rsidRDefault="00A76128" w:rsidP="0070688F">
      <w:pPr>
        <w:pStyle w:val="Caption"/>
        <w:spacing w:after="0"/>
      </w:pPr>
      <w:r w:rsidRPr="005D6102">
        <w:lastRenderedPageBreak/>
        <w:t xml:space="preserve">Table </w:t>
      </w:r>
      <w:r w:rsidRPr="005D6102">
        <w:rPr>
          <w:noProof/>
        </w:rPr>
        <w:t>1</w:t>
      </w:r>
      <w:r w:rsidRPr="005D6102">
        <w:t>.</w:t>
      </w:r>
      <w:r w:rsidRPr="005D6102">
        <w:rPr>
          <w:noProof/>
        </w:rPr>
        <w:t>3</w:t>
      </w:r>
      <w:r w:rsidRPr="005D6102">
        <w:t>: Select critical minerals development projects in Australia</w:t>
      </w:r>
    </w:p>
    <w:tbl>
      <w:tblPr>
        <w:tblStyle w:val="OCETable"/>
        <w:tblW w:w="4902" w:type="pct"/>
        <w:tblInd w:w="57" w:type="dxa"/>
        <w:tblLayout w:type="fixed"/>
        <w:tblLook w:val="04A0" w:firstRow="1" w:lastRow="0" w:firstColumn="1" w:lastColumn="0" w:noHBand="0" w:noVBand="1"/>
        <w:tblCaption w:val="Table 1.3: Select critical minerals development projects in Australia"/>
        <w:tblDescription w:val="This table shows a selection of projects under development in Australia, including the commodity, company, capex, capacity and status of development."/>
      </w:tblPr>
      <w:tblGrid>
        <w:gridCol w:w="1218"/>
        <w:gridCol w:w="1702"/>
        <w:gridCol w:w="2126"/>
        <w:gridCol w:w="2410"/>
        <w:gridCol w:w="1275"/>
      </w:tblGrid>
      <w:tr w:rsidR="0070688F" w:rsidRPr="005D6102" w14:paraId="17411716" w14:textId="2DBB4111" w:rsidTr="0070688F">
        <w:trPr>
          <w:cnfStyle w:val="100000000000" w:firstRow="1" w:lastRow="0" w:firstColumn="0" w:lastColumn="0" w:oddVBand="0" w:evenVBand="0" w:oddHBand="0" w:evenHBand="0" w:firstRowFirstColumn="0" w:firstRowLastColumn="0" w:lastRowFirstColumn="0" w:lastRowLastColumn="0"/>
          <w:trHeight w:val="419"/>
          <w:tblHeader/>
        </w:trPr>
        <w:tc>
          <w:tcPr>
            <w:tcW w:w="1218" w:type="dxa"/>
          </w:tcPr>
          <w:p w14:paraId="130C8DBC" w14:textId="0645C840" w:rsidR="004E3777" w:rsidRPr="005D6102" w:rsidRDefault="004E3777" w:rsidP="004D1495">
            <w:pPr>
              <w:pStyle w:val="Tableheader"/>
              <w:rPr>
                <w:lang w:eastAsia="en-AU"/>
              </w:rPr>
            </w:pPr>
            <w:r w:rsidRPr="005D6102">
              <w:rPr>
                <w:lang w:eastAsia="en-AU"/>
              </w:rPr>
              <w:t xml:space="preserve">Project </w:t>
            </w:r>
          </w:p>
        </w:tc>
        <w:tc>
          <w:tcPr>
            <w:tcW w:w="1702" w:type="dxa"/>
          </w:tcPr>
          <w:p w14:paraId="63A612C7" w14:textId="3E1FE8B0" w:rsidR="004E3777" w:rsidRPr="005D6102" w:rsidRDefault="004E3777" w:rsidP="004D1495">
            <w:pPr>
              <w:pStyle w:val="Tableheader"/>
              <w:rPr>
                <w:lang w:eastAsia="en-AU"/>
              </w:rPr>
            </w:pPr>
            <w:r w:rsidRPr="005D6102">
              <w:rPr>
                <w:lang w:eastAsia="en-AU"/>
              </w:rPr>
              <w:t>Company</w:t>
            </w:r>
          </w:p>
        </w:tc>
        <w:tc>
          <w:tcPr>
            <w:tcW w:w="2126" w:type="dxa"/>
          </w:tcPr>
          <w:p w14:paraId="752B3FF2" w14:textId="5210097E" w:rsidR="004E3777" w:rsidRPr="005D6102" w:rsidRDefault="004E3777" w:rsidP="004D1495">
            <w:pPr>
              <w:pStyle w:val="Tableheader"/>
              <w:rPr>
                <w:lang w:eastAsia="en-AU"/>
              </w:rPr>
            </w:pPr>
            <w:r w:rsidRPr="005D6102">
              <w:rPr>
                <w:lang w:eastAsia="en-AU"/>
              </w:rPr>
              <w:t>Mining product</w:t>
            </w:r>
          </w:p>
        </w:tc>
        <w:tc>
          <w:tcPr>
            <w:tcW w:w="2410" w:type="dxa"/>
          </w:tcPr>
          <w:p w14:paraId="2B41F8F8" w14:textId="4C48F9F2" w:rsidR="004E3777" w:rsidRPr="005D6102" w:rsidRDefault="004E3777" w:rsidP="004D1495">
            <w:pPr>
              <w:pStyle w:val="Tableheader"/>
              <w:rPr>
                <w:lang w:eastAsia="en-AU"/>
              </w:rPr>
            </w:pPr>
            <w:r w:rsidRPr="005D6102">
              <w:rPr>
                <w:lang w:eastAsia="en-AU"/>
              </w:rPr>
              <w:t>Project details</w:t>
            </w:r>
          </w:p>
        </w:tc>
        <w:tc>
          <w:tcPr>
            <w:tcW w:w="1275" w:type="dxa"/>
          </w:tcPr>
          <w:p w14:paraId="03BBF827" w14:textId="504220E0" w:rsidR="004E3777" w:rsidRPr="005D6102" w:rsidRDefault="004E3777" w:rsidP="004D1495">
            <w:pPr>
              <w:pStyle w:val="Tableheader"/>
              <w:rPr>
                <w:lang w:eastAsia="en-AU"/>
              </w:rPr>
            </w:pPr>
            <w:r w:rsidRPr="005D6102">
              <w:rPr>
                <w:lang w:eastAsia="en-AU"/>
              </w:rPr>
              <w:t>Status</w:t>
            </w:r>
          </w:p>
        </w:tc>
      </w:tr>
      <w:tr w:rsidR="00AA37BC" w:rsidRPr="005D6102" w14:paraId="7D817B52" w14:textId="77777777" w:rsidTr="0070688F">
        <w:trPr>
          <w:cnfStyle w:val="000000100000" w:firstRow="0" w:lastRow="0" w:firstColumn="0" w:lastColumn="0" w:oddVBand="0" w:evenVBand="0" w:oddHBand="1" w:evenHBand="0" w:firstRowFirstColumn="0" w:firstRowLastColumn="0" w:lastRowFirstColumn="0" w:lastRowLastColumn="0"/>
          <w:trHeight w:val="310"/>
        </w:trPr>
        <w:tc>
          <w:tcPr>
            <w:tcW w:w="1218" w:type="dxa"/>
          </w:tcPr>
          <w:p w14:paraId="2D5C93E0" w14:textId="379DBDEF" w:rsidR="00AA37BC" w:rsidRPr="005D6102" w:rsidRDefault="00AA37BC" w:rsidP="00A76128">
            <w:pPr>
              <w:pStyle w:val="Tabletext"/>
              <w:rPr>
                <w:lang w:eastAsia="en-AU"/>
              </w:rPr>
            </w:pPr>
            <w:r w:rsidRPr="005D6102">
              <w:rPr>
                <w:lang w:eastAsia="en-AU"/>
              </w:rPr>
              <w:t>Browns Range</w:t>
            </w:r>
          </w:p>
        </w:tc>
        <w:tc>
          <w:tcPr>
            <w:tcW w:w="1702" w:type="dxa"/>
          </w:tcPr>
          <w:p w14:paraId="53A1B7FD" w14:textId="365C1AC3" w:rsidR="00AA37BC" w:rsidRPr="005D6102" w:rsidRDefault="00AA37BC" w:rsidP="00AA37BC">
            <w:pPr>
              <w:pStyle w:val="Tabletext"/>
              <w:rPr>
                <w:lang w:eastAsia="en-AU"/>
              </w:rPr>
            </w:pPr>
            <w:r w:rsidRPr="005D6102">
              <w:rPr>
                <w:lang w:eastAsia="en-AU"/>
              </w:rPr>
              <w:t>Northern Minerals</w:t>
            </w:r>
          </w:p>
        </w:tc>
        <w:tc>
          <w:tcPr>
            <w:tcW w:w="2126" w:type="dxa"/>
          </w:tcPr>
          <w:p w14:paraId="7E1C46EA" w14:textId="067B7C84" w:rsidR="00AA37BC" w:rsidRPr="005D6102" w:rsidRDefault="00AA37BC" w:rsidP="00AA37BC">
            <w:pPr>
              <w:pStyle w:val="Tabletext"/>
              <w:rPr>
                <w:lang w:eastAsia="en-AU"/>
              </w:rPr>
            </w:pPr>
            <w:r w:rsidRPr="005D6102">
              <w:rPr>
                <w:lang w:eastAsia="en-AU"/>
              </w:rPr>
              <w:t>Rare earths including dysprosium, terbium, l</w:t>
            </w:r>
            <w:r w:rsidRPr="005D6102">
              <w:t>anthanum</w:t>
            </w:r>
            <w:r w:rsidRPr="005D6102">
              <w:rPr>
                <w:lang w:eastAsia="en-AU"/>
              </w:rPr>
              <w:t xml:space="preserve"> </w:t>
            </w:r>
          </w:p>
        </w:tc>
        <w:tc>
          <w:tcPr>
            <w:tcW w:w="2410" w:type="dxa"/>
          </w:tcPr>
          <w:p w14:paraId="4A6486FB" w14:textId="04D0020D" w:rsidR="00AA37BC" w:rsidRPr="005D6102" w:rsidRDefault="00D81436" w:rsidP="00AA37BC">
            <w:pPr>
              <w:pStyle w:val="Tabletext"/>
              <w:rPr>
                <w:lang w:eastAsia="en-AU"/>
              </w:rPr>
            </w:pPr>
            <w:r w:rsidRPr="005D6102">
              <w:rPr>
                <w:lang w:eastAsia="en-AU"/>
              </w:rPr>
              <w:t>Capacity</w:t>
            </w:r>
            <w:r w:rsidR="00AA37BC" w:rsidRPr="005D6102">
              <w:rPr>
                <w:lang w:eastAsia="en-AU"/>
              </w:rPr>
              <w:t>: 585</w:t>
            </w:r>
            <w:r w:rsidR="00425DE5" w:rsidRPr="005D6102">
              <w:rPr>
                <w:lang w:eastAsia="en-AU"/>
              </w:rPr>
              <w:t> </w:t>
            </w:r>
            <w:r w:rsidR="00AA37BC" w:rsidRPr="005D6102">
              <w:rPr>
                <w:lang w:eastAsia="en-AU"/>
              </w:rPr>
              <w:t>kt/year ore.</w:t>
            </w:r>
          </w:p>
          <w:p w14:paraId="1DD96F54" w14:textId="5E4BA683" w:rsidR="00AA37BC" w:rsidRPr="005D6102" w:rsidRDefault="00D81436" w:rsidP="008063A9">
            <w:pPr>
              <w:pStyle w:val="Tabletext"/>
              <w:rPr>
                <w:lang w:eastAsia="en-AU"/>
              </w:rPr>
            </w:pPr>
            <w:r w:rsidRPr="005D6102">
              <w:rPr>
                <w:lang w:eastAsia="en-AU"/>
              </w:rPr>
              <w:t>Capex</w:t>
            </w:r>
            <w:r w:rsidR="00425DE5" w:rsidRPr="005D6102">
              <w:rPr>
                <w:lang w:eastAsia="en-AU"/>
              </w:rPr>
              <w:t>:</w:t>
            </w:r>
            <w:r w:rsidR="008063A9">
              <w:rPr>
                <w:lang w:eastAsia="en-AU"/>
              </w:rPr>
              <w:t xml:space="preserve"> </w:t>
            </w:r>
            <w:r w:rsidRPr="005D6102">
              <w:rPr>
                <w:lang w:eastAsia="en-AU"/>
              </w:rPr>
              <w:t>$</w:t>
            </w:r>
            <w:r w:rsidR="00C56C70">
              <w:rPr>
                <w:lang w:eastAsia="en-AU"/>
              </w:rPr>
              <w:t>329</w:t>
            </w:r>
            <w:r w:rsidR="00A76128" w:rsidRPr="005D6102">
              <w:rPr>
                <w:lang w:eastAsia="en-AU"/>
              </w:rPr>
              <w:t>m</w:t>
            </w:r>
          </w:p>
        </w:tc>
        <w:tc>
          <w:tcPr>
            <w:tcW w:w="1275" w:type="dxa"/>
          </w:tcPr>
          <w:p w14:paraId="3990A7C8" w14:textId="173FDA5E" w:rsidR="00AA37BC" w:rsidRPr="005D6102" w:rsidRDefault="008063A9" w:rsidP="008063A9">
            <w:pPr>
              <w:pStyle w:val="Tabletext"/>
              <w:rPr>
                <w:lang w:eastAsia="en-AU"/>
              </w:rPr>
            </w:pPr>
            <w:r>
              <w:rPr>
                <w:lang w:eastAsia="en-AU"/>
              </w:rPr>
              <w:t>Pilot operating, stage 2 and 3 under feasibility</w:t>
            </w:r>
          </w:p>
        </w:tc>
      </w:tr>
      <w:tr w:rsidR="00AA37BC" w:rsidRPr="005D6102" w14:paraId="6E4F1EC8" w14:textId="1946FD48" w:rsidTr="0070688F">
        <w:trPr>
          <w:cnfStyle w:val="000000010000" w:firstRow="0" w:lastRow="0" w:firstColumn="0" w:lastColumn="0" w:oddVBand="0" w:evenVBand="0" w:oddHBand="0" w:evenHBand="1" w:firstRowFirstColumn="0" w:firstRowLastColumn="0" w:lastRowFirstColumn="0" w:lastRowLastColumn="0"/>
          <w:trHeight w:val="310"/>
        </w:trPr>
        <w:tc>
          <w:tcPr>
            <w:tcW w:w="1218" w:type="dxa"/>
          </w:tcPr>
          <w:p w14:paraId="72F01D2B" w14:textId="0006A60D" w:rsidR="00AA37BC" w:rsidRPr="005D6102" w:rsidRDefault="00AA37BC" w:rsidP="00AA37BC">
            <w:pPr>
              <w:pStyle w:val="Tabletext"/>
              <w:rPr>
                <w:lang w:eastAsia="en-AU"/>
              </w:rPr>
            </w:pPr>
            <w:r w:rsidRPr="005D6102">
              <w:rPr>
                <w:lang w:eastAsia="en-AU"/>
              </w:rPr>
              <w:t>Dubbo Project</w:t>
            </w:r>
          </w:p>
        </w:tc>
        <w:tc>
          <w:tcPr>
            <w:tcW w:w="1702" w:type="dxa"/>
          </w:tcPr>
          <w:p w14:paraId="009BF309" w14:textId="1A1CED75" w:rsidR="00AA37BC" w:rsidRPr="005D6102" w:rsidRDefault="00AA37BC" w:rsidP="00AA37BC">
            <w:pPr>
              <w:pStyle w:val="Tabletext"/>
              <w:rPr>
                <w:lang w:eastAsia="en-AU"/>
              </w:rPr>
            </w:pPr>
            <w:r w:rsidRPr="005D6102">
              <w:rPr>
                <w:lang w:eastAsia="en-AU"/>
              </w:rPr>
              <w:t>Alkane Resources</w:t>
            </w:r>
          </w:p>
        </w:tc>
        <w:tc>
          <w:tcPr>
            <w:tcW w:w="2126" w:type="dxa"/>
          </w:tcPr>
          <w:p w14:paraId="79C74FD9" w14:textId="7E130027" w:rsidR="00AA37BC" w:rsidRPr="005D6102" w:rsidRDefault="00AA37BC" w:rsidP="00673150">
            <w:pPr>
              <w:pStyle w:val="Tabletext"/>
              <w:rPr>
                <w:lang w:eastAsia="en-AU"/>
              </w:rPr>
            </w:pPr>
            <w:r w:rsidRPr="005D6102">
              <w:rPr>
                <w:lang w:eastAsia="en-AU"/>
              </w:rPr>
              <w:t>Rare earths including hafnium, zirconium, niobium, yttrium</w:t>
            </w:r>
          </w:p>
        </w:tc>
        <w:tc>
          <w:tcPr>
            <w:tcW w:w="2410" w:type="dxa"/>
          </w:tcPr>
          <w:p w14:paraId="0AA3B605" w14:textId="0A2A0B15" w:rsidR="00AA37BC" w:rsidRPr="005D6102" w:rsidRDefault="00AA37BC" w:rsidP="00AA37BC">
            <w:pPr>
              <w:pStyle w:val="Tabletext"/>
              <w:rPr>
                <w:lang w:eastAsia="en-AU"/>
              </w:rPr>
            </w:pPr>
            <w:r w:rsidRPr="005D6102">
              <w:rPr>
                <w:lang w:eastAsia="en-AU"/>
              </w:rPr>
              <w:t>Capacity: 1.0</w:t>
            </w:r>
            <w:r w:rsidR="00425DE5" w:rsidRPr="005D6102">
              <w:rPr>
                <w:lang w:eastAsia="en-AU"/>
              </w:rPr>
              <w:t> </w:t>
            </w:r>
            <w:r w:rsidRPr="005D6102">
              <w:rPr>
                <w:lang w:eastAsia="en-AU"/>
              </w:rPr>
              <w:t>mt/year</w:t>
            </w:r>
          </w:p>
          <w:p w14:paraId="1F4B05B9" w14:textId="75FA8DD4" w:rsidR="00AA37BC" w:rsidRPr="005D6102" w:rsidRDefault="000F4B63" w:rsidP="00425DE5">
            <w:pPr>
              <w:pStyle w:val="Tabletext"/>
              <w:rPr>
                <w:lang w:eastAsia="en-AU"/>
              </w:rPr>
            </w:pPr>
            <w:r>
              <w:rPr>
                <w:lang w:eastAsia="en-AU"/>
              </w:rPr>
              <w:t>Capex: $</w:t>
            </w:r>
            <w:r w:rsidR="00C85406">
              <w:rPr>
                <w:lang w:eastAsia="en-AU"/>
              </w:rPr>
              <w:t>1.3b</w:t>
            </w:r>
          </w:p>
        </w:tc>
        <w:tc>
          <w:tcPr>
            <w:tcW w:w="1275" w:type="dxa"/>
          </w:tcPr>
          <w:p w14:paraId="536F6488" w14:textId="384540A3" w:rsidR="00AA37BC" w:rsidRPr="005D6102" w:rsidRDefault="00F12F5C" w:rsidP="00F12F5C">
            <w:pPr>
              <w:pStyle w:val="Tabletext"/>
              <w:rPr>
                <w:lang w:eastAsia="en-AU"/>
              </w:rPr>
            </w:pPr>
            <w:r>
              <w:rPr>
                <w:lang w:eastAsia="en-AU"/>
              </w:rPr>
              <w:t>Feasibility</w:t>
            </w:r>
          </w:p>
        </w:tc>
      </w:tr>
      <w:tr w:rsidR="00AA37BC" w:rsidRPr="005D6102" w14:paraId="024C4653" w14:textId="77777777" w:rsidTr="0070688F">
        <w:trPr>
          <w:cnfStyle w:val="000000100000" w:firstRow="0" w:lastRow="0" w:firstColumn="0" w:lastColumn="0" w:oddVBand="0" w:evenVBand="0" w:oddHBand="1" w:evenHBand="0" w:firstRowFirstColumn="0" w:firstRowLastColumn="0" w:lastRowFirstColumn="0" w:lastRowLastColumn="0"/>
          <w:trHeight w:val="295"/>
        </w:trPr>
        <w:tc>
          <w:tcPr>
            <w:tcW w:w="1218" w:type="dxa"/>
          </w:tcPr>
          <w:p w14:paraId="7FD5A63F" w14:textId="01D4416B" w:rsidR="00AA37BC" w:rsidRPr="005D6102" w:rsidRDefault="00AA37BC" w:rsidP="00AA37BC">
            <w:pPr>
              <w:pStyle w:val="Tabletext"/>
              <w:rPr>
                <w:lang w:eastAsia="en-AU"/>
              </w:rPr>
            </w:pPr>
            <w:r w:rsidRPr="005D6102">
              <w:rPr>
                <w:lang w:eastAsia="en-AU"/>
              </w:rPr>
              <w:t>Nolans</w:t>
            </w:r>
          </w:p>
        </w:tc>
        <w:tc>
          <w:tcPr>
            <w:tcW w:w="1702" w:type="dxa"/>
          </w:tcPr>
          <w:p w14:paraId="4257C169" w14:textId="711B6264" w:rsidR="00AA37BC" w:rsidRPr="005D6102" w:rsidRDefault="00AA37BC" w:rsidP="00AA37BC">
            <w:pPr>
              <w:pStyle w:val="Tabletext"/>
              <w:rPr>
                <w:lang w:eastAsia="en-AU"/>
              </w:rPr>
            </w:pPr>
            <w:r w:rsidRPr="005D6102">
              <w:rPr>
                <w:lang w:eastAsia="en-AU"/>
              </w:rPr>
              <w:t>Arafura Resources Limited</w:t>
            </w:r>
          </w:p>
        </w:tc>
        <w:tc>
          <w:tcPr>
            <w:tcW w:w="2126" w:type="dxa"/>
          </w:tcPr>
          <w:p w14:paraId="3BA3C32B" w14:textId="47589F09" w:rsidR="00AA37BC" w:rsidRPr="005D6102" w:rsidRDefault="00AA37BC" w:rsidP="00AA37BC">
            <w:pPr>
              <w:pStyle w:val="Tabletext"/>
              <w:rPr>
                <w:lang w:eastAsia="en-AU"/>
              </w:rPr>
            </w:pPr>
            <w:r w:rsidRPr="005D6102">
              <w:rPr>
                <w:lang w:eastAsia="en-AU"/>
              </w:rPr>
              <w:t>Rare earths including l</w:t>
            </w:r>
            <w:r w:rsidRPr="005D6102">
              <w:t>anthanum</w:t>
            </w:r>
            <w:r w:rsidRPr="005D6102">
              <w:rPr>
                <w:lang w:eastAsia="en-AU"/>
              </w:rPr>
              <w:t xml:space="preserve">, cerium and neodymium and praseodymium oxides </w:t>
            </w:r>
          </w:p>
        </w:tc>
        <w:tc>
          <w:tcPr>
            <w:tcW w:w="2410" w:type="dxa"/>
          </w:tcPr>
          <w:p w14:paraId="11E81BB0" w14:textId="36D2E893" w:rsidR="00AA37BC" w:rsidRPr="005D6102" w:rsidRDefault="008B3B79" w:rsidP="00AA37BC">
            <w:pPr>
              <w:pStyle w:val="Tabletext"/>
              <w:rPr>
                <w:lang w:eastAsia="en-AU"/>
              </w:rPr>
            </w:pPr>
            <w:r w:rsidRPr="005D6102">
              <w:rPr>
                <w:lang w:eastAsia="en-AU"/>
              </w:rPr>
              <w:t xml:space="preserve">Capacity: 13.4 kt/year </w:t>
            </w:r>
          </w:p>
          <w:p w14:paraId="1483234A" w14:textId="6B6325E9" w:rsidR="00AA37BC" w:rsidRPr="005D6102" w:rsidRDefault="00AA37BC" w:rsidP="00A76128">
            <w:pPr>
              <w:pStyle w:val="Tabletext"/>
              <w:rPr>
                <w:lang w:eastAsia="en-AU"/>
              </w:rPr>
            </w:pPr>
            <w:r w:rsidRPr="005D6102">
              <w:rPr>
                <w:lang w:eastAsia="en-AU"/>
              </w:rPr>
              <w:t>Capex: US$730</w:t>
            </w:r>
            <w:r w:rsidR="00A76128" w:rsidRPr="005D6102">
              <w:rPr>
                <w:lang w:eastAsia="en-AU"/>
              </w:rPr>
              <w:t>m</w:t>
            </w:r>
          </w:p>
        </w:tc>
        <w:tc>
          <w:tcPr>
            <w:tcW w:w="1275" w:type="dxa"/>
          </w:tcPr>
          <w:p w14:paraId="05ED791F" w14:textId="39CF3CD5" w:rsidR="00AA37BC" w:rsidRPr="005D6102" w:rsidRDefault="00AA37BC" w:rsidP="00AA37BC">
            <w:pPr>
              <w:pStyle w:val="Tabletext"/>
              <w:rPr>
                <w:lang w:eastAsia="en-AU"/>
              </w:rPr>
            </w:pPr>
            <w:r w:rsidRPr="005D6102">
              <w:rPr>
                <w:lang w:eastAsia="en-AU"/>
              </w:rPr>
              <w:t>Feasibility</w:t>
            </w:r>
          </w:p>
        </w:tc>
      </w:tr>
      <w:tr w:rsidR="00AA37BC" w:rsidRPr="005D6102" w14:paraId="55A34A03" w14:textId="3EF103AB" w:rsidTr="0070688F">
        <w:trPr>
          <w:cnfStyle w:val="000000010000" w:firstRow="0" w:lastRow="0" w:firstColumn="0" w:lastColumn="0" w:oddVBand="0" w:evenVBand="0" w:oddHBand="0" w:evenHBand="1" w:firstRowFirstColumn="0" w:firstRowLastColumn="0" w:lastRowFirstColumn="0" w:lastRowLastColumn="0"/>
          <w:trHeight w:val="295"/>
        </w:trPr>
        <w:tc>
          <w:tcPr>
            <w:tcW w:w="1218" w:type="dxa"/>
          </w:tcPr>
          <w:p w14:paraId="5F3B6C54" w14:textId="6F6A4D4E" w:rsidR="00AA37BC" w:rsidRPr="005D6102" w:rsidRDefault="00AA37BC" w:rsidP="00AA37BC">
            <w:pPr>
              <w:pStyle w:val="Tabletext"/>
              <w:rPr>
                <w:lang w:eastAsia="en-AU"/>
              </w:rPr>
            </w:pPr>
            <w:r w:rsidRPr="005D6102">
              <w:rPr>
                <w:lang w:eastAsia="en-AU"/>
              </w:rPr>
              <w:t xml:space="preserve">Yangibana  </w:t>
            </w:r>
          </w:p>
        </w:tc>
        <w:tc>
          <w:tcPr>
            <w:tcW w:w="1702" w:type="dxa"/>
          </w:tcPr>
          <w:p w14:paraId="05B7C04A" w14:textId="0192329C" w:rsidR="00AA37BC" w:rsidRPr="005D6102" w:rsidRDefault="00AA37BC" w:rsidP="00AA37BC">
            <w:pPr>
              <w:pStyle w:val="Tabletext"/>
              <w:rPr>
                <w:lang w:eastAsia="en-AU"/>
              </w:rPr>
            </w:pPr>
            <w:r w:rsidRPr="005D6102">
              <w:rPr>
                <w:lang w:eastAsia="en-AU"/>
              </w:rPr>
              <w:t>Hastings Technology Metals</w:t>
            </w:r>
          </w:p>
        </w:tc>
        <w:tc>
          <w:tcPr>
            <w:tcW w:w="2126" w:type="dxa"/>
          </w:tcPr>
          <w:p w14:paraId="75588E54" w14:textId="4C689780" w:rsidR="00AA37BC" w:rsidRPr="005D6102" w:rsidRDefault="00AA37BC" w:rsidP="00AA37BC">
            <w:pPr>
              <w:pStyle w:val="Tabletext"/>
              <w:rPr>
                <w:lang w:eastAsia="en-AU"/>
              </w:rPr>
            </w:pPr>
            <w:r w:rsidRPr="005D6102">
              <w:rPr>
                <w:lang w:eastAsia="en-AU"/>
              </w:rPr>
              <w:t>Rare earths including neodymium and praseodymium</w:t>
            </w:r>
          </w:p>
        </w:tc>
        <w:tc>
          <w:tcPr>
            <w:tcW w:w="2410" w:type="dxa"/>
          </w:tcPr>
          <w:p w14:paraId="1954B4A8" w14:textId="6B4706E1" w:rsidR="00AA37BC" w:rsidRPr="005D6102" w:rsidRDefault="008B3B79" w:rsidP="00AA37BC">
            <w:pPr>
              <w:pStyle w:val="Tabletext"/>
              <w:rPr>
                <w:lang w:eastAsia="en-AU"/>
              </w:rPr>
            </w:pPr>
            <w:r w:rsidRPr="005D6102">
              <w:rPr>
                <w:lang w:eastAsia="en-AU"/>
              </w:rPr>
              <w:t xml:space="preserve">Capacity: </w:t>
            </w:r>
            <w:r w:rsidR="00AA37BC" w:rsidRPr="005D6102">
              <w:rPr>
                <w:lang w:eastAsia="en-AU"/>
              </w:rPr>
              <w:t>3.4</w:t>
            </w:r>
            <w:r w:rsidRPr="005D6102">
              <w:rPr>
                <w:lang w:eastAsia="en-AU"/>
              </w:rPr>
              <w:t> </w:t>
            </w:r>
            <w:r w:rsidR="00AA37BC" w:rsidRPr="005D6102">
              <w:rPr>
                <w:lang w:eastAsia="en-AU"/>
              </w:rPr>
              <w:t>kt/year NdPr</w:t>
            </w:r>
          </w:p>
          <w:p w14:paraId="6159163D" w14:textId="6B3D8557" w:rsidR="00AA37BC" w:rsidRPr="005D6102" w:rsidRDefault="00AA37BC" w:rsidP="00A76128">
            <w:pPr>
              <w:pStyle w:val="Tabletext"/>
              <w:rPr>
                <w:lang w:eastAsia="en-AU"/>
              </w:rPr>
            </w:pPr>
            <w:r w:rsidRPr="005D6102">
              <w:rPr>
                <w:lang w:eastAsia="en-AU"/>
              </w:rPr>
              <w:t xml:space="preserve">Capex: </w:t>
            </w:r>
            <w:r w:rsidR="00EE152C" w:rsidRPr="005D6102">
              <w:rPr>
                <w:lang w:eastAsia="en-AU"/>
              </w:rPr>
              <w:t>$427</w:t>
            </w:r>
            <w:r w:rsidR="00A76128" w:rsidRPr="005D6102">
              <w:rPr>
                <w:lang w:eastAsia="en-AU"/>
              </w:rPr>
              <w:t>m</w:t>
            </w:r>
          </w:p>
        </w:tc>
        <w:tc>
          <w:tcPr>
            <w:tcW w:w="1275" w:type="dxa"/>
          </w:tcPr>
          <w:p w14:paraId="31B70764" w14:textId="2ABD65A4" w:rsidR="00AA37BC" w:rsidRPr="005D6102" w:rsidRDefault="00AA37BC" w:rsidP="00AA37BC">
            <w:pPr>
              <w:pStyle w:val="Tabletext"/>
              <w:rPr>
                <w:lang w:eastAsia="en-AU"/>
              </w:rPr>
            </w:pPr>
            <w:r w:rsidRPr="005D6102">
              <w:rPr>
                <w:lang w:eastAsia="en-AU"/>
              </w:rPr>
              <w:t>Feasibility</w:t>
            </w:r>
          </w:p>
        </w:tc>
      </w:tr>
      <w:tr w:rsidR="00705328" w:rsidRPr="005D6102" w14:paraId="6B52C95A" w14:textId="77777777" w:rsidTr="0070688F">
        <w:trPr>
          <w:cnfStyle w:val="000000100000" w:firstRow="0" w:lastRow="0" w:firstColumn="0" w:lastColumn="0" w:oddVBand="0" w:evenVBand="0" w:oddHBand="1" w:evenHBand="0" w:firstRowFirstColumn="0" w:firstRowLastColumn="0" w:lastRowFirstColumn="0" w:lastRowLastColumn="0"/>
          <w:trHeight w:val="295"/>
        </w:trPr>
        <w:tc>
          <w:tcPr>
            <w:tcW w:w="1218" w:type="dxa"/>
          </w:tcPr>
          <w:p w14:paraId="605B2790" w14:textId="41990E77" w:rsidR="00705328" w:rsidRPr="005D6102" w:rsidRDefault="00705328" w:rsidP="00AA37BC">
            <w:pPr>
              <w:pStyle w:val="Tabletext"/>
              <w:rPr>
                <w:lang w:eastAsia="en-AU"/>
              </w:rPr>
            </w:pPr>
            <w:r w:rsidRPr="00705328">
              <w:rPr>
                <w:lang w:eastAsia="en-AU"/>
              </w:rPr>
              <w:t>Goongarrie</w:t>
            </w:r>
          </w:p>
        </w:tc>
        <w:tc>
          <w:tcPr>
            <w:tcW w:w="1702" w:type="dxa"/>
          </w:tcPr>
          <w:p w14:paraId="2409B95F" w14:textId="0BA98B63" w:rsidR="00705328" w:rsidRPr="005D6102" w:rsidRDefault="00705328" w:rsidP="00AA37BC">
            <w:pPr>
              <w:pStyle w:val="Tabletext"/>
              <w:rPr>
                <w:lang w:eastAsia="en-AU"/>
              </w:rPr>
            </w:pPr>
            <w:r w:rsidRPr="00705328">
              <w:rPr>
                <w:lang w:eastAsia="en-AU"/>
              </w:rPr>
              <w:t>Ardea Resources</w:t>
            </w:r>
          </w:p>
        </w:tc>
        <w:tc>
          <w:tcPr>
            <w:tcW w:w="2126" w:type="dxa"/>
          </w:tcPr>
          <w:p w14:paraId="2419473B" w14:textId="20962796" w:rsidR="00705328" w:rsidRPr="005D6102" w:rsidRDefault="00705328" w:rsidP="00AA37BC">
            <w:pPr>
              <w:pStyle w:val="Tabletext"/>
              <w:rPr>
                <w:lang w:eastAsia="en-AU"/>
              </w:rPr>
            </w:pPr>
            <w:r>
              <w:rPr>
                <w:lang w:eastAsia="en-AU"/>
              </w:rPr>
              <w:t xml:space="preserve">Nickel and </w:t>
            </w:r>
            <w:r w:rsidRPr="005D6102">
              <w:rPr>
                <w:lang w:eastAsia="en-AU"/>
              </w:rPr>
              <w:t>cobalt</w:t>
            </w:r>
          </w:p>
        </w:tc>
        <w:tc>
          <w:tcPr>
            <w:tcW w:w="2410" w:type="dxa"/>
          </w:tcPr>
          <w:p w14:paraId="4CE6A12A" w14:textId="436E4AEC" w:rsidR="00705328" w:rsidRPr="005D6102" w:rsidRDefault="00705328" w:rsidP="00705328">
            <w:pPr>
              <w:pStyle w:val="Tabletext"/>
              <w:rPr>
                <w:lang w:eastAsia="en-AU"/>
              </w:rPr>
            </w:pPr>
            <w:r w:rsidRPr="005D6102">
              <w:rPr>
                <w:lang w:eastAsia="en-AU"/>
              </w:rPr>
              <w:t xml:space="preserve">Capacity: </w:t>
            </w:r>
            <w:r>
              <w:rPr>
                <w:lang w:eastAsia="en-AU"/>
              </w:rPr>
              <w:t xml:space="preserve">5.5 </w:t>
            </w:r>
            <w:r w:rsidRPr="005D6102">
              <w:rPr>
                <w:lang w:eastAsia="en-AU"/>
              </w:rPr>
              <w:t xml:space="preserve">kt/year </w:t>
            </w:r>
            <w:r w:rsidRPr="00705328">
              <w:rPr>
                <w:lang w:eastAsia="en-AU"/>
              </w:rPr>
              <w:t>cobalt sulphate</w:t>
            </w:r>
          </w:p>
          <w:p w14:paraId="78CE747A" w14:textId="126FDDCA" w:rsidR="00705328" w:rsidRPr="005D6102" w:rsidRDefault="00705328" w:rsidP="00705328">
            <w:pPr>
              <w:pStyle w:val="Tabletext"/>
              <w:rPr>
                <w:lang w:eastAsia="en-AU"/>
              </w:rPr>
            </w:pPr>
            <w:r w:rsidRPr="005D6102">
              <w:rPr>
                <w:lang w:eastAsia="en-AU"/>
              </w:rPr>
              <w:t xml:space="preserve">Capex: </w:t>
            </w:r>
            <w:r>
              <w:rPr>
                <w:lang w:eastAsia="en-AU"/>
              </w:rPr>
              <w:t>na</w:t>
            </w:r>
          </w:p>
        </w:tc>
        <w:tc>
          <w:tcPr>
            <w:tcW w:w="1275" w:type="dxa"/>
          </w:tcPr>
          <w:p w14:paraId="2357688E" w14:textId="616C565D" w:rsidR="00705328" w:rsidRPr="005D6102" w:rsidRDefault="00705328" w:rsidP="00AA37BC">
            <w:pPr>
              <w:pStyle w:val="Tabletext"/>
              <w:rPr>
                <w:lang w:eastAsia="en-AU"/>
              </w:rPr>
            </w:pPr>
            <w:r>
              <w:rPr>
                <w:lang w:eastAsia="en-AU"/>
              </w:rPr>
              <w:t>Publically announced</w:t>
            </w:r>
          </w:p>
        </w:tc>
      </w:tr>
      <w:tr w:rsidR="00B3751A" w:rsidRPr="005D6102" w14:paraId="1DE13BC8" w14:textId="77777777" w:rsidTr="0070688F">
        <w:trPr>
          <w:cnfStyle w:val="000000010000" w:firstRow="0" w:lastRow="0" w:firstColumn="0" w:lastColumn="0" w:oddVBand="0" w:evenVBand="0" w:oddHBand="0" w:evenHBand="1" w:firstRowFirstColumn="0" w:firstRowLastColumn="0" w:lastRowFirstColumn="0" w:lastRowLastColumn="0"/>
          <w:trHeight w:val="295"/>
        </w:trPr>
        <w:tc>
          <w:tcPr>
            <w:tcW w:w="1218" w:type="dxa"/>
          </w:tcPr>
          <w:p w14:paraId="1A128D23" w14:textId="43BBC3AB" w:rsidR="00B3751A" w:rsidRPr="005D6102" w:rsidRDefault="00B3751A" w:rsidP="00AA37BC">
            <w:pPr>
              <w:pStyle w:val="Tabletext"/>
              <w:rPr>
                <w:lang w:eastAsia="en-AU"/>
              </w:rPr>
            </w:pPr>
            <w:r>
              <w:rPr>
                <w:lang w:eastAsia="en-AU"/>
              </w:rPr>
              <w:t>NiWest</w:t>
            </w:r>
          </w:p>
        </w:tc>
        <w:tc>
          <w:tcPr>
            <w:tcW w:w="1702" w:type="dxa"/>
          </w:tcPr>
          <w:p w14:paraId="54BD32E9" w14:textId="1A4BD0AC" w:rsidR="00B3751A" w:rsidRPr="005D6102" w:rsidRDefault="00B3751A" w:rsidP="00AA37BC">
            <w:pPr>
              <w:pStyle w:val="Tabletext"/>
              <w:rPr>
                <w:lang w:eastAsia="en-AU"/>
              </w:rPr>
            </w:pPr>
            <w:r>
              <w:rPr>
                <w:lang w:eastAsia="en-AU"/>
              </w:rPr>
              <w:t>GME Resources</w:t>
            </w:r>
          </w:p>
        </w:tc>
        <w:tc>
          <w:tcPr>
            <w:tcW w:w="2126" w:type="dxa"/>
          </w:tcPr>
          <w:p w14:paraId="7956E6A6" w14:textId="7E9398E1" w:rsidR="00B3751A" w:rsidRPr="005D6102" w:rsidRDefault="00B3751A" w:rsidP="00AA37BC">
            <w:pPr>
              <w:pStyle w:val="Tabletext"/>
              <w:rPr>
                <w:lang w:eastAsia="en-AU"/>
              </w:rPr>
            </w:pPr>
            <w:r>
              <w:rPr>
                <w:lang w:eastAsia="en-AU"/>
              </w:rPr>
              <w:t xml:space="preserve">Nickel and </w:t>
            </w:r>
            <w:r w:rsidRPr="005D6102">
              <w:rPr>
                <w:lang w:eastAsia="en-AU"/>
              </w:rPr>
              <w:t>cobalt</w:t>
            </w:r>
          </w:p>
        </w:tc>
        <w:tc>
          <w:tcPr>
            <w:tcW w:w="2410" w:type="dxa"/>
          </w:tcPr>
          <w:p w14:paraId="38A0B919" w14:textId="77777777" w:rsidR="00B3751A" w:rsidRDefault="00B3751A" w:rsidP="00B3751A">
            <w:pPr>
              <w:pStyle w:val="Tabletext"/>
              <w:rPr>
                <w:lang w:eastAsia="en-AU"/>
              </w:rPr>
            </w:pPr>
            <w:r w:rsidRPr="005D6102">
              <w:rPr>
                <w:lang w:eastAsia="en-AU"/>
              </w:rPr>
              <w:t>Capacity</w:t>
            </w:r>
            <w:r>
              <w:rPr>
                <w:lang w:eastAsia="en-AU"/>
              </w:rPr>
              <w:t>: 2.4 mt/year</w:t>
            </w:r>
          </w:p>
          <w:p w14:paraId="15DB7A46" w14:textId="08E9C5C2" w:rsidR="00B3751A" w:rsidRPr="005D6102" w:rsidRDefault="00B3751A" w:rsidP="00B3751A">
            <w:pPr>
              <w:pStyle w:val="Tabletext"/>
              <w:rPr>
                <w:lang w:eastAsia="en-AU"/>
              </w:rPr>
            </w:pPr>
            <w:r w:rsidRPr="005D6102">
              <w:rPr>
                <w:lang w:eastAsia="en-AU"/>
              </w:rPr>
              <w:t xml:space="preserve">Capex: </w:t>
            </w:r>
            <w:r>
              <w:rPr>
                <w:lang w:eastAsia="en-AU"/>
              </w:rPr>
              <w:t>na</w:t>
            </w:r>
          </w:p>
        </w:tc>
        <w:tc>
          <w:tcPr>
            <w:tcW w:w="1275" w:type="dxa"/>
          </w:tcPr>
          <w:p w14:paraId="1FEE8E99" w14:textId="0DA47B1D" w:rsidR="00B3751A" w:rsidRPr="005D6102" w:rsidRDefault="00B3751A" w:rsidP="00AA37BC">
            <w:pPr>
              <w:pStyle w:val="Tabletext"/>
              <w:rPr>
                <w:lang w:eastAsia="en-AU"/>
              </w:rPr>
            </w:pPr>
            <w:r>
              <w:rPr>
                <w:lang w:eastAsia="en-AU"/>
              </w:rPr>
              <w:t>Publically announced</w:t>
            </w:r>
          </w:p>
        </w:tc>
      </w:tr>
      <w:tr w:rsidR="00AA37BC" w:rsidRPr="005D6102" w14:paraId="5BC8C131" w14:textId="77777777" w:rsidTr="0070688F">
        <w:trPr>
          <w:cnfStyle w:val="000000100000" w:firstRow="0" w:lastRow="0" w:firstColumn="0" w:lastColumn="0" w:oddVBand="0" w:evenVBand="0" w:oddHBand="1" w:evenHBand="0" w:firstRowFirstColumn="0" w:firstRowLastColumn="0" w:lastRowFirstColumn="0" w:lastRowLastColumn="0"/>
          <w:trHeight w:val="295"/>
        </w:trPr>
        <w:tc>
          <w:tcPr>
            <w:tcW w:w="1218" w:type="dxa"/>
          </w:tcPr>
          <w:p w14:paraId="2E0496D5" w14:textId="3990935E" w:rsidR="00AA37BC" w:rsidRPr="005D6102" w:rsidRDefault="00AA37BC" w:rsidP="00AA37BC">
            <w:pPr>
              <w:pStyle w:val="Tabletext"/>
              <w:rPr>
                <w:lang w:eastAsia="en-AU"/>
              </w:rPr>
            </w:pPr>
            <w:r w:rsidRPr="005D6102">
              <w:rPr>
                <w:lang w:eastAsia="en-AU"/>
              </w:rPr>
              <w:t>Sconi</w:t>
            </w:r>
          </w:p>
        </w:tc>
        <w:tc>
          <w:tcPr>
            <w:tcW w:w="1702" w:type="dxa"/>
          </w:tcPr>
          <w:p w14:paraId="011B251A" w14:textId="47471823" w:rsidR="00AA37BC" w:rsidRPr="005D6102" w:rsidRDefault="00AA37BC" w:rsidP="00AA37BC">
            <w:pPr>
              <w:pStyle w:val="Tabletext"/>
              <w:rPr>
                <w:lang w:eastAsia="en-AU"/>
              </w:rPr>
            </w:pPr>
            <w:r w:rsidRPr="005D6102">
              <w:rPr>
                <w:lang w:eastAsia="en-AU"/>
              </w:rPr>
              <w:t>Australian Mines</w:t>
            </w:r>
          </w:p>
        </w:tc>
        <w:tc>
          <w:tcPr>
            <w:tcW w:w="2126" w:type="dxa"/>
          </w:tcPr>
          <w:p w14:paraId="096B0102" w14:textId="0D75C22C" w:rsidR="00AA37BC" w:rsidRPr="005D6102" w:rsidRDefault="00AA37BC" w:rsidP="00AA37BC">
            <w:pPr>
              <w:pStyle w:val="Tabletext"/>
              <w:rPr>
                <w:lang w:eastAsia="en-AU"/>
              </w:rPr>
            </w:pPr>
            <w:r w:rsidRPr="005D6102">
              <w:rPr>
                <w:lang w:eastAsia="en-AU"/>
              </w:rPr>
              <w:t>Cobalt, nickel and scandium</w:t>
            </w:r>
          </w:p>
        </w:tc>
        <w:tc>
          <w:tcPr>
            <w:tcW w:w="2410" w:type="dxa"/>
          </w:tcPr>
          <w:p w14:paraId="79A6C216" w14:textId="5431250B" w:rsidR="00AA37BC" w:rsidRPr="005D6102" w:rsidRDefault="00AA37BC" w:rsidP="00AA37BC">
            <w:pPr>
              <w:pStyle w:val="Tabletext"/>
              <w:rPr>
                <w:lang w:eastAsia="en-AU"/>
              </w:rPr>
            </w:pPr>
            <w:r w:rsidRPr="005D6102">
              <w:rPr>
                <w:lang w:eastAsia="en-AU"/>
              </w:rPr>
              <w:t>Capacity: 1.8</w:t>
            </w:r>
            <w:r w:rsidR="008B3B79" w:rsidRPr="005D6102">
              <w:rPr>
                <w:lang w:eastAsia="en-AU"/>
              </w:rPr>
              <w:t> </w:t>
            </w:r>
            <w:r w:rsidRPr="005D6102">
              <w:rPr>
                <w:lang w:eastAsia="en-AU"/>
              </w:rPr>
              <w:t xml:space="preserve">kt/year cobalt </w:t>
            </w:r>
          </w:p>
          <w:p w14:paraId="691263CC" w14:textId="362030EA" w:rsidR="00AA37BC" w:rsidRPr="005D6102" w:rsidRDefault="00A76128" w:rsidP="00A76128">
            <w:pPr>
              <w:pStyle w:val="Tabletext"/>
              <w:rPr>
                <w:lang w:eastAsia="en-AU"/>
              </w:rPr>
            </w:pPr>
            <w:r w:rsidRPr="005D6102">
              <w:rPr>
                <w:lang w:eastAsia="en-AU"/>
              </w:rPr>
              <w:t>Capex: US$974m</w:t>
            </w:r>
          </w:p>
        </w:tc>
        <w:tc>
          <w:tcPr>
            <w:tcW w:w="1275" w:type="dxa"/>
          </w:tcPr>
          <w:p w14:paraId="018B65B0" w14:textId="33FE3052" w:rsidR="00AA37BC" w:rsidRPr="005D6102" w:rsidRDefault="00AA37BC" w:rsidP="00AA37BC">
            <w:pPr>
              <w:pStyle w:val="Tabletext"/>
              <w:rPr>
                <w:lang w:eastAsia="en-AU"/>
              </w:rPr>
            </w:pPr>
            <w:r w:rsidRPr="005D6102">
              <w:rPr>
                <w:lang w:eastAsia="en-AU"/>
              </w:rPr>
              <w:t>Feasibility</w:t>
            </w:r>
          </w:p>
        </w:tc>
      </w:tr>
      <w:tr w:rsidR="00AA37BC" w:rsidRPr="005D6102" w14:paraId="22069313" w14:textId="77777777" w:rsidTr="0070688F">
        <w:trPr>
          <w:cnfStyle w:val="000000010000" w:firstRow="0" w:lastRow="0" w:firstColumn="0" w:lastColumn="0" w:oddVBand="0" w:evenVBand="0" w:oddHBand="0" w:evenHBand="1" w:firstRowFirstColumn="0" w:firstRowLastColumn="0" w:lastRowFirstColumn="0" w:lastRowLastColumn="0"/>
          <w:trHeight w:val="295"/>
        </w:trPr>
        <w:tc>
          <w:tcPr>
            <w:tcW w:w="1218" w:type="dxa"/>
          </w:tcPr>
          <w:p w14:paraId="58E7F874" w14:textId="4FEEDF61" w:rsidR="00AA37BC" w:rsidRPr="005D6102" w:rsidRDefault="00AA37BC" w:rsidP="00AA37BC">
            <w:pPr>
              <w:pStyle w:val="Tabletext"/>
              <w:rPr>
                <w:lang w:eastAsia="en-AU"/>
              </w:rPr>
            </w:pPr>
            <w:r w:rsidRPr="005D6102">
              <w:rPr>
                <w:lang w:eastAsia="en-AU"/>
              </w:rPr>
              <w:t>Sunrise</w:t>
            </w:r>
          </w:p>
        </w:tc>
        <w:tc>
          <w:tcPr>
            <w:tcW w:w="1702" w:type="dxa"/>
          </w:tcPr>
          <w:p w14:paraId="56335F71" w14:textId="19FC742B" w:rsidR="00AA37BC" w:rsidRPr="005D6102" w:rsidRDefault="00AA37BC" w:rsidP="00AA37BC">
            <w:pPr>
              <w:pStyle w:val="Tabletext"/>
              <w:rPr>
                <w:lang w:eastAsia="en-AU"/>
              </w:rPr>
            </w:pPr>
            <w:r w:rsidRPr="005D6102">
              <w:rPr>
                <w:lang w:eastAsia="en-AU"/>
              </w:rPr>
              <w:t>Clean TeQ</w:t>
            </w:r>
          </w:p>
        </w:tc>
        <w:tc>
          <w:tcPr>
            <w:tcW w:w="2126" w:type="dxa"/>
          </w:tcPr>
          <w:p w14:paraId="0BE16212" w14:textId="2D95C603" w:rsidR="00AA37BC" w:rsidRPr="005D6102" w:rsidRDefault="00AA37BC" w:rsidP="00AA37BC">
            <w:pPr>
              <w:pStyle w:val="Tabletext"/>
              <w:rPr>
                <w:lang w:eastAsia="en-AU"/>
              </w:rPr>
            </w:pPr>
            <w:r w:rsidRPr="005D6102">
              <w:rPr>
                <w:lang w:eastAsia="en-AU"/>
              </w:rPr>
              <w:t>Nickel, cobalt and scandium</w:t>
            </w:r>
          </w:p>
        </w:tc>
        <w:tc>
          <w:tcPr>
            <w:tcW w:w="2410" w:type="dxa"/>
          </w:tcPr>
          <w:p w14:paraId="011AF29B" w14:textId="6018EA02" w:rsidR="00AA37BC" w:rsidRPr="005D6102" w:rsidRDefault="008B3B79" w:rsidP="00AA37BC">
            <w:pPr>
              <w:pStyle w:val="Tabletext"/>
              <w:rPr>
                <w:lang w:eastAsia="en-AU"/>
              </w:rPr>
            </w:pPr>
            <w:r w:rsidRPr="005D6102">
              <w:rPr>
                <w:lang w:eastAsia="en-AU"/>
              </w:rPr>
              <w:t>Capacity: 3.2 </w:t>
            </w:r>
            <w:r w:rsidR="00AA37BC" w:rsidRPr="005D6102">
              <w:rPr>
                <w:lang w:eastAsia="en-AU"/>
              </w:rPr>
              <w:t>kt/year cobalt</w:t>
            </w:r>
          </w:p>
          <w:p w14:paraId="607C1538" w14:textId="353432CF" w:rsidR="00AA37BC" w:rsidRPr="005D6102" w:rsidRDefault="00AA37BC" w:rsidP="00EE152C">
            <w:pPr>
              <w:pStyle w:val="Tabletext"/>
              <w:rPr>
                <w:lang w:eastAsia="en-AU"/>
              </w:rPr>
            </w:pPr>
            <w:r w:rsidRPr="005D6102">
              <w:rPr>
                <w:lang w:eastAsia="en-AU"/>
              </w:rPr>
              <w:t>Capex: US$1.5</w:t>
            </w:r>
            <w:r w:rsidR="00EE152C" w:rsidRPr="005D6102">
              <w:rPr>
                <w:lang w:eastAsia="en-AU"/>
              </w:rPr>
              <w:t> </w:t>
            </w:r>
            <w:r w:rsidRPr="005D6102">
              <w:rPr>
                <w:lang w:eastAsia="en-AU"/>
              </w:rPr>
              <w:t>billion</w:t>
            </w:r>
          </w:p>
        </w:tc>
        <w:tc>
          <w:tcPr>
            <w:tcW w:w="1275" w:type="dxa"/>
          </w:tcPr>
          <w:p w14:paraId="1346E687" w14:textId="0661C01D" w:rsidR="00AA37BC" w:rsidRPr="005D6102" w:rsidRDefault="00AA37BC" w:rsidP="00AA37BC">
            <w:pPr>
              <w:pStyle w:val="Tabletext"/>
              <w:rPr>
                <w:lang w:eastAsia="en-AU"/>
              </w:rPr>
            </w:pPr>
            <w:r w:rsidRPr="005D6102">
              <w:rPr>
                <w:lang w:eastAsia="en-AU"/>
              </w:rPr>
              <w:t>Feasibility</w:t>
            </w:r>
          </w:p>
        </w:tc>
      </w:tr>
      <w:tr w:rsidR="00945BA1" w:rsidRPr="005D6102" w14:paraId="19739417" w14:textId="77777777" w:rsidTr="0070688F">
        <w:trPr>
          <w:cnfStyle w:val="000000100000" w:firstRow="0" w:lastRow="0" w:firstColumn="0" w:lastColumn="0" w:oddVBand="0" w:evenVBand="0" w:oddHBand="1" w:evenHBand="0" w:firstRowFirstColumn="0" w:firstRowLastColumn="0" w:lastRowFirstColumn="0" w:lastRowLastColumn="0"/>
          <w:trHeight w:val="295"/>
        </w:trPr>
        <w:tc>
          <w:tcPr>
            <w:tcW w:w="1218" w:type="dxa"/>
          </w:tcPr>
          <w:p w14:paraId="2175C949" w14:textId="36539132" w:rsidR="00945BA1" w:rsidRPr="005D6102" w:rsidRDefault="00945BA1" w:rsidP="00945BA1">
            <w:pPr>
              <w:pStyle w:val="Tabletext"/>
              <w:rPr>
                <w:lang w:eastAsia="en-AU"/>
              </w:rPr>
            </w:pPr>
            <w:r w:rsidRPr="00945BA1">
              <w:rPr>
                <w:lang w:eastAsia="en-AU"/>
              </w:rPr>
              <w:t>Wingellina</w:t>
            </w:r>
          </w:p>
        </w:tc>
        <w:tc>
          <w:tcPr>
            <w:tcW w:w="1702" w:type="dxa"/>
          </w:tcPr>
          <w:p w14:paraId="3EB7C40B" w14:textId="37BE111C" w:rsidR="00945BA1" w:rsidRPr="005D6102" w:rsidRDefault="00945BA1" w:rsidP="00945BA1">
            <w:pPr>
              <w:pStyle w:val="Tabletext"/>
              <w:rPr>
                <w:lang w:eastAsia="en-AU"/>
              </w:rPr>
            </w:pPr>
            <w:r>
              <w:rPr>
                <w:lang w:eastAsia="en-AU"/>
              </w:rPr>
              <w:t>Metals X</w:t>
            </w:r>
          </w:p>
        </w:tc>
        <w:tc>
          <w:tcPr>
            <w:tcW w:w="2126" w:type="dxa"/>
          </w:tcPr>
          <w:p w14:paraId="2AE8C1A0" w14:textId="58742953" w:rsidR="00945BA1" w:rsidRPr="005D6102" w:rsidRDefault="00945BA1" w:rsidP="00945BA1">
            <w:pPr>
              <w:pStyle w:val="Tabletext"/>
              <w:rPr>
                <w:lang w:eastAsia="en-AU"/>
              </w:rPr>
            </w:pPr>
            <w:r>
              <w:rPr>
                <w:lang w:eastAsia="en-AU"/>
              </w:rPr>
              <w:t xml:space="preserve">Nickel and </w:t>
            </w:r>
            <w:r w:rsidRPr="005D6102">
              <w:rPr>
                <w:lang w:eastAsia="en-AU"/>
              </w:rPr>
              <w:t>cobalt</w:t>
            </w:r>
          </w:p>
        </w:tc>
        <w:tc>
          <w:tcPr>
            <w:tcW w:w="2410" w:type="dxa"/>
          </w:tcPr>
          <w:p w14:paraId="7A5E7DAC" w14:textId="252DA46C" w:rsidR="00945BA1" w:rsidRPr="005D6102" w:rsidRDefault="00945BA1" w:rsidP="00945BA1">
            <w:pPr>
              <w:pStyle w:val="Tabletext"/>
              <w:rPr>
                <w:lang w:eastAsia="en-AU"/>
              </w:rPr>
            </w:pPr>
            <w:r w:rsidRPr="005D6102">
              <w:rPr>
                <w:lang w:eastAsia="en-AU"/>
              </w:rPr>
              <w:t>Capacity: 3 kt/year cobalt</w:t>
            </w:r>
          </w:p>
          <w:p w14:paraId="3E58D29E" w14:textId="437D4134" w:rsidR="00945BA1" w:rsidRPr="005D6102" w:rsidRDefault="009A24B7" w:rsidP="00945BA1">
            <w:pPr>
              <w:pStyle w:val="Tabletext"/>
              <w:rPr>
                <w:lang w:eastAsia="en-AU"/>
              </w:rPr>
            </w:pPr>
            <w:r>
              <w:rPr>
                <w:lang w:eastAsia="en-AU"/>
              </w:rPr>
              <w:t>Capex: na</w:t>
            </w:r>
          </w:p>
        </w:tc>
        <w:tc>
          <w:tcPr>
            <w:tcW w:w="1275" w:type="dxa"/>
          </w:tcPr>
          <w:p w14:paraId="7094D9C7" w14:textId="49C89DB7" w:rsidR="00945BA1" w:rsidRPr="005D6102" w:rsidRDefault="009A24B7" w:rsidP="00945BA1">
            <w:pPr>
              <w:pStyle w:val="Tabletext"/>
              <w:rPr>
                <w:lang w:eastAsia="en-AU"/>
              </w:rPr>
            </w:pPr>
            <w:r>
              <w:rPr>
                <w:lang w:eastAsia="en-AU"/>
              </w:rPr>
              <w:t>Feasibility</w:t>
            </w:r>
          </w:p>
        </w:tc>
      </w:tr>
      <w:tr w:rsidR="00AA37BC" w:rsidRPr="005D6102" w14:paraId="0C7C95E9" w14:textId="77777777" w:rsidTr="0070688F">
        <w:trPr>
          <w:cnfStyle w:val="000000010000" w:firstRow="0" w:lastRow="0" w:firstColumn="0" w:lastColumn="0" w:oddVBand="0" w:evenVBand="0" w:oddHBand="0" w:evenHBand="1" w:firstRowFirstColumn="0" w:firstRowLastColumn="0" w:lastRowFirstColumn="0" w:lastRowLastColumn="0"/>
          <w:trHeight w:val="295"/>
        </w:trPr>
        <w:tc>
          <w:tcPr>
            <w:tcW w:w="1218" w:type="dxa"/>
          </w:tcPr>
          <w:p w14:paraId="1D089C32" w14:textId="413A5520" w:rsidR="00AA37BC" w:rsidRPr="005D6102" w:rsidRDefault="00AA37BC" w:rsidP="00AA37BC">
            <w:pPr>
              <w:pStyle w:val="Tabletext"/>
              <w:rPr>
                <w:lang w:eastAsia="en-AU"/>
              </w:rPr>
            </w:pPr>
            <w:r w:rsidRPr="005D6102">
              <w:rPr>
                <w:lang w:eastAsia="en-AU"/>
              </w:rPr>
              <w:t xml:space="preserve">Dolphin  </w:t>
            </w:r>
          </w:p>
        </w:tc>
        <w:tc>
          <w:tcPr>
            <w:tcW w:w="1702" w:type="dxa"/>
          </w:tcPr>
          <w:p w14:paraId="6E5CE1B9" w14:textId="26F18190" w:rsidR="00AA37BC" w:rsidRPr="005D6102" w:rsidRDefault="00AA37BC" w:rsidP="00AA37BC">
            <w:pPr>
              <w:pStyle w:val="Tabletext"/>
              <w:rPr>
                <w:lang w:eastAsia="en-AU"/>
              </w:rPr>
            </w:pPr>
            <w:r w:rsidRPr="005D6102">
              <w:rPr>
                <w:lang w:eastAsia="en-AU"/>
              </w:rPr>
              <w:t xml:space="preserve">King Island Scheelite  </w:t>
            </w:r>
          </w:p>
        </w:tc>
        <w:tc>
          <w:tcPr>
            <w:tcW w:w="2126" w:type="dxa"/>
          </w:tcPr>
          <w:p w14:paraId="7C4C5733" w14:textId="73D86DE5" w:rsidR="00AA37BC" w:rsidRPr="005D6102" w:rsidRDefault="00AA37BC" w:rsidP="00C96E50">
            <w:pPr>
              <w:pStyle w:val="Tabletext"/>
              <w:rPr>
                <w:lang w:eastAsia="en-AU"/>
              </w:rPr>
            </w:pPr>
            <w:r w:rsidRPr="005D6102">
              <w:rPr>
                <w:lang w:eastAsia="en-AU"/>
              </w:rPr>
              <w:t xml:space="preserve">Tungsten </w:t>
            </w:r>
          </w:p>
        </w:tc>
        <w:tc>
          <w:tcPr>
            <w:tcW w:w="2410" w:type="dxa"/>
          </w:tcPr>
          <w:p w14:paraId="3D753D48" w14:textId="36D63E39" w:rsidR="00AA37BC" w:rsidRPr="005D6102" w:rsidRDefault="00AA37BC" w:rsidP="00AA37BC">
            <w:pPr>
              <w:pStyle w:val="Tabletext"/>
              <w:rPr>
                <w:lang w:eastAsia="en-AU"/>
              </w:rPr>
            </w:pPr>
            <w:r w:rsidRPr="005D6102">
              <w:rPr>
                <w:lang w:eastAsia="en-AU"/>
              </w:rPr>
              <w:t>Capacity: 1.6</w:t>
            </w:r>
            <w:r w:rsidR="008B3B79" w:rsidRPr="005D6102">
              <w:rPr>
                <w:lang w:eastAsia="en-AU"/>
              </w:rPr>
              <w:t> </w:t>
            </w:r>
            <w:r w:rsidRPr="005D6102">
              <w:rPr>
                <w:lang w:eastAsia="en-AU"/>
              </w:rPr>
              <w:t>kt</w:t>
            </w:r>
          </w:p>
          <w:p w14:paraId="17BA31CC" w14:textId="3E4E4C24" w:rsidR="00AA37BC" w:rsidRPr="005D6102" w:rsidRDefault="00AA37BC" w:rsidP="00A76128">
            <w:pPr>
              <w:pStyle w:val="Tabletext"/>
              <w:rPr>
                <w:lang w:eastAsia="en-AU"/>
              </w:rPr>
            </w:pPr>
            <w:r w:rsidRPr="005D6102">
              <w:rPr>
                <w:lang w:eastAsia="en-AU"/>
              </w:rPr>
              <w:t>Capex: $65</w:t>
            </w:r>
            <w:r w:rsidR="00A76128" w:rsidRPr="005D6102">
              <w:rPr>
                <w:lang w:eastAsia="en-AU"/>
              </w:rPr>
              <w:t>m</w:t>
            </w:r>
          </w:p>
        </w:tc>
        <w:tc>
          <w:tcPr>
            <w:tcW w:w="1275" w:type="dxa"/>
          </w:tcPr>
          <w:p w14:paraId="5D1512BC" w14:textId="3BDE4931" w:rsidR="00AA37BC" w:rsidRPr="005D6102" w:rsidRDefault="00AA37BC" w:rsidP="00AA37BC">
            <w:pPr>
              <w:pStyle w:val="Tabletext"/>
              <w:rPr>
                <w:lang w:eastAsia="en-AU"/>
              </w:rPr>
            </w:pPr>
            <w:r w:rsidRPr="005D6102">
              <w:rPr>
                <w:lang w:eastAsia="en-AU"/>
              </w:rPr>
              <w:t>Feasibility</w:t>
            </w:r>
          </w:p>
        </w:tc>
      </w:tr>
      <w:tr w:rsidR="000A02FE" w:rsidRPr="005D6102" w14:paraId="4CC93D74" w14:textId="77777777" w:rsidTr="0070688F">
        <w:trPr>
          <w:cnfStyle w:val="000000100000" w:firstRow="0" w:lastRow="0" w:firstColumn="0" w:lastColumn="0" w:oddVBand="0" w:evenVBand="0" w:oddHBand="1" w:evenHBand="0" w:firstRowFirstColumn="0" w:firstRowLastColumn="0" w:lastRowFirstColumn="0" w:lastRowLastColumn="0"/>
          <w:trHeight w:val="295"/>
        </w:trPr>
        <w:tc>
          <w:tcPr>
            <w:tcW w:w="1218" w:type="dxa"/>
          </w:tcPr>
          <w:p w14:paraId="6026680E" w14:textId="222AA569" w:rsidR="000A02FE" w:rsidRPr="005D6102" w:rsidRDefault="000A02FE" w:rsidP="000A02FE">
            <w:pPr>
              <w:pStyle w:val="Tabletext"/>
              <w:rPr>
                <w:lang w:eastAsia="en-AU"/>
              </w:rPr>
            </w:pPr>
            <w:r w:rsidRPr="005D6102">
              <w:rPr>
                <w:lang w:eastAsia="en-AU"/>
              </w:rPr>
              <w:t xml:space="preserve">Molyhil  </w:t>
            </w:r>
          </w:p>
        </w:tc>
        <w:tc>
          <w:tcPr>
            <w:tcW w:w="1702" w:type="dxa"/>
          </w:tcPr>
          <w:p w14:paraId="3C72C27E" w14:textId="7C8B497E" w:rsidR="000A02FE" w:rsidRPr="005D6102" w:rsidRDefault="000A02FE" w:rsidP="000A02FE">
            <w:pPr>
              <w:pStyle w:val="Tabletext"/>
              <w:rPr>
                <w:lang w:eastAsia="en-AU"/>
              </w:rPr>
            </w:pPr>
            <w:r w:rsidRPr="005D6102">
              <w:rPr>
                <w:lang w:eastAsia="en-AU"/>
              </w:rPr>
              <w:t xml:space="preserve">Thor Mining  </w:t>
            </w:r>
          </w:p>
        </w:tc>
        <w:tc>
          <w:tcPr>
            <w:tcW w:w="2126" w:type="dxa"/>
          </w:tcPr>
          <w:p w14:paraId="199C3AB6" w14:textId="49DD489E" w:rsidR="000A02FE" w:rsidRPr="005D6102" w:rsidRDefault="000A02FE" w:rsidP="000A02FE">
            <w:pPr>
              <w:pStyle w:val="Tabletext"/>
              <w:rPr>
                <w:lang w:eastAsia="en-AU"/>
              </w:rPr>
            </w:pPr>
            <w:r w:rsidRPr="005D6102">
              <w:rPr>
                <w:lang w:eastAsia="en-AU"/>
              </w:rPr>
              <w:t>Tungsten</w:t>
            </w:r>
            <w:r w:rsidR="00C96E50" w:rsidRPr="005D6102">
              <w:rPr>
                <w:lang w:eastAsia="en-AU"/>
              </w:rPr>
              <w:t>, molybdenum</w:t>
            </w:r>
          </w:p>
        </w:tc>
        <w:tc>
          <w:tcPr>
            <w:tcW w:w="2410" w:type="dxa"/>
          </w:tcPr>
          <w:p w14:paraId="48797F08" w14:textId="2CB6D908" w:rsidR="000A02FE" w:rsidRPr="005D6102" w:rsidRDefault="000A02FE" w:rsidP="000A02FE">
            <w:pPr>
              <w:pStyle w:val="Tabletext"/>
              <w:rPr>
                <w:lang w:eastAsia="en-AU"/>
              </w:rPr>
            </w:pPr>
            <w:r w:rsidRPr="005D6102">
              <w:rPr>
                <w:lang w:eastAsia="en-AU"/>
              </w:rPr>
              <w:t>Capacity: 1.25</w:t>
            </w:r>
            <w:r w:rsidR="008B3B79" w:rsidRPr="005D6102">
              <w:rPr>
                <w:lang w:eastAsia="en-AU"/>
              </w:rPr>
              <w:t> </w:t>
            </w:r>
            <w:r w:rsidRPr="005D6102">
              <w:rPr>
                <w:lang w:eastAsia="en-AU"/>
              </w:rPr>
              <w:t>kt</w:t>
            </w:r>
          </w:p>
          <w:p w14:paraId="198510EA" w14:textId="63B59DC9" w:rsidR="000A02FE" w:rsidRPr="005D6102" w:rsidRDefault="000A02FE" w:rsidP="00A76128">
            <w:pPr>
              <w:pStyle w:val="Tabletext"/>
              <w:rPr>
                <w:lang w:eastAsia="en-AU"/>
              </w:rPr>
            </w:pPr>
            <w:r w:rsidRPr="005D6102">
              <w:rPr>
                <w:lang w:eastAsia="en-AU"/>
              </w:rPr>
              <w:t>Capex: $69</w:t>
            </w:r>
            <w:r w:rsidR="00A76128" w:rsidRPr="005D6102">
              <w:rPr>
                <w:lang w:eastAsia="en-AU"/>
              </w:rPr>
              <w:t>m</w:t>
            </w:r>
          </w:p>
        </w:tc>
        <w:tc>
          <w:tcPr>
            <w:tcW w:w="1275" w:type="dxa"/>
          </w:tcPr>
          <w:p w14:paraId="20E6AEB6" w14:textId="2993B244" w:rsidR="000A02FE" w:rsidRPr="005D6102" w:rsidRDefault="000A02FE" w:rsidP="000A02FE">
            <w:pPr>
              <w:pStyle w:val="Tabletext"/>
              <w:rPr>
                <w:lang w:eastAsia="en-AU"/>
              </w:rPr>
            </w:pPr>
            <w:r w:rsidRPr="005D6102">
              <w:rPr>
                <w:lang w:eastAsia="en-AU"/>
              </w:rPr>
              <w:t>Feasibility</w:t>
            </w:r>
          </w:p>
        </w:tc>
      </w:tr>
      <w:tr w:rsidR="000A02FE" w:rsidRPr="005D6102" w14:paraId="1435B2DE" w14:textId="1BF50737" w:rsidTr="0070688F">
        <w:trPr>
          <w:cnfStyle w:val="000000010000" w:firstRow="0" w:lastRow="0" w:firstColumn="0" w:lastColumn="0" w:oddVBand="0" w:evenVBand="0" w:oddHBand="0" w:evenHBand="1" w:firstRowFirstColumn="0" w:firstRowLastColumn="0" w:lastRowFirstColumn="0" w:lastRowLastColumn="0"/>
          <w:trHeight w:val="295"/>
        </w:trPr>
        <w:tc>
          <w:tcPr>
            <w:tcW w:w="1218" w:type="dxa"/>
          </w:tcPr>
          <w:p w14:paraId="02F793D1" w14:textId="0E8DB8ED" w:rsidR="000A02FE" w:rsidRPr="005D6102" w:rsidRDefault="000A02FE" w:rsidP="000A02FE">
            <w:pPr>
              <w:pStyle w:val="Tabletext"/>
              <w:rPr>
                <w:lang w:eastAsia="en-AU"/>
              </w:rPr>
            </w:pPr>
            <w:r w:rsidRPr="005D6102">
              <w:rPr>
                <w:lang w:eastAsia="en-AU"/>
              </w:rPr>
              <w:t xml:space="preserve">Mt Carbine  </w:t>
            </w:r>
          </w:p>
        </w:tc>
        <w:tc>
          <w:tcPr>
            <w:tcW w:w="1702" w:type="dxa"/>
          </w:tcPr>
          <w:p w14:paraId="6EEE7BC2" w14:textId="799AEFD2" w:rsidR="000A02FE" w:rsidRPr="005D6102" w:rsidRDefault="000A02FE" w:rsidP="000A02FE">
            <w:pPr>
              <w:pStyle w:val="Tabletext"/>
              <w:rPr>
                <w:lang w:eastAsia="en-AU"/>
              </w:rPr>
            </w:pPr>
            <w:r w:rsidRPr="005D6102">
              <w:rPr>
                <w:lang w:eastAsia="en-AU"/>
              </w:rPr>
              <w:t xml:space="preserve">Speciality Metals International  </w:t>
            </w:r>
          </w:p>
        </w:tc>
        <w:tc>
          <w:tcPr>
            <w:tcW w:w="2126" w:type="dxa"/>
          </w:tcPr>
          <w:p w14:paraId="4E0EC294" w14:textId="42CB2B89" w:rsidR="000A02FE" w:rsidRPr="005D6102" w:rsidRDefault="000A02FE" w:rsidP="000A02FE">
            <w:pPr>
              <w:pStyle w:val="Tabletext"/>
              <w:rPr>
                <w:lang w:eastAsia="en-AU"/>
              </w:rPr>
            </w:pPr>
            <w:r w:rsidRPr="005D6102">
              <w:rPr>
                <w:lang w:eastAsia="en-AU"/>
              </w:rPr>
              <w:t>Tungsten</w:t>
            </w:r>
          </w:p>
        </w:tc>
        <w:tc>
          <w:tcPr>
            <w:tcW w:w="2410" w:type="dxa"/>
          </w:tcPr>
          <w:p w14:paraId="0E23F8F6" w14:textId="4B2C551F" w:rsidR="000A02FE" w:rsidRPr="005D6102" w:rsidRDefault="000A02FE" w:rsidP="000A02FE">
            <w:pPr>
              <w:pStyle w:val="Tabletext"/>
              <w:rPr>
                <w:lang w:eastAsia="en-AU"/>
              </w:rPr>
            </w:pPr>
            <w:r w:rsidRPr="005D6102">
              <w:rPr>
                <w:lang w:eastAsia="en-AU"/>
              </w:rPr>
              <w:t>Capacity: 0.3</w:t>
            </w:r>
            <w:r w:rsidR="008B3B79" w:rsidRPr="005D6102">
              <w:rPr>
                <w:lang w:eastAsia="en-AU"/>
              </w:rPr>
              <w:t> </w:t>
            </w:r>
            <w:r w:rsidRPr="005D6102">
              <w:rPr>
                <w:lang w:eastAsia="en-AU"/>
              </w:rPr>
              <w:t>kt</w:t>
            </w:r>
          </w:p>
          <w:p w14:paraId="274B9756" w14:textId="094A5528" w:rsidR="000A02FE" w:rsidRPr="005D6102" w:rsidRDefault="000A02FE" w:rsidP="00A76128">
            <w:pPr>
              <w:pStyle w:val="Tabletext"/>
              <w:rPr>
                <w:lang w:eastAsia="en-AU"/>
              </w:rPr>
            </w:pPr>
            <w:r w:rsidRPr="005D6102">
              <w:rPr>
                <w:lang w:eastAsia="en-AU"/>
              </w:rPr>
              <w:t>Capex: $55</w:t>
            </w:r>
            <w:r w:rsidR="00A76128" w:rsidRPr="005D6102">
              <w:rPr>
                <w:lang w:eastAsia="en-AU"/>
              </w:rPr>
              <w:t>m</w:t>
            </w:r>
          </w:p>
        </w:tc>
        <w:tc>
          <w:tcPr>
            <w:tcW w:w="1275" w:type="dxa"/>
          </w:tcPr>
          <w:p w14:paraId="19F9837B" w14:textId="4F055E07" w:rsidR="000A02FE" w:rsidRPr="005D6102" w:rsidRDefault="000A02FE" w:rsidP="000A02FE">
            <w:pPr>
              <w:pStyle w:val="Tabletext"/>
              <w:rPr>
                <w:lang w:eastAsia="en-AU"/>
              </w:rPr>
            </w:pPr>
            <w:r w:rsidRPr="005D6102">
              <w:rPr>
                <w:lang w:eastAsia="en-AU"/>
              </w:rPr>
              <w:t>Feasibility</w:t>
            </w:r>
          </w:p>
        </w:tc>
      </w:tr>
      <w:tr w:rsidR="000A02FE" w:rsidRPr="005D6102" w14:paraId="183C7473" w14:textId="77777777" w:rsidTr="0070688F">
        <w:trPr>
          <w:cnfStyle w:val="000000100000" w:firstRow="0" w:lastRow="0" w:firstColumn="0" w:lastColumn="0" w:oddVBand="0" w:evenVBand="0" w:oddHBand="1" w:evenHBand="0" w:firstRowFirstColumn="0" w:firstRowLastColumn="0" w:lastRowFirstColumn="0" w:lastRowLastColumn="0"/>
          <w:trHeight w:val="295"/>
        </w:trPr>
        <w:tc>
          <w:tcPr>
            <w:tcW w:w="1218" w:type="dxa"/>
          </w:tcPr>
          <w:p w14:paraId="7A7B6AF9" w14:textId="0A653948" w:rsidR="000A02FE" w:rsidRPr="005D6102" w:rsidRDefault="000A02FE" w:rsidP="000A02FE">
            <w:pPr>
              <w:pStyle w:val="Tabletext"/>
              <w:rPr>
                <w:lang w:eastAsia="en-AU"/>
              </w:rPr>
            </w:pPr>
            <w:r w:rsidRPr="005D6102">
              <w:rPr>
                <w:lang w:eastAsia="en-AU"/>
              </w:rPr>
              <w:t>Mt Lindsay</w:t>
            </w:r>
          </w:p>
        </w:tc>
        <w:tc>
          <w:tcPr>
            <w:tcW w:w="1702" w:type="dxa"/>
          </w:tcPr>
          <w:p w14:paraId="6BC3BDAD" w14:textId="1D76DB43" w:rsidR="000A02FE" w:rsidRPr="005D6102" w:rsidRDefault="000A02FE" w:rsidP="000A02FE">
            <w:pPr>
              <w:pStyle w:val="Tabletext"/>
              <w:rPr>
                <w:lang w:eastAsia="en-AU"/>
              </w:rPr>
            </w:pPr>
            <w:r w:rsidRPr="005D6102">
              <w:rPr>
                <w:lang w:eastAsia="en-AU"/>
              </w:rPr>
              <w:t>Venture Minerals</w:t>
            </w:r>
          </w:p>
        </w:tc>
        <w:tc>
          <w:tcPr>
            <w:tcW w:w="2126" w:type="dxa"/>
          </w:tcPr>
          <w:p w14:paraId="4F50935A" w14:textId="4A6E092B" w:rsidR="000A02FE" w:rsidRPr="005D6102" w:rsidRDefault="000A02FE" w:rsidP="000A02FE">
            <w:pPr>
              <w:pStyle w:val="Tabletext"/>
              <w:rPr>
                <w:lang w:eastAsia="en-AU"/>
              </w:rPr>
            </w:pPr>
            <w:r w:rsidRPr="005D6102">
              <w:rPr>
                <w:lang w:eastAsia="en-AU"/>
              </w:rPr>
              <w:t>Tin and tungsten</w:t>
            </w:r>
          </w:p>
        </w:tc>
        <w:tc>
          <w:tcPr>
            <w:tcW w:w="2410" w:type="dxa"/>
          </w:tcPr>
          <w:p w14:paraId="19D3FBB8" w14:textId="5C93F2BE" w:rsidR="000A02FE" w:rsidRPr="005D6102" w:rsidRDefault="000A02FE" w:rsidP="000A02FE">
            <w:pPr>
              <w:pStyle w:val="Tabletext"/>
              <w:rPr>
                <w:lang w:eastAsia="en-AU"/>
              </w:rPr>
            </w:pPr>
            <w:r w:rsidRPr="005D6102">
              <w:rPr>
                <w:lang w:eastAsia="en-AU"/>
              </w:rPr>
              <w:t>Capacity:</w:t>
            </w:r>
            <w:r w:rsidR="008B3B79" w:rsidRPr="005D6102">
              <w:rPr>
                <w:lang w:eastAsia="en-AU"/>
              </w:rPr>
              <w:t xml:space="preserve"> </w:t>
            </w:r>
            <w:r w:rsidRPr="005D6102">
              <w:rPr>
                <w:lang w:eastAsia="en-AU"/>
              </w:rPr>
              <w:t>1.6</w:t>
            </w:r>
            <w:r w:rsidR="008B3B79" w:rsidRPr="005D6102">
              <w:rPr>
                <w:lang w:eastAsia="en-AU"/>
              </w:rPr>
              <w:t> </w:t>
            </w:r>
            <w:r w:rsidRPr="005D6102">
              <w:rPr>
                <w:lang w:eastAsia="en-AU"/>
              </w:rPr>
              <w:t>kt</w:t>
            </w:r>
          </w:p>
          <w:p w14:paraId="6131C720" w14:textId="0307FDF4" w:rsidR="000A02FE" w:rsidRPr="005D6102" w:rsidRDefault="000A02FE" w:rsidP="00A76128">
            <w:pPr>
              <w:pStyle w:val="Tabletext"/>
              <w:rPr>
                <w:lang w:eastAsia="en-AU"/>
              </w:rPr>
            </w:pPr>
            <w:r w:rsidRPr="005D6102">
              <w:rPr>
                <w:lang w:eastAsia="en-AU"/>
              </w:rPr>
              <w:t>Capex: $198</w:t>
            </w:r>
            <w:r w:rsidR="00A76128" w:rsidRPr="005D6102">
              <w:rPr>
                <w:lang w:eastAsia="en-AU"/>
              </w:rPr>
              <w:t>m</w:t>
            </w:r>
          </w:p>
        </w:tc>
        <w:tc>
          <w:tcPr>
            <w:tcW w:w="1275" w:type="dxa"/>
          </w:tcPr>
          <w:p w14:paraId="4DB0F1E3" w14:textId="3F1B0395" w:rsidR="000A02FE" w:rsidRPr="005D6102" w:rsidRDefault="000A02FE" w:rsidP="000A02FE">
            <w:pPr>
              <w:pStyle w:val="Tabletext"/>
              <w:rPr>
                <w:lang w:eastAsia="en-AU"/>
              </w:rPr>
            </w:pPr>
            <w:r w:rsidRPr="005D6102">
              <w:rPr>
                <w:lang w:eastAsia="en-AU"/>
              </w:rPr>
              <w:t>Feasibility</w:t>
            </w:r>
          </w:p>
        </w:tc>
      </w:tr>
      <w:tr w:rsidR="000A02FE" w:rsidRPr="005D6102" w14:paraId="023B7475" w14:textId="77777777" w:rsidTr="0070688F">
        <w:trPr>
          <w:cnfStyle w:val="000000010000" w:firstRow="0" w:lastRow="0" w:firstColumn="0" w:lastColumn="0" w:oddVBand="0" w:evenVBand="0" w:oddHBand="0" w:evenHBand="1" w:firstRowFirstColumn="0" w:firstRowLastColumn="0" w:lastRowFirstColumn="0" w:lastRowLastColumn="0"/>
          <w:trHeight w:val="295"/>
        </w:trPr>
        <w:tc>
          <w:tcPr>
            <w:tcW w:w="1218" w:type="dxa"/>
          </w:tcPr>
          <w:p w14:paraId="15BBE83E" w14:textId="10E1BCF7" w:rsidR="000A02FE" w:rsidRPr="005D6102" w:rsidRDefault="000A02FE" w:rsidP="000A02FE">
            <w:pPr>
              <w:pStyle w:val="Tabletext"/>
              <w:rPr>
                <w:lang w:eastAsia="en-AU"/>
              </w:rPr>
            </w:pPr>
            <w:r w:rsidRPr="005D6102">
              <w:rPr>
                <w:lang w:eastAsia="en-AU"/>
              </w:rPr>
              <w:t xml:space="preserve">Mulgine Hill  </w:t>
            </w:r>
          </w:p>
        </w:tc>
        <w:tc>
          <w:tcPr>
            <w:tcW w:w="1702" w:type="dxa"/>
          </w:tcPr>
          <w:p w14:paraId="64C94147" w14:textId="1A0427F0" w:rsidR="000A02FE" w:rsidRPr="005D6102" w:rsidRDefault="000A02FE" w:rsidP="000A02FE">
            <w:pPr>
              <w:pStyle w:val="Tabletext"/>
              <w:rPr>
                <w:lang w:eastAsia="en-AU"/>
              </w:rPr>
            </w:pPr>
            <w:r w:rsidRPr="005D6102">
              <w:rPr>
                <w:lang w:eastAsia="en-AU"/>
              </w:rPr>
              <w:t xml:space="preserve">Tungsten Mining NL  </w:t>
            </w:r>
          </w:p>
        </w:tc>
        <w:tc>
          <w:tcPr>
            <w:tcW w:w="2126" w:type="dxa"/>
          </w:tcPr>
          <w:p w14:paraId="17DA27D2" w14:textId="45EF5E1A" w:rsidR="000A02FE" w:rsidRPr="005D6102" w:rsidRDefault="000A02FE" w:rsidP="000A02FE">
            <w:pPr>
              <w:pStyle w:val="Tabletext"/>
              <w:rPr>
                <w:lang w:eastAsia="en-AU"/>
              </w:rPr>
            </w:pPr>
            <w:r w:rsidRPr="005D6102">
              <w:rPr>
                <w:lang w:eastAsia="en-AU"/>
              </w:rPr>
              <w:t>Tungsten</w:t>
            </w:r>
          </w:p>
        </w:tc>
        <w:tc>
          <w:tcPr>
            <w:tcW w:w="2410" w:type="dxa"/>
          </w:tcPr>
          <w:p w14:paraId="6852D723" w14:textId="77777777" w:rsidR="000A02FE" w:rsidRPr="005D6102" w:rsidRDefault="000A02FE" w:rsidP="000A02FE">
            <w:pPr>
              <w:pStyle w:val="Tabletext"/>
              <w:rPr>
                <w:lang w:eastAsia="en-AU"/>
              </w:rPr>
            </w:pPr>
            <w:r w:rsidRPr="005D6102">
              <w:rPr>
                <w:lang w:eastAsia="en-AU"/>
              </w:rPr>
              <w:t>Capacity: 0.5</w:t>
            </w:r>
            <w:r w:rsidR="008B3B79" w:rsidRPr="005D6102">
              <w:rPr>
                <w:lang w:eastAsia="en-AU"/>
              </w:rPr>
              <w:t> </w:t>
            </w:r>
            <w:r w:rsidRPr="005D6102">
              <w:rPr>
                <w:lang w:eastAsia="en-AU"/>
              </w:rPr>
              <w:t>kt</w:t>
            </w:r>
          </w:p>
          <w:p w14:paraId="273673C4" w14:textId="3B0A2764" w:rsidR="00EE152C" w:rsidRPr="005D6102" w:rsidRDefault="00EE152C" w:rsidP="000A02FE">
            <w:pPr>
              <w:pStyle w:val="Tabletext"/>
              <w:rPr>
                <w:lang w:eastAsia="en-AU"/>
              </w:rPr>
            </w:pPr>
            <w:r w:rsidRPr="005D6102">
              <w:rPr>
                <w:lang w:eastAsia="en-AU"/>
              </w:rPr>
              <w:t>Capex:</w:t>
            </w:r>
            <w:r w:rsidR="00BD158D">
              <w:rPr>
                <w:lang w:eastAsia="en-AU"/>
              </w:rPr>
              <w:t xml:space="preserve"> na</w:t>
            </w:r>
          </w:p>
        </w:tc>
        <w:tc>
          <w:tcPr>
            <w:tcW w:w="1275" w:type="dxa"/>
          </w:tcPr>
          <w:p w14:paraId="6F03DCD3" w14:textId="60BB6A16" w:rsidR="000A02FE" w:rsidRPr="005D6102" w:rsidRDefault="000A02FE" w:rsidP="000A02FE">
            <w:pPr>
              <w:pStyle w:val="Tabletext"/>
              <w:rPr>
                <w:lang w:eastAsia="en-AU"/>
              </w:rPr>
            </w:pPr>
            <w:r w:rsidRPr="005D6102">
              <w:rPr>
                <w:lang w:eastAsia="en-AU"/>
              </w:rPr>
              <w:t>Feasibility</w:t>
            </w:r>
          </w:p>
        </w:tc>
      </w:tr>
      <w:tr w:rsidR="000A02FE" w:rsidRPr="005D6102" w14:paraId="5A43DC91" w14:textId="77777777" w:rsidTr="0070688F">
        <w:trPr>
          <w:cnfStyle w:val="000000100000" w:firstRow="0" w:lastRow="0" w:firstColumn="0" w:lastColumn="0" w:oddVBand="0" w:evenVBand="0" w:oddHBand="1" w:evenHBand="0" w:firstRowFirstColumn="0" w:firstRowLastColumn="0" w:lastRowFirstColumn="0" w:lastRowLastColumn="0"/>
          <w:trHeight w:val="295"/>
        </w:trPr>
        <w:tc>
          <w:tcPr>
            <w:tcW w:w="1218" w:type="dxa"/>
          </w:tcPr>
          <w:p w14:paraId="1D8A8756" w14:textId="4C046C4B" w:rsidR="000A02FE" w:rsidRPr="005D6102" w:rsidRDefault="000A02FE" w:rsidP="000A02FE">
            <w:pPr>
              <w:pStyle w:val="Tabletext"/>
              <w:rPr>
                <w:lang w:eastAsia="en-AU"/>
              </w:rPr>
            </w:pPr>
            <w:r w:rsidRPr="005D6102">
              <w:rPr>
                <w:lang w:eastAsia="en-AU"/>
              </w:rPr>
              <w:t xml:space="preserve">Watershed  </w:t>
            </w:r>
          </w:p>
        </w:tc>
        <w:tc>
          <w:tcPr>
            <w:tcW w:w="1702" w:type="dxa"/>
          </w:tcPr>
          <w:p w14:paraId="6676A78F" w14:textId="6A02EC0F" w:rsidR="000A02FE" w:rsidRPr="005D6102" w:rsidRDefault="000A02FE" w:rsidP="000A02FE">
            <w:pPr>
              <w:pStyle w:val="Tabletext"/>
              <w:rPr>
                <w:lang w:eastAsia="en-AU"/>
              </w:rPr>
            </w:pPr>
            <w:r w:rsidRPr="005D6102">
              <w:rPr>
                <w:lang w:eastAsia="en-AU"/>
              </w:rPr>
              <w:t xml:space="preserve">Tungsten Mining NL  </w:t>
            </w:r>
          </w:p>
        </w:tc>
        <w:tc>
          <w:tcPr>
            <w:tcW w:w="2126" w:type="dxa"/>
          </w:tcPr>
          <w:p w14:paraId="7107176D" w14:textId="7270220A" w:rsidR="000A02FE" w:rsidRPr="005D6102" w:rsidRDefault="000A02FE" w:rsidP="000A02FE">
            <w:pPr>
              <w:pStyle w:val="Tabletext"/>
              <w:rPr>
                <w:lang w:eastAsia="en-AU"/>
              </w:rPr>
            </w:pPr>
            <w:r w:rsidRPr="005D6102">
              <w:rPr>
                <w:lang w:eastAsia="en-AU"/>
              </w:rPr>
              <w:t>Tungsten</w:t>
            </w:r>
          </w:p>
        </w:tc>
        <w:tc>
          <w:tcPr>
            <w:tcW w:w="2410" w:type="dxa"/>
          </w:tcPr>
          <w:p w14:paraId="76A16DE9" w14:textId="6D3CC7C9" w:rsidR="000A02FE" w:rsidRPr="005D6102" w:rsidRDefault="000A02FE" w:rsidP="000A02FE">
            <w:pPr>
              <w:pStyle w:val="Tabletext"/>
              <w:rPr>
                <w:lang w:eastAsia="en-AU"/>
              </w:rPr>
            </w:pPr>
            <w:r w:rsidRPr="005D6102">
              <w:rPr>
                <w:lang w:eastAsia="en-AU"/>
              </w:rPr>
              <w:t>Capacity: 1.5</w:t>
            </w:r>
            <w:r w:rsidR="008B3B79" w:rsidRPr="005D6102">
              <w:rPr>
                <w:lang w:eastAsia="en-AU"/>
              </w:rPr>
              <w:t> </w:t>
            </w:r>
            <w:r w:rsidRPr="005D6102">
              <w:rPr>
                <w:lang w:eastAsia="en-AU"/>
              </w:rPr>
              <w:t>kt</w:t>
            </w:r>
          </w:p>
          <w:p w14:paraId="381AA1D1" w14:textId="10B82F36" w:rsidR="000A02FE" w:rsidRPr="005D6102" w:rsidRDefault="000A02FE" w:rsidP="000A02FE">
            <w:pPr>
              <w:pStyle w:val="Tabletext"/>
              <w:rPr>
                <w:lang w:eastAsia="en-AU"/>
              </w:rPr>
            </w:pPr>
            <w:r w:rsidRPr="005D6102">
              <w:rPr>
                <w:lang w:eastAsia="en-AU"/>
              </w:rPr>
              <w:t>Capex: $100m</w:t>
            </w:r>
          </w:p>
        </w:tc>
        <w:tc>
          <w:tcPr>
            <w:tcW w:w="1275" w:type="dxa"/>
          </w:tcPr>
          <w:p w14:paraId="70BE9415" w14:textId="0E78D15C" w:rsidR="000A02FE" w:rsidRPr="005D6102" w:rsidRDefault="000A02FE" w:rsidP="000A02FE">
            <w:pPr>
              <w:pStyle w:val="Tabletext"/>
              <w:rPr>
                <w:lang w:eastAsia="en-AU"/>
              </w:rPr>
            </w:pPr>
            <w:r w:rsidRPr="005D6102">
              <w:rPr>
                <w:lang w:eastAsia="en-AU"/>
              </w:rPr>
              <w:t>Feasibility</w:t>
            </w:r>
          </w:p>
        </w:tc>
      </w:tr>
    </w:tbl>
    <w:p w14:paraId="52A230B4" w14:textId="5DFF0F0F" w:rsidR="0028632B" w:rsidRPr="005D6102" w:rsidRDefault="004E3777" w:rsidP="0070688F">
      <w:pPr>
        <w:pStyle w:val="Note"/>
        <w:spacing w:line="240" w:lineRule="auto"/>
        <w:rPr>
          <w:lang w:eastAsia="en-AU"/>
        </w:rPr>
      </w:pPr>
      <w:r w:rsidRPr="005D6102">
        <w:rPr>
          <w:lang w:eastAsia="en-AU"/>
        </w:rPr>
        <w:t xml:space="preserve">Notes: </w:t>
      </w:r>
      <w:r w:rsidR="00942764" w:rsidRPr="005D6102">
        <w:rPr>
          <w:lang w:eastAsia="en-AU"/>
        </w:rPr>
        <w:t xml:space="preserve">kt/year </w:t>
      </w:r>
      <w:r w:rsidR="00BA6B5E">
        <w:rPr>
          <w:lang w:eastAsia="en-AU"/>
        </w:rPr>
        <w:t>–</w:t>
      </w:r>
      <w:r w:rsidR="00942764" w:rsidRPr="005D6102">
        <w:rPr>
          <w:lang w:eastAsia="en-AU"/>
        </w:rPr>
        <w:t xml:space="preserve"> </w:t>
      </w:r>
      <w:r w:rsidR="004D1495" w:rsidRPr="005D6102">
        <w:rPr>
          <w:lang w:eastAsia="en-AU"/>
        </w:rPr>
        <w:t>thousand tonnes per year</w:t>
      </w:r>
      <w:r w:rsidR="00BA6B5E">
        <w:rPr>
          <w:lang w:eastAsia="en-AU"/>
        </w:rPr>
        <w:t>;</w:t>
      </w:r>
      <w:r w:rsidR="00942764" w:rsidRPr="005D6102">
        <w:rPr>
          <w:lang w:eastAsia="en-AU"/>
        </w:rPr>
        <w:t xml:space="preserve"> mt </w:t>
      </w:r>
      <w:r w:rsidR="00BA6B5E">
        <w:rPr>
          <w:lang w:eastAsia="en-AU"/>
        </w:rPr>
        <w:t>–</w:t>
      </w:r>
      <w:r w:rsidR="00942764" w:rsidRPr="005D6102">
        <w:rPr>
          <w:lang w:eastAsia="en-AU"/>
        </w:rPr>
        <w:t xml:space="preserve"> million tonnes</w:t>
      </w:r>
      <w:r w:rsidR="00BA6B5E">
        <w:rPr>
          <w:lang w:eastAsia="en-AU"/>
        </w:rPr>
        <w:t>;</w:t>
      </w:r>
      <w:r w:rsidR="00942764" w:rsidRPr="005D6102">
        <w:rPr>
          <w:lang w:eastAsia="en-AU"/>
        </w:rPr>
        <w:t xml:space="preserve"> </w:t>
      </w:r>
      <w:r w:rsidR="00BA6B5E" w:rsidRPr="005D6102">
        <w:rPr>
          <w:lang w:eastAsia="en-AU"/>
        </w:rPr>
        <w:t xml:space="preserve">m </w:t>
      </w:r>
      <w:r w:rsidR="00BA6B5E">
        <w:rPr>
          <w:lang w:eastAsia="en-AU"/>
        </w:rPr>
        <w:t xml:space="preserve">– </w:t>
      </w:r>
      <w:r w:rsidR="008B3B79" w:rsidRPr="005D6102">
        <w:rPr>
          <w:lang w:eastAsia="en-AU"/>
        </w:rPr>
        <w:t>million</w:t>
      </w:r>
      <w:r w:rsidR="00BA6B5E">
        <w:rPr>
          <w:lang w:eastAsia="en-AU"/>
        </w:rPr>
        <w:t>;</w:t>
      </w:r>
      <w:r w:rsidR="008B3B79" w:rsidRPr="005D6102" w:rsidDel="00BA6B5E">
        <w:rPr>
          <w:lang w:eastAsia="en-AU"/>
        </w:rPr>
        <w:t xml:space="preserve"> </w:t>
      </w:r>
      <w:r w:rsidR="00942764" w:rsidRPr="005D6102" w:rsidDel="0002435C">
        <w:rPr>
          <w:lang w:eastAsia="en-AU"/>
        </w:rPr>
        <w:t>NdPr - neodymium and praseodymium</w:t>
      </w:r>
      <w:r w:rsidR="004B4114">
        <w:rPr>
          <w:lang w:eastAsia="en-AU"/>
        </w:rPr>
        <w:t>;</w:t>
      </w:r>
      <w:r w:rsidR="0028632B" w:rsidRPr="005D6102">
        <w:rPr>
          <w:lang w:eastAsia="en-AU"/>
        </w:rPr>
        <w:t xml:space="preserve"> </w:t>
      </w:r>
      <w:r w:rsidR="00EE152C" w:rsidRPr="005D6102">
        <w:rPr>
          <w:lang w:eastAsia="en-AU"/>
        </w:rPr>
        <w:t>Capex</w:t>
      </w:r>
      <w:r w:rsidR="00BA6B5E">
        <w:rPr>
          <w:lang w:eastAsia="en-AU"/>
        </w:rPr>
        <w:t xml:space="preserve"> –</w:t>
      </w:r>
      <w:r w:rsidR="00EE152C" w:rsidRPr="005D6102">
        <w:rPr>
          <w:lang w:eastAsia="en-AU"/>
        </w:rPr>
        <w:t xml:space="preserve"> capital expenditure</w:t>
      </w:r>
      <w:r w:rsidR="00BA6B5E">
        <w:rPr>
          <w:lang w:eastAsia="en-AU"/>
        </w:rPr>
        <w:t>.</w:t>
      </w:r>
    </w:p>
    <w:p w14:paraId="4D052296" w14:textId="159743D9" w:rsidR="006D38FF" w:rsidRPr="005D6102" w:rsidRDefault="00720E8B" w:rsidP="0070688F">
      <w:pPr>
        <w:pStyle w:val="Note"/>
        <w:spacing w:line="240" w:lineRule="auto"/>
        <w:rPr>
          <w:lang w:eastAsia="en-AU"/>
        </w:rPr>
      </w:pPr>
      <w:r w:rsidRPr="005D6102">
        <w:rPr>
          <w:lang w:eastAsia="en-AU"/>
        </w:rPr>
        <w:t xml:space="preserve">This is a selection of current development projects in Australia and not intended to be an </w:t>
      </w:r>
      <w:r w:rsidR="003436A3" w:rsidRPr="005D6102">
        <w:rPr>
          <w:lang w:eastAsia="en-AU"/>
        </w:rPr>
        <w:t>exhaustive</w:t>
      </w:r>
      <w:r w:rsidRPr="005D6102">
        <w:rPr>
          <w:lang w:eastAsia="en-AU"/>
        </w:rPr>
        <w:t xml:space="preserve"> list.</w:t>
      </w:r>
      <w:r w:rsidR="00BA6B5E">
        <w:rPr>
          <w:lang w:eastAsia="en-AU"/>
        </w:rPr>
        <w:t xml:space="preserve"> </w:t>
      </w:r>
      <w:r w:rsidR="00445768" w:rsidRPr="005D6102">
        <w:rPr>
          <w:lang w:eastAsia="en-AU"/>
        </w:rPr>
        <w:t xml:space="preserve">Projects at feasibility status have undertaken initial project definition work, </w:t>
      </w:r>
      <w:r w:rsidR="00445768" w:rsidRPr="005D6102" w:rsidDel="0002435C">
        <w:rPr>
          <w:lang w:eastAsia="en-AU"/>
        </w:rPr>
        <w:t>which can include engineering design, environmental impact studies and regulatory approval</w:t>
      </w:r>
      <w:r w:rsidR="00445768" w:rsidRPr="005D6102" w:rsidDel="00BA6B5E">
        <w:rPr>
          <w:lang w:eastAsia="en-AU"/>
        </w:rPr>
        <w:t xml:space="preserve">, </w:t>
      </w:r>
      <w:r w:rsidR="00445768" w:rsidRPr="005D6102">
        <w:rPr>
          <w:lang w:eastAsia="en-AU"/>
        </w:rPr>
        <w:t xml:space="preserve">but have not </w:t>
      </w:r>
      <w:r w:rsidR="00897D77">
        <w:rPr>
          <w:lang w:eastAsia="en-AU"/>
        </w:rPr>
        <w:t xml:space="preserve">reached the financial investment decision. </w:t>
      </w:r>
    </w:p>
    <w:p w14:paraId="1FE16103" w14:textId="6B8A751D" w:rsidR="005D6028" w:rsidRPr="005D6102" w:rsidRDefault="004E3777" w:rsidP="0070688F">
      <w:pPr>
        <w:pStyle w:val="Source"/>
        <w:spacing w:line="240" w:lineRule="auto"/>
        <w:rPr>
          <w:lang w:eastAsia="en-AU"/>
        </w:rPr>
      </w:pPr>
      <w:r w:rsidRPr="005D6102">
        <w:rPr>
          <w:lang w:eastAsia="en-AU"/>
        </w:rPr>
        <w:t xml:space="preserve">Source: </w:t>
      </w:r>
      <w:r w:rsidR="00783AD4" w:rsidRPr="005D6102">
        <w:rPr>
          <w:lang w:eastAsia="en-AU"/>
        </w:rPr>
        <w:t>Austrade (2019), Roskill (2018), company reports</w:t>
      </w:r>
    </w:p>
    <w:p w14:paraId="69692C68" w14:textId="77777777" w:rsidR="009543F5" w:rsidRPr="005D6102" w:rsidRDefault="009543F5">
      <w:pPr>
        <w:spacing w:after="200" w:line="276" w:lineRule="auto"/>
        <w:rPr>
          <w:rFonts w:asciiTheme="majorHAnsi" w:eastAsia="Times New Roman" w:hAnsiTheme="majorHAnsi" w:cs="Arial"/>
          <w:b/>
          <w:bCs/>
          <w:color w:val="005CAF"/>
          <w:kern w:val="32"/>
          <w:sz w:val="32"/>
          <w:szCs w:val="32"/>
        </w:rPr>
      </w:pPr>
      <w:bookmarkStart w:id="9" w:name="_Toc16143258"/>
      <w:r w:rsidRPr="005D6102">
        <w:br w:type="page"/>
      </w:r>
    </w:p>
    <w:p w14:paraId="7C3F79FF" w14:textId="3D7C6CDD" w:rsidR="00281481" w:rsidRPr="005D6102" w:rsidRDefault="00281481" w:rsidP="00EF5617">
      <w:pPr>
        <w:pStyle w:val="Heading1"/>
      </w:pPr>
      <w:bookmarkStart w:id="10" w:name="_Toc17803330"/>
      <w:r w:rsidRPr="005D6102">
        <w:lastRenderedPageBreak/>
        <w:t xml:space="preserve">Australia’s </w:t>
      </w:r>
      <w:r w:rsidR="00170E12" w:rsidRPr="005D6102">
        <w:t>C</w:t>
      </w:r>
      <w:r w:rsidRPr="005D6102">
        <w:t xml:space="preserve">ritical </w:t>
      </w:r>
      <w:r w:rsidR="00170E12" w:rsidRPr="005D6102">
        <w:t>M</w:t>
      </w:r>
      <w:r w:rsidRPr="005D6102">
        <w:t xml:space="preserve">inerals </w:t>
      </w:r>
      <w:r w:rsidR="00170E12" w:rsidRPr="005D6102">
        <w:t>S</w:t>
      </w:r>
      <w:r w:rsidRPr="005D6102">
        <w:t>trategy</w:t>
      </w:r>
      <w:bookmarkEnd w:id="9"/>
      <w:bookmarkEnd w:id="10"/>
    </w:p>
    <w:p w14:paraId="485A451B" w14:textId="77777777" w:rsidR="0051225B" w:rsidRPr="005D6102" w:rsidRDefault="0051225B" w:rsidP="0051225B">
      <w:pPr>
        <w:pStyle w:val="BodyText"/>
      </w:pPr>
      <w:r w:rsidRPr="005D6102">
        <w:t>Launched in March 2019, Australia’s Critical Minerals Strategy aims to position Australia as a world leader in the exploration, extraction, production and processing of critical minerals.</w:t>
      </w:r>
    </w:p>
    <w:p w14:paraId="4A19FEE4" w14:textId="1F73839F" w:rsidR="0051225B" w:rsidRPr="005D6102" w:rsidRDefault="0051225B" w:rsidP="0051225B">
      <w:pPr>
        <w:pStyle w:val="BodyText"/>
      </w:pPr>
      <w:r w:rsidRPr="005D6102">
        <w:t>It targets actions in three areas:</w:t>
      </w:r>
    </w:p>
    <w:p w14:paraId="625441C0" w14:textId="51867B6B" w:rsidR="0051225B" w:rsidRPr="005D6102" w:rsidRDefault="0051225B" w:rsidP="0051225B">
      <w:pPr>
        <w:pStyle w:val="Keypointsbullet"/>
        <w:rPr>
          <w:rFonts w:eastAsiaTheme="minorHAnsi"/>
        </w:rPr>
      </w:pPr>
      <w:r w:rsidRPr="005D6102">
        <w:rPr>
          <w:rFonts w:eastAsiaTheme="minorHAnsi"/>
        </w:rPr>
        <w:t>promoting investment in Australia’s critical minerals sector and downstream processing</w:t>
      </w:r>
    </w:p>
    <w:p w14:paraId="556B432F" w14:textId="0E94EF55" w:rsidR="0051225B" w:rsidRPr="005D6102" w:rsidRDefault="0051225B" w:rsidP="0051225B">
      <w:pPr>
        <w:pStyle w:val="Keypointsbullet"/>
        <w:rPr>
          <w:rFonts w:eastAsiaTheme="minorHAnsi"/>
        </w:rPr>
      </w:pPr>
      <w:r w:rsidRPr="005D6102">
        <w:rPr>
          <w:rFonts w:eastAsiaTheme="minorHAnsi"/>
        </w:rPr>
        <w:t>providing incentives for innovation to lower costs and increase competitiveness</w:t>
      </w:r>
    </w:p>
    <w:p w14:paraId="21689812" w14:textId="33D83FC4" w:rsidR="0051225B" w:rsidRPr="005D6102" w:rsidRDefault="0051225B" w:rsidP="0051225B">
      <w:pPr>
        <w:pStyle w:val="Keypointsbullet"/>
      </w:pPr>
      <w:r w:rsidRPr="005D6102">
        <w:rPr>
          <w:rFonts w:eastAsiaTheme="minorHAnsi"/>
        </w:rPr>
        <w:t>connecting critical minerals projects with infrastructure development</w:t>
      </w:r>
    </w:p>
    <w:p w14:paraId="54A4081E" w14:textId="211C0065" w:rsidR="0051225B" w:rsidRPr="005D6102" w:rsidRDefault="0051225B" w:rsidP="00066D23">
      <w:pPr>
        <w:pStyle w:val="Caption"/>
        <w:pBdr>
          <w:top w:val="single" w:sz="2" w:space="0" w:color="595A5B"/>
        </w:pBdr>
      </w:pPr>
      <w:r w:rsidRPr="005D6102">
        <w:t xml:space="preserve">Table </w:t>
      </w:r>
      <w:r w:rsidR="009543F5" w:rsidRPr="005D6102">
        <w:t>1</w:t>
      </w:r>
      <w:r w:rsidRPr="005D6102">
        <w:t>.</w:t>
      </w:r>
      <w:r w:rsidR="009543F5" w:rsidRPr="005D6102">
        <w:rPr>
          <w:noProof/>
        </w:rPr>
        <w:t>4</w:t>
      </w:r>
      <w:r w:rsidRPr="005D6102">
        <w:t>: Australia’s Critical Minerals Strategy Action</w:t>
      </w:r>
      <w:r w:rsidR="009543F5" w:rsidRPr="005D6102">
        <w:t>s</w:t>
      </w:r>
    </w:p>
    <w:tbl>
      <w:tblPr>
        <w:tblStyle w:val="OCETable"/>
        <w:tblW w:w="9354" w:type="dxa"/>
        <w:tblLayout w:type="fixed"/>
        <w:tblLook w:val="04A0" w:firstRow="1" w:lastRow="0" w:firstColumn="1" w:lastColumn="0" w:noHBand="0" w:noVBand="1"/>
        <w:tblCaption w:val="Table 1.4: Australia’s Critical Minerals Strategy Actions"/>
        <w:tblDescription w:val="This table outlines various Australian Government actions under the Critical Minerals Strategy, grouped by investment, innovation, infrastructure. "/>
      </w:tblPr>
      <w:tblGrid>
        <w:gridCol w:w="2154"/>
        <w:gridCol w:w="7200"/>
      </w:tblGrid>
      <w:tr w:rsidR="00FF6F14" w:rsidRPr="005D6102" w14:paraId="59A689E9" w14:textId="77777777" w:rsidTr="0070688F">
        <w:trPr>
          <w:cnfStyle w:val="100000000000" w:firstRow="1" w:lastRow="0" w:firstColumn="0" w:lastColumn="0" w:oddVBand="0" w:evenVBand="0" w:oddHBand="0" w:evenHBand="0" w:firstRowFirstColumn="0" w:firstRowLastColumn="0" w:lastRowFirstColumn="0" w:lastRowLastColumn="0"/>
          <w:trHeight w:val="171"/>
          <w:tblHeader/>
        </w:trPr>
        <w:tc>
          <w:tcPr>
            <w:tcW w:w="9354" w:type="dxa"/>
            <w:gridSpan w:val="2"/>
          </w:tcPr>
          <w:p w14:paraId="313BAE9D" w14:textId="77777777" w:rsidR="00FF6F14" w:rsidRPr="005D6102" w:rsidRDefault="00FF6F14" w:rsidP="00356B79">
            <w:pPr>
              <w:pStyle w:val="Tablebodytext"/>
            </w:pPr>
            <w:r w:rsidRPr="005D6102">
              <w:t>Investment</w:t>
            </w:r>
          </w:p>
        </w:tc>
      </w:tr>
      <w:tr w:rsidR="00FF6F14" w:rsidRPr="005D6102" w14:paraId="5C5AFAE5" w14:textId="77777777" w:rsidTr="00356B79">
        <w:trPr>
          <w:cnfStyle w:val="000000100000" w:firstRow="0" w:lastRow="0" w:firstColumn="0" w:lastColumn="0" w:oddVBand="0" w:evenVBand="0" w:oddHBand="1" w:evenHBand="0" w:firstRowFirstColumn="0" w:firstRowLastColumn="0" w:lastRowFirstColumn="0" w:lastRowLastColumn="0"/>
          <w:trHeight w:val="592"/>
        </w:trPr>
        <w:tc>
          <w:tcPr>
            <w:tcW w:w="2154" w:type="dxa"/>
          </w:tcPr>
          <w:p w14:paraId="6505976B" w14:textId="77777777" w:rsidR="00FF6F14" w:rsidRPr="005D6102" w:rsidRDefault="00FF6F14" w:rsidP="00356B79">
            <w:pPr>
              <w:pStyle w:val="Tablebodytext"/>
            </w:pPr>
            <w:r w:rsidRPr="005D6102">
              <w:rPr>
                <w:rStyle w:val="Bold"/>
                <w:sz w:val="17"/>
                <w:szCs w:val="17"/>
              </w:rPr>
              <w:t>Australian Critical Minerals Prospectus</w:t>
            </w:r>
          </w:p>
        </w:tc>
        <w:tc>
          <w:tcPr>
            <w:tcW w:w="7200" w:type="dxa"/>
          </w:tcPr>
          <w:p w14:paraId="228ED3AB" w14:textId="77777777" w:rsidR="00FF6F14" w:rsidRPr="005D6102" w:rsidRDefault="00FF6F14" w:rsidP="00356B79">
            <w:pPr>
              <w:pStyle w:val="Tablebodytext"/>
            </w:pPr>
            <w:r w:rsidRPr="005D6102">
              <w:rPr>
                <w:sz w:val="17"/>
                <w:szCs w:val="17"/>
              </w:rPr>
              <w:t>Austrade, with support from Geoscience Australia, has developed a report of Australia’s potential for critical minerals mining projects and investment.</w:t>
            </w:r>
          </w:p>
        </w:tc>
      </w:tr>
      <w:tr w:rsidR="00FF6F14" w:rsidRPr="005D6102" w14:paraId="7D07E965" w14:textId="77777777" w:rsidTr="00356B79">
        <w:trPr>
          <w:cnfStyle w:val="000000010000" w:firstRow="0" w:lastRow="0" w:firstColumn="0" w:lastColumn="0" w:oddVBand="0" w:evenVBand="0" w:oddHBand="0" w:evenHBand="1" w:firstRowFirstColumn="0" w:firstRowLastColumn="0" w:lastRowFirstColumn="0" w:lastRowLastColumn="0"/>
          <w:trHeight w:val="581"/>
        </w:trPr>
        <w:tc>
          <w:tcPr>
            <w:tcW w:w="2154" w:type="dxa"/>
          </w:tcPr>
          <w:p w14:paraId="295810BD" w14:textId="77777777" w:rsidR="00FF6F14" w:rsidRPr="005D6102" w:rsidRDefault="00FF6F14" w:rsidP="00356B79">
            <w:pPr>
              <w:pStyle w:val="Tablebodytext"/>
            </w:pPr>
            <w:r w:rsidRPr="005D6102">
              <w:rPr>
                <w:rStyle w:val="Bold"/>
                <w:sz w:val="17"/>
                <w:szCs w:val="17"/>
              </w:rPr>
              <w:t>Investment roadshows</w:t>
            </w:r>
          </w:p>
        </w:tc>
        <w:tc>
          <w:tcPr>
            <w:tcW w:w="7200" w:type="dxa"/>
          </w:tcPr>
          <w:p w14:paraId="3286EB91" w14:textId="77777777" w:rsidR="00FF6F14" w:rsidRPr="005D6102" w:rsidRDefault="00FF6F14" w:rsidP="00356B79">
            <w:pPr>
              <w:pStyle w:val="Tablebodytext"/>
            </w:pPr>
            <w:r w:rsidRPr="005D6102">
              <w:rPr>
                <w:sz w:val="17"/>
                <w:szCs w:val="17"/>
              </w:rPr>
              <w:t>Austrade delivers international roadshows promoting investment in critical minerals and the potential for more lithium-ion battery manufacturing in Australia.</w:t>
            </w:r>
          </w:p>
        </w:tc>
      </w:tr>
      <w:tr w:rsidR="00FF6F14" w:rsidRPr="005D6102" w14:paraId="2624B1AD" w14:textId="77777777" w:rsidTr="00356B79">
        <w:trPr>
          <w:cnfStyle w:val="000000100000" w:firstRow="0" w:lastRow="0" w:firstColumn="0" w:lastColumn="0" w:oddVBand="0" w:evenVBand="0" w:oddHBand="1" w:evenHBand="0" w:firstRowFirstColumn="0" w:firstRowLastColumn="0" w:lastRowFirstColumn="0" w:lastRowLastColumn="0"/>
          <w:trHeight w:val="581"/>
        </w:trPr>
        <w:tc>
          <w:tcPr>
            <w:tcW w:w="2154" w:type="dxa"/>
          </w:tcPr>
          <w:p w14:paraId="3391D216" w14:textId="79ADC92F" w:rsidR="00FF6F14" w:rsidRPr="005D6102" w:rsidRDefault="00FF6F14" w:rsidP="003B37D9">
            <w:pPr>
              <w:pStyle w:val="Tablebodytext"/>
            </w:pPr>
            <w:r w:rsidRPr="005D6102">
              <w:rPr>
                <w:rStyle w:val="Bold"/>
                <w:sz w:val="17"/>
                <w:szCs w:val="17"/>
              </w:rPr>
              <w:t xml:space="preserve">Export </w:t>
            </w:r>
            <w:r w:rsidR="003B37D9" w:rsidRPr="005D6102">
              <w:rPr>
                <w:rStyle w:val="Bold"/>
                <w:sz w:val="17"/>
                <w:szCs w:val="17"/>
              </w:rPr>
              <w:t xml:space="preserve">Finance Australia </w:t>
            </w:r>
          </w:p>
        </w:tc>
        <w:tc>
          <w:tcPr>
            <w:tcW w:w="7200" w:type="dxa"/>
          </w:tcPr>
          <w:p w14:paraId="7C355C59" w14:textId="0A54EC9C" w:rsidR="00FF6F14" w:rsidRPr="005D6102" w:rsidRDefault="00FF6F14" w:rsidP="00356B79">
            <w:pPr>
              <w:pStyle w:val="Tablebodytext"/>
            </w:pPr>
            <w:r w:rsidRPr="005D6102">
              <w:rPr>
                <w:sz w:val="17"/>
                <w:szCs w:val="17"/>
              </w:rPr>
              <w:t>E</w:t>
            </w:r>
            <w:r w:rsidR="003B37D9" w:rsidRPr="005D6102">
              <w:rPr>
                <w:sz w:val="17"/>
                <w:szCs w:val="17"/>
              </w:rPr>
              <w:t>xport Finance Australia</w:t>
            </w:r>
            <w:r w:rsidRPr="005D6102">
              <w:rPr>
                <w:sz w:val="17"/>
                <w:szCs w:val="17"/>
              </w:rPr>
              <w:t xml:space="preserve"> helps finance the expansion by Australian businesses into international markets</w:t>
            </w:r>
            <w:r w:rsidR="001760F5" w:rsidRPr="005D6102">
              <w:rPr>
                <w:sz w:val="17"/>
                <w:szCs w:val="17"/>
              </w:rPr>
              <w:t>, within WTO guidelines.</w:t>
            </w:r>
          </w:p>
        </w:tc>
      </w:tr>
      <w:tr w:rsidR="00FF6F14" w:rsidRPr="005D6102" w14:paraId="06456670" w14:textId="77777777" w:rsidTr="00356B79">
        <w:trPr>
          <w:cnfStyle w:val="000000010000" w:firstRow="0" w:lastRow="0" w:firstColumn="0" w:lastColumn="0" w:oddVBand="0" w:evenVBand="0" w:oddHBand="0" w:evenHBand="1" w:firstRowFirstColumn="0" w:firstRowLastColumn="0" w:lastRowFirstColumn="0" w:lastRowLastColumn="0"/>
          <w:trHeight w:val="781"/>
        </w:trPr>
        <w:tc>
          <w:tcPr>
            <w:tcW w:w="2154" w:type="dxa"/>
          </w:tcPr>
          <w:p w14:paraId="68C110B0" w14:textId="77777777" w:rsidR="00FF6F14" w:rsidRPr="005D6102" w:rsidRDefault="00FF6F14" w:rsidP="00356B79">
            <w:pPr>
              <w:pStyle w:val="Tablebodytext"/>
            </w:pPr>
            <w:r w:rsidRPr="005D6102">
              <w:rPr>
                <w:rStyle w:val="Bold"/>
                <w:sz w:val="17"/>
                <w:szCs w:val="17"/>
              </w:rPr>
              <w:t>Exploring for the Future</w:t>
            </w:r>
          </w:p>
        </w:tc>
        <w:tc>
          <w:tcPr>
            <w:tcW w:w="7200" w:type="dxa"/>
          </w:tcPr>
          <w:p w14:paraId="51AA1DC8" w14:textId="5EBD00A5" w:rsidR="00FF6F14" w:rsidRPr="005D6102" w:rsidRDefault="00FF6F14" w:rsidP="006E75CC">
            <w:pPr>
              <w:pStyle w:val="Tablebodytext"/>
            </w:pPr>
            <w:r w:rsidRPr="005D6102">
              <w:rPr>
                <w:sz w:val="17"/>
                <w:szCs w:val="17"/>
              </w:rPr>
              <w:t>The $100.5 million</w:t>
            </w:r>
            <w:r w:rsidRPr="005D6102">
              <w:rPr>
                <w:rStyle w:val="Bold"/>
                <w:sz w:val="17"/>
                <w:szCs w:val="17"/>
              </w:rPr>
              <w:t xml:space="preserve"> </w:t>
            </w:r>
            <w:r w:rsidRPr="005D6102">
              <w:rPr>
                <w:rStyle w:val="Italic"/>
                <w:sz w:val="17"/>
                <w:szCs w:val="17"/>
              </w:rPr>
              <w:t>Exploring for the Future</w:t>
            </w:r>
            <w:r w:rsidRPr="005D6102">
              <w:rPr>
                <w:rStyle w:val="Bold"/>
                <w:sz w:val="17"/>
                <w:szCs w:val="17"/>
              </w:rPr>
              <w:t xml:space="preserve"> </w:t>
            </w:r>
            <w:r w:rsidRPr="005D6102">
              <w:rPr>
                <w:sz w:val="17"/>
                <w:szCs w:val="17"/>
              </w:rPr>
              <w:t>initiative (2016-2020) helps explorers target new mineralisation</w:t>
            </w:r>
            <w:r w:rsidR="006E75CC">
              <w:rPr>
                <w:sz w:val="17"/>
                <w:szCs w:val="17"/>
              </w:rPr>
              <w:t xml:space="preserve"> </w:t>
            </w:r>
            <w:r w:rsidRPr="005D6102" w:rsidDel="006E75CC">
              <w:rPr>
                <w:sz w:val="17"/>
                <w:szCs w:val="17"/>
              </w:rPr>
              <w:t xml:space="preserve">by imaging </w:t>
            </w:r>
            <w:r w:rsidR="00EC3539" w:rsidRPr="005D6102" w:rsidDel="006E75CC">
              <w:rPr>
                <w:sz w:val="17"/>
                <w:szCs w:val="17"/>
              </w:rPr>
              <w:t xml:space="preserve">from </w:t>
            </w:r>
            <w:r w:rsidRPr="005D6102" w:rsidDel="006E75CC">
              <w:rPr>
                <w:sz w:val="17"/>
                <w:szCs w:val="17"/>
              </w:rPr>
              <w:t xml:space="preserve">the deepest roots of mineral systems all the way through to the surface, </w:t>
            </w:r>
            <w:r w:rsidRPr="005D6102">
              <w:rPr>
                <w:sz w:val="17"/>
                <w:szCs w:val="17"/>
              </w:rPr>
              <w:t>and is employing many world-first techniques.</w:t>
            </w:r>
          </w:p>
        </w:tc>
      </w:tr>
      <w:tr w:rsidR="00FF6F14" w:rsidRPr="005D6102" w14:paraId="6435FAAF" w14:textId="77777777" w:rsidTr="00356B79">
        <w:trPr>
          <w:cnfStyle w:val="000000100000" w:firstRow="0" w:lastRow="0" w:firstColumn="0" w:lastColumn="0" w:oddVBand="0" w:evenVBand="0" w:oddHBand="1" w:evenHBand="0" w:firstRowFirstColumn="0" w:firstRowLastColumn="0" w:lastRowFirstColumn="0" w:lastRowLastColumn="0"/>
          <w:trHeight w:val="981"/>
        </w:trPr>
        <w:tc>
          <w:tcPr>
            <w:tcW w:w="2154" w:type="dxa"/>
          </w:tcPr>
          <w:p w14:paraId="2F7795EE" w14:textId="77777777" w:rsidR="00FF6F14" w:rsidRPr="005D6102" w:rsidRDefault="00FF6F14" w:rsidP="00356B79">
            <w:pPr>
              <w:pStyle w:val="Tablebodytext"/>
            </w:pPr>
            <w:r w:rsidRPr="005D6102">
              <w:rPr>
                <w:rStyle w:val="Bold"/>
                <w:sz w:val="17"/>
                <w:szCs w:val="17"/>
              </w:rPr>
              <w:t>MinEx Cooperative Research Centre</w:t>
            </w:r>
          </w:p>
        </w:tc>
        <w:tc>
          <w:tcPr>
            <w:tcW w:w="7200" w:type="dxa"/>
          </w:tcPr>
          <w:p w14:paraId="19BF8AA1" w14:textId="77777777" w:rsidR="00FF6F14" w:rsidRPr="005D6102" w:rsidRDefault="00FF6F14" w:rsidP="00356B79">
            <w:pPr>
              <w:pStyle w:val="Tablebodytext"/>
            </w:pPr>
            <w:r w:rsidRPr="005D6102">
              <w:rPr>
                <w:sz w:val="17"/>
                <w:szCs w:val="17"/>
              </w:rPr>
              <w:t xml:space="preserve">The $218 million MinEx Cooperative Research Centre is the world’s largest mineral exploration collaboration bringing together industry, government and research organisations. Its 10-year research program will develop and deploy the next generation of drilling technology. </w:t>
            </w:r>
          </w:p>
        </w:tc>
      </w:tr>
      <w:tr w:rsidR="00FF6F14" w:rsidRPr="005D6102" w14:paraId="11C0BE34" w14:textId="77777777" w:rsidTr="00356B79">
        <w:trPr>
          <w:cnfStyle w:val="000000010000" w:firstRow="0" w:lastRow="0" w:firstColumn="0" w:lastColumn="0" w:oddVBand="0" w:evenVBand="0" w:oddHBand="0" w:evenHBand="1" w:firstRowFirstColumn="0" w:firstRowLastColumn="0" w:lastRowFirstColumn="0" w:lastRowLastColumn="0"/>
          <w:trHeight w:val="781"/>
        </w:trPr>
        <w:tc>
          <w:tcPr>
            <w:tcW w:w="2154" w:type="dxa"/>
          </w:tcPr>
          <w:p w14:paraId="05DEEE42" w14:textId="77777777" w:rsidR="00FF6F14" w:rsidRPr="005D6102" w:rsidRDefault="00FF6F14" w:rsidP="00356B79">
            <w:pPr>
              <w:pStyle w:val="Tablebodytext"/>
            </w:pPr>
            <w:r w:rsidRPr="005D6102">
              <w:rPr>
                <w:rStyle w:val="Bold"/>
                <w:sz w:val="17"/>
                <w:szCs w:val="17"/>
              </w:rPr>
              <w:t>Australia Minerals</w:t>
            </w:r>
          </w:p>
        </w:tc>
        <w:tc>
          <w:tcPr>
            <w:tcW w:w="7200" w:type="dxa"/>
          </w:tcPr>
          <w:p w14:paraId="546715EB" w14:textId="41AE9073" w:rsidR="00FF6F14" w:rsidRPr="005D6102" w:rsidRDefault="00FF6F14" w:rsidP="006E75CC">
            <w:pPr>
              <w:pStyle w:val="Tablebodytext"/>
            </w:pPr>
            <w:r w:rsidRPr="005D6102">
              <w:rPr>
                <w:rStyle w:val="Italic"/>
                <w:sz w:val="17"/>
                <w:szCs w:val="17"/>
              </w:rPr>
              <w:t>Australia Minerals</w:t>
            </w:r>
            <w:r w:rsidRPr="005D6102">
              <w:rPr>
                <w:rStyle w:val="Bold"/>
                <w:sz w:val="17"/>
                <w:szCs w:val="17"/>
              </w:rPr>
              <w:t xml:space="preserve"> </w:t>
            </w:r>
            <w:r w:rsidRPr="005D6102">
              <w:rPr>
                <w:sz w:val="17"/>
                <w:szCs w:val="17"/>
              </w:rPr>
              <w:t xml:space="preserve">is increasing investment in exploration, especially in greenfield areas. This group is unique world-wide, as it brings together all of the country’s </w:t>
            </w:r>
            <w:r w:rsidR="00125270" w:rsidRPr="005D6102">
              <w:rPr>
                <w:sz w:val="17"/>
                <w:szCs w:val="17"/>
              </w:rPr>
              <w:t>c</w:t>
            </w:r>
            <w:r w:rsidRPr="005D6102">
              <w:rPr>
                <w:sz w:val="17"/>
                <w:szCs w:val="17"/>
              </w:rPr>
              <w:t>hief </w:t>
            </w:r>
            <w:r w:rsidR="00125270" w:rsidRPr="005D6102">
              <w:rPr>
                <w:sz w:val="17"/>
                <w:szCs w:val="17"/>
              </w:rPr>
              <w:t>g</w:t>
            </w:r>
            <w:r w:rsidRPr="005D6102">
              <w:rPr>
                <w:sz w:val="17"/>
                <w:szCs w:val="17"/>
              </w:rPr>
              <w:t xml:space="preserve">eologists. </w:t>
            </w:r>
            <w:r w:rsidRPr="005D6102" w:rsidDel="006E75CC">
              <w:rPr>
                <w:sz w:val="17"/>
                <w:szCs w:val="17"/>
              </w:rPr>
              <w:t>This group regularly visits major investors.</w:t>
            </w:r>
          </w:p>
        </w:tc>
      </w:tr>
      <w:tr w:rsidR="00FF6F14" w:rsidRPr="005D6102" w14:paraId="345F0719" w14:textId="77777777" w:rsidTr="00356B79">
        <w:trPr>
          <w:cnfStyle w:val="000000100000" w:firstRow="0" w:lastRow="0" w:firstColumn="0" w:lastColumn="0" w:oddVBand="0" w:evenVBand="0" w:oddHBand="1" w:evenHBand="0" w:firstRowFirstColumn="0" w:firstRowLastColumn="0" w:lastRowFirstColumn="0" w:lastRowLastColumn="0"/>
          <w:trHeight w:val="581"/>
        </w:trPr>
        <w:tc>
          <w:tcPr>
            <w:tcW w:w="2154" w:type="dxa"/>
          </w:tcPr>
          <w:p w14:paraId="2A4D7E99" w14:textId="77777777" w:rsidR="00FF6F14" w:rsidRPr="005D6102" w:rsidRDefault="00FF6F14" w:rsidP="00356B79">
            <w:pPr>
              <w:pStyle w:val="Tablebodytext"/>
            </w:pPr>
            <w:r w:rsidRPr="005D6102">
              <w:rPr>
                <w:rStyle w:val="Bold"/>
                <w:sz w:val="17"/>
                <w:szCs w:val="17"/>
              </w:rPr>
              <w:t>Major Projects Facilitation Agency</w:t>
            </w:r>
          </w:p>
        </w:tc>
        <w:tc>
          <w:tcPr>
            <w:tcW w:w="7200" w:type="dxa"/>
          </w:tcPr>
          <w:p w14:paraId="79FE85C6" w14:textId="77777777" w:rsidR="00FF6F14" w:rsidRPr="005D6102" w:rsidRDefault="00FF6F14" w:rsidP="00356B79">
            <w:pPr>
              <w:pStyle w:val="Tablebodytext"/>
            </w:pPr>
            <w:r w:rsidRPr="005D6102">
              <w:rPr>
                <w:sz w:val="17"/>
                <w:szCs w:val="17"/>
              </w:rPr>
              <w:t>The Major Projects Facilitation Agency provides a single entry point for major project proponents seeking tailored information and facilitation of their regulatory approval requirements.</w:t>
            </w:r>
          </w:p>
        </w:tc>
      </w:tr>
      <w:tr w:rsidR="00FF6F14" w:rsidRPr="005D6102" w14:paraId="663E6A06" w14:textId="77777777" w:rsidTr="00356B79">
        <w:trPr>
          <w:cnfStyle w:val="000000010000" w:firstRow="0" w:lastRow="0" w:firstColumn="0" w:lastColumn="0" w:oddVBand="0" w:evenVBand="0" w:oddHBand="0" w:evenHBand="1" w:firstRowFirstColumn="0" w:firstRowLastColumn="0" w:lastRowFirstColumn="0" w:lastRowLastColumn="0"/>
          <w:trHeight w:val="381"/>
        </w:trPr>
        <w:tc>
          <w:tcPr>
            <w:tcW w:w="9354" w:type="dxa"/>
            <w:gridSpan w:val="2"/>
            <w:shd w:val="clear" w:color="auto" w:fill="0070C0"/>
          </w:tcPr>
          <w:p w14:paraId="3CA021D3" w14:textId="77777777" w:rsidR="00FF6F14" w:rsidRPr="005D6102" w:rsidRDefault="00FF6F14" w:rsidP="00356B79">
            <w:pPr>
              <w:pStyle w:val="Tablebodytext"/>
            </w:pPr>
            <w:r w:rsidRPr="005D6102">
              <w:rPr>
                <w:b/>
                <w:color w:val="FFFFFF"/>
              </w:rPr>
              <w:t>Innovation</w:t>
            </w:r>
          </w:p>
        </w:tc>
      </w:tr>
      <w:tr w:rsidR="00FF6F14" w:rsidRPr="005D6102" w14:paraId="676E0809" w14:textId="77777777" w:rsidTr="00356B79">
        <w:trPr>
          <w:cnfStyle w:val="000000100000" w:firstRow="0" w:lastRow="0" w:firstColumn="0" w:lastColumn="0" w:oddVBand="0" w:evenVBand="0" w:oddHBand="1" w:evenHBand="0" w:firstRowFirstColumn="0" w:firstRowLastColumn="0" w:lastRowFirstColumn="0" w:lastRowLastColumn="0"/>
          <w:trHeight w:val="581"/>
        </w:trPr>
        <w:tc>
          <w:tcPr>
            <w:tcW w:w="2154" w:type="dxa"/>
          </w:tcPr>
          <w:p w14:paraId="0376683C" w14:textId="77777777" w:rsidR="00FF6F14" w:rsidRPr="005D6102" w:rsidRDefault="00FF6F14" w:rsidP="00356B79">
            <w:pPr>
              <w:pStyle w:val="Tablebodytext"/>
            </w:pPr>
            <w:r w:rsidRPr="005D6102">
              <w:rPr>
                <w:rStyle w:val="Bold"/>
                <w:sz w:val="17"/>
                <w:szCs w:val="17"/>
              </w:rPr>
              <w:t>Cooperative Research Centre Projects</w:t>
            </w:r>
          </w:p>
        </w:tc>
        <w:tc>
          <w:tcPr>
            <w:tcW w:w="7200" w:type="dxa"/>
          </w:tcPr>
          <w:p w14:paraId="70898988" w14:textId="64D32D05" w:rsidR="00FF6F14" w:rsidRPr="005D6102" w:rsidRDefault="00FF6F14" w:rsidP="00356B79">
            <w:pPr>
              <w:pStyle w:val="Tablebodytext"/>
            </w:pPr>
            <w:r w:rsidRPr="005D6102">
              <w:rPr>
                <w:sz w:val="17"/>
                <w:szCs w:val="17"/>
              </w:rPr>
              <w:t xml:space="preserve">$20 million of Cooperative Research Centre Projects </w:t>
            </w:r>
            <w:r w:rsidR="00125270" w:rsidRPr="005D6102">
              <w:rPr>
                <w:sz w:val="17"/>
                <w:szCs w:val="17"/>
              </w:rPr>
              <w:t xml:space="preserve">funding has been prioritised </w:t>
            </w:r>
            <w:r w:rsidRPr="005D6102">
              <w:rPr>
                <w:sz w:val="17"/>
                <w:szCs w:val="17"/>
              </w:rPr>
              <w:t>for projects with a specific focus on critical minerals.</w:t>
            </w:r>
          </w:p>
        </w:tc>
      </w:tr>
      <w:tr w:rsidR="00FF6F14" w:rsidRPr="005D6102" w14:paraId="38B873D0" w14:textId="77777777" w:rsidTr="00356B79">
        <w:trPr>
          <w:cnfStyle w:val="000000010000" w:firstRow="0" w:lastRow="0" w:firstColumn="0" w:lastColumn="0" w:oddVBand="0" w:evenVBand="0" w:oddHBand="0" w:evenHBand="1" w:firstRowFirstColumn="0" w:firstRowLastColumn="0" w:lastRowFirstColumn="0" w:lastRowLastColumn="0"/>
          <w:trHeight w:val="781"/>
        </w:trPr>
        <w:tc>
          <w:tcPr>
            <w:tcW w:w="2154" w:type="dxa"/>
          </w:tcPr>
          <w:p w14:paraId="03373530" w14:textId="77777777" w:rsidR="00FF6F14" w:rsidRPr="005D6102" w:rsidRDefault="00FF6F14" w:rsidP="00356B79">
            <w:pPr>
              <w:pStyle w:val="Tablebodytext"/>
            </w:pPr>
            <w:r w:rsidRPr="005D6102">
              <w:rPr>
                <w:rStyle w:val="Bold"/>
                <w:sz w:val="17"/>
                <w:szCs w:val="17"/>
              </w:rPr>
              <w:t>Cooperative Research Centre for Optimising Resource Extraction</w:t>
            </w:r>
          </w:p>
        </w:tc>
        <w:tc>
          <w:tcPr>
            <w:tcW w:w="7200" w:type="dxa"/>
          </w:tcPr>
          <w:p w14:paraId="780025D6" w14:textId="75909C21" w:rsidR="00FF6F14" w:rsidRPr="005D6102" w:rsidRDefault="00FF6F14" w:rsidP="006E75CC">
            <w:pPr>
              <w:pStyle w:val="Tablebodytext"/>
            </w:pPr>
            <w:r w:rsidRPr="005D6102">
              <w:rPr>
                <w:sz w:val="17"/>
                <w:szCs w:val="17"/>
              </w:rPr>
              <w:t>The CRC for Optimising Resource Extraction will receive $34.45 million from 2016</w:t>
            </w:r>
            <w:r w:rsidRPr="005D6102">
              <w:rPr>
                <w:rFonts w:ascii="Cambria Math" w:hAnsi="Cambria Math" w:cs="Cambria Math"/>
                <w:sz w:val="17"/>
                <w:szCs w:val="17"/>
              </w:rPr>
              <w:t>‑</w:t>
            </w:r>
            <w:r w:rsidRPr="005D6102">
              <w:rPr>
                <w:sz w:val="17"/>
                <w:szCs w:val="17"/>
              </w:rPr>
              <w:t xml:space="preserve">2021 to develop </w:t>
            </w:r>
            <w:r w:rsidRPr="005D6102" w:rsidDel="006E75CC">
              <w:rPr>
                <w:sz w:val="17"/>
                <w:szCs w:val="17"/>
              </w:rPr>
              <w:t xml:space="preserve">energy-saving and resource-expanding </w:t>
            </w:r>
            <w:r w:rsidRPr="005D6102">
              <w:rPr>
                <w:sz w:val="17"/>
                <w:szCs w:val="17"/>
              </w:rPr>
              <w:t>technology that will allow lower</w:t>
            </w:r>
            <w:r w:rsidRPr="005D6102">
              <w:rPr>
                <w:rFonts w:ascii="Cambria Math" w:hAnsi="Cambria Math" w:cs="Cambria Math"/>
                <w:sz w:val="17"/>
                <w:szCs w:val="17"/>
              </w:rPr>
              <w:t>‑</w:t>
            </w:r>
            <w:r w:rsidRPr="005D6102">
              <w:rPr>
                <w:sz w:val="17"/>
                <w:szCs w:val="17"/>
              </w:rPr>
              <w:t>grade ores to be economically and eco</w:t>
            </w:r>
            <w:r w:rsidRPr="005D6102">
              <w:rPr>
                <w:rFonts w:ascii="Cambria Math" w:hAnsi="Cambria Math" w:cs="Cambria Math"/>
                <w:sz w:val="17"/>
                <w:szCs w:val="17"/>
              </w:rPr>
              <w:t>‑</w:t>
            </w:r>
            <w:r w:rsidRPr="005D6102">
              <w:rPr>
                <w:sz w:val="17"/>
                <w:szCs w:val="17"/>
              </w:rPr>
              <w:t>efficiently mined.</w:t>
            </w:r>
          </w:p>
        </w:tc>
      </w:tr>
      <w:tr w:rsidR="00FF6F14" w:rsidRPr="005D6102" w14:paraId="03D0F145" w14:textId="77777777" w:rsidTr="00356B79">
        <w:trPr>
          <w:cnfStyle w:val="000000100000" w:firstRow="0" w:lastRow="0" w:firstColumn="0" w:lastColumn="0" w:oddVBand="0" w:evenVBand="0" w:oddHBand="1" w:evenHBand="0" w:firstRowFirstColumn="0" w:firstRowLastColumn="0" w:lastRowFirstColumn="0" w:lastRowLastColumn="0"/>
          <w:trHeight w:val="171"/>
        </w:trPr>
        <w:tc>
          <w:tcPr>
            <w:tcW w:w="9354" w:type="dxa"/>
            <w:gridSpan w:val="2"/>
            <w:shd w:val="clear" w:color="auto" w:fill="005CAF"/>
          </w:tcPr>
          <w:p w14:paraId="173FC0B7" w14:textId="77777777" w:rsidR="00FF6F14" w:rsidRPr="005D6102" w:rsidRDefault="00FF6F14" w:rsidP="00356B79">
            <w:pPr>
              <w:pStyle w:val="Tablebodytext"/>
            </w:pPr>
            <w:r w:rsidRPr="005D6102">
              <w:rPr>
                <w:color w:val="FFFFFF"/>
              </w:rPr>
              <w:t>Infrastructure</w:t>
            </w:r>
          </w:p>
        </w:tc>
      </w:tr>
      <w:tr w:rsidR="00FF6F14" w:rsidRPr="005D6102" w14:paraId="2504623B" w14:textId="77777777" w:rsidTr="00356B79">
        <w:trPr>
          <w:cnfStyle w:val="000000010000" w:firstRow="0" w:lastRow="0" w:firstColumn="0" w:lastColumn="0" w:oddVBand="0" w:evenVBand="0" w:oddHBand="0" w:evenHBand="1" w:firstRowFirstColumn="0" w:firstRowLastColumn="0" w:lastRowFirstColumn="0" w:lastRowLastColumn="0"/>
          <w:trHeight w:val="581"/>
        </w:trPr>
        <w:tc>
          <w:tcPr>
            <w:tcW w:w="2154" w:type="dxa"/>
          </w:tcPr>
          <w:p w14:paraId="01C48DCE" w14:textId="77777777" w:rsidR="00FF6F14" w:rsidRPr="005D6102" w:rsidRDefault="00FF6F14" w:rsidP="00356B79">
            <w:pPr>
              <w:pStyle w:val="Tablebodytext"/>
            </w:pPr>
            <w:r w:rsidRPr="005D6102">
              <w:rPr>
                <w:rStyle w:val="Bold"/>
                <w:sz w:val="17"/>
                <w:szCs w:val="17"/>
              </w:rPr>
              <w:t>Northern Australia Infrastructure Facility</w:t>
            </w:r>
          </w:p>
        </w:tc>
        <w:tc>
          <w:tcPr>
            <w:tcW w:w="7200" w:type="dxa"/>
          </w:tcPr>
          <w:p w14:paraId="6C80D1FA" w14:textId="65079BFA" w:rsidR="00FF6F14" w:rsidRPr="005D6102" w:rsidRDefault="00FF6F14" w:rsidP="00356B79">
            <w:pPr>
              <w:pStyle w:val="Tablebodytext"/>
            </w:pPr>
            <w:r w:rsidRPr="005D6102">
              <w:rPr>
                <w:sz w:val="17"/>
                <w:szCs w:val="17"/>
              </w:rPr>
              <w:t xml:space="preserve">The $5 billion Northern Australia Infrastructure Facility </w:t>
            </w:r>
            <w:r w:rsidR="001418A3" w:rsidRPr="005D6102">
              <w:rPr>
                <w:sz w:val="17"/>
                <w:szCs w:val="17"/>
              </w:rPr>
              <w:t>can provide</w:t>
            </w:r>
            <w:r w:rsidRPr="005D6102">
              <w:rPr>
                <w:sz w:val="17"/>
                <w:szCs w:val="17"/>
              </w:rPr>
              <w:t xml:space="preserve"> concessional loans to eligible infrastructure projects in Northern Australia. </w:t>
            </w:r>
          </w:p>
        </w:tc>
      </w:tr>
      <w:tr w:rsidR="00FF6F14" w:rsidRPr="005D6102" w14:paraId="25A35749" w14:textId="77777777" w:rsidTr="00356B79">
        <w:trPr>
          <w:cnfStyle w:val="000000100000" w:firstRow="0" w:lastRow="0" w:firstColumn="0" w:lastColumn="0" w:oddVBand="0" w:evenVBand="0" w:oddHBand="1" w:evenHBand="0" w:firstRowFirstColumn="0" w:firstRowLastColumn="0" w:lastRowFirstColumn="0" w:lastRowLastColumn="0"/>
          <w:trHeight w:val="734"/>
        </w:trPr>
        <w:tc>
          <w:tcPr>
            <w:tcW w:w="2154" w:type="dxa"/>
          </w:tcPr>
          <w:p w14:paraId="343925F6" w14:textId="77777777" w:rsidR="00FF6F14" w:rsidRPr="005D6102" w:rsidRDefault="00FF6F14" w:rsidP="00356B79">
            <w:pPr>
              <w:pStyle w:val="Tablebodytext"/>
            </w:pPr>
            <w:r w:rsidRPr="005D6102">
              <w:rPr>
                <w:rStyle w:val="Bold"/>
                <w:sz w:val="17"/>
                <w:szCs w:val="17"/>
              </w:rPr>
              <w:t>Other Commonwealth infrastructure investment</w:t>
            </w:r>
          </w:p>
        </w:tc>
        <w:tc>
          <w:tcPr>
            <w:tcW w:w="7200" w:type="dxa"/>
          </w:tcPr>
          <w:p w14:paraId="0F720E82" w14:textId="77777777" w:rsidR="00FF6F14" w:rsidRPr="005D6102" w:rsidRDefault="00FF6F14" w:rsidP="00356B79">
            <w:pPr>
              <w:pStyle w:val="Tablebodytext"/>
            </w:pPr>
            <w:r w:rsidRPr="005D6102">
              <w:rPr>
                <w:sz w:val="17"/>
                <w:szCs w:val="17"/>
              </w:rPr>
              <w:t>Investment in transport infrastructure through the Infrastructure Investment Program, including the $3.5 billion Roads of Strategic Importance initiative.</w:t>
            </w:r>
          </w:p>
        </w:tc>
      </w:tr>
    </w:tbl>
    <w:p w14:paraId="624B9618" w14:textId="7722AE41" w:rsidR="00FF6F14" w:rsidRPr="005D6102" w:rsidRDefault="005E44D4" w:rsidP="005E44D4">
      <w:pPr>
        <w:pStyle w:val="Source"/>
      </w:pPr>
      <w:r w:rsidRPr="005D6102">
        <w:t xml:space="preserve">Source: Department of Industry, Innovation and Science </w:t>
      </w:r>
      <w:r w:rsidR="00D94555" w:rsidRPr="005D6102">
        <w:t>(</w:t>
      </w:r>
      <w:r w:rsidRPr="005D6102">
        <w:t>2019</w:t>
      </w:r>
      <w:r w:rsidR="00D94555" w:rsidRPr="005D6102">
        <w:t>)</w:t>
      </w:r>
      <w:r w:rsidRPr="005D6102">
        <w:t xml:space="preserve"> </w:t>
      </w:r>
      <w:hyperlink r:id="rId18" w:history="1">
        <w:r w:rsidRPr="005D6102">
          <w:rPr>
            <w:rStyle w:val="Hyperlink"/>
          </w:rPr>
          <w:t>Australia’s Critical Minerals Strategy</w:t>
        </w:r>
      </w:hyperlink>
    </w:p>
    <w:p w14:paraId="44C22259" w14:textId="4C362F54" w:rsidR="00AE4C6A" w:rsidRPr="005D6102" w:rsidRDefault="00AE4C6A">
      <w:pPr>
        <w:spacing w:after="200" w:line="276" w:lineRule="auto"/>
      </w:pPr>
      <w:bookmarkStart w:id="11" w:name="_Toc16143260"/>
      <w:r w:rsidRPr="005D6102">
        <w:rPr>
          <w:color w:val="373737"/>
          <w:sz w:val="20"/>
        </w:rPr>
        <w:br w:type="page"/>
      </w:r>
    </w:p>
    <w:p w14:paraId="2A0C66E2" w14:textId="0883F0BF" w:rsidR="0043672C" w:rsidRDefault="0043672C">
      <w:pPr>
        <w:spacing w:after="200" w:line="276" w:lineRule="auto"/>
        <w:rPr>
          <w:rFonts w:asciiTheme="majorHAnsi" w:eastAsia="Times New Roman" w:hAnsiTheme="majorHAnsi" w:cs="Arial"/>
          <w:b/>
          <w:bCs/>
          <w:color w:val="005CAF"/>
          <w:kern w:val="32"/>
          <w:sz w:val="32"/>
          <w:szCs w:val="32"/>
        </w:rPr>
      </w:pPr>
      <w:bookmarkStart w:id="12" w:name="_Toc14958161"/>
      <w:bookmarkStart w:id="13" w:name="_Toc17803331"/>
      <w:r>
        <w:rPr>
          <w:noProof/>
          <w:color w:val="373737"/>
          <w:sz w:val="20"/>
          <w:lang w:eastAsia="en-AU"/>
        </w:rPr>
        <w:lastRenderedPageBreak/>
        <w:drawing>
          <wp:anchor distT="0" distB="0" distL="114300" distR="114300" simplePos="0" relativeHeight="251661312" behindDoc="1" locked="0" layoutInCell="1" allowOverlap="1" wp14:anchorId="1A73BA32" wp14:editId="7DAB86A7">
            <wp:simplePos x="0" y="0"/>
            <wp:positionH relativeFrom="column">
              <wp:posOffset>-986790</wp:posOffset>
            </wp:positionH>
            <wp:positionV relativeFrom="paragraph">
              <wp:posOffset>-921649</wp:posOffset>
            </wp:positionV>
            <wp:extent cx="7647709" cy="10930574"/>
            <wp:effectExtent l="0" t="0" r="0" b="4445"/>
            <wp:wrapNone/>
            <wp:docPr id="2086" name="Picture 2086" descr="Image shows background decorative image of a truck winding along a road in a mine. It also shows the words Key critical minerals" title="Key critical minerals section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 name="key critical minerals for word.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7647709" cy="10930574"/>
                    </a:xfrm>
                    <a:prstGeom prst="rect">
                      <a:avLst/>
                    </a:prstGeom>
                  </pic:spPr>
                </pic:pic>
              </a:graphicData>
            </a:graphic>
            <wp14:sizeRelH relativeFrom="page">
              <wp14:pctWidth>0</wp14:pctWidth>
            </wp14:sizeRelH>
            <wp14:sizeRelV relativeFrom="page">
              <wp14:pctHeight>0</wp14:pctHeight>
            </wp14:sizeRelV>
          </wp:anchor>
        </w:drawing>
      </w:r>
      <w:r>
        <w:br w:type="page"/>
      </w:r>
    </w:p>
    <w:p w14:paraId="3FBB280D" w14:textId="3767F41A" w:rsidR="00593584" w:rsidRDefault="00200CFC" w:rsidP="002C7DBE">
      <w:pPr>
        <w:pStyle w:val="Heading1"/>
        <w:ind w:left="0" w:firstLine="0"/>
      </w:pPr>
      <w:r>
        <w:rPr>
          <w:noProof/>
          <w:lang w:eastAsia="en-AU"/>
        </w:rPr>
        <w:lastRenderedPageBreak/>
        <w:drawing>
          <wp:anchor distT="0" distB="0" distL="114300" distR="114300" simplePos="0" relativeHeight="251653120" behindDoc="1" locked="0" layoutInCell="1" allowOverlap="1" wp14:anchorId="3738B20D" wp14:editId="503039DE">
            <wp:simplePos x="0" y="0"/>
            <wp:positionH relativeFrom="column">
              <wp:posOffset>4053260</wp:posOffset>
            </wp:positionH>
            <wp:positionV relativeFrom="paragraph">
              <wp:posOffset>-333762</wp:posOffset>
            </wp:positionV>
            <wp:extent cx="1371677" cy="914400"/>
            <wp:effectExtent l="0" t="0" r="0" b="0"/>
            <wp:wrapNone/>
            <wp:docPr id="15" name="Picture 15" descr="Image shows the mineral Niob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niobiam.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371677" cy="914400"/>
                    </a:xfrm>
                    <a:prstGeom prst="rect">
                      <a:avLst/>
                    </a:prstGeom>
                  </pic:spPr>
                </pic:pic>
              </a:graphicData>
            </a:graphic>
            <wp14:sizeRelH relativeFrom="page">
              <wp14:pctWidth>0</wp14:pctWidth>
            </wp14:sizeRelH>
            <wp14:sizeRelV relativeFrom="page">
              <wp14:pctHeight>0</wp14:pctHeight>
            </wp14:sizeRelV>
          </wp:anchor>
        </w:drawing>
      </w:r>
      <w:r w:rsidR="00593584" w:rsidRPr="005D6102">
        <w:t>Niobium</w:t>
      </w:r>
      <w:bookmarkEnd w:id="11"/>
      <w:bookmarkEnd w:id="12"/>
      <w:bookmarkEnd w:id="13"/>
    </w:p>
    <w:p w14:paraId="01E085F7" w14:textId="5CF6DDC7" w:rsidR="00200CFC" w:rsidRPr="00200CFC" w:rsidRDefault="00200CFC" w:rsidP="00200CFC">
      <w:pPr>
        <w:pStyle w:val="BodyText"/>
      </w:pPr>
    </w:p>
    <w:p w14:paraId="57EC902B" w14:textId="287BC554" w:rsidR="00165AD4" w:rsidRPr="005D6102" w:rsidRDefault="00200CFC" w:rsidP="00165AD4">
      <w:pPr>
        <w:rPr>
          <w:sz w:val="28"/>
          <w:szCs w:val="28"/>
        </w:rPr>
      </w:pPr>
      <w:r>
        <w:rPr>
          <w:noProof/>
          <w:sz w:val="28"/>
          <w:szCs w:val="28"/>
          <w:lang w:eastAsia="en-AU"/>
        </w:rPr>
        <w:drawing>
          <wp:inline distT="0" distB="0" distL="0" distR="0" wp14:anchorId="2F4DEED9" wp14:editId="728B9E23">
            <wp:extent cx="5655310" cy="3941445"/>
            <wp:effectExtent l="0" t="0" r="2540" b="1905"/>
            <wp:docPr id="8" name="Picture 8" descr="This infographic contains information on global production and uses of niobium. It shows Australia holds 7 per cent of niobium reserves, but does not yet produce it. It shows that niobium uses include jet engines, rockets, beams and girders, and that niobium is a component of some steel alloys." title="Niobium info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nfographic niobium.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655310" cy="3941445"/>
                    </a:xfrm>
                    <a:prstGeom prst="rect">
                      <a:avLst/>
                    </a:prstGeom>
                  </pic:spPr>
                </pic:pic>
              </a:graphicData>
            </a:graphic>
          </wp:inline>
        </w:drawing>
      </w:r>
    </w:p>
    <w:p w14:paraId="78F1F5D1" w14:textId="7F70541E" w:rsidR="00165AD4" w:rsidRPr="005D6102" w:rsidRDefault="00593584" w:rsidP="00F473F0">
      <w:pPr>
        <w:pStyle w:val="Heading2"/>
      </w:pPr>
      <w:bookmarkStart w:id="14" w:name="_Toc14958162"/>
      <w:bookmarkStart w:id="15" w:name="_Toc15388887"/>
      <w:bookmarkStart w:id="16" w:name="_Toc16143261"/>
      <w:bookmarkStart w:id="17" w:name="_Toc17803332"/>
      <w:r w:rsidRPr="005D6102">
        <w:t xml:space="preserve">Key </w:t>
      </w:r>
      <w:r w:rsidR="000659CA" w:rsidRPr="005D6102">
        <w:t>properties and uses</w:t>
      </w:r>
      <w:bookmarkEnd w:id="14"/>
      <w:bookmarkEnd w:id="15"/>
      <w:bookmarkEnd w:id="16"/>
      <w:bookmarkEnd w:id="17"/>
    </w:p>
    <w:p w14:paraId="75704A22" w14:textId="2ADDD2AC" w:rsidR="00165AD4" w:rsidRPr="005D6102" w:rsidRDefault="00165AD4" w:rsidP="00165AD4">
      <w:pPr>
        <w:rPr>
          <w:sz w:val="20"/>
          <w:szCs w:val="20"/>
        </w:rPr>
      </w:pPr>
      <w:r w:rsidRPr="005D6102">
        <w:rPr>
          <w:sz w:val="20"/>
          <w:szCs w:val="20"/>
        </w:rPr>
        <w:t xml:space="preserve">Niobium is a soft and ductile metal with a notable resistance to organic and inorganic acids. It is used primarily to produce micro capacitors (used for smoothing power output and storing energy in electronic equipment), steel, and ferroalloys. </w:t>
      </w:r>
      <w:r w:rsidR="005F11BE" w:rsidRPr="005D6102">
        <w:rPr>
          <w:sz w:val="20"/>
          <w:szCs w:val="20"/>
        </w:rPr>
        <w:t>Niobium occurs as a minor element in minerals such as columbite, pyrochlore and euxenite</w:t>
      </w:r>
      <w:r w:rsidR="00433A8D" w:rsidRPr="005D6102">
        <w:rPr>
          <w:sz w:val="20"/>
          <w:szCs w:val="20"/>
        </w:rPr>
        <w:t>, and</w:t>
      </w:r>
      <w:r w:rsidR="005F11BE" w:rsidRPr="005D6102">
        <w:rPr>
          <w:sz w:val="20"/>
          <w:szCs w:val="20"/>
        </w:rPr>
        <w:t xml:space="preserve"> is largely extracted as a co-product or by-product. </w:t>
      </w:r>
    </w:p>
    <w:p w14:paraId="4BBBC629" w14:textId="6CA3D79D" w:rsidR="00C33BDE" w:rsidRPr="005D6102" w:rsidRDefault="00C33BDE" w:rsidP="00F473F0">
      <w:pPr>
        <w:pStyle w:val="Heading2"/>
        <w:rPr>
          <w:sz w:val="20"/>
          <w:szCs w:val="20"/>
        </w:rPr>
      </w:pPr>
      <w:bookmarkStart w:id="18" w:name="_Toc14958164"/>
      <w:bookmarkStart w:id="19" w:name="_Toc15388888"/>
      <w:bookmarkStart w:id="20" w:name="_Toc16143262"/>
      <w:bookmarkStart w:id="21" w:name="_Toc17803333"/>
      <w:r w:rsidRPr="005D6102">
        <w:t>Substitut</w:t>
      </w:r>
      <w:bookmarkEnd w:id="18"/>
      <w:bookmarkEnd w:id="19"/>
      <w:r w:rsidR="00570759" w:rsidRPr="005D6102">
        <w:t>ion</w:t>
      </w:r>
      <w:bookmarkEnd w:id="20"/>
      <w:bookmarkEnd w:id="21"/>
    </w:p>
    <w:p w14:paraId="7DADDF9E" w14:textId="51F3BEDD" w:rsidR="00C33BDE" w:rsidRPr="005D6102" w:rsidRDefault="00C33BDE" w:rsidP="00C33BDE">
      <w:pPr>
        <w:rPr>
          <w:sz w:val="20"/>
          <w:szCs w:val="20"/>
        </w:rPr>
      </w:pPr>
      <w:r w:rsidRPr="005D6102">
        <w:rPr>
          <w:sz w:val="20"/>
          <w:szCs w:val="20"/>
        </w:rPr>
        <w:t>Niobium can be substituted by molybdenum and</w:t>
      </w:r>
      <w:r w:rsidR="009F1EA1" w:rsidRPr="005D6102">
        <w:rPr>
          <w:sz w:val="20"/>
          <w:szCs w:val="20"/>
        </w:rPr>
        <w:t xml:space="preserve"> vanadium in high-strength, low-</w:t>
      </w:r>
      <w:r w:rsidRPr="005D6102">
        <w:rPr>
          <w:sz w:val="20"/>
          <w:szCs w:val="20"/>
        </w:rPr>
        <w:t>alloy steel</w:t>
      </w:r>
      <w:r w:rsidR="009F1EA1" w:rsidRPr="005D6102">
        <w:rPr>
          <w:sz w:val="20"/>
          <w:szCs w:val="20"/>
        </w:rPr>
        <w:t>,</w:t>
      </w:r>
      <w:r w:rsidRPr="005D6102">
        <w:rPr>
          <w:sz w:val="20"/>
          <w:szCs w:val="20"/>
        </w:rPr>
        <w:t xml:space="preserve"> and by tantalum and titanium in stainless and high-strength steels. However, substitution may add to costs and lead to a loss in performance.</w:t>
      </w:r>
    </w:p>
    <w:p w14:paraId="71D0EB5F" w14:textId="34A6BD8B" w:rsidR="00C33BDE" w:rsidRPr="005D6102" w:rsidRDefault="00734A89" w:rsidP="00F473F0">
      <w:pPr>
        <w:pStyle w:val="Heading2"/>
      </w:pPr>
      <w:bookmarkStart w:id="22" w:name="_Toc15388889"/>
      <w:bookmarkStart w:id="23" w:name="_Toc16143263"/>
      <w:bookmarkStart w:id="24" w:name="_Toc17803334"/>
      <w:r w:rsidRPr="005D6102">
        <w:t>World consumption</w:t>
      </w:r>
      <w:bookmarkEnd w:id="22"/>
      <w:bookmarkEnd w:id="23"/>
      <w:bookmarkEnd w:id="24"/>
    </w:p>
    <w:p w14:paraId="550754BF" w14:textId="5E6D83D2" w:rsidR="00165AD4" w:rsidRPr="005D6102" w:rsidRDefault="005F01A3" w:rsidP="00165AD4">
      <w:pPr>
        <w:rPr>
          <w:sz w:val="20"/>
          <w:szCs w:val="20"/>
        </w:rPr>
      </w:pPr>
      <w:r w:rsidRPr="005D6102">
        <w:rPr>
          <w:sz w:val="20"/>
          <w:szCs w:val="20"/>
        </w:rPr>
        <w:t>Globally, the niobium market is worth more than US$</w:t>
      </w:r>
      <w:r w:rsidR="00D13AB6" w:rsidRPr="005D6102">
        <w:rPr>
          <w:sz w:val="20"/>
          <w:szCs w:val="20"/>
        </w:rPr>
        <w:t>2</w:t>
      </w:r>
      <w:r w:rsidRPr="005D6102">
        <w:rPr>
          <w:sz w:val="20"/>
          <w:szCs w:val="20"/>
        </w:rPr>
        <w:t xml:space="preserve"> billion. </w:t>
      </w:r>
      <w:r w:rsidR="00165AD4" w:rsidRPr="005D6102">
        <w:rPr>
          <w:sz w:val="20"/>
          <w:szCs w:val="20"/>
        </w:rPr>
        <w:t>The top five niobium importers are:</w:t>
      </w:r>
    </w:p>
    <w:p w14:paraId="154B1967" w14:textId="5077BFB2" w:rsidR="00165AD4" w:rsidRPr="005D6102" w:rsidRDefault="00165AD4" w:rsidP="00165AD4">
      <w:pPr>
        <w:pStyle w:val="ListParagraph"/>
        <w:numPr>
          <w:ilvl w:val="0"/>
          <w:numId w:val="36"/>
        </w:numPr>
        <w:spacing w:after="160" w:line="259" w:lineRule="auto"/>
        <w:contextualSpacing/>
        <w:jc w:val="left"/>
        <w:rPr>
          <w:color w:val="auto"/>
        </w:rPr>
      </w:pPr>
      <w:r w:rsidRPr="005D6102">
        <w:rPr>
          <w:color w:val="auto"/>
        </w:rPr>
        <w:t>China (</w:t>
      </w:r>
      <w:r w:rsidR="002F7ACC">
        <w:rPr>
          <w:color w:val="auto"/>
        </w:rPr>
        <w:t>US$</w:t>
      </w:r>
      <w:r w:rsidRPr="005D6102">
        <w:rPr>
          <w:color w:val="auto"/>
        </w:rPr>
        <w:t>901 million)</w:t>
      </w:r>
    </w:p>
    <w:p w14:paraId="7D1A3B1D" w14:textId="17DD9AED" w:rsidR="00165AD4" w:rsidRPr="005D6102" w:rsidRDefault="00587AD8" w:rsidP="00165AD4">
      <w:pPr>
        <w:pStyle w:val="ListParagraph"/>
        <w:numPr>
          <w:ilvl w:val="0"/>
          <w:numId w:val="36"/>
        </w:numPr>
        <w:spacing w:after="160" w:line="259" w:lineRule="auto"/>
        <w:contextualSpacing/>
        <w:jc w:val="left"/>
        <w:rPr>
          <w:color w:val="auto"/>
        </w:rPr>
      </w:pPr>
      <w:r>
        <w:rPr>
          <w:color w:val="auto"/>
        </w:rPr>
        <w:t>US</w:t>
      </w:r>
      <w:r w:rsidR="00165AD4" w:rsidRPr="005D6102">
        <w:rPr>
          <w:color w:val="auto"/>
        </w:rPr>
        <w:t xml:space="preserve"> (</w:t>
      </w:r>
      <w:r w:rsidR="002F7ACC">
        <w:rPr>
          <w:color w:val="auto"/>
        </w:rPr>
        <w:t>US$</w:t>
      </w:r>
      <w:r w:rsidR="00165AD4" w:rsidRPr="005D6102">
        <w:rPr>
          <w:color w:val="auto"/>
        </w:rPr>
        <w:t>483 million)</w:t>
      </w:r>
    </w:p>
    <w:p w14:paraId="725AB84D" w14:textId="66F69331" w:rsidR="00165AD4" w:rsidRPr="005D6102" w:rsidRDefault="00165AD4" w:rsidP="00165AD4">
      <w:pPr>
        <w:pStyle w:val="ListParagraph"/>
        <w:numPr>
          <w:ilvl w:val="0"/>
          <w:numId w:val="36"/>
        </w:numPr>
        <w:spacing w:after="160" w:line="259" w:lineRule="auto"/>
        <w:contextualSpacing/>
        <w:jc w:val="left"/>
        <w:rPr>
          <w:color w:val="auto"/>
        </w:rPr>
      </w:pPr>
      <w:r w:rsidRPr="005D6102">
        <w:rPr>
          <w:color w:val="auto"/>
        </w:rPr>
        <w:t>Germany  (</w:t>
      </w:r>
      <w:r w:rsidR="002F7ACC">
        <w:rPr>
          <w:color w:val="auto"/>
        </w:rPr>
        <w:t>US$</w:t>
      </w:r>
      <w:r w:rsidRPr="005D6102">
        <w:rPr>
          <w:color w:val="auto"/>
        </w:rPr>
        <w:t>192 million)</w:t>
      </w:r>
    </w:p>
    <w:p w14:paraId="1D5D4A0D" w14:textId="04904753" w:rsidR="00165AD4" w:rsidRPr="005D6102" w:rsidRDefault="00165AD4" w:rsidP="00165AD4">
      <w:pPr>
        <w:pStyle w:val="ListParagraph"/>
        <w:numPr>
          <w:ilvl w:val="0"/>
          <w:numId w:val="36"/>
        </w:numPr>
        <w:spacing w:after="160" w:line="259" w:lineRule="auto"/>
        <w:contextualSpacing/>
        <w:jc w:val="left"/>
        <w:rPr>
          <w:color w:val="auto"/>
        </w:rPr>
      </w:pPr>
      <w:r w:rsidRPr="005D6102">
        <w:rPr>
          <w:color w:val="auto"/>
        </w:rPr>
        <w:t>United Kingdom (</w:t>
      </w:r>
      <w:r w:rsidR="002F7ACC">
        <w:rPr>
          <w:color w:val="auto"/>
        </w:rPr>
        <w:t>US$</w:t>
      </w:r>
      <w:r w:rsidRPr="005D6102">
        <w:rPr>
          <w:color w:val="auto"/>
        </w:rPr>
        <w:t>68 million)</w:t>
      </w:r>
    </w:p>
    <w:p w14:paraId="17BC4E04" w14:textId="4247FB5B" w:rsidR="007949D7" w:rsidRPr="005D6102" w:rsidRDefault="00165AD4" w:rsidP="00D766DB">
      <w:pPr>
        <w:pStyle w:val="ListParagraph"/>
        <w:numPr>
          <w:ilvl w:val="0"/>
          <w:numId w:val="36"/>
        </w:numPr>
        <w:spacing w:after="160" w:line="259" w:lineRule="auto"/>
        <w:contextualSpacing/>
        <w:jc w:val="left"/>
        <w:rPr>
          <w:color w:val="auto"/>
          <w:szCs w:val="20"/>
        </w:rPr>
      </w:pPr>
      <w:r w:rsidRPr="005D6102">
        <w:rPr>
          <w:color w:val="auto"/>
        </w:rPr>
        <w:t>France (</w:t>
      </w:r>
      <w:r w:rsidR="002F7ACC">
        <w:rPr>
          <w:color w:val="auto"/>
        </w:rPr>
        <w:t>US$</w:t>
      </w:r>
      <w:r w:rsidRPr="005D6102">
        <w:rPr>
          <w:color w:val="auto"/>
        </w:rPr>
        <w:t>66 million)</w:t>
      </w:r>
    </w:p>
    <w:p w14:paraId="7D0C8620" w14:textId="248FB860" w:rsidR="00734A89" w:rsidRPr="005D6102" w:rsidRDefault="00734A89" w:rsidP="00734A89">
      <w:pPr>
        <w:rPr>
          <w:sz w:val="20"/>
          <w:szCs w:val="20"/>
        </w:rPr>
      </w:pPr>
      <w:r w:rsidRPr="005D6102">
        <w:rPr>
          <w:sz w:val="20"/>
          <w:szCs w:val="20"/>
        </w:rPr>
        <w:t xml:space="preserve">Demand is likely to rise </w:t>
      </w:r>
      <w:r w:rsidR="00570759" w:rsidRPr="005D6102">
        <w:rPr>
          <w:sz w:val="20"/>
          <w:szCs w:val="20"/>
        </w:rPr>
        <w:t>steadily</w:t>
      </w:r>
      <w:r w:rsidR="009F1EA1" w:rsidRPr="005D6102">
        <w:rPr>
          <w:sz w:val="20"/>
          <w:szCs w:val="20"/>
        </w:rPr>
        <w:t xml:space="preserve"> over the next few years. This is </w:t>
      </w:r>
      <w:r w:rsidRPr="005D6102">
        <w:rPr>
          <w:sz w:val="20"/>
          <w:szCs w:val="20"/>
        </w:rPr>
        <w:t xml:space="preserve">in part due to China’s switch towards higher quality steel, which will likely </w:t>
      </w:r>
      <w:r w:rsidR="00B35D20" w:rsidRPr="005D6102">
        <w:rPr>
          <w:sz w:val="20"/>
          <w:szCs w:val="20"/>
        </w:rPr>
        <w:t>require</w:t>
      </w:r>
      <w:r w:rsidRPr="005D6102">
        <w:rPr>
          <w:sz w:val="20"/>
          <w:szCs w:val="20"/>
        </w:rPr>
        <w:t xml:space="preserve"> more niobium alloys. Niobium and vanadium can be substituted for each other, and higher vanadium prices may </w:t>
      </w:r>
      <w:r w:rsidR="00433A8D" w:rsidRPr="005D6102">
        <w:rPr>
          <w:sz w:val="20"/>
          <w:szCs w:val="20"/>
        </w:rPr>
        <w:t>create more demand</w:t>
      </w:r>
      <w:r w:rsidRPr="005D6102">
        <w:rPr>
          <w:sz w:val="20"/>
          <w:szCs w:val="20"/>
        </w:rPr>
        <w:t xml:space="preserve"> for niobium  </w:t>
      </w:r>
      <w:r w:rsidRPr="005D6102">
        <w:rPr>
          <w:sz w:val="20"/>
          <w:szCs w:val="20"/>
        </w:rPr>
        <w:lastRenderedPageBreak/>
        <w:t xml:space="preserve">— at least in the short-term. At present, Europe and China account for </w:t>
      </w:r>
      <w:r w:rsidR="00875B8A" w:rsidRPr="005D6102">
        <w:rPr>
          <w:sz w:val="20"/>
          <w:szCs w:val="20"/>
        </w:rPr>
        <w:t>the bulk</w:t>
      </w:r>
      <w:r w:rsidRPr="005D6102">
        <w:rPr>
          <w:sz w:val="20"/>
          <w:szCs w:val="20"/>
        </w:rPr>
        <w:t xml:space="preserve"> of niobium imports, though China accounts for a large share of recent growth in global demand. </w:t>
      </w:r>
    </w:p>
    <w:p w14:paraId="64826479" w14:textId="67F21726" w:rsidR="00734A89" w:rsidRPr="005D6102" w:rsidRDefault="00734A89" w:rsidP="00734A89">
      <w:pPr>
        <w:rPr>
          <w:sz w:val="20"/>
          <w:szCs w:val="20"/>
        </w:rPr>
      </w:pPr>
      <w:r w:rsidRPr="005D6102">
        <w:rPr>
          <w:sz w:val="20"/>
          <w:szCs w:val="20"/>
        </w:rPr>
        <w:t>Niobium precursors</w:t>
      </w:r>
      <w:r w:rsidR="009F1EA1" w:rsidRPr="005D6102">
        <w:rPr>
          <w:sz w:val="20"/>
          <w:szCs w:val="20"/>
        </w:rPr>
        <w:t>,</w:t>
      </w:r>
      <w:r w:rsidRPr="005D6102">
        <w:rPr>
          <w:sz w:val="20"/>
          <w:szCs w:val="20"/>
        </w:rPr>
        <w:t xml:space="preserve"> such as pyrochlore</w:t>
      </w:r>
      <w:r w:rsidR="009F1EA1" w:rsidRPr="005D6102">
        <w:rPr>
          <w:sz w:val="20"/>
          <w:szCs w:val="20"/>
        </w:rPr>
        <w:t>,</w:t>
      </w:r>
      <w:r w:rsidRPr="005D6102">
        <w:rPr>
          <w:sz w:val="20"/>
          <w:szCs w:val="20"/>
        </w:rPr>
        <w:t xml:space="preserve"> are not typically sold as concentrates, and little price data is available for them. However, tantalite concentrates — which typically contain both tantalum and niobium — are an exception. It is likely that niobium prices are influenced by tantalum prices, and both appear to be correlated over time. Prices for niobium and tantalum concentrates peaked in 2011 and then declined steadily</w:t>
      </w:r>
      <w:r w:rsidR="00570759" w:rsidRPr="005D6102">
        <w:rPr>
          <w:sz w:val="20"/>
          <w:szCs w:val="20"/>
        </w:rPr>
        <w:t xml:space="preserve"> for six years, recovering </w:t>
      </w:r>
      <w:r w:rsidRPr="005D6102">
        <w:rPr>
          <w:sz w:val="20"/>
          <w:szCs w:val="20"/>
        </w:rPr>
        <w:t>in 2017 as demand began to pick up. Prices grew strongly in 2017, but are expected to ease slightly over the next few years</w:t>
      </w:r>
      <w:r w:rsidR="009F1EA1" w:rsidRPr="005D6102">
        <w:rPr>
          <w:sz w:val="20"/>
          <w:szCs w:val="20"/>
        </w:rPr>
        <w:t>,</w:t>
      </w:r>
      <w:r w:rsidRPr="005D6102">
        <w:rPr>
          <w:sz w:val="20"/>
          <w:szCs w:val="20"/>
        </w:rPr>
        <w:t xml:space="preserve"> as European and Chinese companies slow the rate of inventory accumulation.</w:t>
      </w:r>
    </w:p>
    <w:p w14:paraId="62921054" w14:textId="0A9AE8AC" w:rsidR="00B35D20" w:rsidRPr="005D6102" w:rsidRDefault="00675A10" w:rsidP="00734A89">
      <w:pPr>
        <w:rPr>
          <w:szCs w:val="20"/>
        </w:rPr>
      </w:pPr>
      <w:r>
        <w:rPr>
          <w:sz w:val="20"/>
          <w:szCs w:val="20"/>
        </w:rPr>
        <w:t>T</w:t>
      </w:r>
      <w:r w:rsidR="00B35D20" w:rsidRPr="005D6102">
        <w:rPr>
          <w:sz w:val="20"/>
          <w:szCs w:val="20"/>
        </w:rPr>
        <w:t xml:space="preserve">he United States </w:t>
      </w:r>
      <w:r>
        <w:rPr>
          <w:sz w:val="20"/>
          <w:szCs w:val="20"/>
        </w:rPr>
        <w:t>is entirely import</w:t>
      </w:r>
      <w:r w:rsidR="00586E5A">
        <w:rPr>
          <w:sz w:val="20"/>
          <w:szCs w:val="20"/>
        </w:rPr>
        <w:t xml:space="preserve"> </w:t>
      </w:r>
      <w:r>
        <w:rPr>
          <w:sz w:val="20"/>
          <w:szCs w:val="20"/>
        </w:rPr>
        <w:t xml:space="preserve">reliant, with most imported niobium used </w:t>
      </w:r>
      <w:r w:rsidR="00B35D20" w:rsidRPr="005D6102">
        <w:rPr>
          <w:sz w:val="20"/>
          <w:szCs w:val="20"/>
        </w:rPr>
        <w:t>in the US steel i</w:t>
      </w:r>
      <w:r w:rsidR="009E7442">
        <w:rPr>
          <w:sz w:val="20"/>
          <w:szCs w:val="20"/>
        </w:rPr>
        <w:t>ndustry, which utilises ferronio</w:t>
      </w:r>
      <w:r w:rsidR="00B35D20" w:rsidRPr="005D6102">
        <w:rPr>
          <w:sz w:val="20"/>
          <w:szCs w:val="20"/>
        </w:rPr>
        <w:t xml:space="preserve">bium to strengthen steel for use in gas pipelines. </w:t>
      </w:r>
      <w:r>
        <w:rPr>
          <w:sz w:val="20"/>
          <w:szCs w:val="20"/>
        </w:rPr>
        <w:t>Some niobium is also used in</w:t>
      </w:r>
      <w:r w:rsidR="00B35D20" w:rsidRPr="005D6102">
        <w:rPr>
          <w:sz w:val="20"/>
          <w:szCs w:val="20"/>
        </w:rPr>
        <w:t xml:space="preserve"> the </w:t>
      </w:r>
      <w:r>
        <w:rPr>
          <w:sz w:val="20"/>
          <w:szCs w:val="20"/>
        </w:rPr>
        <w:t xml:space="preserve">US </w:t>
      </w:r>
      <w:r w:rsidR="00B35D20" w:rsidRPr="005D6102">
        <w:rPr>
          <w:sz w:val="20"/>
          <w:szCs w:val="20"/>
        </w:rPr>
        <w:t>aerospace industry, which incorporates niobium alloys into a range of products.</w:t>
      </w:r>
    </w:p>
    <w:p w14:paraId="651267D4" w14:textId="7F133926" w:rsidR="00CC2136" w:rsidRPr="005D6102" w:rsidRDefault="00734A89" w:rsidP="00F473F0">
      <w:pPr>
        <w:pStyle w:val="Heading2"/>
      </w:pPr>
      <w:bookmarkStart w:id="25" w:name="_Toc15388890"/>
      <w:bookmarkStart w:id="26" w:name="_Toc16143264"/>
      <w:bookmarkStart w:id="27" w:name="_Toc17803335"/>
      <w:r w:rsidRPr="005D6102">
        <w:t>World production</w:t>
      </w:r>
      <w:bookmarkEnd w:id="25"/>
      <w:bookmarkEnd w:id="26"/>
      <w:bookmarkEnd w:id="27"/>
    </w:p>
    <w:p w14:paraId="0832E19F" w14:textId="5E179A21" w:rsidR="000513E4" w:rsidRPr="005D6102" w:rsidRDefault="000513E4" w:rsidP="00F473F0">
      <w:pPr>
        <w:pStyle w:val="Heading3"/>
      </w:pPr>
      <w:r w:rsidRPr="005D6102">
        <w:t>Inventory build suggests markets expect growth in the future</w:t>
      </w:r>
    </w:p>
    <w:p w14:paraId="0CFB61F1" w14:textId="24AADA72" w:rsidR="00734A89" w:rsidRPr="005D6102" w:rsidRDefault="00675A10" w:rsidP="00BE2D3E">
      <w:pPr>
        <w:rPr>
          <w:sz w:val="20"/>
          <w:szCs w:val="20"/>
        </w:rPr>
      </w:pPr>
      <w:r>
        <w:rPr>
          <w:sz w:val="20"/>
          <w:szCs w:val="20"/>
        </w:rPr>
        <w:t xml:space="preserve">Niobium production has risen by around a quarter over the past </w:t>
      </w:r>
      <w:r w:rsidR="007E00B8">
        <w:rPr>
          <w:sz w:val="20"/>
          <w:szCs w:val="20"/>
        </w:rPr>
        <w:t>seven</w:t>
      </w:r>
      <w:r>
        <w:rPr>
          <w:sz w:val="20"/>
          <w:szCs w:val="20"/>
        </w:rPr>
        <w:t xml:space="preserve"> years, with the rate of growth picking up recently</w:t>
      </w:r>
      <w:r w:rsidR="00734A89" w:rsidRPr="005D6102">
        <w:rPr>
          <w:sz w:val="20"/>
          <w:szCs w:val="20"/>
        </w:rPr>
        <w:t>. Much of the recent growth was diverted to inventories, suggesting that users are anticipating rapid growth in demand in the years ahead.</w:t>
      </w:r>
    </w:p>
    <w:p w14:paraId="1587F97F" w14:textId="2374706F" w:rsidR="005F01A3" w:rsidRPr="005D6102" w:rsidRDefault="00570759" w:rsidP="00BE2D3E">
      <w:pPr>
        <w:rPr>
          <w:sz w:val="20"/>
          <w:szCs w:val="20"/>
        </w:rPr>
      </w:pPr>
      <w:r w:rsidRPr="005D6102">
        <w:rPr>
          <w:sz w:val="20"/>
          <w:szCs w:val="20"/>
        </w:rPr>
        <w:t xml:space="preserve">Brazil currently </w:t>
      </w:r>
      <w:r w:rsidR="00675A10">
        <w:rPr>
          <w:sz w:val="20"/>
          <w:szCs w:val="20"/>
        </w:rPr>
        <w:t>accounts for more than 85</w:t>
      </w:r>
      <w:r w:rsidR="00C33BDE" w:rsidRPr="005D6102">
        <w:rPr>
          <w:sz w:val="20"/>
          <w:szCs w:val="20"/>
        </w:rPr>
        <w:t xml:space="preserve"> per cent of all output</w:t>
      </w:r>
      <w:r w:rsidRPr="005D6102">
        <w:rPr>
          <w:sz w:val="20"/>
          <w:szCs w:val="20"/>
        </w:rPr>
        <w:t>, with Canada accounting</w:t>
      </w:r>
      <w:r w:rsidR="00C33BDE" w:rsidRPr="005D6102">
        <w:rPr>
          <w:sz w:val="20"/>
          <w:szCs w:val="20"/>
        </w:rPr>
        <w:t xml:space="preserve"> for </w:t>
      </w:r>
      <w:r w:rsidR="00675A10">
        <w:rPr>
          <w:sz w:val="20"/>
          <w:szCs w:val="20"/>
        </w:rPr>
        <w:t xml:space="preserve">around 10 per cent. </w:t>
      </w:r>
      <w:r w:rsidR="0007649D" w:rsidRPr="005D6102">
        <w:rPr>
          <w:sz w:val="20"/>
          <w:szCs w:val="20"/>
        </w:rPr>
        <w:t xml:space="preserve">Companies such as </w:t>
      </w:r>
      <w:r w:rsidR="00D13AB6" w:rsidRPr="005D6102">
        <w:rPr>
          <w:sz w:val="20"/>
          <w:szCs w:val="20"/>
        </w:rPr>
        <w:t>Companhia Brasileira de Metalurgia e Mineração (</w:t>
      </w:r>
      <w:r w:rsidR="0007649D" w:rsidRPr="005D6102">
        <w:rPr>
          <w:sz w:val="20"/>
          <w:szCs w:val="20"/>
        </w:rPr>
        <w:t>CBMM</w:t>
      </w:r>
      <w:r w:rsidR="00D13AB6" w:rsidRPr="005D6102">
        <w:rPr>
          <w:sz w:val="20"/>
          <w:szCs w:val="20"/>
        </w:rPr>
        <w:t>)</w:t>
      </w:r>
      <w:r w:rsidR="0007649D" w:rsidRPr="005D6102">
        <w:rPr>
          <w:sz w:val="20"/>
          <w:szCs w:val="20"/>
        </w:rPr>
        <w:t xml:space="preserve">, which mine the bulk of niobium, also </w:t>
      </w:r>
      <w:r w:rsidR="00F3359F" w:rsidRPr="005D6102">
        <w:rPr>
          <w:sz w:val="20"/>
          <w:szCs w:val="20"/>
        </w:rPr>
        <w:t>have significant resources dedicated to refining, though refinery capacity a</w:t>
      </w:r>
      <w:r w:rsidR="009F1EA1" w:rsidRPr="005D6102">
        <w:rPr>
          <w:sz w:val="20"/>
          <w:szCs w:val="20"/>
        </w:rPr>
        <w:t>lso exists to some degree in</w:t>
      </w:r>
      <w:r w:rsidR="00F3359F" w:rsidRPr="005D6102">
        <w:rPr>
          <w:sz w:val="20"/>
          <w:szCs w:val="20"/>
        </w:rPr>
        <w:t xml:space="preserve"> China (which has the largest imports of concentrates), India, the US, Thailand, Estonia, and Kazakhstan.</w:t>
      </w:r>
    </w:p>
    <w:p w14:paraId="1215A2DC" w14:textId="753356BC" w:rsidR="002F3687" w:rsidRPr="005D6102" w:rsidRDefault="002F3687" w:rsidP="00F473F0">
      <w:pPr>
        <w:pStyle w:val="Heading2"/>
      </w:pPr>
      <w:bookmarkStart w:id="28" w:name="_Toc16143265"/>
      <w:bookmarkStart w:id="29" w:name="_Toc17803336"/>
      <w:r w:rsidRPr="005D6102">
        <w:t>Market outlook</w:t>
      </w:r>
      <w:bookmarkEnd w:id="28"/>
      <w:bookmarkEnd w:id="29"/>
    </w:p>
    <w:p w14:paraId="4A80C4CC" w14:textId="7AA97A36" w:rsidR="000513E4" w:rsidRPr="005D6102" w:rsidRDefault="000513E4" w:rsidP="00F473F0">
      <w:pPr>
        <w:pStyle w:val="Heading3"/>
      </w:pPr>
      <w:r w:rsidRPr="005D6102">
        <w:t>N</w:t>
      </w:r>
      <w:r w:rsidR="0082647C" w:rsidRPr="005D6102">
        <w:t>iobium is a ‘growth’ commodity with potential supply pressures emerging</w:t>
      </w:r>
    </w:p>
    <w:p w14:paraId="0E048C86" w14:textId="2ED7DEEF" w:rsidR="002F3687" w:rsidRPr="005D6102" w:rsidRDefault="002F3687" w:rsidP="002F3687">
      <w:pPr>
        <w:rPr>
          <w:sz w:val="20"/>
          <w:szCs w:val="20"/>
        </w:rPr>
      </w:pPr>
      <w:r w:rsidRPr="005D6102">
        <w:rPr>
          <w:sz w:val="20"/>
          <w:szCs w:val="20"/>
        </w:rPr>
        <w:t xml:space="preserve">Niobium is a rapidly growing market, with </w:t>
      </w:r>
      <w:r w:rsidR="00675A10">
        <w:rPr>
          <w:sz w:val="20"/>
          <w:szCs w:val="20"/>
        </w:rPr>
        <w:t>production expected to reach record levels in 2019. S</w:t>
      </w:r>
      <w:r w:rsidRPr="005D6102">
        <w:rPr>
          <w:sz w:val="20"/>
          <w:szCs w:val="20"/>
        </w:rPr>
        <w:t xml:space="preserve">ignificant spare capacity </w:t>
      </w:r>
      <w:r w:rsidR="00A00798">
        <w:rPr>
          <w:sz w:val="20"/>
          <w:szCs w:val="20"/>
        </w:rPr>
        <w:t xml:space="preserve">is </w:t>
      </w:r>
      <w:r w:rsidRPr="005D6102">
        <w:rPr>
          <w:sz w:val="20"/>
          <w:szCs w:val="20"/>
        </w:rPr>
        <w:t xml:space="preserve">still available at the CBMM facilities in Brazil. The company is currently the largest niobium producer, </w:t>
      </w:r>
      <w:r w:rsidR="00A00798">
        <w:rPr>
          <w:sz w:val="20"/>
          <w:szCs w:val="20"/>
        </w:rPr>
        <w:t>dominating</w:t>
      </w:r>
      <w:r w:rsidRPr="005D6102">
        <w:rPr>
          <w:sz w:val="20"/>
          <w:szCs w:val="20"/>
        </w:rPr>
        <w:t xml:space="preserve"> global supply. Most other mines and facilities are at or near full capacity, and </w:t>
      </w:r>
      <w:r w:rsidR="00675A10">
        <w:rPr>
          <w:sz w:val="20"/>
          <w:szCs w:val="20"/>
        </w:rPr>
        <w:t>t</w:t>
      </w:r>
      <w:r w:rsidRPr="005D6102">
        <w:rPr>
          <w:sz w:val="20"/>
          <w:szCs w:val="20"/>
        </w:rPr>
        <w:t>he reliance on a single dominant company for future expansions in capacity creates a market risk for niobium which would be alleviated by Australian supply.</w:t>
      </w:r>
    </w:p>
    <w:p w14:paraId="6A50EE19" w14:textId="6126F3F6" w:rsidR="002F3687" w:rsidRPr="005D6102" w:rsidRDefault="00B231AD" w:rsidP="00BE2D3E">
      <w:pPr>
        <w:rPr>
          <w:sz w:val="20"/>
          <w:szCs w:val="20"/>
        </w:rPr>
      </w:pPr>
      <w:r w:rsidRPr="005D6102">
        <w:rPr>
          <w:sz w:val="20"/>
          <w:szCs w:val="20"/>
        </w:rPr>
        <w:t xml:space="preserve">Niobium prices are currently around </w:t>
      </w:r>
      <w:r w:rsidR="002F7ACC">
        <w:rPr>
          <w:sz w:val="20"/>
          <w:szCs w:val="20"/>
        </w:rPr>
        <w:t>US$</w:t>
      </w:r>
      <w:r w:rsidR="00866B2F" w:rsidRPr="005D6102">
        <w:rPr>
          <w:sz w:val="20"/>
          <w:szCs w:val="20"/>
        </w:rPr>
        <w:t>33</w:t>
      </w:r>
      <w:r w:rsidRPr="005D6102">
        <w:rPr>
          <w:sz w:val="20"/>
          <w:szCs w:val="20"/>
        </w:rPr>
        <w:t xml:space="preserve"> a </w:t>
      </w:r>
      <w:r w:rsidR="00866B2F" w:rsidRPr="005D6102">
        <w:rPr>
          <w:sz w:val="20"/>
          <w:szCs w:val="20"/>
        </w:rPr>
        <w:t>kilo</w:t>
      </w:r>
      <w:r w:rsidRPr="005D6102">
        <w:rPr>
          <w:sz w:val="20"/>
          <w:szCs w:val="20"/>
        </w:rPr>
        <w:t>, and r</w:t>
      </w:r>
      <w:r w:rsidR="002F3687" w:rsidRPr="005D6102">
        <w:rPr>
          <w:sz w:val="20"/>
          <w:szCs w:val="20"/>
        </w:rPr>
        <w:t>ising ma</w:t>
      </w:r>
      <w:r w:rsidRPr="005D6102">
        <w:rPr>
          <w:sz w:val="20"/>
          <w:szCs w:val="20"/>
        </w:rPr>
        <w:t>rgins and prices (see Figure 2.1</w:t>
      </w:r>
      <w:r w:rsidR="002F3687" w:rsidRPr="005D6102">
        <w:rPr>
          <w:sz w:val="20"/>
          <w:szCs w:val="20"/>
        </w:rPr>
        <w:t xml:space="preserve">) may </w:t>
      </w:r>
      <w:r w:rsidR="005D5592" w:rsidRPr="005D6102">
        <w:rPr>
          <w:sz w:val="20"/>
          <w:szCs w:val="20"/>
        </w:rPr>
        <w:t>attract</w:t>
      </w:r>
      <w:r w:rsidR="002F3687" w:rsidRPr="005D6102">
        <w:rPr>
          <w:sz w:val="20"/>
          <w:szCs w:val="20"/>
        </w:rPr>
        <w:t xml:space="preserve"> more </w:t>
      </w:r>
      <w:r w:rsidR="005D5592" w:rsidRPr="005D6102">
        <w:rPr>
          <w:sz w:val="20"/>
          <w:szCs w:val="20"/>
        </w:rPr>
        <w:t>production</w:t>
      </w:r>
      <w:r w:rsidR="002F3687" w:rsidRPr="005D6102">
        <w:rPr>
          <w:sz w:val="20"/>
          <w:szCs w:val="20"/>
        </w:rPr>
        <w:t xml:space="preserve"> over time. Markets are expected to remain approximately in balance over the next five years, with high inventories and unused capacity expected to prevent any significant supply deficit and check any rapid growth in prices. The long-term picture suggests niobium use will grow by around 2-3 per cent annually over the next 10 years. Significant volatility is unlikely, since the commodity is used primarily in circuitry and steel, which are not typically subject to large swings in production.</w:t>
      </w:r>
    </w:p>
    <w:p w14:paraId="0470A5EA" w14:textId="407C0D0D" w:rsidR="001170A3" w:rsidRDefault="001170A3" w:rsidP="001170A3">
      <w:pPr>
        <w:pStyle w:val="Caption"/>
      </w:pPr>
      <w:r w:rsidRPr="005D6102">
        <w:lastRenderedPageBreak/>
        <w:t xml:space="preserve">Figure </w:t>
      </w:r>
      <w:r w:rsidR="00171D73" w:rsidRPr="005D6102">
        <w:rPr>
          <w:noProof/>
        </w:rPr>
        <w:t>2</w:t>
      </w:r>
      <w:r w:rsidRPr="005D6102">
        <w:t>.</w:t>
      </w:r>
      <w:r w:rsidR="000F4B63">
        <w:rPr>
          <w:noProof/>
        </w:rPr>
        <w:fldChar w:fldCharType="begin"/>
      </w:r>
      <w:r w:rsidR="000F4B63">
        <w:rPr>
          <w:noProof/>
        </w:rPr>
        <w:instrText xml:space="preserve"> SEQ Figure \* ARABIC \s 1 </w:instrText>
      </w:r>
      <w:r w:rsidR="000F4B63">
        <w:rPr>
          <w:noProof/>
        </w:rPr>
        <w:fldChar w:fldCharType="separate"/>
      </w:r>
      <w:r w:rsidR="00A7507E">
        <w:rPr>
          <w:noProof/>
        </w:rPr>
        <w:t>1</w:t>
      </w:r>
      <w:r w:rsidR="000F4B63">
        <w:rPr>
          <w:noProof/>
        </w:rPr>
        <w:fldChar w:fldCharType="end"/>
      </w:r>
      <w:r w:rsidRPr="005D6102">
        <w:t>: Ferroniobium supply</w:t>
      </w:r>
      <w:r w:rsidR="00D04C35">
        <w:t>,</w:t>
      </w:r>
      <w:r w:rsidRPr="005D6102">
        <w:t xml:space="preserve"> use, and price</w:t>
      </w:r>
    </w:p>
    <w:p w14:paraId="6D2EFBD2" w14:textId="1AAA2617" w:rsidR="00165AD4" w:rsidRPr="0070688F" w:rsidRDefault="008F09A3" w:rsidP="0070688F">
      <w:pPr>
        <w:rPr>
          <w:sz w:val="18"/>
          <w:szCs w:val="18"/>
        </w:rPr>
      </w:pPr>
      <w:r>
        <w:rPr>
          <w:noProof/>
          <w:lang w:eastAsia="en-AU"/>
        </w:rPr>
        <w:drawing>
          <wp:inline distT="0" distB="0" distL="0" distR="0" wp14:anchorId="719A0A45" wp14:editId="281BAB30">
            <wp:extent cx="3571336" cy="1751162"/>
            <wp:effectExtent l="0" t="0" r="0" b="1905"/>
            <wp:docPr id="1" name="Chart 1" descr="This chart shows a projection of consumption, production and price for feeroniobium out to 2030. Markets expected to remain broadly in balance, with prices growing slowly." title="Ferroniobium supply, use, and price"/>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bookmarkStart w:id="30" w:name="_Toc14958163"/>
      <w:bookmarkStart w:id="31" w:name="_Toc15388891"/>
      <w:bookmarkStart w:id="32" w:name="_Toc16143266"/>
      <w:bookmarkStart w:id="33" w:name="_Toc17803337"/>
      <w:r w:rsidR="0070688F">
        <w:rPr>
          <w:rFonts w:ascii="Arial" w:hAnsi="Arial"/>
          <w:color w:val="005CB0"/>
          <w:sz w:val="18"/>
          <w:szCs w:val="18"/>
        </w:rPr>
        <w:br/>
      </w:r>
      <w:r w:rsidRPr="0070688F">
        <w:rPr>
          <w:rFonts w:ascii="Arial" w:hAnsi="Arial"/>
          <w:color w:val="005CB0"/>
          <w:sz w:val="18"/>
          <w:szCs w:val="18"/>
        </w:rPr>
        <w:t>Source Department of Industry</w:t>
      </w:r>
      <w:r w:rsidR="00FB36AD">
        <w:rPr>
          <w:rFonts w:ascii="Arial" w:hAnsi="Arial"/>
          <w:color w:val="005CB0"/>
          <w:sz w:val="18"/>
          <w:szCs w:val="18"/>
        </w:rPr>
        <w:t>,</w:t>
      </w:r>
      <w:r w:rsidRPr="0070688F">
        <w:rPr>
          <w:rFonts w:ascii="Arial" w:hAnsi="Arial"/>
          <w:color w:val="005CB0"/>
          <w:sz w:val="18"/>
          <w:szCs w:val="18"/>
        </w:rPr>
        <w:t xml:space="preserve"> Innovation and Science (2019) forecasts</w:t>
      </w:r>
      <w:r w:rsidR="00B87135">
        <w:rPr>
          <w:rFonts w:ascii="Arial" w:hAnsi="Arial"/>
          <w:color w:val="005CB0"/>
          <w:sz w:val="18"/>
          <w:szCs w:val="18"/>
        </w:rPr>
        <w:t>,</w:t>
      </w:r>
      <w:r w:rsidR="0070688F" w:rsidRPr="0070688F">
        <w:rPr>
          <w:rFonts w:ascii="Arial" w:hAnsi="Arial"/>
          <w:color w:val="005CB0"/>
          <w:sz w:val="18"/>
          <w:szCs w:val="18"/>
        </w:rPr>
        <w:t xml:space="preserve"> </w:t>
      </w:r>
      <w:r w:rsidR="00165AD4" w:rsidRPr="00721D72">
        <w:rPr>
          <w:rFonts w:ascii="Arial" w:hAnsi="Arial"/>
          <w:color w:val="005CB0"/>
          <w:sz w:val="18"/>
          <w:szCs w:val="18"/>
        </w:rPr>
        <w:t>Australia</w:t>
      </w:r>
      <w:bookmarkEnd w:id="30"/>
      <w:bookmarkEnd w:id="31"/>
      <w:bookmarkEnd w:id="32"/>
      <w:bookmarkEnd w:id="33"/>
    </w:p>
    <w:p w14:paraId="52C26A1E" w14:textId="662E56FC" w:rsidR="0082647C" w:rsidRPr="005D6102" w:rsidRDefault="0082647C" w:rsidP="00F473F0">
      <w:pPr>
        <w:pStyle w:val="Heading3"/>
      </w:pPr>
      <w:r w:rsidRPr="005D6102">
        <w:t xml:space="preserve">Australia has very limited production, but </w:t>
      </w:r>
      <w:r w:rsidR="002C6FA4" w:rsidRPr="005D6102">
        <w:t>high</w:t>
      </w:r>
      <w:r w:rsidR="00AF4C6C" w:rsidRPr="005D6102">
        <w:t xml:space="preserve"> </w:t>
      </w:r>
      <w:r w:rsidRPr="005D6102">
        <w:t>potential</w:t>
      </w:r>
    </w:p>
    <w:p w14:paraId="71B727A1" w14:textId="0A3CF66F" w:rsidR="00737C4D" w:rsidRPr="005D6102" w:rsidRDefault="00737C4D" w:rsidP="00165AD4">
      <w:pPr>
        <w:rPr>
          <w:sz w:val="20"/>
          <w:szCs w:val="20"/>
        </w:rPr>
      </w:pPr>
      <w:r w:rsidRPr="005D6102">
        <w:rPr>
          <w:sz w:val="20"/>
          <w:szCs w:val="20"/>
        </w:rPr>
        <w:t xml:space="preserve">Niobium is not </w:t>
      </w:r>
      <w:r w:rsidR="00570759" w:rsidRPr="005D6102">
        <w:rPr>
          <w:sz w:val="20"/>
          <w:szCs w:val="20"/>
        </w:rPr>
        <w:t xml:space="preserve">currently </w:t>
      </w:r>
      <w:r w:rsidRPr="005D6102">
        <w:rPr>
          <w:sz w:val="20"/>
          <w:szCs w:val="20"/>
        </w:rPr>
        <w:t xml:space="preserve">mined to any significant </w:t>
      </w:r>
      <w:r w:rsidR="008829D0" w:rsidRPr="005D6102">
        <w:rPr>
          <w:sz w:val="20"/>
          <w:szCs w:val="20"/>
        </w:rPr>
        <w:t>degree</w:t>
      </w:r>
      <w:r w:rsidRPr="005D6102">
        <w:rPr>
          <w:sz w:val="20"/>
          <w:szCs w:val="20"/>
        </w:rPr>
        <w:t xml:space="preserve"> in Australia. It is </w:t>
      </w:r>
      <w:r w:rsidR="00AE4C6A" w:rsidRPr="005D6102">
        <w:rPr>
          <w:sz w:val="20"/>
          <w:szCs w:val="20"/>
        </w:rPr>
        <w:t xml:space="preserve">co-located </w:t>
      </w:r>
      <w:r w:rsidRPr="005D6102">
        <w:rPr>
          <w:sz w:val="20"/>
          <w:szCs w:val="20"/>
        </w:rPr>
        <w:t xml:space="preserve">with lithium and tantalum at the Greenbushes mine, but it is likely that most of the output </w:t>
      </w:r>
      <w:r w:rsidR="008829D0" w:rsidRPr="005D6102">
        <w:rPr>
          <w:sz w:val="20"/>
          <w:szCs w:val="20"/>
        </w:rPr>
        <w:t>ends up in</w:t>
      </w:r>
      <w:r w:rsidRPr="005D6102">
        <w:rPr>
          <w:sz w:val="20"/>
          <w:szCs w:val="20"/>
        </w:rPr>
        <w:t xml:space="preserve"> mine tailings. </w:t>
      </w:r>
    </w:p>
    <w:p w14:paraId="3E7F9429" w14:textId="181CF1C9" w:rsidR="00165AD4" w:rsidRPr="005D6102" w:rsidRDefault="00AE4C6A" w:rsidP="00165AD4">
      <w:pPr>
        <w:rPr>
          <w:sz w:val="20"/>
          <w:szCs w:val="20"/>
        </w:rPr>
      </w:pPr>
      <w:r w:rsidRPr="005D6102">
        <w:rPr>
          <w:sz w:val="20"/>
          <w:szCs w:val="20"/>
        </w:rPr>
        <w:t xml:space="preserve">A future </w:t>
      </w:r>
      <w:r w:rsidR="00165AD4" w:rsidRPr="005D6102">
        <w:rPr>
          <w:sz w:val="20"/>
          <w:szCs w:val="20"/>
        </w:rPr>
        <w:t xml:space="preserve">Australian production </w:t>
      </w:r>
      <w:r w:rsidRPr="005D6102">
        <w:rPr>
          <w:sz w:val="20"/>
          <w:szCs w:val="20"/>
        </w:rPr>
        <w:t xml:space="preserve">model </w:t>
      </w:r>
      <w:r w:rsidR="00165AD4" w:rsidRPr="005D6102">
        <w:rPr>
          <w:sz w:val="20"/>
          <w:szCs w:val="20"/>
        </w:rPr>
        <w:t>would likely involve extraction as a by-product of rare-earth element mining in alkaline intrusion-related systems</w:t>
      </w:r>
      <w:r w:rsidR="000659CA" w:rsidRPr="005D6102">
        <w:rPr>
          <w:sz w:val="20"/>
          <w:szCs w:val="20"/>
        </w:rPr>
        <w:t>,</w:t>
      </w:r>
      <w:r w:rsidR="00165AD4" w:rsidRPr="005D6102">
        <w:rPr>
          <w:sz w:val="20"/>
          <w:szCs w:val="20"/>
        </w:rPr>
        <w:t xml:space="preserve"> and also from pegmatites from granite-related mineral systems. Up to 20 per cent of output could be recycled from scrap niobium</w:t>
      </w:r>
      <w:r w:rsidR="004C3FF9" w:rsidRPr="005D6102">
        <w:rPr>
          <w:sz w:val="20"/>
          <w:szCs w:val="20"/>
        </w:rPr>
        <w:t>-bearing steel and superalloys.</w:t>
      </w:r>
    </w:p>
    <w:p w14:paraId="068BD0F2" w14:textId="6884A159" w:rsidR="004C3FF9" w:rsidRPr="005D6102" w:rsidRDefault="00AE4C6A" w:rsidP="00165AD4">
      <w:pPr>
        <w:rPr>
          <w:sz w:val="20"/>
          <w:szCs w:val="20"/>
        </w:rPr>
      </w:pPr>
      <w:r w:rsidRPr="005D6102">
        <w:rPr>
          <w:sz w:val="20"/>
          <w:szCs w:val="20"/>
        </w:rPr>
        <w:t xml:space="preserve">Several significant deposits exist which could provide the raw materials. </w:t>
      </w:r>
      <w:r w:rsidR="004000D1" w:rsidRPr="005D6102">
        <w:rPr>
          <w:sz w:val="20"/>
          <w:szCs w:val="20"/>
        </w:rPr>
        <w:t xml:space="preserve">A deposit of around 75 million </w:t>
      </w:r>
      <w:r w:rsidR="004C3FF9" w:rsidRPr="005D6102">
        <w:rPr>
          <w:sz w:val="20"/>
          <w:szCs w:val="20"/>
        </w:rPr>
        <w:t xml:space="preserve">tonnes </w:t>
      </w:r>
      <w:r w:rsidR="00570759" w:rsidRPr="005D6102">
        <w:rPr>
          <w:sz w:val="20"/>
          <w:szCs w:val="20"/>
        </w:rPr>
        <w:t>exists</w:t>
      </w:r>
      <w:r w:rsidR="004C3FF9" w:rsidRPr="005D6102">
        <w:rPr>
          <w:sz w:val="20"/>
          <w:szCs w:val="20"/>
        </w:rPr>
        <w:t xml:space="preserve"> at Alkane Resources’ Dubbo project</w:t>
      </w:r>
      <w:r w:rsidR="00570759" w:rsidRPr="005D6102">
        <w:rPr>
          <w:sz w:val="20"/>
          <w:szCs w:val="20"/>
        </w:rPr>
        <w:t xml:space="preserve"> in New South Wales</w:t>
      </w:r>
      <w:r w:rsidRPr="005D6102">
        <w:rPr>
          <w:sz w:val="20"/>
          <w:szCs w:val="20"/>
        </w:rPr>
        <w:t xml:space="preserve"> — this is large enough to </w:t>
      </w:r>
      <w:r w:rsidR="004C3FF9" w:rsidRPr="005D6102">
        <w:rPr>
          <w:sz w:val="20"/>
          <w:szCs w:val="20"/>
        </w:rPr>
        <w:t xml:space="preserve">supply </w:t>
      </w:r>
      <w:r w:rsidR="000659CA" w:rsidRPr="005D6102">
        <w:rPr>
          <w:sz w:val="20"/>
          <w:szCs w:val="20"/>
        </w:rPr>
        <w:t>current levels of global demand</w:t>
      </w:r>
      <w:r w:rsidR="004C3FF9" w:rsidRPr="005D6102">
        <w:rPr>
          <w:sz w:val="20"/>
          <w:szCs w:val="20"/>
        </w:rPr>
        <w:t xml:space="preserve"> for up to 70 years. The project has received </w:t>
      </w:r>
      <w:r w:rsidR="004B5E46">
        <w:rPr>
          <w:sz w:val="20"/>
          <w:szCs w:val="20"/>
        </w:rPr>
        <w:t>s</w:t>
      </w:r>
      <w:r w:rsidR="004C3FF9" w:rsidRPr="005D6102">
        <w:rPr>
          <w:sz w:val="20"/>
          <w:szCs w:val="20"/>
        </w:rPr>
        <w:t xml:space="preserve">tate and </w:t>
      </w:r>
      <w:r w:rsidR="004B5E46">
        <w:rPr>
          <w:sz w:val="20"/>
          <w:szCs w:val="20"/>
        </w:rPr>
        <w:t>f</w:t>
      </w:r>
      <w:r w:rsidR="004C3FF9" w:rsidRPr="005D6102">
        <w:rPr>
          <w:sz w:val="20"/>
          <w:szCs w:val="20"/>
        </w:rPr>
        <w:t>ederal government clearances, and the company is now engaged in the market to refine the project specifications.</w:t>
      </w:r>
      <w:r w:rsidR="00737C4D" w:rsidRPr="005D6102">
        <w:rPr>
          <w:sz w:val="20"/>
          <w:szCs w:val="20"/>
        </w:rPr>
        <w:t xml:space="preserve"> </w:t>
      </w:r>
      <w:r w:rsidRPr="005D6102">
        <w:rPr>
          <w:sz w:val="20"/>
          <w:szCs w:val="20"/>
        </w:rPr>
        <w:t xml:space="preserve">Previous announcements suggest </w:t>
      </w:r>
      <w:r w:rsidR="00737C4D" w:rsidRPr="005D6102">
        <w:rPr>
          <w:sz w:val="20"/>
          <w:szCs w:val="20"/>
        </w:rPr>
        <w:t xml:space="preserve">production </w:t>
      </w:r>
      <w:r w:rsidRPr="005D6102">
        <w:rPr>
          <w:sz w:val="20"/>
          <w:szCs w:val="20"/>
        </w:rPr>
        <w:t xml:space="preserve">could commence </w:t>
      </w:r>
      <w:r w:rsidR="00613F9D">
        <w:rPr>
          <w:sz w:val="20"/>
          <w:szCs w:val="20"/>
        </w:rPr>
        <w:t>by 2020</w:t>
      </w:r>
      <w:r w:rsidR="00737C4D" w:rsidRPr="005D6102">
        <w:rPr>
          <w:sz w:val="20"/>
          <w:szCs w:val="20"/>
        </w:rPr>
        <w:t xml:space="preserve">. </w:t>
      </w:r>
    </w:p>
    <w:p w14:paraId="09C5391D" w14:textId="54340950" w:rsidR="00915DAD" w:rsidRPr="005D6102" w:rsidRDefault="00737C4D" w:rsidP="00721D72">
      <w:pPr>
        <w:spacing w:after="0"/>
        <w:rPr>
          <w:sz w:val="20"/>
          <w:szCs w:val="20"/>
        </w:rPr>
      </w:pPr>
      <w:r w:rsidRPr="005D6102">
        <w:rPr>
          <w:sz w:val="20"/>
          <w:szCs w:val="20"/>
        </w:rPr>
        <w:t xml:space="preserve">Hastings Technology also </w:t>
      </w:r>
      <w:r w:rsidR="00774759" w:rsidRPr="005D6102">
        <w:rPr>
          <w:sz w:val="20"/>
          <w:szCs w:val="20"/>
        </w:rPr>
        <w:t>has</w:t>
      </w:r>
      <w:r w:rsidRPr="005D6102">
        <w:rPr>
          <w:sz w:val="20"/>
          <w:szCs w:val="20"/>
        </w:rPr>
        <w:t xml:space="preserve"> a </w:t>
      </w:r>
      <w:r w:rsidR="00774759" w:rsidRPr="005D6102">
        <w:rPr>
          <w:sz w:val="20"/>
          <w:szCs w:val="20"/>
        </w:rPr>
        <w:t xml:space="preserve">nascent </w:t>
      </w:r>
      <w:r w:rsidRPr="005D6102">
        <w:rPr>
          <w:sz w:val="20"/>
          <w:szCs w:val="20"/>
        </w:rPr>
        <w:t>rare earth/zirconium/niobium project</w:t>
      </w:r>
      <w:r w:rsidR="00774759" w:rsidRPr="005D6102">
        <w:rPr>
          <w:sz w:val="20"/>
          <w:szCs w:val="20"/>
        </w:rPr>
        <w:t xml:space="preserve"> near Hall’s Creek in Western Australia. However, the company is </w:t>
      </w:r>
      <w:r w:rsidRPr="005D6102">
        <w:rPr>
          <w:sz w:val="20"/>
          <w:szCs w:val="20"/>
        </w:rPr>
        <w:t>currently focused on its rare earth project at Yangibana.</w:t>
      </w:r>
    </w:p>
    <w:p w14:paraId="145A3A55" w14:textId="04D73C1F" w:rsidR="000B1AE0" w:rsidRPr="005D6102" w:rsidRDefault="000B1AE0" w:rsidP="00721D72">
      <w:pPr>
        <w:pStyle w:val="Caption"/>
        <w:spacing w:after="0"/>
        <w:rPr>
          <w:sz w:val="28"/>
          <w:szCs w:val="28"/>
        </w:rPr>
      </w:pPr>
      <w:bookmarkStart w:id="34" w:name="_Toc14958216"/>
      <w:r w:rsidRPr="005D6102">
        <w:t xml:space="preserve">Table </w:t>
      </w:r>
      <w:r w:rsidR="00171D73" w:rsidRPr="005D6102">
        <w:rPr>
          <w:noProof/>
        </w:rPr>
        <w:t>2</w:t>
      </w:r>
      <w:r w:rsidRPr="005D6102">
        <w:t>.</w:t>
      </w:r>
      <w:r w:rsidRPr="005D6102">
        <w:rPr>
          <w:noProof/>
        </w:rPr>
        <w:fldChar w:fldCharType="begin"/>
      </w:r>
      <w:r w:rsidRPr="005D6102">
        <w:rPr>
          <w:noProof/>
        </w:rPr>
        <w:instrText xml:space="preserve"> SEQ Table \* ARABIC \s 1 </w:instrText>
      </w:r>
      <w:r w:rsidRPr="005D6102">
        <w:rPr>
          <w:noProof/>
        </w:rPr>
        <w:fldChar w:fldCharType="separate"/>
      </w:r>
      <w:r w:rsidR="00A7507E">
        <w:rPr>
          <w:noProof/>
        </w:rPr>
        <w:t>1</w:t>
      </w:r>
      <w:r w:rsidRPr="005D6102">
        <w:rPr>
          <w:noProof/>
        </w:rPr>
        <w:fldChar w:fldCharType="end"/>
      </w:r>
      <w:r w:rsidRPr="005D6102">
        <w:t xml:space="preserve">: </w:t>
      </w:r>
      <w:r w:rsidR="008D4A41" w:rsidRPr="005D6102">
        <w:t>Australia’s niobium</w:t>
      </w:r>
      <w:r w:rsidRPr="005D6102">
        <w:t xml:space="preserve"> resources</w:t>
      </w:r>
      <w:bookmarkEnd w:id="34"/>
      <w:r w:rsidRPr="005D6102">
        <w:t xml:space="preserve"> and production</w:t>
      </w:r>
    </w:p>
    <w:tbl>
      <w:tblPr>
        <w:tblStyle w:val="OCETable"/>
        <w:tblW w:w="9204" w:type="dxa"/>
        <w:tblLook w:val="04A0" w:firstRow="1" w:lastRow="0" w:firstColumn="1" w:lastColumn="0" w:noHBand="0" w:noVBand="1"/>
        <w:tblCaption w:val="Australia's niobium resources and production"/>
        <w:tblDescription w:val="Data on geological potential and production of niobium in Australia."/>
      </w:tblPr>
      <w:tblGrid>
        <w:gridCol w:w="1293"/>
        <w:gridCol w:w="1347"/>
        <w:gridCol w:w="1290"/>
        <w:gridCol w:w="1290"/>
        <w:gridCol w:w="1291"/>
        <w:gridCol w:w="1206"/>
        <w:gridCol w:w="1216"/>
        <w:gridCol w:w="271"/>
      </w:tblGrid>
      <w:tr w:rsidR="008D4A41" w:rsidRPr="005D6102" w14:paraId="5262A989" w14:textId="77777777" w:rsidTr="0070688F">
        <w:trPr>
          <w:gridAfter w:val="1"/>
          <w:cnfStyle w:val="100000000000" w:firstRow="1" w:lastRow="0" w:firstColumn="0" w:lastColumn="0" w:oddVBand="0" w:evenVBand="0" w:oddHBand="0" w:evenHBand="0" w:firstRowFirstColumn="0" w:firstRowLastColumn="0" w:lastRowFirstColumn="0" w:lastRowLastColumn="0"/>
          <w:wAfter w:w="298" w:type="dxa"/>
          <w:tblHeader/>
        </w:trPr>
        <w:tc>
          <w:tcPr>
            <w:tcW w:w="5366" w:type="dxa"/>
            <w:gridSpan w:val="4"/>
          </w:tcPr>
          <w:p w14:paraId="421B75D7" w14:textId="18020D18" w:rsidR="008D4A41" w:rsidRPr="005D6102" w:rsidRDefault="008D4A41" w:rsidP="008D4A41">
            <w:pPr>
              <w:rPr>
                <w:b/>
              </w:rPr>
            </w:pPr>
            <w:r w:rsidRPr="005D6102">
              <w:rPr>
                <w:b/>
              </w:rPr>
              <w:t>Australia’s reserves</w:t>
            </w:r>
          </w:p>
        </w:tc>
        <w:tc>
          <w:tcPr>
            <w:tcW w:w="3838" w:type="dxa"/>
            <w:gridSpan w:val="3"/>
          </w:tcPr>
          <w:p w14:paraId="0B979CAF" w14:textId="253B121E" w:rsidR="008D4A41" w:rsidRPr="005D6102" w:rsidRDefault="008D4A41" w:rsidP="008D4A41">
            <w:pPr>
              <w:rPr>
                <w:b/>
              </w:rPr>
            </w:pPr>
            <w:r w:rsidRPr="005D6102">
              <w:rPr>
                <w:b/>
              </w:rPr>
              <w:t>Australia’s production</w:t>
            </w:r>
          </w:p>
        </w:tc>
      </w:tr>
      <w:tr w:rsidR="000B1AE0" w:rsidRPr="005D6102" w14:paraId="0FE2833A" w14:textId="77777777" w:rsidTr="008D4A41">
        <w:trPr>
          <w:cnfStyle w:val="000000100000" w:firstRow="0" w:lastRow="0" w:firstColumn="0" w:lastColumn="0" w:oddVBand="0" w:evenVBand="0" w:oddHBand="1" w:evenHBand="0" w:firstRowFirstColumn="0" w:firstRowLastColumn="0" w:lastRowFirstColumn="0" w:lastRowLastColumn="0"/>
        </w:trPr>
        <w:tc>
          <w:tcPr>
            <w:tcW w:w="1335" w:type="dxa"/>
            <w:shd w:val="clear" w:color="auto" w:fill="005CAF"/>
          </w:tcPr>
          <w:p w14:paraId="67088AF4" w14:textId="06735108" w:rsidR="000B1AE0" w:rsidRPr="005D6102" w:rsidRDefault="008D4A41" w:rsidP="000B1AE0">
            <w:pPr>
              <w:rPr>
                <w:color w:val="FFFFFF" w:themeColor="background1"/>
                <w:sz w:val="28"/>
                <w:szCs w:val="28"/>
              </w:rPr>
            </w:pPr>
            <w:r w:rsidRPr="005D6102">
              <w:rPr>
                <w:color w:val="FFFFFF" w:themeColor="background1"/>
              </w:rPr>
              <w:t>Geological potential</w:t>
            </w:r>
          </w:p>
        </w:tc>
        <w:tc>
          <w:tcPr>
            <w:tcW w:w="1347" w:type="dxa"/>
            <w:shd w:val="clear" w:color="auto" w:fill="005CAF"/>
          </w:tcPr>
          <w:p w14:paraId="4DC7959F" w14:textId="7172ACD6" w:rsidR="000B1AE0" w:rsidRPr="005D6102" w:rsidRDefault="008D4A41" w:rsidP="000B1AE0">
            <w:pPr>
              <w:rPr>
                <w:color w:val="FFFFFF" w:themeColor="background1"/>
                <w:sz w:val="28"/>
                <w:szCs w:val="28"/>
              </w:rPr>
            </w:pPr>
            <w:r w:rsidRPr="005D6102">
              <w:rPr>
                <w:color w:val="FFFFFF" w:themeColor="background1"/>
              </w:rPr>
              <w:t>Economic Demonstrated Resource</w:t>
            </w:r>
          </w:p>
        </w:tc>
        <w:tc>
          <w:tcPr>
            <w:tcW w:w="1342" w:type="dxa"/>
            <w:shd w:val="clear" w:color="auto" w:fill="005CAF"/>
          </w:tcPr>
          <w:p w14:paraId="163F0A06" w14:textId="74DC3CAD" w:rsidR="008D4A41" w:rsidRPr="005D6102" w:rsidRDefault="008D4A41" w:rsidP="008D4A41">
            <w:pPr>
              <w:rPr>
                <w:color w:val="FFFFFF" w:themeColor="background1"/>
              </w:rPr>
            </w:pPr>
            <w:r w:rsidRPr="005D6102">
              <w:rPr>
                <w:color w:val="FFFFFF" w:themeColor="background1"/>
              </w:rPr>
              <w:t>Share world resources</w:t>
            </w:r>
          </w:p>
        </w:tc>
        <w:tc>
          <w:tcPr>
            <w:tcW w:w="1342" w:type="dxa"/>
            <w:shd w:val="clear" w:color="auto" w:fill="005CAF"/>
          </w:tcPr>
          <w:p w14:paraId="7CC3CC93" w14:textId="06A320ED" w:rsidR="000B1AE0" w:rsidRPr="005D6102" w:rsidRDefault="008D4A41" w:rsidP="000B1AE0">
            <w:pPr>
              <w:rPr>
                <w:color w:val="FFFFFF" w:themeColor="background1"/>
                <w:sz w:val="28"/>
                <w:szCs w:val="28"/>
              </w:rPr>
            </w:pPr>
            <w:r w:rsidRPr="005D6102">
              <w:rPr>
                <w:color w:val="FFFFFF" w:themeColor="background1"/>
              </w:rPr>
              <w:t>World ranking resources</w:t>
            </w:r>
          </w:p>
        </w:tc>
        <w:tc>
          <w:tcPr>
            <w:tcW w:w="1335" w:type="dxa"/>
            <w:shd w:val="clear" w:color="auto" w:fill="005CAF"/>
          </w:tcPr>
          <w:p w14:paraId="7E8C1F1B" w14:textId="14359B94" w:rsidR="000B1AE0" w:rsidRPr="005D6102" w:rsidRDefault="008D4A41" w:rsidP="000B1AE0">
            <w:pPr>
              <w:rPr>
                <w:color w:val="FFFFFF" w:themeColor="background1"/>
                <w:sz w:val="28"/>
                <w:szCs w:val="28"/>
              </w:rPr>
            </w:pPr>
            <w:r w:rsidRPr="005D6102">
              <w:rPr>
                <w:color w:val="FFFFFF" w:themeColor="background1"/>
              </w:rPr>
              <w:t>2018 production</w:t>
            </w:r>
          </w:p>
        </w:tc>
        <w:tc>
          <w:tcPr>
            <w:tcW w:w="1234" w:type="dxa"/>
            <w:shd w:val="clear" w:color="auto" w:fill="005CAF"/>
          </w:tcPr>
          <w:p w14:paraId="60924AD0" w14:textId="3F3237F5" w:rsidR="000B1AE0" w:rsidRPr="005D6102" w:rsidRDefault="008D4A41" w:rsidP="000B1AE0">
            <w:pPr>
              <w:rPr>
                <w:color w:val="FFFFFF" w:themeColor="background1"/>
                <w:sz w:val="28"/>
                <w:szCs w:val="28"/>
              </w:rPr>
            </w:pPr>
            <w:r w:rsidRPr="005D6102">
              <w:rPr>
                <w:color w:val="FFFFFF" w:themeColor="background1"/>
              </w:rPr>
              <w:t>Share of world production</w:t>
            </w:r>
          </w:p>
        </w:tc>
        <w:tc>
          <w:tcPr>
            <w:tcW w:w="1269" w:type="dxa"/>
            <w:gridSpan w:val="2"/>
            <w:shd w:val="clear" w:color="auto" w:fill="005CAF"/>
          </w:tcPr>
          <w:p w14:paraId="674CFF14" w14:textId="0B287B44" w:rsidR="000B1AE0" w:rsidRPr="005D6102" w:rsidRDefault="008D4A41" w:rsidP="000B1AE0">
            <w:pPr>
              <w:rPr>
                <w:color w:val="FFFFFF" w:themeColor="background1"/>
                <w:sz w:val="28"/>
                <w:szCs w:val="28"/>
              </w:rPr>
            </w:pPr>
            <w:r w:rsidRPr="005D6102">
              <w:rPr>
                <w:color w:val="FFFFFF" w:themeColor="background1"/>
              </w:rPr>
              <w:t>World ranking production</w:t>
            </w:r>
          </w:p>
        </w:tc>
      </w:tr>
      <w:tr w:rsidR="000B1AE0" w:rsidRPr="005D6102" w14:paraId="4721DC51" w14:textId="77777777" w:rsidTr="008D4A41">
        <w:trPr>
          <w:cnfStyle w:val="000000010000" w:firstRow="0" w:lastRow="0" w:firstColumn="0" w:lastColumn="0" w:oddVBand="0" w:evenVBand="0" w:oddHBand="0" w:evenHBand="1" w:firstRowFirstColumn="0" w:firstRowLastColumn="0" w:lastRowFirstColumn="0" w:lastRowLastColumn="0"/>
        </w:trPr>
        <w:tc>
          <w:tcPr>
            <w:tcW w:w="1335" w:type="dxa"/>
          </w:tcPr>
          <w:p w14:paraId="7FD0FD31" w14:textId="38554E88" w:rsidR="000B1AE0" w:rsidRPr="005D6102" w:rsidRDefault="008D4A41" w:rsidP="000B1AE0">
            <w:pPr>
              <w:rPr>
                <w:sz w:val="28"/>
                <w:szCs w:val="28"/>
              </w:rPr>
            </w:pPr>
            <w:r w:rsidRPr="005D6102">
              <w:t>High</w:t>
            </w:r>
          </w:p>
        </w:tc>
        <w:tc>
          <w:tcPr>
            <w:tcW w:w="1347" w:type="dxa"/>
          </w:tcPr>
          <w:p w14:paraId="0F8E38B0" w14:textId="49BAAF3E" w:rsidR="000B1AE0" w:rsidRPr="005D6102" w:rsidRDefault="008D4A41" w:rsidP="000B1AE0">
            <w:pPr>
              <w:rPr>
                <w:sz w:val="28"/>
                <w:szCs w:val="28"/>
              </w:rPr>
            </w:pPr>
            <w:r w:rsidRPr="005D6102">
              <w:t>286kt</w:t>
            </w:r>
          </w:p>
        </w:tc>
        <w:tc>
          <w:tcPr>
            <w:tcW w:w="1342" w:type="dxa"/>
          </w:tcPr>
          <w:p w14:paraId="5B5ADF5F" w14:textId="25CBACAD" w:rsidR="008D4A41" w:rsidRPr="005D6102" w:rsidRDefault="008D4A41" w:rsidP="008D4A41">
            <w:r w:rsidRPr="005D6102">
              <w:t>7%</w:t>
            </w:r>
          </w:p>
        </w:tc>
        <w:tc>
          <w:tcPr>
            <w:tcW w:w="1342" w:type="dxa"/>
          </w:tcPr>
          <w:p w14:paraId="5E218364" w14:textId="39EFC30D" w:rsidR="000B1AE0" w:rsidRPr="005D6102" w:rsidRDefault="008D4A41" w:rsidP="000B1AE0">
            <w:pPr>
              <w:rPr>
                <w:sz w:val="28"/>
                <w:szCs w:val="28"/>
              </w:rPr>
            </w:pPr>
            <w:r w:rsidRPr="005D6102">
              <w:t>2</w:t>
            </w:r>
            <w:r w:rsidRPr="005D6102">
              <w:rPr>
                <w:vertAlign w:val="superscript"/>
              </w:rPr>
              <w:t>nd</w:t>
            </w:r>
          </w:p>
        </w:tc>
        <w:tc>
          <w:tcPr>
            <w:tcW w:w="1335" w:type="dxa"/>
          </w:tcPr>
          <w:p w14:paraId="46BA69CC" w14:textId="3DB7AC75" w:rsidR="000B1AE0" w:rsidRPr="005D6102" w:rsidRDefault="000B1AE0" w:rsidP="000B1AE0">
            <w:pPr>
              <w:rPr>
                <w:sz w:val="28"/>
                <w:szCs w:val="28"/>
              </w:rPr>
            </w:pPr>
            <w:r w:rsidRPr="005D6102">
              <w:t>N/A</w:t>
            </w:r>
          </w:p>
        </w:tc>
        <w:tc>
          <w:tcPr>
            <w:tcW w:w="1234" w:type="dxa"/>
          </w:tcPr>
          <w:p w14:paraId="7879821C" w14:textId="1D2748A4" w:rsidR="000B1AE0" w:rsidRPr="005D6102" w:rsidRDefault="008D4A41" w:rsidP="000B1AE0">
            <w:pPr>
              <w:rPr>
                <w:sz w:val="28"/>
                <w:szCs w:val="28"/>
              </w:rPr>
            </w:pPr>
            <w:r w:rsidRPr="005D6102">
              <w:t>N/A</w:t>
            </w:r>
          </w:p>
        </w:tc>
        <w:tc>
          <w:tcPr>
            <w:tcW w:w="1269" w:type="dxa"/>
            <w:gridSpan w:val="2"/>
          </w:tcPr>
          <w:p w14:paraId="6881658E" w14:textId="1E95E191" w:rsidR="000B1AE0" w:rsidRPr="005D6102" w:rsidRDefault="008D4A41" w:rsidP="000B1AE0">
            <w:pPr>
              <w:rPr>
                <w:sz w:val="28"/>
                <w:szCs w:val="28"/>
              </w:rPr>
            </w:pPr>
            <w:r w:rsidRPr="005D6102">
              <w:t>N/A</w:t>
            </w:r>
          </w:p>
        </w:tc>
      </w:tr>
    </w:tbl>
    <w:p w14:paraId="16E0A128" w14:textId="0A89508F" w:rsidR="00593584" w:rsidRPr="005D6102" w:rsidRDefault="000B1AE0" w:rsidP="0082647C">
      <w:pPr>
        <w:pStyle w:val="Source"/>
      </w:pPr>
      <w:r w:rsidRPr="005D6102">
        <w:t>Source: Australian Trade and Investment Commission (2019) Critical Minerals Prospectus, Geoscience Australia (2019) Critical Minerals in Australia</w:t>
      </w:r>
    </w:p>
    <w:p w14:paraId="408CC26C" w14:textId="6AD7D209" w:rsidR="00593584" w:rsidRDefault="00666D47" w:rsidP="00F843F6">
      <w:pPr>
        <w:pStyle w:val="Heading1"/>
      </w:pPr>
      <w:bookmarkStart w:id="35" w:name="_Toc14958166"/>
      <w:bookmarkStart w:id="36" w:name="_Toc16143267"/>
      <w:r>
        <w:br w:type="column"/>
      </w:r>
      <w:bookmarkStart w:id="37" w:name="_Toc17803338"/>
      <w:r w:rsidR="00200CFC">
        <w:rPr>
          <w:noProof/>
          <w:lang w:eastAsia="en-AU"/>
        </w:rPr>
        <w:lastRenderedPageBreak/>
        <w:drawing>
          <wp:anchor distT="0" distB="0" distL="114300" distR="114300" simplePos="0" relativeHeight="251654144" behindDoc="1" locked="0" layoutInCell="1" allowOverlap="1" wp14:anchorId="0B5E5791" wp14:editId="0539686B">
            <wp:simplePos x="0" y="0"/>
            <wp:positionH relativeFrom="column">
              <wp:posOffset>4762816</wp:posOffset>
            </wp:positionH>
            <wp:positionV relativeFrom="paragraph">
              <wp:posOffset>-484505</wp:posOffset>
            </wp:positionV>
            <wp:extent cx="1008461" cy="1124392"/>
            <wp:effectExtent l="0" t="0" r="0" b="0"/>
            <wp:wrapNone/>
            <wp:docPr id="16" name="Picture 16" descr="Image shows the mineral Yttr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Yttrium.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008461" cy="1124392"/>
                    </a:xfrm>
                    <a:prstGeom prst="rect">
                      <a:avLst/>
                    </a:prstGeom>
                  </pic:spPr>
                </pic:pic>
              </a:graphicData>
            </a:graphic>
            <wp14:sizeRelH relativeFrom="page">
              <wp14:pctWidth>0</wp14:pctWidth>
            </wp14:sizeRelH>
            <wp14:sizeRelV relativeFrom="page">
              <wp14:pctHeight>0</wp14:pctHeight>
            </wp14:sizeRelV>
          </wp:anchor>
        </w:drawing>
      </w:r>
      <w:r w:rsidR="00593584" w:rsidRPr="005D6102">
        <w:t>Rare Earth Elements</w:t>
      </w:r>
      <w:bookmarkEnd w:id="35"/>
      <w:bookmarkEnd w:id="36"/>
      <w:bookmarkEnd w:id="37"/>
    </w:p>
    <w:p w14:paraId="72E8FBF9" w14:textId="3F9B06D2" w:rsidR="00200CFC" w:rsidRPr="00200CFC" w:rsidRDefault="00200CFC" w:rsidP="00200CFC">
      <w:pPr>
        <w:pStyle w:val="BodyText"/>
      </w:pPr>
      <w:r>
        <w:rPr>
          <w:noProof/>
          <w:lang w:eastAsia="en-AU"/>
        </w:rPr>
        <w:drawing>
          <wp:anchor distT="0" distB="0" distL="114300" distR="114300" simplePos="0" relativeHeight="251655168" behindDoc="0" locked="0" layoutInCell="1" allowOverlap="1" wp14:anchorId="1D7DA57C" wp14:editId="39616DB2">
            <wp:simplePos x="0" y="0"/>
            <wp:positionH relativeFrom="column">
              <wp:posOffset>11181</wp:posOffset>
            </wp:positionH>
            <wp:positionV relativeFrom="paragraph">
              <wp:posOffset>181196</wp:posOffset>
            </wp:positionV>
            <wp:extent cx="5504180" cy="4149725"/>
            <wp:effectExtent l="0" t="0" r="1270" b="3175"/>
            <wp:wrapSquare wrapText="bothSides"/>
            <wp:docPr id="18" name="Picture 18" descr="This infographic shows world supply dynamics (highlighting China’s dominant role) for rare earths. Australia is the 2nd largest producers and accounts for 3% of world resources. Rare earth consumption by major use is also shown. " title="Rare earth elements infograph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rare earth.jpg"/>
                    <pic:cNvPicPr/>
                  </pic:nvPicPr>
                  <pic:blipFill rotWithShape="1">
                    <a:blip r:embed="rId24" cstate="print">
                      <a:extLst>
                        <a:ext uri="{28A0092B-C50C-407E-A947-70E740481C1C}">
                          <a14:useLocalDpi xmlns:a14="http://schemas.microsoft.com/office/drawing/2010/main" val="0"/>
                        </a:ext>
                      </a:extLst>
                    </a:blip>
                    <a:srcRect l="2671"/>
                    <a:stretch/>
                  </pic:blipFill>
                  <pic:spPr bwMode="auto">
                    <a:xfrm>
                      <a:off x="0" y="0"/>
                      <a:ext cx="5504180" cy="41497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E3FB877" w14:textId="5AE537DC" w:rsidR="00F1495D" w:rsidRPr="005D6102" w:rsidRDefault="00F1495D" w:rsidP="00F1495D">
      <w:pPr>
        <w:pStyle w:val="Heading2"/>
      </w:pPr>
      <w:bookmarkStart w:id="38" w:name="_Toc15388893"/>
      <w:bookmarkStart w:id="39" w:name="_Toc16143268"/>
      <w:bookmarkStart w:id="40" w:name="_Toc17803339"/>
      <w:r w:rsidRPr="005D6102">
        <w:t>Key properties and uses</w:t>
      </w:r>
      <w:bookmarkEnd w:id="38"/>
      <w:bookmarkEnd w:id="39"/>
      <w:bookmarkEnd w:id="40"/>
    </w:p>
    <w:p w14:paraId="52C07B34" w14:textId="5756FF4A" w:rsidR="001A030C" w:rsidRPr="005D6102" w:rsidRDefault="00523166" w:rsidP="001A030C">
      <w:pPr>
        <w:pStyle w:val="BodyText"/>
      </w:pPr>
      <w:r w:rsidRPr="005D6102">
        <w:t>Rare earth elements</w:t>
      </w:r>
      <w:r w:rsidR="00B30C66" w:rsidRPr="005D6102">
        <w:t xml:space="preserve"> (rare earths)</w:t>
      </w:r>
      <w:r w:rsidRPr="005D6102">
        <w:t xml:space="preserve"> are a group of </w:t>
      </w:r>
      <w:r w:rsidR="00EC3539" w:rsidRPr="005D6102">
        <w:t>15 lanthanide elements plus yttrium and sometimes scandium</w:t>
      </w:r>
      <w:r w:rsidR="00A66390" w:rsidRPr="005D6102">
        <w:t>. These elements are</w:t>
      </w:r>
      <w:r w:rsidRPr="005D6102">
        <w:t xml:space="preserve"> </w:t>
      </w:r>
      <w:r w:rsidR="00E84252" w:rsidRPr="005D6102">
        <w:t>common</w:t>
      </w:r>
      <w:r w:rsidR="00400AEE" w:rsidRPr="005D6102">
        <w:t xml:space="preserve"> in</w:t>
      </w:r>
      <w:r w:rsidR="00E84252" w:rsidRPr="005D6102">
        <w:t xml:space="preserve"> the </w:t>
      </w:r>
      <w:r w:rsidRPr="005D6102">
        <w:t>earth’s crust</w:t>
      </w:r>
      <w:r w:rsidR="00E84252" w:rsidRPr="005D6102">
        <w:t xml:space="preserve">, but </w:t>
      </w:r>
      <w:r w:rsidR="00FF769C" w:rsidRPr="005D6102">
        <w:t xml:space="preserve">complex to extract and </w:t>
      </w:r>
      <w:r w:rsidR="00A66390" w:rsidRPr="005D6102">
        <w:t xml:space="preserve">exist </w:t>
      </w:r>
      <w:r w:rsidR="00FF769C" w:rsidRPr="005D6102">
        <w:t xml:space="preserve">only </w:t>
      </w:r>
      <w:r w:rsidR="00A66390" w:rsidRPr="005D6102">
        <w:t>in</w:t>
      </w:r>
      <w:r w:rsidR="00E84252" w:rsidRPr="005D6102">
        <w:t xml:space="preserve"> limited </w:t>
      </w:r>
      <w:r w:rsidR="00AA7D92" w:rsidRPr="005D6102">
        <w:t xml:space="preserve">concentrated deposits </w:t>
      </w:r>
      <w:r w:rsidR="00E84252" w:rsidRPr="005D6102">
        <w:t xml:space="preserve">around the world. </w:t>
      </w:r>
      <w:r w:rsidR="001A030C" w:rsidRPr="005D6102">
        <w:t>Light rare earths are more abundant</w:t>
      </w:r>
      <w:r w:rsidR="00E719ED" w:rsidRPr="005D6102">
        <w:t xml:space="preserve"> and are produced in a number of countries. The most commonly produced are l</w:t>
      </w:r>
      <w:r w:rsidR="001A030C" w:rsidRPr="005D6102">
        <w:t>anthanum and cerium</w:t>
      </w:r>
      <w:r w:rsidR="00E719ED" w:rsidRPr="005D6102">
        <w:t>,</w:t>
      </w:r>
      <w:r w:rsidR="00893B58" w:rsidRPr="005D6102">
        <w:t xml:space="preserve"> used in batteries and catalysts</w:t>
      </w:r>
      <w:r w:rsidR="00E719ED" w:rsidRPr="005D6102">
        <w:t>.</w:t>
      </w:r>
      <w:r w:rsidR="00893B58" w:rsidRPr="005D6102">
        <w:t xml:space="preserve"> In comparison, h</w:t>
      </w:r>
      <w:r w:rsidR="001A030C" w:rsidRPr="005D6102">
        <w:t>eavy rare earths are more valuable</w:t>
      </w:r>
      <w:r w:rsidR="00E719ED" w:rsidRPr="005D6102">
        <w:t xml:space="preserve">, and include </w:t>
      </w:r>
      <w:r w:rsidR="001A030C" w:rsidRPr="005D6102">
        <w:t>dysprosium</w:t>
      </w:r>
      <w:r w:rsidR="00893B58" w:rsidRPr="005D6102">
        <w:t xml:space="preserve">, </w:t>
      </w:r>
      <w:r w:rsidR="00E85332" w:rsidRPr="005D6102">
        <w:t>used in permanent magnets.</w:t>
      </w:r>
      <w:r w:rsidR="00E719ED" w:rsidRPr="005D6102">
        <w:t xml:space="preserve"> In the first half of 2019, lanthanum and cerium averaged US$2 per kilogram (China FOB), whereas dysprosium averaged US$212 per kilogram (China FOB). </w:t>
      </w:r>
    </w:p>
    <w:p w14:paraId="0DD87C60" w14:textId="734C9819" w:rsidR="00266DB2" w:rsidRPr="005D6102" w:rsidRDefault="00145B96" w:rsidP="00CC2136">
      <w:pPr>
        <w:pStyle w:val="ListBullet3"/>
        <w:ind w:left="0" w:firstLine="0"/>
      </w:pPr>
      <w:r w:rsidRPr="005D6102">
        <w:t xml:space="preserve">Rare earths </w:t>
      </w:r>
      <w:r w:rsidR="00184EBB" w:rsidRPr="005D6102">
        <w:t>have unique catalytic, metallurgical, nuclear, electrical, magnetic, and luminescent properties</w:t>
      </w:r>
      <w:r w:rsidR="00C06383" w:rsidRPr="005D6102">
        <w:t>. They are used for a variety of applications, ranging from routi</w:t>
      </w:r>
      <w:r w:rsidR="00CD30B3" w:rsidRPr="005D6102">
        <w:t xml:space="preserve">ne to </w:t>
      </w:r>
      <w:r w:rsidR="00A66390" w:rsidRPr="005D6102">
        <w:t>emerging technolog</w:t>
      </w:r>
      <w:r w:rsidR="000F187D" w:rsidRPr="005D6102">
        <w:t>ies</w:t>
      </w:r>
      <w:r w:rsidR="00E56787" w:rsidRPr="005D6102">
        <w:t xml:space="preserve">. They have </w:t>
      </w:r>
      <w:r w:rsidR="00C06383" w:rsidRPr="005D6102">
        <w:t>strategic importance</w:t>
      </w:r>
      <w:r w:rsidR="000F187D" w:rsidRPr="005D6102">
        <w:t>,</w:t>
      </w:r>
      <w:r w:rsidR="00C06383" w:rsidRPr="005D6102">
        <w:t xml:space="preserve"> </w:t>
      </w:r>
      <w:r w:rsidR="00E56787" w:rsidRPr="005D6102">
        <w:t xml:space="preserve">due to their vital role in a variety of applications and growing </w:t>
      </w:r>
      <w:r w:rsidR="00C06383" w:rsidRPr="005D6102">
        <w:t xml:space="preserve">end-use markets. </w:t>
      </w:r>
    </w:p>
    <w:p w14:paraId="522C3B1E" w14:textId="1521CD29" w:rsidR="003C2D90" w:rsidRPr="005D6102" w:rsidRDefault="00145B96" w:rsidP="009971BD">
      <w:pPr>
        <w:pStyle w:val="Caption"/>
      </w:pPr>
      <w:r w:rsidRPr="005D6102">
        <w:lastRenderedPageBreak/>
        <w:t xml:space="preserve">Table </w:t>
      </w:r>
      <w:r w:rsidR="00F843F6" w:rsidRPr="005D6102">
        <w:rPr>
          <w:noProof/>
        </w:rPr>
        <w:t>3</w:t>
      </w:r>
      <w:r w:rsidRPr="005D6102">
        <w:t>.</w:t>
      </w:r>
      <w:r w:rsidRPr="005D6102">
        <w:rPr>
          <w:noProof/>
        </w:rPr>
        <w:fldChar w:fldCharType="begin"/>
      </w:r>
      <w:r w:rsidRPr="005D6102">
        <w:rPr>
          <w:noProof/>
        </w:rPr>
        <w:instrText xml:space="preserve"> SEQ Table \* ARABIC \s 1 </w:instrText>
      </w:r>
      <w:r w:rsidRPr="005D6102">
        <w:rPr>
          <w:noProof/>
        </w:rPr>
        <w:fldChar w:fldCharType="separate"/>
      </w:r>
      <w:r w:rsidR="00A7507E">
        <w:rPr>
          <w:noProof/>
        </w:rPr>
        <w:t>1</w:t>
      </w:r>
      <w:r w:rsidRPr="005D6102">
        <w:rPr>
          <w:noProof/>
        </w:rPr>
        <w:fldChar w:fldCharType="end"/>
      </w:r>
      <w:r w:rsidR="003C2D90" w:rsidRPr="005D6102">
        <w:t>: Rare earth elements and uses</w:t>
      </w:r>
    </w:p>
    <w:tbl>
      <w:tblPr>
        <w:tblStyle w:val="OCETable"/>
        <w:tblW w:w="5180" w:type="pct"/>
        <w:tblInd w:w="57" w:type="dxa"/>
        <w:tblLayout w:type="fixed"/>
        <w:tblLook w:val="04A0" w:firstRow="1" w:lastRow="0" w:firstColumn="1" w:lastColumn="0" w:noHBand="0" w:noVBand="1"/>
        <w:tblCaption w:val="Table 3.1: Rare earth elements and uses"/>
        <w:tblDescription w:val="This table lists minerals commonly grouped as rare earths with the most revelvant applications."/>
      </w:tblPr>
      <w:tblGrid>
        <w:gridCol w:w="2030"/>
        <w:gridCol w:w="7197"/>
      </w:tblGrid>
      <w:tr w:rsidR="003C2D90" w:rsidRPr="005D6102" w14:paraId="5CB00D84" w14:textId="77777777" w:rsidTr="0070688F">
        <w:trPr>
          <w:cnfStyle w:val="100000000000" w:firstRow="1" w:lastRow="0" w:firstColumn="0" w:lastColumn="0" w:oddVBand="0" w:evenVBand="0" w:oddHBand="0" w:evenHBand="0" w:firstRowFirstColumn="0" w:firstRowLastColumn="0" w:lastRowFirstColumn="0" w:lastRowLastColumn="0"/>
          <w:trHeight w:val="427"/>
          <w:tblHeader/>
        </w:trPr>
        <w:tc>
          <w:tcPr>
            <w:tcW w:w="2030" w:type="dxa"/>
          </w:tcPr>
          <w:p w14:paraId="05E4C305" w14:textId="47C85795" w:rsidR="003C2D90" w:rsidRPr="005D6102" w:rsidRDefault="003C2D90" w:rsidP="003C2D90">
            <w:pPr>
              <w:pStyle w:val="Tableheader"/>
              <w:rPr>
                <w:lang w:eastAsia="en-AU"/>
              </w:rPr>
            </w:pPr>
            <w:r w:rsidRPr="005D6102">
              <w:rPr>
                <w:b w:val="0"/>
                <w:color w:val="FFFFFF" w:themeColor="background1"/>
              </w:rPr>
              <w:t>Rare earth</w:t>
            </w:r>
          </w:p>
        </w:tc>
        <w:tc>
          <w:tcPr>
            <w:tcW w:w="7197" w:type="dxa"/>
          </w:tcPr>
          <w:p w14:paraId="341A577B" w14:textId="2259F5FE" w:rsidR="003C2D90" w:rsidRPr="005D6102" w:rsidRDefault="007744BF" w:rsidP="003C2D90">
            <w:pPr>
              <w:pStyle w:val="Tableheader"/>
              <w:rPr>
                <w:lang w:eastAsia="en-AU"/>
              </w:rPr>
            </w:pPr>
            <w:r w:rsidRPr="005D6102">
              <w:rPr>
                <w:b w:val="0"/>
                <w:color w:val="FFFFFF" w:themeColor="background1"/>
              </w:rPr>
              <w:t>Uses</w:t>
            </w:r>
          </w:p>
        </w:tc>
      </w:tr>
      <w:tr w:rsidR="003C2D90" w:rsidRPr="005D6102" w14:paraId="3C48F21A" w14:textId="77777777" w:rsidTr="00C57D0A">
        <w:trPr>
          <w:cnfStyle w:val="000000100000" w:firstRow="0" w:lastRow="0" w:firstColumn="0" w:lastColumn="0" w:oddVBand="0" w:evenVBand="0" w:oddHBand="1" w:evenHBand="0" w:firstRowFirstColumn="0" w:firstRowLastColumn="0" w:lastRowFirstColumn="0" w:lastRowLastColumn="0"/>
          <w:trHeight w:val="332"/>
        </w:trPr>
        <w:tc>
          <w:tcPr>
            <w:tcW w:w="2030" w:type="dxa"/>
          </w:tcPr>
          <w:p w14:paraId="73A89E7B" w14:textId="2C2653CB" w:rsidR="003C2D90" w:rsidRPr="005D6102" w:rsidRDefault="003C2D90" w:rsidP="003C2D90">
            <w:pPr>
              <w:pStyle w:val="Tabletext"/>
            </w:pPr>
            <w:r w:rsidRPr="005D6102">
              <w:rPr>
                <w:b/>
              </w:rPr>
              <w:t>Light rare earths</w:t>
            </w:r>
          </w:p>
        </w:tc>
        <w:tc>
          <w:tcPr>
            <w:tcW w:w="7197" w:type="dxa"/>
          </w:tcPr>
          <w:p w14:paraId="26D4DA48" w14:textId="2B70FB27" w:rsidR="003C2D90" w:rsidRPr="005D6102" w:rsidRDefault="003C2D90" w:rsidP="003C2D90">
            <w:pPr>
              <w:pStyle w:val="Tabletext"/>
              <w:rPr>
                <w:lang w:eastAsia="en-AU"/>
              </w:rPr>
            </w:pPr>
          </w:p>
        </w:tc>
      </w:tr>
      <w:tr w:rsidR="003C2D90" w:rsidRPr="005D6102" w14:paraId="1D48A4F6" w14:textId="77777777" w:rsidTr="00C57D0A">
        <w:trPr>
          <w:cnfStyle w:val="000000010000" w:firstRow="0" w:lastRow="0" w:firstColumn="0" w:lastColumn="0" w:oddVBand="0" w:evenVBand="0" w:oddHBand="0" w:evenHBand="1" w:firstRowFirstColumn="0" w:firstRowLastColumn="0" w:lastRowFirstColumn="0" w:lastRowLastColumn="0"/>
          <w:trHeight w:val="332"/>
        </w:trPr>
        <w:tc>
          <w:tcPr>
            <w:tcW w:w="2030" w:type="dxa"/>
          </w:tcPr>
          <w:p w14:paraId="69036AD3" w14:textId="50026674" w:rsidR="003C2D90" w:rsidRPr="005D6102" w:rsidRDefault="003C2D90" w:rsidP="003C2D90">
            <w:pPr>
              <w:pStyle w:val="Tabletext"/>
              <w:rPr>
                <w:lang w:eastAsia="en-AU"/>
              </w:rPr>
            </w:pPr>
            <w:r w:rsidRPr="005D6102">
              <w:t>Lanthanum</w:t>
            </w:r>
          </w:p>
        </w:tc>
        <w:tc>
          <w:tcPr>
            <w:tcW w:w="7197" w:type="dxa"/>
          </w:tcPr>
          <w:p w14:paraId="432613BE" w14:textId="63896677" w:rsidR="003C2D90" w:rsidRPr="005D6102" w:rsidRDefault="00B21590" w:rsidP="003C2D90">
            <w:pPr>
              <w:pStyle w:val="Tabletext"/>
              <w:rPr>
                <w:lang w:eastAsia="en-AU"/>
              </w:rPr>
            </w:pPr>
            <w:r w:rsidRPr="005D6102">
              <w:t>Rechargeable b</w:t>
            </w:r>
            <w:r w:rsidR="003C2D90" w:rsidRPr="005D6102">
              <w:t>atteries, automotive catalysts</w:t>
            </w:r>
            <w:r w:rsidRPr="005D6102">
              <w:t>, television and computer screens</w:t>
            </w:r>
          </w:p>
        </w:tc>
      </w:tr>
      <w:tr w:rsidR="003C2D90" w:rsidRPr="005D6102" w14:paraId="27D5D29B" w14:textId="77777777" w:rsidTr="00C57D0A">
        <w:trPr>
          <w:cnfStyle w:val="000000100000" w:firstRow="0" w:lastRow="0" w:firstColumn="0" w:lastColumn="0" w:oddVBand="0" w:evenVBand="0" w:oddHBand="1" w:evenHBand="0" w:firstRowFirstColumn="0" w:firstRowLastColumn="0" w:lastRowFirstColumn="0" w:lastRowLastColumn="0"/>
          <w:trHeight w:val="332"/>
        </w:trPr>
        <w:tc>
          <w:tcPr>
            <w:tcW w:w="2030" w:type="dxa"/>
          </w:tcPr>
          <w:p w14:paraId="06ED2466" w14:textId="07215227" w:rsidR="003C2D90" w:rsidRPr="005D6102" w:rsidRDefault="003C2D90" w:rsidP="003C2D90">
            <w:pPr>
              <w:pStyle w:val="Tabletext"/>
              <w:rPr>
                <w:lang w:eastAsia="en-AU"/>
              </w:rPr>
            </w:pPr>
            <w:r w:rsidRPr="005D6102">
              <w:t>Cerium</w:t>
            </w:r>
          </w:p>
        </w:tc>
        <w:tc>
          <w:tcPr>
            <w:tcW w:w="7197" w:type="dxa"/>
          </w:tcPr>
          <w:p w14:paraId="529A04EA" w14:textId="1DA08B8B" w:rsidR="003C2D90" w:rsidRPr="005D6102" w:rsidRDefault="003C2D90" w:rsidP="003C2D90">
            <w:pPr>
              <w:pStyle w:val="Tabletext"/>
              <w:rPr>
                <w:lang w:eastAsia="en-AU"/>
              </w:rPr>
            </w:pPr>
            <w:r w:rsidRPr="005D6102">
              <w:t>Automotive catalysts, glass</w:t>
            </w:r>
            <w:r w:rsidR="00B21590" w:rsidRPr="005D6102">
              <w:t>, polishing powders</w:t>
            </w:r>
          </w:p>
        </w:tc>
      </w:tr>
      <w:tr w:rsidR="003C2D90" w:rsidRPr="005D6102" w14:paraId="61FD6DFD" w14:textId="77777777" w:rsidTr="00C57D0A">
        <w:trPr>
          <w:cnfStyle w:val="000000010000" w:firstRow="0" w:lastRow="0" w:firstColumn="0" w:lastColumn="0" w:oddVBand="0" w:evenVBand="0" w:oddHBand="0" w:evenHBand="1" w:firstRowFirstColumn="0" w:firstRowLastColumn="0" w:lastRowFirstColumn="0" w:lastRowLastColumn="0"/>
          <w:trHeight w:val="332"/>
        </w:trPr>
        <w:tc>
          <w:tcPr>
            <w:tcW w:w="2030" w:type="dxa"/>
          </w:tcPr>
          <w:p w14:paraId="50FD3EFA" w14:textId="245945C3" w:rsidR="003C2D90" w:rsidRPr="005D6102" w:rsidRDefault="003C2D90" w:rsidP="003C2D90">
            <w:pPr>
              <w:pStyle w:val="Tabletext"/>
              <w:rPr>
                <w:lang w:eastAsia="en-AU"/>
              </w:rPr>
            </w:pPr>
            <w:r w:rsidRPr="005D6102">
              <w:t>Praseodymium</w:t>
            </w:r>
          </w:p>
        </w:tc>
        <w:tc>
          <w:tcPr>
            <w:tcW w:w="7197" w:type="dxa"/>
          </w:tcPr>
          <w:p w14:paraId="1E65DF47" w14:textId="6B28E7BB" w:rsidR="003C2D90" w:rsidRPr="005D6102" w:rsidRDefault="00B21590" w:rsidP="00B21590">
            <w:pPr>
              <w:pStyle w:val="Tabletext"/>
              <w:rPr>
                <w:lang w:eastAsia="en-AU"/>
              </w:rPr>
            </w:pPr>
            <w:r w:rsidRPr="005D6102">
              <w:t>Permanent magnets for EVs and wind turbines, computers, consumer electronic screens</w:t>
            </w:r>
          </w:p>
        </w:tc>
      </w:tr>
      <w:tr w:rsidR="003C2D90" w:rsidRPr="005D6102" w14:paraId="6B7D5522" w14:textId="77777777" w:rsidTr="00C57D0A">
        <w:trPr>
          <w:cnfStyle w:val="000000100000" w:firstRow="0" w:lastRow="0" w:firstColumn="0" w:lastColumn="0" w:oddVBand="0" w:evenVBand="0" w:oddHBand="1" w:evenHBand="0" w:firstRowFirstColumn="0" w:firstRowLastColumn="0" w:lastRowFirstColumn="0" w:lastRowLastColumn="0"/>
          <w:trHeight w:val="332"/>
        </w:trPr>
        <w:tc>
          <w:tcPr>
            <w:tcW w:w="2030" w:type="dxa"/>
          </w:tcPr>
          <w:p w14:paraId="40A6432E" w14:textId="4237DC42" w:rsidR="003C2D90" w:rsidRPr="005D6102" w:rsidRDefault="003C2D90" w:rsidP="003C2D90">
            <w:pPr>
              <w:pStyle w:val="Tabletext"/>
            </w:pPr>
            <w:r w:rsidRPr="005D6102">
              <w:t>Neodymium</w:t>
            </w:r>
          </w:p>
        </w:tc>
        <w:tc>
          <w:tcPr>
            <w:tcW w:w="7197" w:type="dxa"/>
          </w:tcPr>
          <w:p w14:paraId="456C02AB" w14:textId="3D43BFFB" w:rsidR="003C2D90" w:rsidRPr="005D6102" w:rsidRDefault="00E81B24" w:rsidP="00B21590">
            <w:pPr>
              <w:pStyle w:val="Tabletext"/>
              <w:rPr>
                <w:lang w:eastAsia="en-AU"/>
              </w:rPr>
            </w:pPr>
            <w:r w:rsidRPr="005D6102">
              <w:t>P</w:t>
            </w:r>
            <w:r w:rsidR="00B21590" w:rsidRPr="005D6102">
              <w:t xml:space="preserve">ermanent magnets for EVs and wind turbines, </w:t>
            </w:r>
            <w:r w:rsidRPr="005D6102">
              <w:t xml:space="preserve">computers, </w:t>
            </w:r>
            <w:r w:rsidR="00B21590" w:rsidRPr="005D6102">
              <w:t>consumer electronic screens</w:t>
            </w:r>
          </w:p>
        </w:tc>
      </w:tr>
      <w:tr w:rsidR="003C2D90" w:rsidRPr="005D6102" w14:paraId="58167902" w14:textId="77777777" w:rsidTr="00C57D0A">
        <w:trPr>
          <w:cnfStyle w:val="000000010000" w:firstRow="0" w:lastRow="0" w:firstColumn="0" w:lastColumn="0" w:oddVBand="0" w:evenVBand="0" w:oddHBand="0" w:evenHBand="1" w:firstRowFirstColumn="0" w:firstRowLastColumn="0" w:lastRowFirstColumn="0" w:lastRowLastColumn="0"/>
          <w:trHeight w:val="332"/>
        </w:trPr>
        <w:tc>
          <w:tcPr>
            <w:tcW w:w="2030" w:type="dxa"/>
          </w:tcPr>
          <w:p w14:paraId="129F7D8E" w14:textId="643E60E9" w:rsidR="003C2D90" w:rsidRPr="005D6102" w:rsidRDefault="003C2D90" w:rsidP="003C2D90">
            <w:pPr>
              <w:pStyle w:val="Tabletext"/>
            </w:pPr>
            <w:r w:rsidRPr="005D6102">
              <w:t>Promethium</w:t>
            </w:r>
          </w:p>
        </w:tc>
        <w:tc>
          <w:tcPr>
            <w:tcW w:w="7197" w:type="dxa"/>
          </w:tcPr>
          <w:p w14:paraId="0BA0778C" w14:textId="7E03A3CA" w:rsidR="003C2D90" w:rsidRPr="005D6102" w:rsidRDefault="00E81B24" w:rsidP="00E81B24">
            <w:pPr>
              <w:pStyle w:val="Tabletext"/>
              <w:rPr>
                <w:lang w:eastAsia="en-AU"/>
              </w:rPr>
            </w:pPr>
            <w:r w:rsidRPr="005D6102">
              <w:rPr>
                <w:lang w:eastAsia="en-AU"/>
              </w:rPr>
              <w:t>Thickness gauges and atomic batteries for spacecraft and guided missiles</w:t>
            </w:r>
          </w:p>
        </w:tc>
      </w:tr>
      <w:tr w:rsidR="003C2D90" w:rsidRPr="005D6102" w14:paraId="74B183AA" w14:textId="77777777" w:rsidTr="00C57D0A">
        <w:trPr>
          <w:cnfStyle w:val="000000100000" w:firstRow="0" w:lastRow="0" w:firstColumn="0" w:lastColumn="0" w:oddVBand="0" w:evenVBand="0" w:oddHBand="1" w:evenHBand="0" w:firstRowFirstColumn="0" w:firstRowLastColumn="0" w:lastRowFirstColumn="0" w:lastRowLastColumn="0"/>
          <w:trHeight w:val="332"/>
        </w:trPr>
        <w:tc>
          <w:tcPr>
            <w:tcW w:w="2030" w:type="dxa"/>
          </w:tcPr>
          <w:p w14:paraId="5D2FD5E9" w14:textId="4E4965B8" w:rsidR="003C2D90" w:rsidRPr="005D6102" w:rsidRDefault="003C2D90" w:rsidP="003C2D90">
            <w:pPr>
              <w:pStyle w:val="Tabletext"/>
            </w:pPr>
            <w:r w:rsidRPr="005D6102">
              <w:t>Samarium</w:t>
            </w:r>
          </w:p>
        </w:tc>
        <w:tc>
          <w:tcPr>
            <w:tcW w:w="7197" w:type="dxa"/>
          </w:tcPr>
          <w:p w14:paraId="0F2E3C7D" w14:textId="4B2C6899" w:rsidR="003C2D90" w:rsidRPr="005D6102" w:rsidRDefault="00E81B24" w:rsidP="00E81B24">
            <w:pPr>
              <w:pStyle w:val="Tabletext"/>
              <w:rPr>
                <w:lang w:eastAsia="en-AU"/>
              </w:rPr>
            </w:pPr>
            <w:r w:rsidRPr="005D6102">
              <w:rPr>
                <w:lang w:eastAsia="en-AU"/>
              </w:rPr>
              <w:t>Magnets for small motors, cancer treatment and nuclear reactors</w:t>
            </w:r>
          </w:p>
        </w:tc>
      </w:tr>
      <w:tr w:rsidR="003C2D90" w:rsidRPr="005D6102" w14:paraId="1C38BB28" w14:textId="77777777" w:rsidTr="00C57D0A">
        <w:trPr>
          <w:cnfStyle w:val="000000010000" w:firstRow="0" w:lastRow="0" w:firstColumn="0" w:lastColumn="0" w:oddVBand="0" w:evenVBand="0" w:oddHBand="0" w:evenHBand="1" w:firstRowFirstColumn="0" w:firstRowLastColumn="0" w:lastRowFirstColumn="0" w:lastRowLastColumn="0"/>
          <w:trHeight w:val="332"/>
        </w:trPr>
        <w:tc>
          <w:tcPr>
            <w:tcW w:w="2030" w:type="dxa"/>
          </w:tcPr>
          <w:p w14:paraId="775E4AA9" w14:textId="16F6E8A9" w:rsidR="003C2D90" w:rsidRPr="005D6102" w:rsidRDefault="003C2D90" w:rsidP="003C2D90">
            <w:pPr>
              <w:pStyle w:val="Tabletext"/>
            </w:pPr>
            <w:r w:rsidRPr="005D6102">
              <w:t>Europium</w:t>
            </w:r>
          </w:p>
        </w:tc>
        <w:tc>
          <w:tcPr>
            <w:tcW w:w="7197" w:type="dxa"/>
          </w:tcPr>
          <w:p w14:paraId="7763342C" w14:textId="5486ABBB" w:rsidR="003C2D90" w:rsidRPr="005D6102" w:rsidRDefault="00E81B24" w:rsidP="00E81B24">
            <w:pPr>
              <w:pStyle w:val="Tabletext"/>
              <w:rPr>
                <w:lang w:eastAsia="en-AU"/>
              </w:rPr>
            </w:pPr>
            <w:r w:rsidRPr="005D6102">
              <w:rPr>
                <w:lang w:eastAsia="en-AU"/>
              </w:rPr>
              <w:t>Red and blue colours in LCD screens, anti</w:t>
            </w:r>
            <w:r w:rsidR="005D1104" w:rsidRPr="005D6102">
              <w:rPr>
                <w:lang w:eastAsia="en-AU"/>
              </w:rPr>
              <w:t>-</w:t>
            </w:r>
            <w:r w:rsidRPr="005D6102">
              <w:rPr>
                <w:lang w:eastAsia="en-AU"/>
              </w:rPr>
              <w:t xml:space="preserve">forgery marks on banknotes </w:t>
            </w:r>
          </w:p>
        </w:tc>
      </w:tr>
      <w:tr w:rsidR="003C2D90" w:rsidRPr="005D6102" w14:paraId="71050A54" w14:textId="77777777" w:rsidTr="00C57D0A">
        <w:trPr>
          <w:cnfStyle w:val="000000100000" w:firstRow="0" w:lastRow="0" w:firstColumn="0" w:lastColumn="0" w:oddVBand="0" w:evenVBand="0" w:oddHBand="1" w:evenHBand="0" w:firstRowFirstColumn="0" w:firstRowLastColumn="0" w:lastRowFirstColumn="0" w:lastRowLastColumn="0"/>
          <w:trHeight w:val="332"/>
        </w:trPr>
        <w:tc>
          <w:tcPr>
            <w:tcW w:w="2030" w:type="dxa"/>
          </w:tcPr>
          <w:p w14:paraId="50A67EBF" w14:textId="7D00A8E4" w:rsidR="003C2D90" w:rsidRPr="005D6102" w:rsidRDefault="003C2D90" w:rsidP="003C2D90">
            <w:pPr>
              <w:pStyle w:val="Tabletext"/>
            </w:pPr>
            <w:r w:rsidRPr="005D6102">
              <w:rPr>
                <w:b/>
              </w:rPr>
              <w:t>Heavy rare earths</w:t>
            </w:r>
          </w:p>
        </w:tc>
        <w:tc>
          <w:tcPr>
            <w:tcW w:w="7197" w:type="dxa"/>
          </w:tcPr>
          <w:p w14:paraId="1E595329" w14:textId="77777777" w:rsidR="003C2D90" w:rsidRPr="005D6102" w:rsidRDefault="003C2D90" w:rsidP="003C2D90">
            <w:pPr>
              <w:pStyle w:val="Tabletext"/>
              <w:rPr>
                <w:lang w:eastAsia="en-AU"/>
              </w:rPr>
            </w:pPr>
          </w:p>
        </w:tc>
      </w:tr>
      <w:tr w:rsidR="003C2D90" w:rsidRPr="005D6102" w14:paraId="4BB2EA07" w14:textId="77777777" w:rsidTr="00C57D0A">
        <w:trPr>
          <w:cnfStyle w:val="000000010000" w:firstRow="0" w:lastRow="0" w:firstColumn="0" w:lastColumn="0" w:oddVBand="0" w:evenVBand="0" w:oddHBand="0" w:evenHBand="1" w:firstRowFirstColumn="0" w:firstRowLastColumn="0" w:lastRowFirstColumn="0" w:lastRowLastColumn="0"/>
          <w:trHeight w:val="332"/>
        </w:trPr>
        <w:tc>
          <w:tcPr>
            <w:tcW w:w="2030" w:type="dxa"/>
          </w:tcPr>
          <w:p w14:paraId="7727D1C6" w14:textId="1D5C210D" w:rsidR="003C2D90" w:rsidRPr="005D6102" w:rsidRDefault="003C2D90" w:rsidP="003C2D90">
            <w:pPr>
              <w:pStyle w:val="Tabletext"/>
            </w:pPr>
            <w:r w:rsidRPr="005D6102">
              <w:t>Gadolinium</w:t>
            </w:r>
          </w:p>
        </w:tc>
        <w:tc>
          <w:tcPr>
            <w:tcW w:w="7197" w:type="dxa"/>
          </w:tcPr>
          <w:p w14:paraId="4DA79130" w14:textId="3CB4B3A7" w:rsidR="003C2D90" w:rsidRPr="005D6102" w:rsidRDefault="00E81B24" w:rsidP="00E81B24">
            <w:pPr>
              <w:pStyle w:val="Tabletext"/>
              <w:rPr>
                <w:lang w:eastAsia="en-AU"/>
              </w:rPr>
            </w:pPr>
            <w:r w:rsidRPr="005D6102">
              <w:t>LCD screens, in steel to improve resistance to high temperatures</w:t>
            </w:r>
          </w:p>
        </w:tc>
      </w:tr>
      <w:tr w:rsidR="003C2D90" w:rsidRPr="005D6102" w14:paraId="11659B3C" w14:textId="77777777" w:rsidTr="00C57D0A">
        <w:trPr>
          <w:cnfStyle w:val="000000100000" w:firstRow="0" w:lastRow="0" w:firstColumn="0" w:lastColumn="0" w:oddVBand="0" w:evenVBand="0" w:oddHBand="1" w:evenHBand="0" w:firstRowFirstColumn="0" w:firstRowLastColumn="0" w:lastRowFirstColumn="0" w:lastRowLastColumn="0"/>
          <w:trHeight w:val="332"/>
        </w:trPr>
        <w:tc>
          <w:tcPr>
            <w:tcW w:w="2030" w:type="dxa"/>
          </w:tcPr>
          <w:p w14:paraId="40F5EA27" w14:textId="020116FB" w:rsidR="003C2D90" w:rsidRPr="005D6102" w:rsidRDefault="003C2D90" w:rsidP="003C2D90">
            <w:pPr>
              <w:pStyle w:val="Tabletext"/>
            </w:pPr>
            <w:r w:rsidRPr="005D6102">
              <w:t>Terbium</w:t>
            </w:r>
          </w:p>
        </w:tc>
        <w:tc>
          <w:tcPr>
            <w:tcW w:w="7197" w:type="dxa"/>
          </w:tcPr>
          <w:p w14:paraId="3524C28B" w14:textId="02F7FBE5" w:rsidR="003C2D90" w:rsidRPr="005D6102" w:rsidRDefault="002505DF" w:rsidP="002505DF">
            <w:pPr>
              <w:pStyle w:val="Tabletext"/>
              <w:rPr>
                <w:lang w:eastAsia="en-AU"/>
              </w:rPr>
            </w:pPr>
            <w:r w:rsidRPr="005D6102">
              <w:rPr>
                <w:lang w:eastAsia="en-AU"/>
              </w:rPr>
              <w:t>LC</w:t>
            </w:r>
            <w:r>
              <w:rPr>
                <w:lang w:eastAsia="en-AU"/>
              </w:rPr>
              <w:t>D</w:t>
            </w:r>
            <w:r w:rsidRPr="005D6102">
              <w:rPr>
                <w:lang w:eastAsia="en-AU"/>
              </w:rPr>
              <w:t xml:space="preserve"> </w:t>
            </w:r>
            <w:r w:rsidR="00E81B24" w:rsidRPr="005D6102">
              <w:rPr>
                <w:lang w:eastAsia="en-AU"/>
              </w:rPr>
              <w:t>screens and magnets for electric cars and turbines</w:t>
            </w:r>
          </w:p>
        </w:tc>
      </w:tr>
      <w:tr w:rsidR="003C2D90" w:rsidRPr="005D6102" w14:paraId="5B3085AE" w14:textId="77777777" w:rsidTr="00C57D0A">
        <w:trPr>
          <w:cnfStyle w:val="000000010000" w:firstRow="0" w:lastRow="0" w:firstColumn="0" w:lastColumn="0" w:oddVBand="0" w:evenVBand="0" w:oddHBand="0" w:evenHBand="1" w:firstRowFirstColumn="0" w:firstRowLastColumn="0" w:lastRowFirstColumn="0" w:lastRowLastColumn="0"/>
          <w:trHeight w:val="332"/>
        </w:trPr>
        <w:tc>
          <w:tcPr>
            <w:tcW w:w="2030" w:type="dxa"/>
          </w:tcPr>
          <w:p w14:paraId="66154F19" w14:textId="726CAAB0" w:rsidR="003C2D90" w:rsidRPr="005D6102" w:rsidRDefault="003C2D90" w:rsidP="003C2D90">
            <w:pPr>
              <w:pStyle w:val="Tabletext"/>
            </w:pPr>
            <w:r w:rsidRPr="005D6102">
              <w:t>Dysprosium</w:t>
            </w:r>
          </w:p>
        </w:tc>
        <w:tc>
          <w:tcPr>
            <w:tcW w:w="7197" w:type="dxa"/>
          </w:tcPr>
          <w:p w14:paraId="5A886180" w14:textId="3007839F" w:rsidR="003C2D90" w:rsidRPr="005D6102" w:rsidRDefault="00E81B24" w:rsidP="003C2D90">
            <w:pPr>
              <w:pStyle w:val="Tabletext"/>
              <w:rPr>
                <w:lang w:eastAsia="en-AU"/>
              </w:rPr>
            </w:pPr>
            <w:r w:rsidRPr="005D6102">
              <w:t xml:space="preserve">Permanent magnets for </w:t>
            </w:r>
            <w:r w:rsidR="003E16EC" w:rsidRPr="005D6102">
              <w:t>electric vehicles</w:t>
            </w:r>
            <w:r w:rsidRPr="005D6102">
              <w:t xml:space="preserve"> and wind turbines, </w:t>
            </w:r>
          </w:p>
        </w:tc>
      </w:tr>
      <w:tr w:rsidR="003C2D90" w:rsidRPr="005D6102" w14:paraId="7D2B967F" w14:textId="77777777" w:rsidTr="00C57D0A">
        <w:trPr>
          <w:cnfStyle w:val="000000100000" w:firstRow="0" w:lastRow="0" w:firstColumn="0" w:lastColumn="0" w:oddVBand="0" w:evenVBand="0" w:oddHBand="1" w:evenHBand="0" w:firstRowFirstColumn="0" w:firstRowLastColumn="0" w:lastRowFirstColumn="0" w:lastRowLastColumn="0"/>
          <w:trHeight w:val="332"/>
        </w:trPr>
        <w:tc>
          <w:tcPr>
            <w:tcW w:w="2030" w:type="dxa"/>
          </w:tcPr>
          <w:p w14:paraId="41D5F2D2" w14:textId="0C397C61" w:rsidR="003C2D90" w:rsidRPr="005D6102" w:rsidRDefault="003C2D90" w:rsidP="003C2D90">
            <w:pPr>
              <w:pStyle w:val="Tabletext"/>
            </w:pPr>
            <w:r w:rsidRPr="005D6102">
              <w:t>Holmium</w:t>
            </w:r>
          </w:p>
        </w:tc>
        <w:tc>
          <w:tcPr>
            <w:tcW w:w="7197" w:type="dxa"/>
          </w:tcPr>
          <w:p w14:paraId="47D134C9" w14:textId="5A4D36BE" w:rsidR="003C2D90" w:rsidRPr="005D6102" w:rsidRDefault="00E81B24" w:rsidP="00E81B24">
            <w:pPr>
              <w:pStyle w:val="Tabletext"/>
              <w:rPr>
                <w:lang w:eastAsia="en-AU"/>
              </w:rPr>
            </w:pPr>
            <w:r w:rsidRPr="005D6102">
              <w:rPr>
                <w:lang w:eastAsia="en-AU"/>
              </w:rPr>
              <w:t>Nuclear control rods, sonar systems, data storage and laser materials</w:t>
            </w:r>
          </w:p>
        </w:tc>
      </w:tr>
      <w:tr w:rsidR="003C2D90" w:rsidRPr="005D6102" w14:paraId="6DCA6732" w14:textId="77777777" w:rsidTr="00C57D0A">
        <w:trPr>
          <w:cnfStyle w:val="000000010000" w:firstRow="0" w:lastRow="0" w:firstColumn="0" w:lastColumn="0" w:oddVBand="0" w:evenVBand="0" w:oddHBand="0" w:evenHBand="1" w:firstRowFirstColumn="0" w:firstRowLastColumn="0" w:lastRowFirstColumn="0" w:lastRowLastColumn="0"/>
          <w:trHeight w:val="332"/>
        </w:trPr>
        <w:tc>
          <w:tcPr>
            <w:tcW w:w="2030" w:type="dxa"/>
          </w:tcPr>
          <w:p w14:paraId="39C93EA6" w14:textId="4DDD2044" w:rsidR="003C2D90" w:rsidRPr="005D6102" w:rsidRDefault="003C2D90" w:rsidP="003C2D90">
            <w:pPr>
              <w:pStyle w:val="Tabletext"/>
            </w:pPr>
            <w:r w:rsidRPr="005D6102">
              <w:t>Erbium</w:t>
            </w:r>
          </w:p>
        </w:tc>
        <w:tc>
          <w:tcPr>
            <w:tcW w:w="7197" w:type="dxa"/>
          </w:tcPr>
          <w:p w14:paraId="78752F82" w14:textId="6DA124CB" w:rsidR="003C2D90" w:rsidRPr="005D6102" w:rsidRDefault="00E81B24" w:rsidP="003C2D90">
            <w:pPr>
              <w:pStyle w:val="Tabletext"/>
              <w:rPr>
                <w:lang w:eastAsia="en-AU"/>
              </w:rPr>
            </w:pPr>
            <w:r w:rsidRPr="005D6102">
              <w:t>Nuclear control rods, lasers</w:t>
            </w:r>
          </w:p>
        </w:tc>
      </w:tr>
      <w:tr w:rsidR="003C2D90" w:rsidRPr="005D6102" w14:paraId="2D85B693" w14:textId="77777777" w:rsidTr="00C57D0A">
        <w:trPr>
          <w:cnfStyle w:val="000000100000" w:firstRow="0" w:lastRow="0" w:firstColumn="0" w:lastColumn="0" w:oddVBand="0" w:evenVBand="0" w:oddHBand="1" w:evenHBand="0" w:firstRowFirstColumn="0" w:firstRowLastColumn="0" w:lastRowFirstColumn="0" w:lastRowLastColumn="0"/>
          <w:trHeight w:val="332"/>
        </w:trPr>
        <w:tc>
          <w:tcPr>
            <w:tcW w:w="2030" w:type="dxa"/>
          </w:tcPr>
          <w:p w14:paraId="5A8CB8A5" w14:textId="7DB9F62C" w:rsidR="003C2D90" w:rsidRPr="005D6102" w:rsidRDefault="003C2D90" w:rsidP="003C2D90">
            <w:pPr>
              <w:pStyle w:val="Tabletext"/>
            </w:pPr>
            <w:r w:rsidRPr="005D6102">
              <w:t>Thulium</w:t>
            </w:r>
          </w:p>
        </w:tc>
        <w:tc>
          <w:tcPr>
            <w:tcW w:w="7197" w:type="dxa"/>
          </w:tcPr>
          <w:p w14:paraId="6394834E" w14:textId="06B6855C" w:rsidR="003C2D90" w:rsidRPr="005D6102" w:rsidRDefault="00E81B24" w:rsidP="00E81B24">
            <w:pPr>
              <w:pStyle w:val="Tabletext"/>
              <w:rPr>
                <w:lang w:eastAsia="en-AU"/>
              </w:rPr>
            </w:pPr>
            <w:r w:rsidRPr="005D6102">
              <w:rPr>
                <w:lang w:eastAsia="en-AU"/>
              </w:rPr>
              <w:t xml:space="preserve">Lasers, as a radiation source in x-ray machines and </w:t>
            </w:r>
            <w:r w:rsidR="003E16EC" w:rsidRPr="005D6102">
              <w:rPr>
                <w:lang w:eastAsia="en-AU"/>
              </w:rPr>
              <w:t>anti-forgery marks on banknotes</w:t>
            </w:r>
          </w:p>
        </w:tc>
      </w:tr>
      <w:tr w:rsidR="003C2D90" w:rsidRPr="005D6102" w14:paraId="2CA494F3" w14:textId="77777777" w:rsidTr="00C57D0A">
        <w:trPr>
          <w:cnfStyle w:val="000000010000" w:firstRow="0" w:lastRow="0" w:firstColumn="0" w:lastColumn="0" w:oddVBand="0" w:evenVBand="0" w:oddHBand="0" w:evenHBand="1" w:firstRowFirstColumn="0" w:firstRowLastColumn="0" w:lastRowFirstColumn="0" w:lastRowLastColumn="0"/>
          <w:trHeight w:val="332"/>
        </w:trPr>
        <w:tc>
          <w:tcPr>
            <w:tcW w:w="2030" w:type="dxa"/>
          </w:tcPr>
          <w:p w14:paraId="73C0B90D" w14:textId="6225EED8" w:rsidR="003C2D90" w:rsidRPr="005D6102" w:rsidRDefault="003C2D90" w:rsidP="003C2D90">
            <w:pPr>
              <w:pStyle w:val="Tabletext"/>
            </w:pPr>
            <w:r w:rsidRPr="005D6102">
              <w:t>Ytterbium</w:t>
            </w:r>
          </w:p>
        </w:tc>
        <w:tc>
          <w:tcPr>
            <w:tcW w:w="7197" w:type="dxa"/>
          </w:tcPr>
          <w:p w14:paraId="438823BB" w14:textId="5254EEF5" w:rsidR="003C2D90" w:rsidRPr="005D6102" w:rsidRDefault="00E81B24" w:rsidP="00E81B24">
            <w:pPr>
              <w:pStyle w:val="Tabletext"/>
              <w:rPr>
                <w:lang w:eastAsia="en-AU"/>
              </w:rPr>
            </w:pPr>
            <w:r w:rsidRPr="005D6102">
              <w:rPr>
                <w:lang w:eastAsia="en-AU"/>
              </w:rPr>
              <w:t>Portable X-ray machines, lasers, earthquake monitors, strengthening stainless steel</w:t>
            </w:r>
          </w:p>
        </w:tc>
      </w:tr>
      <w:tr w:rsidR="003C2D90" w:rsidRPr="005D6102" w14:paraId="251ABD09" w14:textId="77777777" w:rsidTr="00C57D0A">
        <w:trPr>
          <w:cnfStyle w:val="000000100000" w:firstRow="0" w:lastRow="0" w:firstColumn="0" w:lastColumn="0" w:oddVBand="0" w:evenVBand="0" w:oddHBand="1" w:evenHBand="0" w:firstRowFirstColumn="0" w:firstRowLastColumn="0" w:lastRowFirstColumn="0" w:lastRowLastColumn="0"/>
          <w:trHeight w:val="332"/>
        </w:trPr>
        <w:tc>
          <w:tcPr>
            <w:tcW w:w="2030" w:type="dxa"/>
          </w:tcPr>
          <w:p w14:paraId="5F1979ED" w14:textId="0DD2CD6D" w:rsidR="003C2D90" w:rsidRPr="005D6102" w:rsidRDefault="003C2D90" w:rsidP="003C2D90">
            <w:pPr>
              <w:pStyle w:val="Tabletext"/>
            </w:pPr>
            <w:r w:rsidRPr="005D6102">
              <w:t>Lutetium</w:t>
            </w:r>
          </w:p>
        </w:tc>
        <w:tc>
          <w:tcPr>
            <w:tcW w:w="7197" w:type="dxa"/>
          </w:tcPr>
          <w:p w14:paraId="6F6759FA" w14:textId="4DBB732E" w:rsidR="003C2D90" w:rsidRPr="005D6102" w:rsidRDefault="005D1104" w:rsidP="005D1104">
            <w:pPr>
              <w:pStyle w:val="Tabletext"/>
              <w:rPr>
                <w:lang w:eastAsia="en-AU"/>
              </w:rPr>
            </w:pPr>
            <w:r w:rsidRPr="005D6102">
              <w:rPr>
                <w:lang w:eastAsia="en-AU"/>
              </w:rPr>
              <w:t>Positron Emission Tomography (PET) scanners for 3D images of cellular activity</w:t>
            </w:r>
          </w:p>
        </w:tc>
      </w:tr>
      <w:tr w:rsidR="003C2D90" w:rsidRPr="005D6102" w14:paraId="3695736C" w14:textId="77777777" w:rsidTr="00C57D0A">
        <w:trPr>
          <w:cnfStyle w:val="000000010000" w:firstRow="0" w:lastRow="0" w:firstColumn="0" w:lastColumn="0" w:oddVBand="0" w:evenVBand="0" w:oddHBand="0" w:evenHBand="1" w:firstRowFirstColumn="0" w:firstRowLastColumn="0" w:lastRowFirstColumn="0" w:lastRowLastColumn="0"/>
          <w:trHeight w:val="332"/>
        </w:trPr>
        <w:tc>
          <w:tcPr>
            <w:tcW w:w="2030" w:type="dxa"/>
          </w:tcPr>
          <w:p w14:paraId="232B8D81" w14:textId="372BB422" w:rsidR="003C2D90" w:rsidRPr="005D6102" w:rsidRDefault="003C2D90" w:rsidP="003C2D90">
            <w:pPr>
              <w:pStyle w:val="Tabletext"/>
            </w:pPr>
            <w:r w:rsidRPr="005D6102">
              <w:rPr>
                <w:b/>
              </w:rPr>
              <w:t>Other rare earths</w:t>
            </w:r>
          </w:p>
        </w:tc>
        <w:tc>
          <w:tcPr>
            <w:tcW w:w="7197" w:type="dxa"/>
          </w:tcPr>
          <w:p w14:paraId="58E046A8" w14:textId="77777777" w:rsidR="003C2D90" w:rsidRPr="005D6102" w:rsidRDefault="003C2D90" w:rsidP="003C2D90">
            <w:pPr>
              <w:pStyle w:val="Tabletext"/>
              <w:rPr>
                <w:lang w:eastAsia="en-AU"/>
              </w:rPr>
            </w:pPr>
          </w:p>
        </w:tc>
      </w:tr>
      <w:tr w:rsidR="003C2D90" w:rsidRPr="005D6102" w14:paraId="5B5F79C8" w14:textId="77777777" w:rsidTr="00C57D0A">
        <w:trPr>
          <w:cnfStyle w:val="000000100000" w:firstRow="0" w:lastRow="0" w:firstColumn="0" w:lastColumn="0" w:oddVBand="0" w:evenVBand="0" w:oddHBand="1" w:evenHBand="0" w:firstRowFirstColumn="0" w:firstRowLastColumn="0" w:lastRowFirstColumn="0" w:lastRowLastColumn="0"/>
          <w:trHeight w:val="299"/>
        </w:trPr>
        <w:tc>
          <w:tcPr>
            <w:tcW w:w="2030" w:type="dxa"/>
          </w:tcPr>
          <w:p w14:paraId="77C464B4" w14:textId="22AA579E" w:rsidR="003C2D90" w:rsidRPr="005D6102" w:rsidRDefault="003C2D90" w:rsidP="003C2D90">
            <w:pPr>
              <w:pStyle w:val="Tabletext"/>
            </w:pPr>
            <w:r w:rsidRPr="005D6102">
              <w:t>Yttrium</w:t>
            </w:r>
          </w:p>
        </w:tc>
        <w:tc>
          <w:tcPr>
            <w:tcW w:w="7197" w:type="dxa"/>
          </w:tcPr>
          <w:p w14:paraId="44585815" w14:textId="2D2992F5" w:rsidR="003C2D90" w:rsidRPr="005D6102" w:rsidRDefault="00B21590" w:rsidP="00B21590">
            <w:pPr>
              <w:pStyle w:val="Tabletext"/>
              <w:rPr>
                <w:lang w:eastAsia="en-AU"/>
              </w:rPr>
            </w:pPr>
            <w:r w:rsidRPr="005D6102">
              <w:t xml:space="preserve">Consumer electronics, energy efficient lighting, </w:t>
            </w:r>
            <w:r w:rsidR="005D1104" w:rsidRPr="005D6102">
              <w:t>satellites and superconductors</w:t>
            </w:r>
          </w:p>
        </w:tc>
      </w:tr>
    </w:tbl>
    <w:p w14:paraId="52717C38" w14:textId="34B9AF98" w:rsidR="003C2D90" w:rsidRPr="005D6102" w:rsidRDefault="003C2D90" w:rsidP="009971BD">
      <w:pPr>
        <w:pStyle w:val="Note"/>
        <w:rPr>
          <w:lang w:eastAsia="en-AU"/>
        </w:rPr>
      </w:pPr>
      <w:r w:rsidRPr="005D6102">
        <w:rPr>
          <w:lang w:eastAsia="en-AU"/>
        </w:rPr>
        <w:t xml:space="preserve">Notes: </w:t>
      </w:r>
      <w:r w:rsidR="00EC3539" w:rsidRPr="005D6102">
        <w:rPr>
          <w:lang w:eastAsia="en-AU"/>
        </w:rPr>
        <w:t>Scandium is not included in this list of rare earth elements</w:t>
      </w:r>
      <w:r w:rsidRPr="005D6102">
        <w:rPr>
          <w:lang w:eastAsia="en-AU"/>
        </w:rPr>
        <w:t>.</w:t>
      </w:r>
    </w:p>
    <w:p w14:paraId="7F484E69" w14:textId="2DB0E307" w:rsidR="008932BB" w:rsidRPr="005D6102" w:rsidRDefault="008932BB" w:rsidP="008932BB">
      <w:pPr>
        <w:pStyle w:val="Source"/>
        <w:rPr>
          <w:lang w:eastAsia="en-AU"/>
        </w:rPr>
      </w:pPr>
      <w:r w:rsidRPr="005D6102">
        <w:rPr>
          <w:lang w:eastAsia="en-AU"/>
        </w:rPr>
        <w:t>Source: Austrade (2019), Geoscience Australia (201</w:t>
      </w:r>
      <w:r w:rsidR="00E85332" w:rsidRPr="005D6102">
        <w:rPr>
          <w:lang w:eastAsia="en-AU"/>
        </w:rPr>
        <w:t>3</w:t>
      </w:r>
      <w:r w:rsidRPr="005D6102">
        <w:rPr>
          <w:lang w:eastAsia="en-AU"/>
        </w:rPr>
        <w:t>)</w:t>
      </w:r>
    </w:p>
    <w:p w14:paraId="21F77443" w14:textId="25ADC267" w:rsidR="00F1495D" w:rsidRPr="005D6102" w:rsidRDefault="00F1495D" w:rsidP="00F1495D">
      <w:pPr>
        <w:pStyle w:val="Heading2"/>
      </w:pPr>
      <w:bookmarkStart w:id="41" w:name="_Toc15388894"/>
      <w:bookmarkStart w:id="42" w:name="_Toc16143269"/>
      <w:bookmarkStart w:id="43" w:name="_Toc17803340"/>
      <w:r w:rsidRPr="005D6102">
        <w:t>Substitution</w:t>
      </w:r>
      <w:bookmarkEnd w:id="41"/>
      <w:bookmarkEnd w:id="42"/>
      <w:bookmarkEnd w:id="43"/>
    </w:p>
    <w:p w14:paraId="63C9925D" w14:textId="4541C0A3" w:rsidR="00CA2909" w:rsidRPr="005D6102" w:rsidRDefault="00DB16AD" w:rsidP="00CC2136">
      <w:pPr>
        <w:pStyle w:val="ListBullet3"/>
        <w:ind w:left="0" w:firstLine="0"/>
      </w:pPr>
      <w:r w:rsidRPr="005D6102">
        <w:t>Rare earth substitutes</w:t>
      </w:r>
      <w:r w:rsidR="00CA2909" w:rsidRPr="005D6102">
        <w:t xml:space="preserve"> are available in some applications, but they </w:t>
      </w:r>
      <w:r w:rsidR="006E62DB" w:rsidRPr="005D6102">
        <w:t xml:space="preserve">tend to be </w:t>
      </w:r>
      <w:r w:rsidR="00CA2909" w:rsidRPr="005D6102">
        <w:t xml:space="preserve">less effective. </w:t>
      </w:r>
      <w:r w:rsidR="006E62DB" w:rsidRPr="005D6102">
        <w:t xml:space="preserve">Users of rare earths have responded to supply issues and price spikes by reducing use in non-essential applications. </w:t>
      </w:r>
    </w:p>
    <w:p w14:paraId="39C7B9EC" w14:textId="4328FA46" w:rsidR="00145B96" w:rsidRPr="005D6102" w:rsidRDefault="0081518B" w:rsidP="00CA2909">
      <w:pPr>
        <w:pStyle w:val="Heading2"/>
      </w:pPr>
      <w:bookmarkStart w:id="44" w:name="_Toc15388895"/>
      <w:bookmarkStart w:id="45" w:name="_Toc16143270"/>
      <w:bookmarkStart w:id="46" w:name="_Toc17803341"/>
      <w:r w:rsidRPr="005D6102">
        <w:t>World c</w:t>
      </w:r>
      <w:r w:rsidR="00145B96" w:rsidRPr="005D6102">
        <w:t>onsumption</w:t>
      </w:r>
      <w:bookmarkEnd w:id="44"/>
      <w:bookmarkEnd w:id="45"/>
      <w:bookmarkEnd w:id="46"/>
    </w:p>
    <w:p w14:paraId="71787F6F" w14:textId="4B0E3318" w:rsidR="00E5034E" w:rsidRPr="005D6102" w:rsidRDefault="005728DC" w:rsidP="005728DC">
      <w:pPr>
        <w:pStyle w:val="BodyText"/>
      </w:pPr>
      <w:r w:rsidRPr="00D67EBF">
        <w:t xml:space="preserve">Consumption of all rare earths grew by </w:t>
      </w:r>
      <w:r w:rsidR="00D67EBF" w:rsidRPr="00D67EBF">
        <w:t xml:space="preserve">around </w:t>
      </w:r>
      <w:r w:rsidRPr="00D67EBF">
        <w:t>5 per cent a year in the five years to 2018,</w:t>
      </w:r>
      <w:r w:rsidRPr="005D6102">
        <w:t xml:space="preserve"> driven primarily by higher use in magnet manufacturing. </w:t>
      </w:r>
      <w:r w:rsidR="00C33BDE" w:rsidRPr="005D6102">
        <w:t xml:space="preserve">China </w:t>
      </w:r>
      <w:r w:rsidR="00CA2909" w:rsidRPr="005D6102">
        <w:t xml:space="preserve">is the largest </w:t>
      </w:r>
      <w:r w:rsidR="006E62DB" w:rsidRPr="005D6102">
        <w:t>user</w:t>
      </w:r>
      <w:r w:rsidR="00CA2909" w:rsidRPr="005D6102">
        <w:t xml:space="preserve"> of rare earths, </w:t>
      </w:r>
      <w:r w:rsidR="00C33BDE" w:rsidRPr="005D6102">
        <w:t>account</w:t>
      </w:r>
      <w:r w:rsidR="00CA2909" w:rsidRPr="005D6102">
        <w:t>ing for 69</w:t>
      </w:r>
      <w:r w:rsidR="00D23360" w:rsidRPr="005D6102">
        <w:t xml:space="preserve"> per cent</w:t>
      </w:r>
      <w:r w:rsidR="00CA2909" w:rsidRPr="005D6102">
        <w:t xml:space="preserve"> of world </w:t>
      </w:r>
      <w:r w:rsidR="0050793F" w:rsidRPr="005D6102">
        <w:t xml:space="preserve">end-use </w:t>
      </w:r>
      <w:r w:rsidR="00CA2909" w:rsidRPr="005D6102">
        <w:t>consumption</w:t>
      </w:r>
      <w:r w:rsidR="00DB16D5" w:rsidRPr="005D6102">
        <w:t xml:space="preserve">, followed by </w:t>
      </w:r>
      <w:r w:rsidR="003252A1" w:rsidRPr="005D6102">
        <w:t>Japan and the US</w:t>
      </w:r>
      <w:r w:rsidR="00FC4A43" w:rsidRPr="005D6102">
        <w:t xml:space="preserve"> (Figure </w:t>
      </w:r>
      <w:r w:rsidR="00F843F6" w:rsidRPr="005D6102">
        <w:t>3</w:t>
      </w:r>
      <w:r w:rsidR="00FC4A43" w:rsidRPr="005D6102">
        <w:t>.1)</w:t>
      </w:r>
      <w:r w:rsidR="003252A1" w:rsidRPr="005D6102">
        <w:t xml:space="preserve">. </w:t>
      </w:r>
      <w:r w:rsidR="00A379F1" w:rsidRPr="005D6102">
        <w:t xml:space="preserve">The US </w:t>
      </w:r>
      <w:r w:rsidR="00E02695" w:rsidRPr="005D6102">
        <w:t>depends heavily on imports of</w:t>
      </w:r>
      <w:r w:rsidR="00A379F1" w:rsidRPr="005D6102">
        <w:t xml:space="preserve"> processed rare earths, although there is some domestic mine capacity. </w:t>
      </w:r>
    </w:p>
    <w:p w14:paraId="6B85EFE0" w14:textId="130B3AC4" w:rsidR="00E5034E" w:rsidRPr="005D6102" w:rsidRDefault="00E5034E" w:rsidP="00D933BB">
      <w:pPr>
        <w:pStyle w:val="BodyText"/>
      </w:pPr>
      <w:r w:rsidRPr="005D6102">
        <w:t>Major importers of rare earths</w:t>
      </w:r>
      <w:r w:rsidR="004B0EFC">
        <w:t xml:space="preserve"> are:</w:t>
      </w:r>
    </w:p>
    <w:p w14:paraId="040632B4" w14:textId="2D44D22B" w:rsidR="00E5034E" w:rsidRPr="00897D77" w:rsidRDefault="00E5034E" w:rsidP="00587AD8">
      <w:pPr>
        <w:pStyle w:val="Keypointsbullet"/>
        <w:spacing w:after="120"/>
        <w:ind w:left="311" w:hanging="249"/>
      </w:pPr>
      <w:r w:rsidRPr="00587AD8">
        <w:rPr>
          <w:b w:val="0"/>
        </w:rPr>
        <w:t>China (56 per cent of world imports)</w:t>
      </w:r>
    </w:p>
    <w:p w14:paraId="7CD3E639" w14:textId="771A7BE7" w:rsidR="00E5034E" w:rsidRPr="00897D77" w:rsidRDefault="00E5034E" w:rsidP="00587AD8">
      <w:pPr>
        <w:pStyle w:val="Keypointsbullet"/>
        <w:spacing w:after="120"/>
        <w:ind w:left="311" w:hanging="249"/>
      </w:pPr>
      <w:r w:rsidRPr="00587AD8">
        <w:rPr>
          <w:b w:val="0"/>
        </w:rPr>
        <w:t>Japan (22 per cent of world imports)</w:t>
      </w:r>
    </w:p>
    <w:p w14:paraId="3D0B35E5" w14:textId="364C18C3" w:rsidR="00E5034E" w:rsidRPr="00897D77" w:rsidRDefault="005728DC" w:rsidP="00587AD8">
      <w:pPr>
        <w:pStyle w:val="Keypointsbullet"/>
        <w:spacing w:after="120"/>
        <w:ind w:left="311" w:hanging="249"/>
      </w:pPr>
      <w:r w:rsidRPr="00587AD8">
        <w:rPr>
          <w:b w:val="0"/>
        </w:rPr>
        <w:t>US</w:t>
      </w:r>
      <w:r w:rsidR="00E5034E" w:rsidRPr="00587AD8">
        <w:rPr>
          <w:b w:val="0"/>
        </w:rPr>
        <w:t xml:space="preserve"> (17 per cent of world imports)</w:t>
      </w:r>
    </w:p>
    <w:p w14:paraId="0EC2FCE5" w14:textId="62F38D64" w:rsidR="003546E8" w:rsidRPr="005D6102" w:rsidRDefault="000F4539" w:rsidP="00143440">
      <w:pPr>
        <w:pStyle w:val="BodyText"/>
      </w:pPr>
      <w:r w:rsidRPr="005D6102">
        <w:t>China</w:t>
      </w:r>
      <w:r w:rsidR="00C054E5" w:rsidRPr="005D6102">
        <w:t xml:space="preserve">’s rare earths consumption is mostly used in magnet manufacturing — </w:t>
      </w:r>
      <w:r w:rsidR="005728DC" w:rsidRPr="005D6102">
        <w:t>China produces</w:t>
      </w:r>
      <w:r w:rsidRPr="005D6102">
        <w:t xml:space="preserve"> around 90 per cent of the </w:t>
      </w:r>
      <w:r w:rsidR="00C054E5" w:rsidRPr="005D6102">
        <w:t>world’s</w:t>
      </w:r>
      <w:r w:rsidRPr="005D6102">
        <w:t xml:space="preserve"> permanent magnets </w:t>
      </w:r>
      <w:r w:rsidR="00C054E5" w:rsidRPr="005D6102">
        <w:t xml:space="preserve">— however battery and other manufacturing is </w:t>
      </w:r>
      <w:r w:rsidR="00C054E5" w:rsidRPr="005D6102">
        <w:lastRenderedPageBreak/>
        <w:t>significant. As such, China</w:t>
      </w:r>
      <w:r w:rsidR="002505DF">
        <w:t>’s</w:t>
      </w:r>
      <w:r w:rsidR="00C054E5" w:rsidRPr="005D6102">
        <w:t xml:space="preserve"> </w:t>
      </w:r>
      <w:r w:rsidRPr="005D6102">
        <w:t>rare earths</w:t>
      </w:r>
      <w:r w:rsidR="003252A1" w:rsidRPr="005D6102">
        <w:t xml:space="preserve"> consumption </w:t>
      </w:r>
      <w:r w:rsidR="007E3CCA" w:rsidRPr="005D6102">
        <w:t xml:space="preserve">is expected to continue growing </w:t>
      </w:r>
      <w:r w:rsidRPr="005D6102">
        <w:t>in-line with</w:t>
      </w:r>
      <w:r w:rsidR="000F187D" w:rsidRPr="005D6102">
        <w:t xml:space="preserve"> </w:t>
      </w:r>
      <w:r w:rsidR="007E3CCA" w:rsidRPr="005D6102">
        <w:t xml:space="preserve">manufacturing </w:t>
      </w:r>
      <w:r w:rsidRPr="005D6102">
        <w:t>activity</w:t>
      </w:r>
      <w:r w:rsidR="007E3CCA" w:rsidRPr="005D6102">
        <w:t>,</w:t>
      </w:r>
      <w:r w:rsidR="003252A1" w:rsidRPr="005D6102">
        <w:t xml:space="preserve"> while consumption </w:t>
      </w:r>
      <w:r w:rsidR="00587AD8">
        <w:t xml:space="preserve">growth </w:t>
      </w:r>
      <w:r w:rsidR="003252A1" w:rsidRPr="005D6102">
        <w:t>in other cou</w:t>
      </w:r>
      <w:r w:rsidR="007E3CCA" w:rsidRPr="005D6102">
        <w:t xml:space="preserve">ntries is </w:t>
      </w:r>
      <w:r w:rsidR="00587AD8">
        <w:t xml:space="preserve">expected to be </w:t>
      </w:r>
      <w:r w:rsidR="007E3CCA" w:rsidRPr="005D6102">
        <w:t xml:space="preserve">more stagnant. </w:t>
      </w:r>
    </w:p>
    <w:p w14:paraId="2CBD7092" w14:textId="73619537" w:rsidR="00C33BDE" w:rsidRPr="005D6102" w:rsidRDefault="00C33BDE" w:rsidP="00C33BDE">
      <w:pPr>
        <w:pStyle w:val="Caption"/>
      </w:pPr>
      <w:bookmarkStart w:id="47" w:name="_Toc14958205"/>
      <w:r w:rsidRPr="0078602B">
        <w:t xml:space="preserve">Figure </w:t>
      </w:r>
      <w:r w:rsidR="00F843F6" w:rsidRPr="0078602B">
        <w:rPr>
          <w:noProof/>
        </w:rPr>
        <w:t>3</w:t>
      </w:r>
      <w:r w:rsidRPr="0078602B">
        <w:t>.</w:t>
      </w:r>
      <w:r w:rsidR="000F4B63" w:rsidRPr="0078602B">
        <w:rPr>
          <w:noProof/>
        </w:rPr>
        <w:fldChar w:fldCharType="begin"/>
      </w:r>
      <w:r w:rsidR="000F4B63" w:rsidRPr="0078602B">
        <w:rPr>
          <w:noProof/>
        </w:rPr>
        <w:instrText xml:space="preserve"> SEQ Figure \* ARABIC \s 1 </w:instrText>
      </w:r>
      <w:r w:rsidR="000F4B63" w:rsidRPr="0078602B">
        <w:rPr>
          <w:noProof/>
        </w:rPr>
        <w:fldChar w:fldCharType="separate"/>
      </w:r>
      <w:r w:rsidR="00A7507E">
        <w:rPr>
          <w:noProof/>
        </w:rPr>
        <w:t>1</w:t>
      </w:r>
      <w:r w:rsidR="000F4B63" w:rsidRPr="0078602B">
        <w:rPr>
          <w:noProof/>
        </w:rPr>
        <w:fldChar w:fldCharType="end"/>
      </w:r>
      <w:r w:rsidRPr="0078602B">
        <w:t>: Rare earths consumption 2018, by type and region</w:t>
      </w:r>
      <w:bookmarkEnd w:id="47"/>
    </w:p>
    <w:p w14:paraId="7A946661" w14:textId="77D93BCF" w:rsidR="00C33BDE" w:rsidRPr="005D6102" w:rsidRDefault="00FB4023" w:rsidP="00C33BDE">
      <w:pPr>
        <w:pStyle w:val="Placeholder"/>
      </w:pPr>
      <w:r>
        <w:rPr>
          <w:noProof/>
          <w:lang w:eastAsia="en-AU"/>
        </w:rPr>
        <w:drawing>
          <wp:inline distT="0" distB="0" distL="0" distR="0" wp14:anchorId="63D87E37" wp14:editId="0CC2F311">
            <wp:extent cx="4717597" cy="2748643"/>
            <wp:effectExtent l="0" t="0" r="6985" b="0"/>
            <wp:docPr id="4" name="Chart 4" descr="This chart shows consumption of rare earths by application and major country, higlighting China's large position." title="Figure 3.1: Rare earths consumption 2018, by type and region"/>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1DFA712F" w14:textId="1A60896B" w:rsidR="00C33BDE" w:rsidRPr="005D6102" w:rsidRDefault="0067794B" w:rsidP="00C33BDE">
      <w:pPr>
        <w:pStyle w:val="Source"/>
      </w:pPr>
      <w:r w:rsidRPr="005D6102">
        <w:t>Source: Roskill</w:t>
      </w:r>
      <w:r w:rsidR="00C33BDE" w:rsidRPr="005D6102">
        <w:t xml:space="preserve"> (2018)</w:t>
      </w:r>
      <w:r w:rsidR="0070688F">
        <w:t>,</w:t>
      </w:r>
      <w:r w:rsidR="00C33BDE" w:rsidRPr="005D6102">
        <w:t xml:space="preserve"> </w:t>
      </w:r>
      <w:r w:rsidR="00F34F46" w:rsidRPr="005D6102">
        <w:t xml:space="preserve">Department of Industry, Innovation and Science (2019) </w:t>
      </w:r>
    </w:p>
    <w:p w14:paraId="43CC33F7" w14:textId="6C0399D5" w:rsidR="00D933BB" w:rsidRPr="005D6102" w:rsidRDefault="00D933BB" w:rsidP="00D933BB">
      <w:pPr>
        <w:pStyle w:val="Heading3"/>
      </w:pPr>
      <w:bookmarkStart w:id="48" w:name="_Toc14958169"/>
      <w:r w:rsidRPr="005D6102">
        <w:t>Magnet manufacturing to push</w:t>
      </w:r>
      <w:r w:rsidR="00563553">
        <w:t xml:space="preserve"> up</w:t>
      </w:r>
      <w:r w:rsidRPr="005D6102">
        <w:t xml:space="preserve"> rare earths consumption</w:t>
      </w:r>
      <w:bookmarkEnd w:id="48"/>
      <w:r w:rsidRPr="005D6102">
        <w:t xml:space="preserve"> </w:t>
      </w:r>
    </w:p>
    <w:p w14:paraId="1EB03883" w14:textId="02947F58" w:rsidR="002D6044" w:rsidRPr="005D6102" w:rsidRDefault="00D933BB" w:rsidP="00D94E55">
      <w:pPr>
        <w:pStyle w:val="BodyText"/>
      </w:pPr>
      <w:r w:rsidRPr="005D6102">
        <w:t>Rare earths are primarily u</w:t>
      </w:r>
      <w:r w:rsidR="00D23360" w:rsidRPr="005D6102">
        <w:t>sed in magnet manufacturing (28</w:t>
      </w:r>
      <w:r w:rsidRPr="005D6102">
        <w:t xml:space="preserve"> </w:t>
      </w:r>
      <w:r w:rsidR="00D23360" w:rsidRPr="005D6102">
        <w:t xml:space="preserve">per cent </w:t>
      </w:r>
      <w:r w:rsidRPr="005D6102">
        <w:t>of world consumption), catalysts (22</w:t>
      </w:r>
      <w:r w:rsidR="00D23360" w:rsidRPr="005D6102">
        <w:t xml:space="preserve"> per cent</w:t>
      </w:r>
      <w:r w:rsidRPr="005D6102">
        <w:t>), polishing (13</w:t>
      </w:r>
      <w:r w:rsidR="00D23360" w:rsidRPr="005D6102">
        <w:t xml:space="preserve"> per cent</w:t>
      </w:r>
      <w:r w:rsidRPr="005D6102">
        <w:t>) and batteries (9</w:t>
      </w:r>
      <w:r w:rsidR="00D23360" w:rsidRPr="005D6102">
        <w:t xml:space="preserve"> per cent</w:t>
      </w:r>
      <w:r w:rsidRPr="005D6102">
        <w:t xml:space="preserve">). </w:t>
      </w:r>
      <w:r w:rsidR="00B433CF" w:rsidRPr="005D6102">
        <w:t>Growing markets and technological changes</w:t>
      </w:r>
      <w:r w:rsidR="001667D2">
        <w:t>, particularly in magnet and battery use,</w:t>
      </w:r>
      <w:r w:rsidR="00B433CF" w:rsidRPr="005D6102">
        <w:t xml:space="preserve"> are expected to</w:t>
      </w:r>
      <w:r w:rsidR="00C33BDE" w:rsidRPr="005D6102">
        <w:t xml:space="preserve"> </w:t>
      </w:r>
      <w:r w:rsidR="00B433CF" w:rsidRPr="005D6102">
        <w:t>drive future</w:t>
      </w:r>
      <w:r w:rsidR="00C33BDE" w:rsidRPr="005D6102">
        <w:t xml:space="preserve"> consumption</w:t>
      </w:r>
      <w:r w:rsidR="007E3CCA" w:rsidRPr="005D6102">
        <w:t xml:space="preserve"> </w:t>
      </w:r>
      <w:r w:rsidR="00D71AE9" w:rsidRPr="005D6102">
        <w:t>growth</w:t>
      </w:r>
      <w:r w:rsidR="001667D2">
        <w:t xml:space="preserve"> of more than 5 per cent a year over the next five years</w:t>
      </w:r>
      <w:r w:rsidR="00C33BDE" w:rsidRPr="005D6102">
        <w:t xml:space="preserve">. </w:t>
      </w:r>
    </w:p>
    <w:p w14:paraId="6786FC1E" w14:textId="5B934D28" w:rsidR="002D6044" w:rsidRPr="005D6102" w:rsidRDefault="00EC7280" w:rsidP="00D94E55">
      <w:pPr>
        <w:pStyle w:val="BodyText"/>
      </w:pPr>
      <w:r w:rsidRPr="005D6102">
        <w:t xml:space="preserve">Rare earths used in magnet manufacturing — </w:t>
      </w:r>
      <w:r w:rsidR="00A0545F" w:rsidRPr="005D6102">
        <w:t xml:space="preserve">primarily </w:t>
      </w:r>
      <w:r w:rsidRPr="005D6102">
        <w:t xml:space="preserve">praseodymium, neodymium, dysprosium and lanthanum — are expected to see </w:t>
      </w:r>
      <w:r w:rsidR="001667D2">
        <w:t xml:space="preserve">double digit consumption growth </w:t>
      </w:r>
      <w:r w:rsidRPr="005D6102">
        <w:t>as magnet manufacturing grows</w:t>
      </w:r>
      <w:r w:rsidR="00D71AE9" w:rsidRPr="005D6102">
        <w:t xml:space="preserve"> to support electric vehicle growth, as well as other applications like wind turbines and electric bikes. </w:t>
      </w:r>
    </w:p>
    <w:p w14:paraId="4B441560" w14:textId="44E6C119" w:rsidR="00C33BDE" w:rsidRPr="005D6102" w:rsidRDefault="00D71AE9" w:rsidP="00D94E55">
      <w:pPr>
        <w:pStyle w:val="BodyText"/>
      </w:pPr>
      <w:r w:rsidRPr="005D6102">
        <w:t xml:space="preserve">Expanding battery </w:t>
      </w:r>
      <w:r w:rsidR="002505DF">
        <w:t xml:space="preserve">manufacturing </w:t>
      </w:r>
      <w:r w:rsidRPr="005D6102">
        <w:t xml:space="preserve">will support consumption growth in </w:t>
      </w:r>
      <w:r w:rsidR="00A0545F" w:rsidRPr="005D6102">
        <w:t>lanthanum and cerium</w:t>
      </w:r>
      <w:r w:rsidRPr="005D6102">
        <w:t xml:space="preserve">, </w:t>
      </w:r>
      <w:r w:rsidR="00A0545F" w:rsidRPr="005D6102">
        <w:t xml:space="preserve">outweighing the </w:t>
      </w:r>
      <w:r w:rsidRPr="005D6102">
        <w:t xml:space="preserve">reduction in cerium used in the </w:t>
      </w:r>
      <w:r w:rsidR="00A0545F" w:rsidRPr="005D6102">
        <w:t>catalysts of</w:t>
      </w:r>
      <w:r w:rsidR="00326704" w:rsidRPr="005D6102">
        <w:t xml:space="preserve"> internal combustion engines. </w:t>
      </w:r>
    </w:p>
    <w:p w14:paraId="3E819821" w14:textId="217FD3E3" w:rsidR="00593584" w:rsidRPr="005D6102" w:rsidRDefault="0081518B" w:rsidP="007201EC">
      <w:pPr>
        <w:pStyle w:val="Heading2"/>
        <w:ind w:left="0" w:firstLine="0"/>
      </w:pPr>
      <w:bookmarkStart w:id="49" w:name="_Toc14958167"/>
      <w:bookmarkStart w:id="50" w:name="_Toc15388896"/>
      <w:bookmarkStart w:id="51" w:name="_Toc16143271"/>
      <w:bookmarkStart w:id="52" w:name="_Toc17803342"/>
      <w:r w:rsidRPr="005D6102">
        <w:t>World p</w:t>
      </w:r>
      <w:r w:rsidR="00C33BDE" w:rsidRPr="005D6102">
        <w:t>roduction</w:t>
      </w:r>
      <w:bookmarkEnd w:id="49"/>
      <w:bookmarkEnd w:id="50"/>
      <w:bookmarkEnd w:id="51"/>
      <w:bookmarkEnd w:id="52"/>
    </w:p>
    <w:p w14:paraId="7B210033" w14:textId="1E6539CC" w:rsidR="00F60D37" w:rsidRPr="005D6102" w:rsidRDefault="00F60D37" w:rsidP="00F60D37">
      <w:pPr>
        <w:pStyle w:val="Heading3"/>
      </w:pPr>
      <w:bookmarkStart w:id="53" w:name="_Toc14958168"/>
      <w:r w:rsidRPr="005D6102">
        <w:t xml:space="preserve">China accounts for </w:t>
      </w:r>
      <w:r w:rsidR="009C66E2" w:rsidRPr="005D6102">
        <w:t>77</w:t>
      </w:r>
      <w:r w:rsidR="00D23360" w:rsidRPr="005D6102">
        <w:t xml:space="preserve"> per cent</w:t>
      </w:r>
      <w:r w:rsidRPr="005D6102">
        <w:t xml:space="preserve"> of the world</w:t>
      </w:r>
      <w:r w:rsidR="003F018F">
        <w:t>’</w:t>
      </w:r>
      <w:r w:rsidRPr="005D6102">
        <w:t>s rare earths production</w:t>
      </w:r>
      <w:r w:rsidR="00BC2440" w:rsidRPr="005D6102">
        <w:t>, followed by Australia</w:t>
      </w:r>
      <w:bookmarkEnd w:id="53"/>
    </w:p>
    <w:p w14:paraId="67A79A08" w14:textId="638ABF5C" w:rsidR="00143440" w:rsidRPr="005D6102" w:rsidRDefault="0054352B" w:rsidP="00F60D37">
      <w:pPr>
        <w:pStyle w:val="BodyText"/>
      </w:pPr>
      <w:r w:rsidRPr="005D6102">
        <w:t xml:space="preserve">Low prices and </w:t>
      </w:r>
      <w:r w:rsidR="00A7166B" w:rsidRPr="005D6102">
        <w:t>production quotas</w:t>
      </w:r>
      <w:r w:rsidR="004E6453" w:rsidRPr="005D6102">
        <w:t xml:space="preserve"> </w:t>
      </w:r>
      <w:r w:rsidR="007A32D5" w:rsidRPr="005D6102">
        <w:t>in China have curbed rare earths production</w:t>
      </w:r>
      <w:r w:rsidRPr="005D6102">
        <w:t xml:space="preserve"> </w:t>
      </w:r>
      <w:r w:rsidR="009C66E2" w:rsidRPr="005D6102">
        <w:t>growth; world production</w:t>
      </w:r>
      <w:r w:rsidR="007A32D5" w:rsidRPr="005D6102">
        <w:t xml:space="preserve"> fell for </w:t>
      </w:r>
      <w:r w:rsidR="009C66E2" w:rsidRPr="005D6102">
        <w:t xml:space="preserve">six consecutive years before </w:t>
      </w:r>
      <w:r w:rsidR="00F05775" w:rsidRPr="005D6102">
        <w:t>rebounding</w:t>
      </w:r>
      <w:r w:rsidR="009C66E2" w:rsidRPr="005D6102">
        <w:t xml:space="preserve"> in 2018, to reach </w:t>
      </w:r>
      <w:r w:rsidR="0037468A">
        <w:t xml:space="preserve">an estimated 170 </w:t>
      </w:r>
      <w:r w:rsidR="009C66E2" w:rsidRPr="005D6102">
        <w:t xml:space="preserve">thousand tonnes of rare earth </w:t>
      </w:r>
      <w:r w:rsidR="0037468A">
        <w:t>elements</w:t>
      </w:r>
      <w:r w:rsidR="009C66E2" w:rsidRPr="005D6102">
        <w:t xml:space="preserve">. </w:t>
      </w:r>
      <w:r w:rsidR="00143440" w:rsidRPr="005D6102">
        <w:t xml:space="preserve">In 2018, China accounted for around </w:t>
      </w:r>
      <w:r w:rsidR="002F7CEA" w:rsidRPr="005D6102">
        <w:t>77</w:t>
      </w:r>
      <w:r w:rsidR="00D23360" w:rsidRPr="005D6102">
        <w:t xml:space="preserve"> per cent</w:t>
      </w:r>
      <w:r w:rsidR="00143440" w:rsidRPr="005D6102">
        <w:t xml:space="preserve"> of rare </w:t>
      </w:r>
      <w:r w:rsidR="009F37E5" w:rsidRPr="005D6102">
        <w:t>earth</w:t>
      </w:r>
      <w:r w:rsidR="00143440" w:rsidRPr="005D6102">
        <w:t xml:space="preserve"> mine production, </w:t>
      </w:r>
      <w:r w:rsidR="009F37E5" w:rsidRPr="005D6102">
        <w:t>well ahead of</w:t>
      </w:r>
      <w:r w:rsidR="00143440" w:rsidRPr="005D6102">
        <w:t xml:space="preserve"> Australia (1</w:t>
      </w:r>
      <w:r w:rsidR="002F7CEA" w:rsidRPr="005D6102">
        <w:t>2</w:t>
      </w:r>
      <w:r w:rsidR="00D23360" w:rsidRPr="005D6102">
        <w:t xml:space="preserve"> per cent</w:t>
      </w:r>
      <w:r w:rsidR="00143440" w:rsidRPr="005D6102">
        <w:t xml:space="preserve">) and </w:t>
      </w:r>
      <w:r w:rsidR="002F7CEA" w:rsidRPr="005D6102">
        <w:t>North America (7.1</w:t>
      </w:r>
      <w:r w:rsidR="00D23360" w:rsidRPr="005D6102">
        <w:t xml:space="preserve"> per cent</w:t>
      </w:r>
      <w:r w:rsidR="00143440" w:rsidRPr="005D6102">
        <w:t>). Australia’s production has increased steadily</w:t>
      </w:r>
      <w:r w:rsidR="000F187D" w:rsidRPr="005D6102">
        <w:t>,</w:t>
      </w:r>
      <w:r w:rsidR="00143440" w:rsidRPr="005D6102">
        <w:t xml:space="preserve"> due to Lynas’ Mount Weld operation, </w:t>
      </w:r>
      <w:r w:rsidR="009F37E5" w:rsidRPr="005D6102">
        <w:t>which exports</w:t>
      </w:r>
      <w:r w:rsidR="00143440" w:rsidRPr="005D6102">
        <w:t xml:space="preserve"> rare earth oxides for processing in Malaysia.</w:t>
      </w:r>
      <w:r w:rsidR="002F7CEA" w:rsidRPr="005D6102">
        <w:t xml:space="preserve"> MP Materials’ Mountain Pass operation in the US reopened in 2018</w:t>
      </w:r>
      <w:r w:rsidR="008269AF" w:rsidRPr="005D6102">
        <w:t>,</w:t>
      </w:r>
      <w:r w:rsidR="002F7CEA" w:rsidRPr="005D6102">
        <w:t xml:space="preserve"> and exports bastnasite concentrate to China. </w:t>
      </w:r>
    </w:p>
    <w:p w14:paraId="37D08FF8" w14:textId="4F213A0E" w:rsidR="00B93F09" w:rsidRPr="005D6102" w:rsidRDefault="00E7716D" w:rsidP="00F432A8">
      <w:pPr>
        <w:pStyle w:val="BodyText"/>
        <w:rPr>
          <w:color w:val="373737" w:themeColor="text1"/>
        </w:rPr>
      </w:pPr>
      <w:r w:rsidRPr="005D6102">
        <w:t xml:space="preserve">Within China, production is highly concentrated, with </w:t>
      </w:r>
      <w:r w:rsidRPr="0037468A">
        <w:t>six state-owned entities controlling 75 per cent of mine production</w:t>
      </w:r>
      <w:r w:rsidRPr="005D6102">
        <w:t xml:space="preserve">. </w:t>
      </w:r>
      <w:r w:rsidR="006C456F" w:rsidRPr="005D6102">
        <w:t xml:space="preserve">In the past, </w:t>
      </w:r>
      <w:r w:rsidR="00543FCA" w:rsidRPr="005D6102">
        <w:t>China’s p</w:t>
      </w:r>
      <w:r w:rsidR="009F58A4" w:rsidRPr="005D6102">
        <w:t xml:space="preserve">roduction quotas, export restrictions, environmental controls and </w:t>
      </w:r>
      <w:r w:rsidR="006C456F" w:rsidRPr="005D6102">
        <w:t>efforts to address</w:t>
      </w:r>
      <w:r w:rsidR="00543FCA" w:rsidRPr="005D6102">
        <w:t xml:space="preserve"> illegal production have </w:t>
      </w:r>
      <w:r w:rsidR="00E13ADA" w:rsidRPr="005D6102">
        <w:t xml:space="preserve">caused sharp </w:t>
      </w:r>
      <w:r w:rsidR="00E13ADA" w:rsidRPr="005D6102">
        <w:rPr>
          <w:color w:val="373737" w:themeColor="text1"/>
        </w:rPr>
        <w:t>price spikes</w:t>
      </w:r>
      <w:r w:rsidR="00717A15" w:rsidRPr="005D6102">
        <w:rPr>
          <w:color w:val="373737" w:themeColor="text1"/>
        </w:rPr>
        <w:t xml:space="preserve">. </w:t>
      </w:r>
      <w:r w:rsidR="008D46B2" w:rsidRPr="005D6102">
        <w:rPr>
          <w:color w:val="373737" w:themeColor="text1"/>
        </w:rPr>
        <w:t xml:space="preserve">Tighter environmental controls were introduced in 2016, and environmental inspections in subsequent years have resulted </w:t>
      </w:r>
      <w:r w:rsidR="008D46B2" w:rsidRPr="005D6102">
        <w:rPr>
          <w:color w:val="373737" w:themeColor="text1"/>
        </w:rPr>
        <w:lastRenderedPageBreak/>
        <w:t xml:space="preserve">in capacity closures and </w:t>
      </w:r>
      <w:r w:rsidR="000A7235" w:rsidRPr="005D6102">
        <w:rPr>
          <w:color w:val="373737" w:themeColor="text1"/>
        </w:rPr>
        <w:t>the</w:t>
      </w:r>
      <w:r w:rsidR="008D46B2" w:rsidRPr="005D6102">
        <w:rPr>
          <w:color w:val="373737" w:themeColor="text1"/>
        </w:rPr>
        <w:t xml:space="preserve"> reallocation of productive capacity across the border </w:t>
      </w:r>
      <w:r w:rsidR="000A7235" w:rsidRPr="005D6102">
        <w:rPr>
          <w:color w:val="373737" w:themeColor="text1"/>
        </w:rPr>
        <w:t>to</w:t>
      </w:r>
      <w:r w:rsidR="008D46B2" w:rsidRPr="005D6102">
        <w:rPr>
          <w:color w:val="373737" w:themeColor="text1"/>
        </w:rPr>
        <w:t xml:space="preserve"> Myanmar. </w:t>
      </w:r>
      <w:r w:rsidR="002D6044" w:rsidRPr="005D6102">
        <w:rPr>
          <w:color w:val="373737" w:themeColor="text1"/>
        </w:rPr>
        <w:t xml:space="preserve">The increased </w:t>
      </w:r>
      <w:r w:rsidR="008D46B2" w:rsidRPr="005D6102">
        <w:rPr>
          <w:color w:val="373737" w:themeColor="text1"/>
        </w:rPr>
        <w:t xml:space="preserve">focus on illegal production </w:t>
      </w:r>
      <w:r w:rsidR="002D6044" w:rsidRPr="005D6102">
        <w:rPr>
          <w:color w:val="373737" w:themeColor="text1"/>
        </w:rPr>
        <w:t xml:space="preserve">has also </w:t>
      </w:r>
      <w:r w:rsidR="000A7235" w:rsidRPr="005D6102">
        <w:rPr>
          <w:color w:val="373737" w:themeColor="text1"/>
        </w:rPr>
        <w:t>le</w:t>
      </w:r>
      <w:r w:rsidR="002D6044" w:rsidRPr="005D6102">
        <w:rPr>
          <w:color w:val="373737" w:themeColor="text1"/>
        </w:rPr>
        <w:t xml:space="preserve">d to decreases in </w:t>
      </w:r>
      <w:r w:rsidR="008D46B2" w:rsidRPr="005D6102">
        <w:rPr>
          <w:color w:val="373737" w:themeColor="text1"/>
        </w:rPr>
        <w:t xml:space="preserve">output. </w:t>
      </w:r>
    </w:p>
    <w:p w14:paraId="26AB63EC" w14:textId="77777777" w:rsidR="00E7716D" w:rsidRPr="005D6102" w:rsidRDefault="00E7716D" w:rsidP="00E7716D">
      <w:pPr>
        <w:pStyle w:val="BodyText"/>
      </w:pPr>
      <w:r w:rsidRPr="005D6102">
        <w:t xml:space="preserve">Processing and separation of rare earths predominately occurs in China. Processing requires specific technology for different applications, and there are significant waste processes to manage. </w:t>
      </w:r>
    </w:p>
    <w:p w14:paraId="05BCAFEB" w14:textId="4716A2C2" w:rsidR="002A4D7D" w:rsidRPr="005D6102" w:rsidRDefault="002A4D7D" w:rsidP="00F432A8">
      <w:pPr>
        <w:pStyle w:val="BodyText"/>
        <w:rPr>
          <w:color w:val="373737" w:themeColor="text1"/>
        </w:rPr>
      </w:pPr>
      <w:r w:rsidRPr="005D6102">
        <w:rPr>
          <w:color w:val="373737" w:themeColor="text1"/>
        </w:rPr>
        <w:t xml:space="preserve">Production of rare earths is </w:t>
      </w:r>
      <w:r w:rsidR="0037468A">
        <w:rPr>
          <w:color w:val="373737" w:themeColor="text1"/>
        </w:rPr>
        <w:t>projected</w:t>
      </w:r>
      <w:r w:rsidRPr="005D6102">
        <w:rPr>
          <w:color w:val="373737" w:themeColor="text1"/>
        </w:rPr>
        <w:t xml:space="preserve"> to increase </w:t>
      </w:r>
      <w:r w:rsidR="003E7351" w:rsidRPr="005D6102">
        <w:rPr>
          <w:color w:val="373737" w:themeColor="text1"/>
        </w:rPr>
        <w:t xml:space="preserve">at </w:t>
      </w:r>
      <w:r w:rsidR="0037468A">
        <w:rPr>
          <w:color w:val="373737" w:themeColor="text1"/>
        </w:rPr>
        <w:t xml:space="preserve">around 5 per cent a year </w:t>
      </w:r>
      <w:r w:rsidRPr="00EF3F0B">
        <w:rPr>
          <w:color w:val="373737" w:themeColor="text1"/>
        </w:rPr>
        <w:t xml:space="preserve">over the next five years, </w:t>
      </w:r>
      <w:r w:rsidR="003E7351" w:rsidRPr="00EF3F0B">
        <w:rPr>
          <w:color w:val="373737" w:themeColor="text1"/>
        </w:rPr>
        <w:t>reaching</w:t>
      </w:r>
      <w:r w:rsidRPr="00EF3F0B">
        <w:rPr>
          <w:color w:val="373737" w:themeColor="text1"/>
        </w:rPr>
        <w:t xml:space="preserve"> 2</w:t>
      </w:r>
      <w:r w:rsidR="0037468A" w:rsidRPr="00EF3F0B">
        <w:rPr>
          <w:color w:val="373737" w:themeColor="text1"/>
        </w:rPr>
        <w:t>22</w:t>
      </w:r>
      <w:r w:rsidRPr="00EF3F0B">
        <w:rPr>
          <w:color w:val="373737" w:themeColor="text1"/>
        </w:rPr>
        <w:t xml:space="preserve"> thousand tonnes in 2023</w:t>
      </w:r>
      <w:r w:rsidR="00FC4A43" w:rsidRPr="00EF3F0B">
        <w:rPr>
          <w:color w:val="373737" w:themeColor="text1"/>
        </w:rPr>
        <w:t xml:space="preserve"> (Figure </w:t>
      </w:r>
      <w:r w:rsidR="00F843F6" w:rsidRPr="00EF3F0B">
        <w:rPr>
          <w:color w:val="373737" w:themeColor="text1"/>
        </w:rPr>
        <w:t>3</w:t>
      </w:r>
      <w:r w:rsidR="00FC4A43" w:rsidRPr="00EF3F0B">
        <w:rPr>
          <w:color w:val="373737" w:themeColor="text1"/>
        </w:rPr>
        <w:t>.2)</w:t>
      </w:r>
      <w:r w:rsidRPr="00EF3F0B">
        <w:rPr>
          <w:color w:val="373737" w:themeColor="text1"/>
        </w:rPr>
        <w:t>.</w:t>
      </w:r>
      <w:r w:rsidRPr="005D6102">
        <w:rPr>
          <w:color w:val="373737" w:themeColor="text1"/>
        </w:rPr>
        <w:t xml:space="preserve"> New and expanding production from Australia is expected to contribute </w:t>
      </w:r>
      <w:r w:rsidR="003E7351" w:rsidRPr="005D6102">
        <w:rPr>
          <w:color w:val="373737" w:themeColor="text1"/>
        </w:rPr>
        <w:t>the biggest share of</w:t>
      </w:r>
      <w:r w:rsidRPr="005D6102">
        <w:rPr>
          <w:color w:val="373737" w:themeColor="text1"/>
        </w:rPr>
        <w:t xml:space="preserve"> this growth.</w:t>
      </w:r>
    </w:p>
    <w:p w14:paraId="50F6D311" w14:textId="65E6869C" w:rsidR="00C75B7C" w:rsidRPr="005D6102" w:rsidRDefault="00C75B7C" w:rsidP="00C75B7C">
      <w:pPr>
        <w:pStyle w:val="Caption"/>
      </w:pPr>
      <w:bookmarkStart w:id="54" w:name="_Toc14958204"/>
      <w:r w:rsidRPr="005D6102">
        <w:t xml:space="preserve">Figure </w:t>
      </w:r>
      <w:r w:rsidR="00F843F6" w:rsidRPr="005D6102">
        <w:rPr>
          <w:noProof/>
        </w:rPr>
        <w:t>3</w:t>
      </w:r>
      <w:r w:rsidRPr="005D6102">
        <w:t>.</w:t>
      </w:r>
      <w:r w:rsidR="000F4B63">
        <w:rPr>
          <w:noProof/>
        </w:rPr>
        <w:fldChar w:fldCharType="begin"/>
      </w:r>
      <w:r w:rsidR="000F4B63">
        <w:rPr>
          <w:noProof/>
        </w:rPr>
        <w:instrText xml:space="preserve"> SEQ Figure \* ARABIC \s 1 </w:instrText>
      </w:r>
      <w:r w:rsidR="000F4B63">
        <w:rPr>
          <w:noProof/>
        </w:rPr>
        <w:fldChar w:fldCharType="separate"/>
      </w:r>
      <w:r w:rsidR="00A7507E">
        <w:rPr>
          <w:noProof/>
        </w:rPr>
        <w:t>2</w:t>
      </w:r>
      <w:r w:rsidR="000F4B63">
        <w:rPr>
          <w:noProof/>
        </w:rPr>
        <w:fldChar w:fldCharType="end"/>
      </w:r>
      <w:r w:rsidRPr="005D6102">
        <w:t>: World production of rare earth oxides</w:t>
      </w:r>
      <w:bookmarkEnd w:id="54"/>
      <w:r w:rsidRPr="005D6102">
        <w:t xml:space="preserve"> </w:t>
      </w:r>
    </w:p>
    <w:tbl>
      <w:tblPr>
        <w:tblStyle w:val="OCETable"/>
        <w:tblW w:w="4940" w:type="pct"/>
        <w:tblInd w:w="108" w:type="dxa"/>
        <w:tblLayout w:type="fixed"/>
        <w:tblLook w:val="04A0" w:firstRow="1" w:lastRow="0" w:firstColumn="1" w:lastColumn="0" w:noHBand="0" w:noVBand="1"/>
        <w:tblCaption w:val="Table contains figure 3.2"/>
      </w:tblPr>
      <w:tblGrid>
        <w:gridCol w:w="8799"/>
      </w:tblGrid>
      <w:tr w:rsidR="00C75B7C" w:rsidRPr="005D6102" w14:paraId="7413C4D3" w14:textId="77777777" w:rsidTr="005A723A">
        <w:trPr>
          <w:cnfStyle w:val="100000000000" w:firstRow="1" w:lastRow="0" w:firstColumn="0" w:lastColumn="0" w:oddVBand="0" w:evenVBand="0" w:oddHBand="0" w:evenHBand="0" w:firstRowFirstColumn="0" w:firstRowLastColumn="0" w:lastRowFirstColumn="0" w:lastRowLastColumn="0"/>
          <w:tblHeader/>
        </w:trPr>
        <w:tc>
          <w:tcPr>
            <w:tcW w:w="8799" w:type="dxa"/>
            <w:shd w:val="clear" w:color="auto" w:fill="auto"/>
          </w:tcPr>
          <w:p w14:paraId="20DE6294" w14:textId="171C9EB4" w:rsidR="00C75B7C" w:rsidRDefault="00C75B7C" w:rsidP="00C75B7C">
            <w:pPr>
              <w:pStyle w:val="PlaceholderWide"/>
            </w:pPr>
          </w:p>
          <w:p w14:paraId="280C1F26" w14:textId="6B41B40C" w:rsidR="00F50476" w:rsidRPr="005D6102" w:rsidRDefault="00EB7347" w:rsidP="00C75B7C">
            <w:pPr>
              <w:pStyle w:val="PlaceholderWide"/>
            </w:pPr>
            <w:r>
              <w:rPr>
                <w:noProof/>
                <w:lang w:eastAsia="en-AU"/>
              </w:rPr>
              <w:drawing>
                <wp:inline distT="0" distB="0" distL="0" distR="0" wp14:anchorId="61153655" wp14:editId="366C0084">
                  <wp:extent cx="4862830" cy="2618740"/>
                  <wp:effectExtent l="0" t="0" r="0" b="0"/>
                  <wp:docPr id="2080" name="Picture 2080" descr="World production of rare earth oxides out to 2023." title="Figure 3.2: World production of rare earth oxid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gibbons\AppData\Local\Microsoft\Windows\INetCache\Content.Word\Charts new_3.2.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862830" cy="2618740"/>
                          </a:xfrm>
                          <a:prstGeom prst="rect">
                            <a:avLst/>
                          </a:prstGeom>
                          <a:noFill/>
                          <a:ln>
                            <a:noFill/>
                          </a:ln>
                        </pic:spPr>
                      </pic:pic>
                    </a:graphicData>
                  </a:graphic>
                </wp:inline>
              </w:drawing>
            </w:r>
          </w:p>
        </w:tc>
      </w:tr>
    </w:tbl>
    <w:p w14:paraId="206F5835" w14:textId="35105ECC" w:rsidR="00C75B7C" w:rsidRPr="005D6102" w:rsidRDefault="00C75B7C" w:rsidP="00C75B7C">
      <w:pPr>
        <w:pStyle w:val="Source"/>
      </w:pPr>
      <w:r w:rsidRPr="005D6102">
        <w:t xml:space="preserve">Source: </w:t>
      </w:r>
      <w:r w:rsidR="00D2679B">
        <w:t>United States Geological S</w:t>
      </w:r>
      <w:r w:rsidR="003F4DD1">
        <w:t>urvey</w:t>
      </w:r>
      <w:r w:rsidR="00D2679B">
        <w:t xml:space="preserve"> (2019), </w:t>
      </w:r>
      <w:r w:rsidR="00D2679B" w:rsidRPr="005D6102">
        <w:t>Department of Industry, Innovation and Science (2019)</w:t>
      </w:r>
    </w:p>
    <w:p w14:paraId="7ED3822F" w14:textId="7CBE72A0" w:rsidR="001568F4" w:rsidRPr="005D6102" w:rsidRDefault="001568F4" w:rsidP="00C57913">
      <w:pPr>
        <w:pStyle w:val="Heading2"/>
        <w:ind w:left="0" w:firstLine="0"/>
      </w:pPr>
      <w:bookmarkStart w:id="55" w:name="_Toc15388897"/>
      <w:bookmarkStart w:id="56" w:name="_Toc16143272"/>
      <w:bookmarkStart w:id="57" w:name="_Toc17803343"/>
      <w:r w:rsidRPr="005D6102">
        <w:t>M</w:t>
      </w:r>
      <w:r w:rsidR="005175F2" w:rsidRPr="005D6102">
        <w:t>arket outlook</w:t>
      </w:r>
      <w:bookmarkEnd w:id="55"/>
      <w:bookmarkEnd w:id="56"/>
      <w:bookmarkEnd w:id="57"/>
    </w:p>
    <w:p w14:paraId="3356D6B1" w14:textId="3F4A2925" w:rsidR="00D933BB" w:rsidRPr="005D6102" w:rsidRDefault="00FA5787" w:rsidP="00FF769C">
      <w:pPr>
        <w:pStyle w:val="BodyText"/>
      </w:pPr>
      <w:r w:rsidRPr="005D6102">
        <w:t>The outlook for individual rare earth</w:t>
      </w:r>
      <w:r w:rsidR="00872BC8" w:rsidRPr="005D6102">
        <w:t>s</w:t>
      </w:r>
      <w:r w:rsidRPr="005D6102">
        <w:t xml:space="preserve"> </w:t>
      </w:r>
      <w:r w:rsidR="00840F54" w:rsidRPr="005D6102">
        <w:t xml:space="preserve">varies; oversupply is expected in some </w:t>
      </w:r>
      <w:r w:rsidR="00ED56B3" w:rsidRPr="005D6102">
        <w:t xml:space="preserve">rare earth </w:t>
      </w:r>
      <w:r w:rsidR="00840F54" w:rsidRPr="005D6102">
        <w:t>element markets, like lanthanum, whereas the market for neodymium is expected to remain tight.</w:t>
      </w:r>
      <w:r w:rsidRPr="005D6102">
        <w:t xml:space="preserve"> In the past, </w:t>
      </w:r>
      <w:r w:rsidR="00210D2F" w:rsidRPr="005D6102">
        <w:t xml:space="preserve">oversupply has led to </w:t>
      </w:r>
      <w:r w:rsidRPr="005D6102">
        <w:t xml:space="preserve">low prices and stockpiling. </w:t>
      </w:r>
      <w:r w:rsidR="00D97B1E">
        <w:t xml:space="preserve">Consumption is expected to increase, particularly in magnet and battery end use markets (Figure 3.3). </w:t>
      </w:r>
      <w:r w:rsidRPr="005D6102">
        <w:t>Prices for rare earth</w:t>
      </w:r>
      <w:r w:rsidR="00872BC8" w:rsidRPr="005D6102">
        <w:t>s</w:t>
      </w:r>
      <w:r w:rsidRPr="005D6102">
        <w:t xml:space="preserve"> used in magnet production grew steadily in mid-2019, due to fears of undersupply relating to US-China trade tensions. </w:t>
      </w:r>
      <w:r w:rsidR="00FF769C" w:rsidRPr="005D6102">
        <w:t xml:space="preserve">Prices of heavy rare earths (including dysprosium and terbium) have seen </w:t>
      </w:r>
      <w:r w:rsidR="00400E3D" w:rsidRPr="005D6102">
        <w:t>high</w:t>
      </w:r>
      <w:r w:rsidR="00FF769C" w:rsidRPr="005D6102">
        <w:t xml:space="preserve"> volatility in 2019</w:t>
      </w:r>
      <w:r w:rsidR="00840F54" w:rsidRPr="005D6102">
        <w:t xml:space="preserve">, due to supply constraints </w:t>
      </w:r>
      <w:r w:rsidR="00400E3D" w:rsidRPr="005D6102">
        <w:t xml:space="preserve">— </w:t>
      </w:r>
      <w:r w:rsidR="00840F54" w:rsidRPr="005D6102">
        <w:t xml:space="preserve">including the closure of the trade port between </w:t>
      </w:r>
      <w:r w:rsidR="00BF1491">
        <w:t xml:space="preserve">at the </w:t>
      </w:r>
      <w:r w:rsidR="00D933BB" w:rsidRPr="005D6102">
        <w:t xml:space="preserve">China-Myanmar border </w:t>
      </w:r>
      <w:r w:rsidR="00B0245B" w:rsidRPr="005D6102">
        <w:t xml:space="preserve">in </w:t>
      </w:r>
      <w:r w:rsidR="00840F54" w:rsidRPr="005D6102">
        <w:t xml:space="preserve">May and </w:t>
      </w:r>
      <w:r w:rsidR="004B0EFC">
        <w:t xml:space="preserve">other </w:t>
      </w:r>
      <w:r w:rsidR="00840F54" w:rsidRPr="005D6102">
        <w:t xml:space="preserve">closures </w:t>
      </w:r>
      <w:r w:rsidR="00CA384F">
        <w:t xml:space="preserve">for </w:t>
      </w:r>
      <w:r w:rsidR="00840F54" w:rsidRPr="005D6102">
        <w:t xml:space="preserve">environmental </w:t>
      </w:r>
      <w:r w:rsidR="00CA384F">
        <w:t>purposes</w:t>
      </w:r>
      <w:r w:rsidR="00840F54" w:rsidRPr="005D6102">
        <w:t>.</w:t>
      </w:r>
    </w:p>
    <w:p w14:paraId="4F1C1F76" w14:textId="1EECA450" w:rsidR="00953074" w:rsidRPr="005D6102" w:rsidRDefault="00FF769C" w:rsidP="00953074">
      <w:pPr>
        <w:pStyle w:val="BodyText"/>
      </w:pPr>
      <w:r w:rsidRPr="005D6102">
        <w:t>In mid-2019</w:t>
      </w:r>
      <w:r w:rsidR="00400E3D" w:rsidRPr="005D6102">
        <w:t>,</w:t>
      </w:r>
      <w:r w:rsidRPr="005D6102">
        <w:t xml:space="preserve"> </w:t>
      </w:r>
      <w:r w:rsidR="00FA5787" w:rsidRPr="005D6102">
        <w:t>China imposed a 25</w:t>
      </w:r>
      <w:r w:rsidR="00D23360" w:rsidRPr="005D6102">
        <w:t xml:space="preserve"> per cent</w:t>
      </w:r>
      <w:r w:rsidR="00FA5787" w:rsidRPr="005D6102">
        <w:t xml:space="preserve"> tariff on rare earth imports from the </w:t>
      </w:r>
      <w:r w:rsidR="008D4725" w:rsidRPr="005D6102">
        <w:t>US</w:t>
      </w:r>
      <w:r w:rsidR="009052E7" w:rsidRPr="005D6102">
        <w:t>, which makes US</w:t>
      </w:r>
      <w:r w:rsidR="000F187D" w:rsidRPr="005D6102">
        <w:t>-</w:t>
      </w:r>
      <w:r w:rsidR="009052E7" w:rsidRPr="005D6102">
        <w:t xml:space="preserve">produced rare earth oxides more expensive </w:t>
      </w:r>
      <w:r w:rsidR="001A030C" w:rsidRPr="005D6102">
        <w:t xml:space="preserve">when imported </w:t>
      </w:r>
      <w:r w:rsidR="009052E7" w:rsidRPr="005D6102">
        <w:t>for processing in China. The outlook f</w:t>
      </w:r>
      <w:r w:rsidR="000F187D" w:rsidRPr="005D6102">
        <w:t xml:space="preserve">or </w:t>
      </w:r>
      <w:r w:rsidR="00603FE8" w:rsidRPr="005D6102">
        <w:t>r</w:t>
      </w:r>
      <w:r w:rsidR="009052E7" w:rsidRPr="005D6102">
        <w:t xml:space="preserve">are earths </w:t>
      </w:r>
      <w:r w:rsidR="00400E3D" w:rsidRPr="005D6102">
        <w:t>depends</w:t>
      </w:r>
      <w:r w:rsidR="000F187D" w:rsidRPr="005D6102">
        <w:t>,</w:t>
      </w:r>
      <w:r w:rsidR="009052E7" w:rsidRPr="005D6102">
        <w:t xml:space="preserve"> </w:t>
      </w:r>
      <w:r w:rsidR="008D4725" w:rsidRPr="005D6102">
        <w:t>in part</w:t>
      </w:r>
      <w:r w:rsidR="000F187D" w:rsidRPr="005D6102">
        <w:t>,</w:t>
      </w:r>
      <w:r w:rsidR="008D4725" w:rsidRPr="005D6102">
        <w:t xml:space="preserve"> </w:t>
      </w:r>
      <w:r w:rsidR="009052E7" w:rsidRPr="005D6102">
        <w:t xml:space="preserve">on whether there are further tariffs applied or export controls introduced. </w:t>
      </w:r>
    </w:p>
    <w:p w14:paraId="761A8847" w14:textId="4B121AD2" w:rsidR="000032EB" w:rsidRPr="000032EB" w:rsidRDefault="00953074" w:rsidP="003003EB">
      <w:pPr>
        <w:pStyle w:val="Caption"/>
      </w:pPr>
      <w:r w:rsidRPr="005D6102">
        <w:lastRenderedPageBreak/>
        <w:t xml:space="preserve">Figure </w:t>
      </w:r>
      <w:r w:rsidR="00F843F6" w:rsidRPr="005D6102">
        <w:rPr>
          <w:noProof/>
        </w:rPr>
        <w:t>3</w:t>
      </w:r>
      <w:r w:rsidRPr="005D6102">
        <w:t>.</w:t>
      </w:r>
      <w:r w:rsidR="000F4B63">
        <w:rPr>
          <w:noProof/>
        </w:rPr>
        <w:fldChar w:fldCharType="begin"/>
      </w:r>
      <w:r w:rsidR="000F4B63">
        <w:rPr>
          <w:noProof/>
        </w:rPr>
        <w:instrText xml:space="preserve"> SEQ Figure \* ARABIC \s 1 </w:instrText>
      </w:r>
      <w:r w:rsidR="000F4B63">
        <w:rPr>
          <w:noProof/>
        </w:rPr>
        <w:fldChar w:fldCharType="separate"/>
      </w:r>
      <w:r w:rsidR="00A7507E">
        <w:rPr>
          <w:noProof/>
        </w:rPr>
        <w:t>3</w:t>
      </w:r>
      <w:r w:rsidR="000F4B63">
        <w:rPr>
          <w:noProof/>
        </w:rPr>
        <w:fldChar w:fldCharType="end"/>
      </w:r>
      <w:r w:rsidRPr="005D6102">
        <w:t>: Forecast rare earth consumption, by usage type</w:t>
      </w:r>
    </w:p>
    <w:p w14:paraId="510B6F83" w14:textId="560A91AD" w:rsidR="003003EB" w:rsidRPr="000032EB" w:rsidRDefault="003003EB" w:rsidP="000032EB">
      <w:pPr>
        <w:pStyle w:val="Placeholder"/>
      </w:pPr>
      <w:r>
        <w:rPr>
          <w:noProof/>
          <w:lang w:eastAsia="en-AU"/>
        </w:rPr>
        <w:drawing>
          <wp:inline distT="0" distB="0" distL="0" distR="0" wp14:anchorId="265A79B9" wp14:editId="73753597">
            <wp:extent cx="4914900" cy="2524760"/>
            <wp:effectExtent l="0" t="0" r="0" b="0"/>
            <wp:docPr id="2" name="Picture 2" descr="Rare earch consumption by usage type, out to 2028." title="Figure 3.3: Forecast rare earth consum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gibbons\AppData\Local\Microsoft\Windows\INetCache\Content.Word\Charts new_3.3.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914900" cy="2524760"/>
                    </a:xfrm>
                    <a:prstGeom prst="rect">
                      <a:avLst/>
                    </a:prstGeom>
                    <a:noFill/>
                    <a:ln>
                      <a:noFill/>
                    </a:ln>
                  </pic:spPr>
                </pic:pic>
              </a:graphicData>
            </a:graphic>
          </wp:inline>
        </w:drawing>
      </w:r>
    </w:p>
    <w:p w14:paraId="0DCE3AC6" w14:textId="06316D60" w:rsidR="00953074" w:rsidRPr="005D6102" w:rsidRDefault="00953074" w:rsidP="00953074">
      <w:pPr>
        <w:pStyle w:val="Source"/>
      </w:pPr>
      <w:r w:rsidRPr="005D6102">
        <w:t>Source: Roskill (2018)</w:t>
      </w:r>
      <w:r w:rsidR="008A668B">
        <w:t>,</w:t>
      </w:r>
      <w:r w:rsidRPr="005D6102">
        <w:t xml:space="preserve"> </w:t>
      </w:r>
      <w:r w:rsidR="008A668B">
        <w:t xml:space="preserve">United States Geological </w:t>
      </w:r>
      <w:r w:rsidR="00E8251C">
        <w:t>Survey</w:t>
      </w:r>
      <w:r w:rsidR="008A668B">
        <w:t xml:space="preserve"> (2019),</w:t>
      </w:r>
      <w:r w:rsidRPr="005D6102">
        <w:t xml:space="preserve"> Department of Industry, Innovation and Science (2019)</w:t>
      </w:r>
    </w:p>
    <w:p w14:paraId="718BD855" w14:textId="59EE26D0" w:rsidR="00AC78AA" w:rsidRPr="005D6102" w:rsidRDefault="001A030C" w:rsidP="00AC78AA">
      <w:pPr>
        <w:pStyle w:val="BodyText"/>
      </w:pPr>
      <w:r w:rsidRPr="005D6102">
        <w:t xml:space="preserve">Prices for rare earths used in magnets and batteries are expected to grow </w:t>
      </w:r>
      <w:r w:rsidR="00396632" w:rsidRPr="005D6102">
        <w:t>substantially</w:t>
      </w:r>
      <w:r w:rsidRPr="005D6102">
        <w:t xml:space="preserve"> over the </w:t>
      </w:r>
      <w:r w:rsidR="00026F6C" w:rsidRPr="005D6102">
        <w:t>medium term</w:t>
      </w:r>
      <w:r w:rsidR="00AE0DB2" w:rsidRPr="005D6102">
        <w:t>, while markets for other elements are expected to be</w:t>
      </w:r>
      <w:r w:rsidR="004F2073" w:rsidRPr="005D6102">
        <w:t xml:space="preserve"> more balanced</w:t>
      </w:r>
      <w:r w:rsidRPr="005D6102">
        <w:t xml:space="preserve">. </w:t>
      </w:r>
      <w:r w:rsidR="00026F6C" w:rsidRPr="005D6102">
        <w:t>P</w:t>
      </w:r>
      <w:r w:rsidRPr="005D6102">
        <w:t xml:space="preserve">raseodymium and neodymium </w:t>
      </w:r>
      <w:r w:rsidR="00453E4E" w:rsidRPr="005D6102">
        <w:t xml:space="preserve">prices </w:t>
      </w:r>
      <w:r w:rsidRPr="005D6102">
        <w:t xml:space="preserve">are forecast to increase by </w:t>
      </w:r>
      <w:r w:rsidR="00803B89">
        <w:t xml:space="preserve">5-10 per cent over the next five years. </w:t>
      </w:r>
      <w:r w:rsidR="002505DF" w:rsidRPr="005D6102">
        <w:t>(Figure 3.4)</w:t>
      </w:r>
      <w:r w:rsidR="00453E4E" w:rsidRPr="005D6102">
        <w:t xml:space="preserve">. </w:t>
      </w:r>
    </w:p>
    <w:p w14:paraId="1CF71790" w14:textId="08D881D5" w:rsidR="00AC78AA" w:rsidRPr="005D6102" w:rsidRDefault="00AC78AA" w:rsidP="00AC78AA">
      <w:pPr>
        <w:pStyle w:val="Caption"/>
      </w:pPr>
      <w:bookmarkStart w:id="58" w:name="_Toc14958207"/>
      <w:r w:rsidRPr="005D6102">
        <w:t xml:space="preserve">Figure </w:t>
      </w:r>
      <w:r w:rsidRPr="005D6102">
        <w:rPr>
          <w:noProof/>
        </w:rPr>
        <w:t>3</w:t>
      </w:r>
      <w:r w:rsidRPr="005D6102">
        <w:t>.</w:t>
      </w:r>
      <w:r w:rsidR="000F4B63">
        <w:rPr>
          <w:noProof/>
        </w:rPr>
        <w:fldChar w:fldCharType="begin"/>
      </w:r>
      <w:r w:rsidR="000F4B63">
        <w:rPr>
          <w:noProof/>
        </w:rPr>
        <w:instrText xml:space="preserve"> SEQ Figure \* ARABIC \s 1 </w:instrText>
      </w:r>
      <w:r w:rsidR="000F4B63">
        <w:rPr>
          <w:noProof/>
        </w:rPr>
        <w:fldChar w:fldCharType="separate"/>
      </w:r>
      <w:r w:rsidR="00A7507E">
        <w:rPr>
          <w:noProof/>
        </w:rPr>
        <w:t>4</w:t>
      </w:r>
      <w:r w:rsidR="000F4B63">
        <w:rPr>
          <w:noProof/>
        </w:rPr>
        <w:fldChar w:fldCharType="end"/>
      </w:r>
      <w:r w:rsidRPr="005D6102">
        <w:t>: Price outlook for select rare earths, China FOB</w:t>
      </w:r>
      <w:bookmarkEnd w:id="58"/>
      <w:r w:rsidRPr="005D6102">
        <w:t xml:space="preserve"> </w:t>
      </w:r>
    </w:p>
    <w:p w14:paraId="0B875B53" w14:textId="25A96764" w:rsidR="003003EB" w:rsidRPr="003003EB" w:rsidRDefault="003003EB" w:rsidP="003003EB">
      <w:pPr>
        <w:pStyle w:val="Placeholder"/>
      </w:pPr>
      <w:r>
        <w:rPr>
          <w:noProof/>
          <w:lang w:eastAsia="en-AU"/>
        </w:rPr>
        <w:drawing>
          <wp:inline distT="0" distB="0" distL="0" distR="0" wp14:anchorId="2CF855E3" wp14:editId="7295DCE3">
            <wp:extent cx="4862830" cy="2514600"/>
            <wp:effectExtent l="0" t="0" r="0" b="0"/>
            <wp:docPr id="5" name="Picture 5" descr="Projection for prices of rare earths out to 2030." title="Figure 3.4: Price outook for select rare earths, China F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gibbons\AppData\Local\Microsoft\Windows\INetCache\Content.Word\Charts new_3.4.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862830" cy="2514600"/>
                    </a:xfrm>
                    <a:prstGeom prst="rect">
                      <a:avLst/>
                    </a:prstGeom>
                    <a:noFill/>
                    <a:ln>
                      <a:noFill/>
                    </a:ln>
                  </pic:spPr>
                </pic:pic>
              </a:graphicData>
            </a:graphic>
          </wp:inline>
        </w:drawing>
      </w:r>
    </w:p>
    <w:p w14:paraId="1F9BA703" w14:textId="3E3A5E21" w:rsidR="00AC78AA" w:rsidRPr="005D6102" w:rsidRDefault="00AC78AA" w:rsidP="00AC78AA">
      <w:pPr>
        <w:pStyle w:val="Note"/>
      </w:pPr>
      <w:r w:rsidRPr="005D6102">
        <w:t>Notes: NdPr -oxides neodymium and praseodymium oxides</w:t>
      </w:r>
      <w:r w:rsidR="00E92210">
        <w:t>, lanthanum and cerium prices are represented as an average</w:t>
      </w:r>
    </w:p>
    <w:p w14:paraId="3162F0A9" w14:textId="6039FFEA" w:rsidR="00AC78AA" w:rsidRPr="005D6102" w:rsidRDefault="00AC78AA" w:rsidP="00AC78AA">
      <w:pPr>
        <w:pStyle w:val="Source"/>
      </w:pPr>
      <w:r w:rsidRPr="005D6102">
        <w:t>Source: Roskill (2018)</w:t>
      </w:r>
      <w:r w:rsidR="00E35D45">
        <w:t xml:space="preserve">, </w:t>
      </w:r>
      <w:r w:rsidR="00E35D45" w:rsidRPr="005D6102">
        <w:t>Department of Industry, Innovation and Science (2019)</w:t>
      </w:r>
    </w:p>
    <w:p w14:paraId="0B6057D2" w14:textId="5E857291" w:rsidR="00B604CB" w:rsidRPr="005D6102" w:rsidRDefault="00A612B5" w:rsidP="00953074">
      <w:pPr>
        <w:pStyle w:val="BodyText"/>
      </w:pPr>
      <w:r w:rsidRPr="005D6102">
        <w:t>Prices for heavy rare earths are expected to increase</w:t>
      </w:r>
      <w:r w:rsidR="00AC78AA" w:rsidRPr="005D6102">
        <w:t xml:space="preserve">; consumption is expected to grow and </w:t>
      </w:r>
      <w:r w:rsidRPr="005D6102">
        <w:t>the issues constraining current</w:t>
      </w:r>
      <w:r w:rsidR="00FF769C" w:rsidRPr="005D6102">
        <w:t xml:space="preserve"> </w:t>
      </w:r>
      <w:r w:rsidRPr="005D6102">
        <w:t xml:space="preserve">production are not likely to be resolved in the near-term. </w:t>
      </w:r>
      <w:r w:rsidR="00A64FBB">
        <w:t>Near</w:t>
      </w:r>
      <w:r w:rsidR="00BF1491">
        <w:t xml:space="preserve"> </w:t>
      </w:r>
      <w:r w:rsidR="00A64FBB">
        <w:t>term price increases</w:t>
      </w:r>
      <w:r w:rsidR="00F30053">
        <w:t xml:space="preserve"> are expected to be maintained over the outlook period</w:t>
      </w:r>
      <w:r w:rsidR="00A001BA">
        <w:t>;</w:t>
      </w:r>
      <w:r w:rsidR="00F30053">
        <w:t xml:space="preserve"> however growth in electric vehicles, magnet manufacturing and production constraints influence the variability </w:t>
      </w:r>
      <w:r w:rsidR="00A001BA">
        <w:t>in</w:t>
      </w:r>
      <w:r w:rsidR="00F30053">
        <w:t xml:space="preserve"> this forecast</w:t>
      </w:r>
      <w:r w:rsidR="00AC78AA" w:rsidRPr="00EF3F0B" w:rsidDel="00C056CB">
        <w:t xml:space="preserve"> </w:t>
      </w:r>
      <w:r w:rsidR="00AC78AA" w:rsidRPr="00EF3F0B">
        <w:t>(Figure 3.5)</w:t>
      </w:r>
      <w:r w:rsidR="00453E4E" w:rsidRPr="00EF3F0B">
        <w:t>.</w:t>
      </w:r>
    </w:p>
    <w:p w14:paraId="2DB993BB" w14:textId="40891418" w:rsidR="00AC78AA" w:rsidRPr="005D6102" w:rsidRDefault="00AC78AA" w:rsidP="009749EF">
      <w:pPr>
        <w:pStyle w:val="Caption"/>
      </w:pPr>
      <w:r w:rsidRPr="005D6102">
        <w:lastRenderedPageBreak/>
        <w:t>Figure 3.</w:t>
      </w:r>
      <w:r w:rsidR="000F4B63">
        <w:rPr>
          <w:noProof/>
        </w:rPr>
        <w:fldChar w:fldCharType="begin"/>
      </w:r>
      <w:r w:rsidR="000F4B63">
        <w:rPr>
          <w:noProof/>
        </w:rPr>
        <w:instrText xml:space="preserve"> SEQ Figure \* ARABIC \s 1 </w:instrText>
      </w:r>
      <w:r w:rsidR="000F4B63">
        <w:rPr>
          <w:noProof/>
        </w:rPr>
        <w:fldChar w:fldCharType="separate"/>
      </w:r>
      <w:r w:rsidR="00A7507E">
        <w:rPr>
          <w:noProof/>
        </w:rPr>
        <w:t>5</w:t>
      </w:r>
      <w:r w:rsidR="000F4B63">
        <w:rPr>
          <w:noProof/>
        </w:rPr>
        <w:fldChar w:fldCharType="end"/>
      </w:r>
      <w:r w:rsidRPr="005D6102">
        <w:t>: Price</w:t>
      </w:r>
      <w:r w:rsidRPr="005D6102" w:rsidDel="0078602B">
        <w:t xml:space="preserve"> </w:t>
      </w:r>
      <w:r w:rsidRPr="005D6102">
        <w:t>outlook for dysprosium</w:t>
      </w:r>
    </w:p>
    <w:tbl>
      <w:tblPr>
        <w:tblStyle w:val="OCETable"/>
        <w:tblW w:w="4940" w:type="pct"/>
        <w:tblInd w:w="108" w:type="dxa"/>
        <w:tblLayout w:type="fixed"/>
        <w:tblLook w:val="04A0" w:firstRow="1" w:lastRow="0" w:firstColumn="1" w:lastColumn="0" w:noHBand="0" w:noVBand="1"/>
        <w:tblCaption w:val="Table contains figure 3.5"/>
      </w:tblPr>
      <w:tblGrid>
        <w:gridCol w:w="8799"/>
      </w:tblGrid>
      <w:tr w:rsidR="00AC78AA" w:rsidRPr="005D6102" w14:paraId="1DF75B83" w14:textId="77777777" w:rsidTr="0070688F">
        <w:trPr>
          <w:cnfStyle w:val="100000000000" w:firstRow="1" w:lastRow="0" w:firstColumn="0" w:lastColumn="0" w:oddVBand="0" w:evenVBand="0" w:oddHBand="0" w:evenHBand="0" w:firstRowFirstColumn="0" w:firstRowLastColumn="0" w:lastRowFirstColumn="0" w:lastRowLastColumn="0"/>
          <w:tblHeader/>
        </w:trPr>
        <w:tc>
          <w:tcPr>
            <w:tcW w:w="8799" w:type="dxa"/>
            <w:shd w:val="clear" w:color="auto" w:fill="auto"/>
          </w:tcPr>
          <w:p w14:paraId="43653D8E" w14:textId="222346B4" w:rsidR="00AC78AA" w:rsidRPr="005D6102" w:rsidRDefault="003003EB" w:rsidP="009749EF">
            <w:pPr>
              <w:pStyle w:val="PlaceholderWide"/>
            </w:pPr>
            <w:r>
              <w:rPr>
                <w:noProof/>
                <w:lang w:eastAsia="en-AU"/>
              </w:rPr>
              <w:drawing>
                <wp:inline distT="0" distB="0" distL="0" distR="0" wp14:anchorId="3E15A9F4" wp14:editId="7A47D431">
                  <wp:extent cx="4862830" cy="2660015"/>
                  <wp:effectExtent l="0" t="0" r="0" b="6985"/>
                  <wp:docPr id="9" name="Picture 9" descr="Dysprosium price forecast out to 2030." title="Figure 3.5: Price outlook for dyspros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gibbons\AppData\Local\Microsoft\Windows\INetCache\Content.Word\Charts new_3.5.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862830" cy="2660015"/>
                          </a:xfrm>
                          <a:prstGeom prst="rect">
                            <a:avLst/>
                          </a:prstGeom>
                          <a:noFill/>
                          <a:ln>
                            <a:noFill/>
                          </a:ln>
                        </pic:spPr>
                      </pic:pic>
                    </a:graphicData>
                  </a:graphic>
                </wp:inline>
              </w:drawing>
            </w:r>
          </w:p>
        </w:tc>
      </w:tr>
    </w:tbl>
    <w:p w14:paraId="4DF9C487" w14:textId="4F36DB2B" w:rsidR="00AC78AA" w:rsidRPr="005D6102" w:rsidRDefault="00AC78AA" w:rsidP="009749EF">
      <w:pPr>
        <w:pStyle w:val="Source"/>
      </w:pPr>
      <w:r w:rsidRPr="005D6102">
        <w:t>Source: Roskill (2019)</w:t>
      </w:r>
      <w:r w:rsidR="00B13575">
        <w:t xml:space="preserve">, </w:t>
      </w:r>
      <w:r w:rsidR="00B13575" w:rsidRPr="005D6102">
        <w:t>Department of Industry, Innovation and Science (2019)</w:t>
      </w:r>
    </w:p>
    <w:p w14:paraId="76BF6BAF" w14:textId="0C2637FA" w:rsidR="00254B19" w:rsidRPr="005D6102" w:rsidRDefault="003C0AAE" w:rsidP="00254B19">
      <w:pPr>
        <w:pStyle w:val="Heading2"/>
      </w:pPr>
      <w:bookmarkStart w:id="59" w:name="_Toc15388898"/>
      <w:bookmarkStart w:id="60" w:name="_Toc16143273"/>
      <w:bookmarkStart w:id="61" w:name="_Toc17803344"/>
      <w:bookmarkStart w:id="62" w:name="_Toc14958170"/>
      <w:r w:rsidRPr="005D6102">
        <w:t>Australia</w:t>
      </w:r>
      <w:bookmarkEnd w:id="59"/>
      <w:bookmarkEnd w:id="60"/>
      <w:bookmarkEnd w:id="61"/>
    </w:p>
    <w:p w14:paraId="046461FA" w14:textId="4D63A4AF" w:rsidR="00CD3EEE" w:rsidRPr="005D6102" w:rsidRDefault="00F75CB0" w:rsidP="00796A56">
      <w:pPr>
        <w:pStyle w:val="Heading3"/>
      </w:pPr>
      <w:r w:rsidRPr="005D6102">
        <w:t xml:space="preserve">Australia has </w:t>
      </w:r>
      <w:r w:rsidR="002602AA" w:rsidRPr="005D6102">
        <w:t xml:space="preserve">high quality deposits and </w:t>
      </w:r>
      <w:r w:rsidR="001F5ADA" w:rsidRPr="005D6102">
        <w:t xml:space="preserve">the </w:t>
      </w:r>
      <w:r w:rsidRPr="005D6102">
        <w:t>potential to increase production</w:t>
      </w:r>
      <w:bookmarkEnd w:id="62"/>
      <w:r w:rsidRPr="005D6102">
        <w:t xml:space="preserve"> </w:t>
      </w:r>
    </w:p>
    <w:p w14:paraId="42CD01C4" w14:textId="35B55F21" w:rsidR="004F2073" w:rsidRPr="005D6102" w:rsidRDefault="004F2073" w:rsidP="00CD3EEE">
      <w:pPr>
        <w:pStyle w:val="BodyText"/>
      </w:pPr>
      <w:r w:rsidRPr="005D6102">
        <w:t>Australia’s rare earth deposits are distributed across the country</w:t>
      </w:r>
      <w:r w:rsidR="00BF1491">
        <w:t>,</w:t>
      </w:r>
      <w:r w:rsidRPr="005D6102">
        <w:t xml:space="preserve"> and Australia has the potential to supply both light and heavy rare earths. Historically, production was mostly sourced from mineral sands</w:t>
      </w:r>
      <w:r w:rsidR="002064C7">
        <w:t>;</w:t>
      </w:r>
      <w:r w:rsidRPr="005D6102">
        <w:t xml:space="preserve"> however rare earths deposits have now been discovered in a greater range of geological settings</w:t>
      </w:r>
      <w:r w:rsidR="00BF1491">
        <w:t>,</w:t>
      </w:r>
      <w:r w:rsidRPr="005D6102">
        <w:t xml:space="preserve"> and there are projects operating or developing in most states.</w:t>
      </w:r>
    </w:p>
    <w:p w14:paraId="5586098A" w14:textId="16F8C4AE" w:rsidR="001E42E5" w:rsidRPr="005D6102" w:rsidRDefault="001E42E5" w:rsidP="001E42E5">
      <w:pPr>
        <w:pStyle w:val="Caption"/>
      </w:pPr>
      <w:bookmarkStart w:id="63" w:name="_Toc14958218"/>
      <w:r w:rsidRPr="005D6102">
        <w:t xml:space="preserve">Table </w:t>
      </w:r>
      <w:r w:rsidR="00F843F6" w:rsidRPr="005D6102">
        <w:rPr>
          <w:noProof/>
        </w:rPr>
        <w:t>3</w:t>
      </w:r>
      <w:r w:rsidRPr="005D6102">
        <w:t>.</w:t>
      </w:r>
      <w:r w:rsidRPr="005D6102">
        <w:rPr>
          <w:noProof/>
        </w:rPr>
        <w:fldChar w:fldCharType="begin"/>
      </w:r>
      <w:r w:rsidRPr="005D6102">
        <w:rPr>
          <w:noProof/>
        </w:rPr>
        <w:instrText xml:space="preserve"> SEQ Table \* ARABIC \s 1 </w:instrText>
      </w:r>
      <w:r w:rsidRPr="005D6102">
        <w:rPr>
          <w:noProof/>
        </w:rPr>
        <w:fldChar w:fldCharType="separate"/>
      </w:r>
      <w:r w:rsidR="00A7507E">
        <w:rPr>
          <w:noProof/>
        </w:rPr>
        <w:t>2</w:t>
      </w:r>
      <w:r w:rsidRPr="005D6102">
        <w:rPr>
          <w:noProof/>
        </w:rPr>
        <w:fldChar w:fldCharType="end"/>
      </w:r>
      <w:r w:rsidRPr="005D6102">
        <w:t xml:space="preserve">: </w:t>
      </w:r>
      <w:r w:rsidR="00B51675" w:rsidRPr="005D6102">
        <w:t xml:space="preserve">Australia’s rare earth resources </w:t>
      </w:r>
      <w:bookmarkEnd w:id="63"/>
      <w:r w:rsidR="0009067B" w:rsidRPr="005D6102">
        <w:t>and production</w:t>
      </w:r>
    </w:p>
    <w:tbl>
      <w:tblPr>
        <w:tblStyle w:val="OCETable"/>
        <w:tblW w:w="0" w:type="auto"/>
        <w:tblLook w:val="04A0" w:firstRow="1" w:lastRow="0" w:firstColumn="1" w:lastColumn="0" w:noHBand="0" w:noVBand="1"/>
        <w:tblCaption w:val="Table 3.2: Australia’s rare earth resources and production"/>
        <w:tblDescription w:val="This table shows Australia's reserves and production of rare earths, in terms of world ranking and share of world production."/>
      </w:tblPr>
      <w:tblGrid>
        <w:gridCol w:w="1342"/>
        <w:gridCol w:w="1494"/>
        <w:gridCol w:w="1270"/>
        <w:gridCol w:w="1007"/>
        <w:gridCol w:w="1348"/>
        <w:gridCol w:w="1301"/>
        <w:gridCol w:w="1144"/>
      </w:tblGrid>
      <w:tr w:rsidR="006D0043" w:rsidRPr="005D6102" w14:paraId="3AA65749" w14:textId="77777777" w:rsidTr="001923E6">
        <w:trPr>
          <w:cnfStyle w:val="100000000000" w:firstRow="1" w:lastRow="0" w:firstColumn="0" w:lastColumn="0" w:oddVBand="0" w:evenVBand="0" w:oddHBand="0" w:evenHBand="0" w:firstRowFirstColumn="0" w:firstRowLastColumn="0" w:lastRowFirstColumn="0" w:lastRowLastColumn="0"/>
          <w:tblHeader/>
        </w:trPr>
        <w:tc>
          <w:tcPr>
            <w:tcW w:w="2836" w:type="dxa"/>
            <w:gridSpan w:val="2"/>
          </w:tcPr>
          <w:p w14:paraId="5A3A052B" w14:textId="6BA39759" w:rsidR="00F410B6" w:rsidRPr="005D6102" w:rsidRDefault="00F410B6" w:rsidP="00CE626F">
            <w:r w:rsidRPr="005D6102">
              <w:rPr>
                <w:b/>
              </w:rPr>
              <w:t>Australia’s resources</w:t>
            </w:r>
          </w:p>
        </w:tc>
        <w:tc>
          <w:tcPr>
            <w:tcW w:w="1270" w:type="dxa"/>
          </w:tcPr>
          <w:p w14:paraId="7EE52F30" w14:textId="77777777" w:rsidR="00F410B6" w:rsidRPr="005D6102" w:rsidRDefault="00F410B6" w:rsidP="00CE626F"/>
        </w:tc>
        <w:tc>
          <w:tcPr>
            <w:tcW w:w="1007" w:type="dxa"/>
            <w:tcBorders>
              <w:right w:val="single" w:sz="4" w:space="0" w:color="FFFFFF" w:themeColor="background1"/>
            </w:tcBorders>
          </w:tcPr>
          <w:p w14:paraId="73ECFCAD" w14:textId="0ADB97E2" w:rsidR="00F410B6" w:rsidRPr="005D6102" w:rsidRDefault="00F410B6" w:rsidP="00CE626F">
            <w:pPr>
              <w:rPr>
                <w:b/>
              </w:rPr>
            </w:pPr>
          </w:p>
        </w:tc>
        <w:tc>
          <w:tcPr>
            <w:tcW w:w="2649" w:type="dxa"/>
            <w:gridSpan w:val="2"/>
            <w:tcBorders>
              <w:left w:val="single" w:sz="4" w:space="0" w:color="FFFFFF" w:themeColor="background1"/>
            </w:tcBorders>
          </w:tcPr>
          <w:p w14:paraId="58886C30" w14:textId="0C79E0F0" w:rsidR="00F410B6" w:rsidRPr="005D6102" w:rsidRDefault="00F410B6" w:rsidP="00CE626F">
            <w:pPr>
              <w:rPr>
                <w:b/>
              </w:rPr>
            </w:pPr>
            <w:r w:rsidRPr="005D6102">
              <w:rPr>
                <w:b/>
              </w:rPr>
              <w:t>Australia’s production</w:t>
            </w:r>
          </w:p>
        </w:tc>
        <w:tc>
          <w:tcPr>
            <w:tcW w:w="1144" w:type="dxa"/>
          </w:tcPr>
          <w:p w14:paraId="04AB4C9A" w14:textId="77777777" w:rsidR="00F410B6" w:rsidRPr="005D6102" w:rsidRDefault="00F410B6" w:rsidP="00CE626F"/>
        </w:tc>
      </w:tr>
      <w:tr w:rsidR="00F410B6" w:rsidRPr="005D6102" w14:paraId="0E34E7D7" w14:textId="69F011F7" w:rsidTr="005175F2">
        <w:trPr>
          <w:cnfStyle w:val="000000100000" w:firstRow="0" w:lastRow="0" w:firstColumn="0" w:lastColumn="0" w:oddVBand="0" w:evenVBand="0" w:oddHBand="1" w:evenHBand="0" w:firstRowFirstColumn="0" w:firstRowLastColumn="0" w:lastRowFirstColumn="0" w:lastRowLastColumn="0"/>
        </w:trPr>
        <w:tc>
          <w:tcPr>
            <w:tcW w:w="1342" w:type="dxa"/>
            <w:shd w:val="clear" w:color="auto" w:fill="005CAF"/>
          </w:tcPr>
          <w:p w14:paraId="09AFD582" w14:textId="77777777" w:rsidR="00F410B6" w:rsidRPr="005D6102" w:rsidRDefault="00F410B6" w:rsidP="00F410B6">
            <w:pPr>
              <w:rPr>
                <w:color w:val="FFFFFF" w:themeColor="background1"/>
                <w:sz w:val="28"/>
                <w:szCs w:val="28"/>
              </w:rPr>
            </w:pPr>
            <w:r w:rsidRPr="005D6102">
              <w:rPr>
                <w:color w:val="FFFFFF" w:themeColor="background1"/>
              </w:rPr>
              <w:t>Geological potential</w:t>
            </w:r>
          </w:p>
        </w:tc>
        <w:tc>
          <w:tcPr>
            <w:tcW w:w="1494" w:type="dxa"/>
            <w:shd w:val="clear" w:color="auto" w:fill="005CAF"/>
          </w:tcPr>
          <w:p w14:paraId="399E89A2" w14:textId="77777777" w:rsidR="00F410B6" w:rsidRPr="005D6102" w:rsidRDefault="00F410B6" w:rsidP="00F410B6">
            <w:pPr>
              <w:rPr>
                <w:color w:val="FFFFFF" w:themeColor="background1"/>
                <w:sz w:val="28"/>
                <w:szCs w:val="28"/>
              </w:rPr>
            </w:pPr>
            <w:r w:rsidRPr="005D6102">
              <w:rPr>
                <w:color w:val="FFFFFF" w:themeColor="background1"/>
              </w:rPr>
              <w:t xml:space="preserve">Economic Demonstrated Resource </w:t>
            </w:r>
          </w:p>
        </w:tc>
        <w:tc>
          <w:tcPr>
            <w:tcW w:w="1270" w:type="dxa"/>
            <w:shd w:val="clear" w:color="auto" w:fill="005CAF"/>
          </w:tcPr>
          <w:p w14:paraId="1212E88A" w14:textId="6A51C212" w:rsidR="00F410B6" w:rsidRPr="005D6102" w:rsidRDefault="00F410B6" w:rsidP="00F410B6">
            <w:pPr>
              <w:rPr>
                <w:color w:val="FFFFFF" w:themeColor="background1"/>
                <w:sz w:val="28"/>
                <w:szCs w:val="28"/>
              </w:rPr>
            </w:pPr>
            <w:r w:rsidRPr="005D6102">
              <w:rPr>
                <w:color w:val="FFFFFF" w:themeColor="background1"/>
              </w:rPr>
              <w:t>Share world resources</w:t>
            </w:r>
          </w:p>
        </w:tc>
        <w:tc>
          <w:tcPr>
            <w:tcW w:w="1007" w:type="dxa"/>
            <w:tcBorders>
              <w:right w:val="single" w:sz="4" w:space="0" w:color="FFFFFF" w:themeColor="background1"/>
            </w:tcBorders>
            <w:shd w:val="clear" w:color="auto" w:fill="005CAF"/>
          </w:tcPr>
          <w:p w14:paraId="3CAD0E6C" w14:textId="754DE797" w:rsidR="00F410B6" w:rsidRPr="005D6102" w:rsidRDefault="00F410B6" w:rsidP="00F410B6">
            <w:pPr>
              <w:rPr>
                <w:color w:val="FFFFFF" w:themeColor="background1"/>
              </w:rPr>
            </w:pPr>
            <w:r w:rsidRPr="005D6102">
              <w:rPr>
                <w:color w:val="FFFFFF" w:themeColor="background1"/>
              </w:rPr>
              <w:t>World ranking resources</w:t>
            </w:r>
          </w:p>
        </w:tc>
        <w:tc>
          <w:tcPr>
            <w:tcW w:w="1348" w:type="dxa"/>
            <w:tcBorders>
              <w:left w:val="single" w:sz="4" w:space="0" w:color="FFFFFF" w:themeColor="background1"/>
            </w:tcBorders>
            <w:shd w:val="clear" w:color="auto" w:fill="005CAF"/>
          </w:tcPr>
          <w:p w14:paraId="7A6FC40E" w14:textId="72BB4039" w:rsidR="00F410B6" w:rsidRPr="005D6102" w:rsidRDefault="005175F2" w:rsidP="005175F2">
            <w:pPr>
              <w:rPr>
                <w:b/>
                <w:color w:val="FFFFFF"/>
              </w:rPr>
            </w:pPr>
            <w:r w:rsidRPr="005D6102">
              <w:rPr>
                <w:b/>
                <w:color w:val="FFFFFF"/>
              </w:rPr>
              <w:t>2018 production</w:t>
            </w:r>
          </w:p>
        </w:tc>
        <w:tc>
          <w:tcPr>
            <w:tcW w:w="1301" w:type="dxa"/>
            <w:shd w:val="clear" w:color="auto" w:fill="005CAF"/>
          </w:tcPr>
          <w:p w14:paraId="2CC149B1" w14:textId="0BDFA2FA" w:rsidR="00F410B6" w:rsidRPr="005D6102" w:rsidRDefault="00F410B6" w:rsidP="00F410B6">
            <w:pPr>
              <w:rPr>
                <w:color w:val="FFFFFF" w:themeColor="background1"/>
                <w:sz w:val="28"/>
                <w:szCs w:val="28"/>
              </w:rPr>
            </w:pPr>
            <w:r w:rsidRPr="005D6102">
              <w:rPr>
                <w:color w:val="FFFFFF" w:themeColor="background1"/>
              </w:rPr>
              <w:t xml:space="preserve">Share of world production </w:t>
            </w:r>
          </w:p>
        </w:tc>
        <w:tc>
          <w:tcPr>
            <w:tcW w:w="1144" w:type="dxa"/>
            <w:shd w:val="clear" w:color="auto" w:fill="005CAF"/>
          </w:tcPr>
          <w:p w14:paraId="39EE313C" w14:textId="1D7BF936" w:rsidR="00F410B6" w:rsidRPr="005D6102" w:rsidRDefault="00F410B6" w:rsidP="00F410B6">
            <w:pPr>
              <w:rPr>
                <w:color w:val="FFFFFF" w:themeColor="background1"/>
              </w:rPr>
            </w:pPr>
            <w:r w:rsidRPr="005D6102">
              <w:rPr>
                <w:color w:val="FFFFFF" w:themeColor="background1"/>
              </w:rPr>
              <w:t>World ranking production</w:t>
            </w:r>
          </w:p>
        </w:tc>
      </w:tr>
      <w:tr w:rsidR="00F410B6" w:rsidRPr="005D6102" w14:paraId="13CC8E32" w14:textId="01E391FC" w:rsidTr="00F410B6">
        <w:trPr>
          <w:cnfStyle w:val="000000010000" w:firstRow="0" w:lastRow="0" w:firstColumn="0" w:lastColumn="0" w:oddVBand="0" w:evenVBand="0" w:oddHBand="0" w:evenHBand="1" w:firstRowFirstColumn="0" w:firstRowLastColumn="0" w:lastRowFirstColumn="0" w:lastRowLastColumn="0"/>
        </w:trPr>
        <w:tc>
          <w:tcPr>
            <w:tcW w:w="1342" w:type="dxa"/>
          </w:tcPr>
          <w:p w14:paraId="1EAEE319" w14:textId="77777777" w:rsidR="00F410B6" w:rsidRPr="005D6102" w:rsidRDefault="00F410B6" w:rsidP="00F410B6">
            <w:pPr>
              <w:rPr>
                <w:sz w:val="28"/>
                <w:szCs w:val="28"/>
              </w:rPr>
            </w:pPr>
            <w:r w:rsidRPr="005D6102">
              <w:t>High</w:t>
            </w:r>
          </w:p>
        </w:tc>
        <w:tc>
          <w:tcPr>
            <w:tcW w:w="1494" w:type="dxa"/>
          </w:tcPr>
          <w:p w14:paraId="364AEE34" w14:textId="77777777" w:rsidR="00F410B6" w:rsidRPr="005D6102" w:rsidRDefault="00F410B6" w:rsidP="00F410B6">
            <w:pPr>
              <w:rPr>
                <w:sz w:val="28"/>
                <w:szCs w:val="28"/>
              </w:rPr>
            </w:pPr>
            <w:r w:rsidRPr="005D6102">
              <w:t>3430kt</w:t>
            </w:r>
          </w:p>
        </w:tc>
        <w:tc>
          <w:tcPr>
            <w:tcW w:w="1270" w:type="dxa"/>
          </w:tcPr>
          <w:p w14:paraId="73A11C9A" w14:textId="618477CF" w:rsidR="00F410B6" w:rsidRPr="005D6102" w:rsidRDefault="00F410B6" w:rsidP="00F410B6">
            <w:pPr>
              <w:rPr>
                <w:sz w:val="28"/>
                <w:szCs w:val="28"/>
              </w:rPr>
            </w:pPr>
            <w:r w:rsidRPr="005D6102">
              <w:t>3%</w:t>
            </w:r>
          </w:p>
        </w:tc>
        <w:tc>
          <w:tcPr>
            <w:tcW w:w="1007" w:type="dxa"/>
          </w:tcPr>
          <w:p w14:paraId="1AB269E6" w14:textId="31F535EA" w:rsidR="00F410B6" w:rsidRPr="005D6102" w:rsidRDefault="00F410B6" w:rsidP="00F410B6">
            <w:r w:rsidRPr="005D6102">
              <w:t>6</w:t>
            </w:r>
            <w:r w:rsidRPr="005D6102">
              <w:rPr>
                <w:vertAlign w:val="superscript"/>
              </w:rPr>
              <w:t>th</w:t>
            </w:r>
          </w:p>
        </w:tc>
        <w:tc>
          <w:tcPr>
            <w:tcW w:w="1348" w:type="dxa"/>
          </w:tcPr>
          <w:p w14:paraId="06D32660" w14:textId="23BF168C" w:rsidR="00F410B6" w:rsidRPr="005D6102" w:rsidRDefault="00587AD8" w:rsidP="00F410B6">
            <w:pPr>
              <w:rPr>
                <w:sz w:val="28"/>
                <w:szCs w:val="28"/>
              </w:rPr>
            </w:pPr>
            <w:r>
              <w:t>19</w:t>
            </w:r>
            <w:r w:rsidR="005175F2" w:rsidRPr="005D6102">
              <w:t xml:space="preserve">kt </w:t>
            </w:r>
          </w:p>
        </w:tc>
        <w:tc>
          <w:tcPr>
            <w:tcW w:w="1301" w:type="dxa"/>
          </w:tcPr>
          <w:p w14:paraId="6D73F009" w14:textId="383DA865" w:rsidR="00F410B6" w:rsidRPr="005D6102" w:rsidRDefault="005175F2" w:rsidP="00F410B6">
            <w:pPr>
              <w:rPr>
                <w:sz w:val="28"/>
                <w:szCs w:val="28"/>
              </w:rPr>
            </w:pPr>
            <w:r w:rsidRPr="005D6102">
              <w:t>1</w:t>
            </w:r>
            <w:r w:rsidR="00587AD8">
              <w:t>2</w:t>
            </w:r>
            <w:r w:rsidRPr="005D6102">
              <w:t>%</w:t>
            </w:r>
          </w:p>
        </w:tc>
        <w:tc>
          <w:tcPr>
            <w:tcW w:w="1144" w:type="dxa"/>
          </w:tcPr>
          <w:p w14:paraId="12641318" w14:textId="5AF4959D" w:rsidR="005175F2" w:rsidRPr="005D6102" w:rsidRDefault="005175F2" w:rsidP="00F410B6">
            <w:r w:rsidRPr="005D6102">
              <w:t>2</w:t>
            </w:r>
            <w:r w:rsidRPr="005D6102">
              <w:rPr>
                <w:vertAlign w:val="superscript"/>
              </w:rPr>
              <w:t>nd</w:t>
            </w:r>
          </w:p>
        </w:tc>
      </w:tr>
    </w:tbl>
    <w:p w14:paraId="04B6319B" w14:textId="793C3268" w:rsidR="00F36D7C" w:rsidRPr="005D6102" w:rsidRDefault="00AD0CE4" w:rsidP="00F36D7C">
      <w:pPr>
        <w:pStyle w:val="Source"/>
      </w:pPr>
      <w:r w:rsidRPr="005D6102">
        <w:t xml:space="preserve">Source: Roskill (2018), </w:t>
      </w:r>
      <w:r w:rsidR="00F36D7C" w:rsidRPr="005D6102">
        <w:t>Australian Trade and Investment Commission (2019) Critical Minerals Prospectus, Geoscience Australia (2019) Critical Minerals in Australia</w:t>
      </w:r>
    </w:p>
    <w:p w14:paraId="210C729A" w14:textId="30512A71" w:rsidR="002602AA" w:rsidRPr="005D6102" w:rsidRDefault="003E04A7" w:rsidP="002602AA">
      <w:pPr>
        <w:pStyle w:val="BodyText"/>
      </w:pPr>
      <w:r w:rsidRPr="005D6102">
        <w:t xml:space="preserve">There are currently </w:t>
      </w:r>
      <w:r w:rsidR="00477C9B" w:rsidRPr="005D6102">
        <w:t>two</w:t>
      </w:r>
      <w:r w:rsidR="00CE626F" w:rsidRPr="005D6102">
        <w:t xml:space="preserve"> </w:t>
      </w:r>
      <w:r w:rsidR="008F0971" w:rsidRPr="005D6102">
        <w:t xml:space="preserve">projects </w:t>
      </w:r>
      <w:r w:rsidR="003B37D9" w:rsidRPr="005D6102">
        <w:t xml:space="preserve">producing </w:t>
      </w:r>
      <w:r w:rsidR="00084E81" w:rsidRPr="005D6102">
        <w:t>rare earths</w:t>
      </w:r>
      <w:r w:rsidR="002064C7">
        <w:t xml:space="preserve">, with </w:t>
      </w:r>
      <w:r w:rsidR="00CE626F" w:rsidRPr="005D6102">
        <w:t xml:space="preserve">a number </w:t>
      </w:r>
      <w:r w:rsidR="008F0971" w:rsidRPr="005D6102">
        <w:t xml:space="preserve">of projects in the </w:t>
      </w:r>
      <w:r w:rsidR="00CE626F" w:rsidRPr="005D6102">
        <w:t>development</w:t>
      </w:r>
      <w:r w:rsidR="00950DFE" w:rsidRPr="005D6102">
        <w:t xml:space="preserve"> </w:t>
      </w:r>
      <w:r w:rsidR="008F0971" w:rsidRPr="005D6102">
        <w:t xml:space="preserve">pipeline. </w:t>
      </w:r>
      <w:r w:rsidR="00A27C09" w:rsidRPr="005D6102">
        <w:t>Australia’s p</w:t>
      </w:r>
      <w:r w:rsidR="002602AA" w:rsidRPr="005D6102">
        <w:t>roduction</w:t>
      </w:r>
      <w:r w:rsidR="00A27C09" w:rsidRPr="005D6102">
        <w:t>, primarily from Lynas’ Mt Weld project,</w:t>
      </w:r>
      <w:r w:rsidR="002602AA" w:rsidRPr="005D6102">
        <w:t xml:space="preserve"> has grown at an average </w:t>
      </w:r>
      <w:r w:rsidR="00A27C09" w:rsidRPr="005D6102">
        <w:t xml:space="preserve">of </w:t>
      </w:r>
      <w:r w:rsidR="00BF1923" w:rsidRPr="005D6102">
        <w:t>38</w:t>
      </w:r>
      <w:r w:rsidR="002602AA" w:rsidRPr="005D6102">
        <w:t xml:space="preserve"> per cent </w:t>
      </w:r>
      <w:r w:rsidR="00BF1923" w:rsidRPr="005D6102">
        <w:t xml:space="preserve">a year </w:t>
      </w:r>
      <w:r w:rsidR="002602AA" w:rsidRPr="005D6102">
        <w:t xml:space="preserve">over the last five years, to reach </w:t>
      </w:r>
      <w:r w:rsidR="00096FB1" w:rsidRPr="005D6102">
        <w:t>2</w:t>
      </w:r>
      <w:r w:rsidR="00BF1923" w:rsidRPr="005D6102">
        <w:t>0</w:t>
      </w:r>
      <w:r w:rsidR="00A27C09" w:rsidRPr="005D6102">
        <w:t xml:space="preserve"> thousand tonnes in </w:t>
      </w:r>
      <w:r w:rsidR="002602AA" w:rsidRPr="005D6102">
        <w:t>2018</w:t>
      </w:r>
      <w:r w:rsidR="00BF1923" w:rsidRPr="005D6102">
        <w:t>-19</w:t>
      </w:r>
      <w:r w:rsidR="002602AA" w:rsidRPr="005D6102">
        <w:t xml:space="preserve">. </w:t>
      </w:r>
      <w:r w:rsidR="002505DF">
        <w:t>T</w:t>
      </w:r>
      <w:r w:rsidR="00096FB1" w:rsidRPr="005D6102">
        <w:t>he pilot stage of Northern Minerals’ Brown Range project commenced</w:t>
      </w:r>
      <w:r w:rsidR="002505DF">
        <w:t xml:space="preserve"> exporting in December 2018</w:t>
      </w:r>
      <w:r w:rsidR="00096FB1" w:rsidRPr="005D6102">
        <w:t xml:space="preserve">. </w:t>
      </w:r>
    </w:p>
    <w:p w14:paraId="045413DD" w14:textId="0A0F4FE1" w:rsidR="00DF12DF" w:rsidRPr="005D6102" w:rsidRDefault="00084E81" w:rsidP="00D12CD4">
      <w:pPr>
        <w:pStyle w:val="BodyText"/>
      </w:pPr>
      <w:r w:rsidRPr="005D6102">
        <w:t xml:space="preserve">Australia’s resource richness is highlighted by </w:t>
      </w:r>
      <w:r w:rsidR="00796A56" w:rsidRPr="005D6102">
        <w:t xml:space="preserve">Hasting Technology Metal’s Yangibana project, which has </w:t>
      </w:r>
      <w:r w:rsidR="00D12CD4" w:rsidRPr="005D6102">
        <w:t>higher praseodymium and neodymium resource concentrate than is available in comparable projects in China</w:t>
      </w:r>
      <w:r w:rsidRPr="005D6102">
        <w:t>.</w:t>
      </w:r>
      <w:r w:rsidR="00CE626F" w:rsidRPr="005D6102">
        <w:t xml:space="preserve"> </w:t>
      </w:r>
      <w:r w:rsidR="00DF12DF" w:rsidRPr="005D6102">
        <w:t xml:space="preserve">With significant resource capacity and a positive operating environment, there is scope to establish </w:t>
      </w:r>
      <w:r w:rsidR="00E20805">
        <w:t xml:space="preserve">the </w:t>
      </w:r>
      <w:r w:rsidR="00DF12DF" w:rsidRPr="005D6102">
        <w:t>domestic</w:t>
      </w:r>
      <w:r w:rsidR="00F01E97" w:rsidRPr="005D6102">
        <w:t xml:space="preserve"> processing</w:t>
      </w:r>
      <w:r w:rsidR="00DF12DF" w:rsidRPr="005D6102">
        <w:t xml:space="preserve"> of rare earth</w:t>
      </w:r>
      <w:r w:rsidR="00F01E97" w:rsidRPr="005D6102">
        <w:t>s</w:t>
      </w:r>
      <w:r w:rsidR="00DF12DF" w:rsidRPr="005D6102">
        <w:t xml:space="preserve">, </w:t>
      </w:r>
      <w:r w:rsidR="00D12CD4" w:rsidRPr="005D6102">
        <w:t>as is being ex</w:t>
      </w:r>
      <w:r w:rsidR="00E20805">
        <w:t>amined</w:t>
      </w:r>
      <w:r w:rsidR="00D12CD4" w:rsidRPr="005D6102">
        <w:t xml:space="preserve"> as part of Alkane’s Dubbo Project. </w:t>
      </w:r>
      <w:r w:rsidR="003B7F33" w:rsidRPr="005D6102">
        <w:t xml:space="preserve">Australia’s development projects also have positive project economics </w:t>
      </w:r>
      <w:r w:rsidR="00280B50" w:rsidRPr="005D6102">
        <w:t>—</w:t>
      </w:r>
      <w:r w:rsidR="003B7F33" w:rsidRPr="005D6102">
        <w:t xml:space="preserve"> Arafura’s Nolan</w:t>
      </w:r>
      <w:r w:rsidR="00E92210">
        <w:t>s</w:t>
      </w:r>
      <w:r w:rsidR="003B7F33" w:rsidRPr="005D6102">
        <w:t xml:space="preserve"> project,  </w:t>
      </w:r>
      <w:r w:rsidR="0023055D">
        <w:t>is</w:t>
      </w:r>
      <w:r w:rsidR="0023055D" w:rsidRPr="005D6102">
        <w:t xml:space="preserve"> </w:t>
      </w:r>
      <w:r w:rsidR="003B7F33" w:rsidRPr="005D6102">
        <w:t>expected to have operating costs of around half of current prices and is targeting start-up in 2022.</w:t>
      </w:r>
    </w:p>
    <w:p w14:paraId="5BE30107" w14:textId="36A47D1D" w:rsidR="003C0AAE" w:rsidRPr="005D6102" w:rsidRDefault="00DF12DF" w:rsidP="00E540F3">
      <w:pPr>
        <w:pStyle w:val="BodyText"/>
      </w:pPr>
      <w:r w:rsidRPr="005D6102">
        <w:lastRenderedPageBreak/>
        <w:t xml:space="preserve">There </w:t>
      </w:r>
      <w:r w:rsidR="003C0AAE" w:rsidRPr="005D6102">
        <w:t xml:space="preserve">is also potential in rare </w:t>
      </w:r>
      <w:r w:rsidRPr="005D6102">
        <w:t xml:space="preserve">earths </w:t>
      </w:r>
      <w:r w:rsidR="003C0AAE" w:rsidRPr="005D6102">
        <w:t xml:space="preserve">that </w:t>
      </w:r>
      <w:r w:rsidRPr="005D6102">
        <w:t xml:space="preserve">are currently co-produced </w:t>
      </w:r>
      <w:r w:rsidR="002E25AB" w:rsidRPr="005D6102">
        <w:t xml:space="preserve">with other commodities </w:t>
      </w:r>
      <w:r w:rsidRPr="005D6102">
        <w:t xml:space="preserve">but not </w:t>
      </w:r>
      <w:r w:rsidR="002E25AB" w:rsidRPr="005D6102">
        <w:t>accounted for in product sales, or content that may remain in tailings. Rare earths</w:t>
      </w:r>
      <w:r w:rsidRPr="005D6102">
        <w:t xml:space="preserve"> content may be exported in unprocessed ores, potentially incurring a penalty</w:t>
      </w:r>
      <w:r w:rsidR="002E25AB" w:rsidRPr="005D6102">
        <w:t xml:space="preserve"> as it incurs processing costs</w:t>
      </w:r>
      <w:r w:rsidRPr="005D6102">
        <w:t xml:space="preserve">. </w:t>
      </w:r>
      <w:r w:rsidR="003C0AAE" w:rsidRPr="005D6102">
        <w:t xml:space="preserve">The value of these resources is currently being explored by Geoscience Australia. </w:t>
      </w:r>
      <w:r w:rsidR="009D0523">
        <w:t xml:space="preserve">Significant </w:t>
      </w:r>
      <w:r w:rsidR="00C33A83">
        <w:t>progress</w:t>
      </w:r>
      <w:r w:rsidRPr="005D6102">
        <w:t xml:space="preserve"> in processing technology and changes in world markets </w:t>
      </w:r>
      <w:r w:rsidR="009D0523">
        <w:t xml:space="preserve">would be required to make </w:t>
      </w:r>
      <w:r w:rsidR="007E16D0">
        <w:t xml:space="preserve">the </w:t>
      </w:r>
      <w:r w:rsidRPr="005D6102">
        <w:t xml:space="preserve">development of these resources economically viable. </w:t>
      </w:r>
    </w:p>
    <w:p w14:paraId="78024CE6" w14:textId="77777777" w:rsidR="00254B19" w:rsidRPr="005D6102" w:rsidRDefault="00254B19">
      <w:pPr>
        <w:spacing w:after="200" w:line="276" w:lineRule="auto"/>
        <w:rPr>
          <w:rFonts w:asciiTheme="majorHAnsi" w:eastAsia="Times New Roman" w:hAnsiTheme="majorHAnsi" w:cs="Arial"/>
          <w:b/>
          <w:bCs/>
          <w:color w:val="005CAF"/>
          <w:kern w:val="32"/>
          <w:sz w:val="32"/>
          <w:szCs w:val="32"/>
        </w:rPr>
      </w:pPr>
      <w:r w:rsidRPr="005D6102">
        <w:rPr>
          <w:rFonts w:asciiTheme="majorHAnsi" w:eastAsia="Times New Roman" w:hAnsiTheme="majorHAnsi" w:cs="Arial"/>
          <w:b/>
          <w:bCs/>
          <w:color w:val="005CAF"/>
          <w:kern w:val="32"/>
          <w:sz w:val="32"/>
          <w:szCs w:val="32"/>
        </w:rPr>
        <w:br w:type="page"/>
      </w:r>
    </w:p>
    <w:p w14:paraId="572074CC" w14:textId="5F60912F" w:rsidR="00593584" w:rsidRDefault="009B2F60" w:rsidP="009B2F60">
      <w:pPr>
        <w:pStyle w:val="Heading1"/>
      </w:pPr>
      <w:bookmarkStart w:id="64" w:name="_Toc14958172"/>
      <w:bookmarkStart w:id="65" w:name="_Toc17803345"/>
      <w:bookmarkStart w:id="66" w:name="_Toc16143274"/>
      <w:r>
        <w:rPr>
          <w:noProof/>
          <w:lang w:eastAsia="en-AU"/>
        </w:rPr>
        <w:lastRenderedPageBreak/>
        <w:drawing>
          <wp:anchor distT="0" distB="0" distL="114300" distR="114300" simplePos="0" relativeHeight="251656192" behindDoc="1" locked="0" layoutInCell="1" allowOverlap="1" wp14:anchorId="3804E0D9" wp14:editId="7D4C64FB">
            <wp:simplePos x="0" y="0"/>
            <wp:positionH relativeFrom="column">
              <wp:posOffset>3859585</wp:posOffset>
            </wp:positionH>
            <wp:positionV relativeFrom="paragraph">
              <wp:posOffset>-405047</wp:posOffset>
            </wp:positionV>
            <wp:extent cx="1963973" cy="1309242"/>
            <wp:effectExtent l="0" t="0" r="0" b="0"/>
            <wp:wrapNone/>
            <wp:docPr id="19" name="Picture 19" descr="Image shows the mineral coba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cobolty.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963973" cy="1309242"/>
                    </a:xfrm>
                    <a:prstGeom prst="rect">
                      <a:avLst/>
                    </a:prstGeom>
                  </pic:spPr>
                </pic:pic>
              </a:graphicData>
            </a:graphic>
            <wp14:sizeRelH relativeFrom="page">
              <wp14:pctWidth>0</wp14:pctWidth>
            </wp14:sizeRelH>
            <wp14:sizeRelV relativeFrom="page">
              <wp14:pctHeight>0</wp14:pctHeight>
            </wp14:sizeRelV>
          </wp:anchor>
        </w:drawing>
      </w:r>
      <w:r w:rsidR="00593584" w:rsidRPr="005D6102">
        <w:t>Cobalt</w:t>
      </w:r>
      <w:bookmarkEnd w:id="64"/>
      <w:bookmarkEnd w:id="65"/>
      <w:bookmarkEnd w:id="66"/>
      <w:r>
        <w:t xml:space="preserve"> </w:t>
      </w:r>
    </w:p>
    <w:p w14:paraId="4F1AE08C" w14:textId="19A47AB8" w:rsidR="009B2F60" w:rsidRPr="009B2F60" w:rsidRDefault="009B2F60" w:rsidP="009B2F60">
      <w:pPr>
        <w:pStyle w:val="BodyText"/>
      </w:pPr>
      <w:r>
        <w:rPr>
          <w:noProof/>
          <w:lang w:eastAsia="en-AU"/>
        </w:rPr>
        <w:drawing>
          <wp:anchor distT="0" distB="0" distL="114300" distR="114300" simplePos="0" relativeHeight="251657216" behindDoc="1" locked="0" layoutInCell="1" allowOverlap="1" wp14:anchorId="4E87B8CA" wp14:editId="56049E9D">
            <wp:simplePos x="0" y="0"/>
            <wp:positionH relativeFrom="column">
              <wp:posOffset>10160</wp:posOffset>
            </wp:positionH>
            <wp:positionV relativeFrom="paragraph">
              <wp:posOffset>244779</wp:posOffset>
            </wp:positionV>
            <wp:extent cx="5655310" cy="4782185"/>
            <wp:effectExtent l="0" t="0" r="2540" b="0"/>
            <wp:wrapTight wrapText="bothSides">
              <wp:wrapPolygon edited="0">
                <wp:start x="0" y="0"/>
                <wp:lineTo x="0" y="21511"/>
                <wp:lineTo x="21537" y="21511"/>
                <wp:lineTo x="21537" y="0"/>
                <wp:lineTo x="0" y="0"/>
              </wp:wrapPolygon>
            </wp:wrapTight>
            <wp:docPr id="21" name="Picture 21" descr="This infographic shows world production of cobalt for the top four producers and rest of world. Australia is the second largest producer in the world and accounts for 17% of world resources. 60% of world cobalt is used in batteries, and the amount of cobalt used in common products is detailed." title="Cobalt info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obaly.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655310" cy="4782185"/>
                    </a:xfrm>
                    <a:prstGeom prst="rect">
                      <a:avLst/>
                    </a:prstGeom>
                  </pic:spPr>
                </pic:pic>
              </a:graphicData>
            </a:graphic>
            <wp14:sizeRelH relativeFrom="page">
              <wp14:pctWidth>0</wp14:pctWidth>
            </wp14:sizeRelH>
            <wp14:sizeRelV relativeFrom="page">
              <wp14:pctHeight>0</wp14:pctHeight>
            </wp14:sizeRelV>
          </wp:anchor>
        </w:drawing>
      </w:r>
    </w:p>
    <w:p w14:paraId="6F6914B6" w14:textId="77C30C13" w:rsidR="0071629F" w:rsidRPr="005D6102" w:rsidRDefault="0071629F" w:rsidP="0071629F">
      <w:pPr>
        <w:pStyle w:val="Heading2"/>
      </w:pPr>
      <w:bookmarkStart w:id="67" w:name="_Toc15388900"/>
      <w:bookmarkStart w:id="68" w:name="_Toc16143275"/>
      <w:bookmarkStart w:id="69" w:name="_Toc17803346"/>
      <w:bookmarkStart w:id="70" w:name="_Toc14958174"/>
      <w:r w:rsidRPr="005D6102">
        <w:t>Key properties and uses</w:t>
      </w:r>
      <w:bookmarkEnd w:id="67"/>
      <w:bookmarkEnd w:id="68"/>
      <w:bookmarkEnd w:id="69"/>
    </w:p>
    <w:p w14:paraId="4FCEF574" w14:textId="29E0589E" w:rsidR="0071629F" w:rsidRPr="005D6102" w:rsidRDefault="0071629F" w:rsidP="0071629F">
      <w:pPr>
        <w:pStyle w:val="BodyText"/>
      </w:pPr>
      <w:r w:rsidRPr="005D6102">
        <w:t xml:space="preserve">Cobalt is a ferromagnetic metal that is </w:t>
      </w:r>
      <w:r w:rsidR="00A33612" w:rsidRPr="005D6102">
        <w:t xml:space="preserve">known for being </w:t>
      </w:r>
      <w:r w:rsidRPr="005D6102">
        <w:t>hard and lustrous.</w:t>
      </w:r>
      <w:r w:rsidR="00D23360" w:rsidRPr="005D6102">
        <w:t xml:space="preserve"> </w:t>
      </w:r>
      <w:r w:rsidRPr="005D6102">
        <w:t>Cobalt is mainly used in batteries (57</w:t>
      </w:r>
      <w:r w:rsidR="00D23360" w:rsidRPr="005D6102">
        <w:t xml:space="preserve"> per cent</w:t>
      </w:r>
      <w:r w:rsidRPr="005D6102">
        <w:t xml:space="preserve"> of consumption total), nickel-based alloys (14</w:t>
      </w:r>
      <w:r w:rsidR="00D23360" w:rsidRPr="005D6102">
        <w:t xml:space="preserve"> per cent</w:t>
      </w:r>
      <w:r w:rsidRPr="005D6102">
        <w:t>) and for tool manufacturing (9</w:t>
      </w:r>
      <w:r w:rsidR="00D23360" w:rsidRPr="005D6102">
        <w:t xml:space="preserve"> per cent</w:t>
      </w:r>
      <w:r w:rsidR="00A33612" w:rsidRPr="005D6102">
        <w:t>)</w:t>
      </w:r>
      <w:r w:rsidRPr="005D6102">
        <w:t>.</w:t>
      </w:r>
    </w:p>
    <w:p w14:paraId="3242C948" w14:textId="09D55FDF" w:rsidR="005E0AED" w:rsidRPr="005D6102" w:rsidRDefault="00931CE7" w:rsidP="00C57913">
      <w:pPr>
        <w:pStyle w:val="Heading2"/>
        <w:ind w:left="426" w:hanging="426"/>
      </w:pPr>
      <w:bookmarkStart w:id="71" w:name="_Toc16143276"/>
      <w:bookmarkStart w:id="72" w:name="_Toc17803347"/>
      <w:r w:rsidRPr="005D6102">
        <w:t>Substitution</w:t>
      </w:r>
      <w:bookmarkEnd w:id="70"/>
      <w:bookmarkEnd w:id="71"/>
      <w:bookmarkEnd w:id="72"/>
    </w:p>
    <w:p w14:paraId="08AAFB01" w14:textId="3AC74F31" w:rsidR="005E0AED" w:rsidRDefault="005E0AED" w:rsidP="005E0AED">
      <w:pPr>
        <w:pStyle w:val="BodyText"/>
      </w:pPr>
      <w:r w:rsidRPr="005D6102">
        <w:t xml:space="preserve">Currently available cobalt substitutes are higher cost </w:t>
      </w:r>
      <w:r w:rsidR="00291BF9" w:rsidRPr="005D6102">
        <w:t>and result in lower performance. Supply issues are prompting investment into developing alternatives</w:t>
      </w:r>
      <w:r w:rsidR="00E754F5" w:rsidRPr="005D6102">
        <w:t>, including</w:t>
      </w:r>
      <w:r w:rsidR="00876700" w:rsidRPr="005D6102">
        <w:t xml:space="preserve"> </w:t>
      </w:r>
      <w:r w:rsidR="00A92E94" w:rsidRPr="005D6102">
        <w:t xml:space="preserve">using </w:t>
      </w:r>
      <w:r w:rsidR="00E754F5" w:rsidRPr="005D6102">
        <w:t>other materials</w:t>
      </w:r>
      <w:r w:rsidR="00A92E94" w:rsidRPr="005D6102">
        <w:t xml:space="preserve"> to </w:t>
      </w:r>
      <w:r w:rsidR="00581632" w:rsidRPr="005D6102">
        <w:t xml:space="preserve">reduce </w:t>
      </w:r>
      <w:r w:rsidR="00291BF9" w:rsidRPr="005D6102">
        <w:t>the cobalt content of batteries.</w:t>
      </w:r>
    </w:p>
    <w:p w14:paraId="204A9130" w14:textId="77777777" w:rsidR="00BA3262" w:rsidRDefault="00BA3262" w:rsidP="005E0AED">
      <w:pPr>
        <w:pStyle w:val="BodyText"/>
      </w:pPr>
    </w:p>
    <w:p w14:paraId="7B703476" w14:textId="77777777" w:rsidR="00BA3262" w:rsidRDefault="00BA3262">
      <w:pPr>
        <w:spacing w:after="200" w:line="276" w:lineRule="auto"/>
        <w:rPr>
          <w:color w:val="373737"/>
          <w:sz w:val="20"/>
        </w:rPr>
      </w:pPr>
      <w:r>
        <w:br w:type="page"/>
      </w:r>
    </w:p>
    <w:p w14:paraId="56301189" w14:textId="1993B62E" w:rsidR="00593584" w:rsidRPr="005D6102" w:rsidRDefault="0029662C" w:rsidP="00C57913">
      <w:pPr>
        <w:pStyle w:val="Heading2"/>
        <w:ind w:left="426" w:hanging="426"/>
      </w:pPr>
      <w:bookmarkStart w:id="73" w:name="_Toc15388902"/>
      <w:bookmarkStart w:id="74" w:name="_Toc16143277"/>
      <w:bookmarkStart w:id="75" w:name="_Toc17803348"/>
      <w:r w:rsidRPr="005D6102">
        <w:lastRenderedPageBreak/>
        <w:t>World c</w:t>
      </w:r>
      <w:r w:rsidR="00F1495D" w:rsidRPr="005D6102">
        <w:t>onsumption</w:t>
      </w:r>
      <w:bookmarkEnd w:id="73"/>
      <w:bookmarkEnd w:id="74"/>
      <w:bookmarkEnd w:id="75"/>
    </w:p>
    <w:p w14:paraId="04EA4FDA" w14:textId="734BBCEA" w:rsidR="008B7462" w:rsidRPr="005D6102" w:rsidRDefault="008B7462" w:rsidP="008B7462">
      <w:pPr>
        <w:pStyle w:val="Heading3"/>
        <w:numPr>
          <w:ilvl w:val="2"/>
          <w:numId w:val="9"/>
        </w:numPr>
      </w:pPr>
      <w:bookmarkStart w:id="76" w:name="_Toc14958177"/>
      <w:r w:rsidRPr="005D6102">
        <w:t>Cobalt consumption has increased with broader applications and expanding markets</w:t>
      </w:r>
      <w:bookmarkEnd w:id="76"/>
      <w:r w:rsidRPr="005D6102">
        <w:t xml:space="preserve"> </w:t>
      </w:r>
    </w:p>
    <w:p w14:paraId="4C2610C3" w14:textId="505CFF8F" w:rsidR="008B7462" w:rsidRPr="005D6102" w:rsidRDefault="00984954" w:rsidP="00144B14">
      <w:pPr>
        <w:pStyle w:val="ListBullet3"/>
        <w:ind w:left="0" w:firstLine="0"/>
      </w:pPr>
      <w:r w:rsidRPr="005D6102">
        <w:t xml:space="preserve">Cobalt consumption has grown with battery use, as it provides a fundamental component to the booming consumer electronics market. </w:t>
      </w:r>
      <w:r w:rsidR="00FE1716" w:rsidRPr="005D6102">
        <w:t>Since 2010, world consumption has grown at 24 per cent a year to reach</w:t>
      </w:r>
      <w:r w:rsidRPr="005D6102">
        <w:t xml:space="preserve"> 131,000 tonnes</w:t>
      </w:r>
      <w:r w:rsidR="00FE1716" w:rsidRPr="005D6102">
        <w:t xml:space="preserve"> in 2018</w:t>
      </w:r>
      <w:r w:rsidRPr="005D6102">
        <w:t xml:space="preserve">. </w:t>
      </w:r>
      <w:r w:rsidR="0080546F" w:rsidRPr="005D6102">
        <w:t>As</w:t>
      </w:r>
      <w:r w:rsidR="008B7462" w:rsidRPr="005D6102">
        <w:t xml:space="preserve"> </w:t>
      </w:r>
      <w:r w:rsidR="006A6769" w:rsidRPr="005D6102">
        <w:t>battery manufacturing</w:t>
      </w:r>
      <w:r w:rsidRPr="005D6102">
        <w:t xml:space="preserve"> and</w:t>
      </w:r>
      <w:r w:rsidR="006A6769" w:rsidRPr="005D6102">
        <w:t>,</w:t>
      </w:r>
      <w:r w:rsidRPr="005D6102">
        <w:t xml:space="preserve"> to a lesser extent, the manufacture of nickel-based alloys, continue to grow, </w:t>
      </w:r>
      <w:r w:rsidR="008B7462" w:rsidRPr="005D6102">
        <w:t xml:space="preserve">world cobalt consumption is </w:t>
      </w:r>
      <w:r w:rsidR="00876700" w:rsidRPr="005D6102">
        <w:t xml:space="preserve">projected </w:t>
      </w:r>
      <w:r w:rsidR="008B7462" w:rsidRPr="005D6102">
        <w:t xml:space="preserve">to grow </w:t>
      </w:r>
      <w:r w:rsidR="006A6769" w:rsidRPr="005D6102">
        <w:t xml:space="preserve">by </w:t>
      </w:r>
      <w:r w:rsidR="00EA5EE0" w:rsidRPr="005D6102">
        <w:t xml:space="preserve">around 7 per cent year, </w:t>
      </w:r>
      <w:r w:rsidR="00876700" w:rsidRPr="005D6102">
        <w:t>to reach a</w:t>
      </w:r>
      <w:r w:rsidR="00CF34D4" w:rsidRPr="005D6102">
        <w:t xml:space="preserve"> </w:t>
      </w:r>
      <w:r w:rsidR="00C476E0">
        <w:t>310,</w:t>
      </w:r>
      <w:r w:rsidR="0023055D">
        <w:t>000</w:t>
      </w:r>
      <w:r w:rsidR="00CF34D4" w:rsidRPr="005D6102">
        <w:t xml:space="preserve"> tonnes in 20</w:t>
      </w:r>
      <w:r w:rsidR="00C476E0">
        <w:t>30</w:t>
      </w:r>
      <w:r w:rsidR="00FC4A43" w:rsidRPr="005D6102">
        <w:t xml:space="preserve"> (</w:t>
      </w:r>
      <w:r w:rsidR="00FC4A43" w:rsidRPr="005D6102">
        <w:rPr>
          <w:color w:val="373737" w:themeColor="text1"/>
        </w:rPr>
        <w:t xml:space="preserve">Figure </w:t>
      </w:r>
      <w:r w:rsidR="00F843F6" w:rsidRPr="005D6102">
        <w:rPr>
          <w:color w:val="373737" w:themeColor="text1"/>
        </w:rPr>
        <w:t>4</w:t>
      </w:r>
      <w:r w:rsidR="00FC4A43" w:rsidRPr="005D6102">
        <w:rPr>
          <w:color w:val="373737" w:themeColor="text1"/>
        </w:rPr>
        <w:t>.1)</w:t>
      </w:r>
      <w:r w:rsidR="008B7462" w:rsidRPr="005D6102">
        <w:t xml:space="preserve">. </w:t>
      </w:r>
    </w:p>
    <w:p w14:paraId="21CC73E3" w14:textId="62C18DDB" w:rsidR="00CA5003" w:rsidRPr="005D6102" w:rsidRDefault="001B1164" w:rsidP="00144B14">
      <w:pPr>
        <w:pStyle w:val="ListBullet3"/>
        <w:ind w:left="0" w:firstLine="0"/>
      </w:pPr>
      <w:r w:rsidRPr="005D6102">
        <w:t>In 2018, t</w:t>
      </w:r>
      <w:r w:rsidR="00CA5003" w:rsidRPr="005D6102">
        <w:t xml:space="preserve">he largest importers of cobalt ores and concentrates </w:t>
      </w:r>
      <w:r w:rsidRPr="005D6102">
        <w:t>were</w:t>
      </w:r>
      <w:r w:rsidR="00CA5003" w:rsidRPr="005D6102">
        <w:t>:</w:t>
      </w:r>
    </w:p>
    <w:p w14:paraId="1A7E801D" w14:textId="5E611ACF" w:rsidR="00CA5003" w:rsidRPr="005D6102" w:rsidRDefault="00CA5003" w:rsidP="000469D0">
      <w:pPr>
        <w:pStyle w:val="Keypointsbullet"/>
        <w:spacing w:after="120"/>
        <w:rPr>
          <w:b w:val="0"/>
        </w:rPr>
      </w:pPr>
      <w:r w:rsidRPr="005D6102">
        <w:rPr>
          <w:b w:val="0"/>
        </w:rPr>
        <w:t>China (</w:t>
      </w:r>
      <w:r w:rsidR="00EE30D8" w:rsidRPr="005D6102">
        <w:rPr>
          <w:b w:val="0"/>
        </w:rPr>
        <w:t>66</w:t>
      </w:r>
      <w:r w:rsidR="001B1164" w:rsidRPr="005D6102">
        <w:rPr>
          <w:b w:val="0"/>
        </w:rPr>
        <w:t xml:space="preserve"> per cent of world total</w:t>
      </w:r>
      <w:r w:rsidRPr="005D6102">
        <w:rPr>
          <w:b w:val="0"/>
        </w:rPr>
        <w:t xml:space="preserve">) </w:t>
      </w:r>
    </w:p>
    <w:p w14:paraId="02058C77" w14:textId="3AC7A208" w:rsidR="00CA5003" w:rsidRPr="005D6102" w:rsidRDefault="00EE30D8" w:rsidP="000469D0">
      <w:pPr>
        <w:pStyle w:val="Keypointsbullet"/>
        <w:spacing w:after="120"/>
        <w:rPr>
          <w:b w:val="0"/>
        </w:rPr>
      </w:pPr>
      <w:r w:rsidRPr="005D6102">
        <w:rPr>
          <w:b w:val="0"/>
        </w:rPr>
        <w:t>Zambia</w:t>
      </w:r>
      <w:r w:rsidR="001B1164" w:rsidRPr="005D6102">
        <w:rPr>
          <w:b w:val="0"/>
        </w:rPr>
        <w:t xml:space="preserve"> </w:t>
      </w:r>
      <w:r w:rsidR="00CA5003" w:rsidRPr="005D6102">
        <w:rPr>
          <w:b w:val="0"/>
        </w:rPr>
        <w:t>(</w:t>
      </w:r>
      <w:r w:rsidRPr="005D6102">
        <w:rPr>
          <w:b w:val="0"/>
        </w:rPr>
        <w:t>27</w:t>
      </w:r>
      <w:r w:rsidR="001B1164" w:rsidRPr="005D6102">
        <w:rPr>
          <w:b w:val="0"/>
        </w:rPr>
        <w:t xml:space="preserve"> per cent</w:t>
      </w:r>
      <w:r w:rsidR="00CA5003" w:rsidRPr="005D6102">
        <w:rPr>
          <w:b w:val="0"/>
        </w:rPr>
        <w:t xml:space="preserve">) </w:t>
      </w:r>
    </w:p>
    <w:p w14:paraId="29EA5FFD" w14:textId="61E5D4B9" w:rsidR="00CA5003" w:rsidRPr="005D6102" w:rsidRDefault="00EE30D8" w:rsidP="000469D0">
      <w:pPr>
        <w:pStyle w:val="Keypointsbullet"/>
        <w:spacing w:after="120"/>
        <w:rPr>
          <w:b w:val="0"/>
        </w:rPr>
      </w:pPr>
      <w:r w:rsidRPr="005D6102">
        <w:rPr>
          <w:b w:val="0"/>
        </w:rPr>
        <w:t xml:space="preserve">Morocco </w:t>
      </w:r>
      <w:r w:rsidR="00CA5003" w:rsidRPr="005D6102">
        <w:rPr>
          <w:b w:val="0"/>
        </w:rPr>
        <w:t>(</w:t>
      </w:r>
      <w:r w:rsidRPr="005D6102">
        <w:rPr>
          <w:b w:val="0"/>
        </w:rPr>
        <w:t>3</w:t>
      </w:r>
      <w:r w:rsidR="001B1164" w:rsidRPr="005D6102">
        <w:rPr>
          <w:b w:val="0"/>
        </w:rPr>
        <w:t xml:space="preserve"> per cent</w:t>
      </w:r>
      <w:r w:rsidR="00CA5003" w:rsidRPr="005D6102">
        <w:rPr>
          <w:b w:val="0"/>
        </w:rPr>
        <w:t xml:space="preserve">) </w:t>
      </w:r>
    </w:p>
    <w:p w14:paraId="36253299" w14:textId="1AC4F881" w:rsidR="001122AA" w:rsidRPr="005D6102" w:rsidRDefault="001122AA" w:rsidP="006D1155">
      <w:pPr>
        <w:pStyle w:val="Caption"/>
      </w:pPr>
      <w:bookmarkStart w:id="77" w:name="_Toc14958208"/>
      <w:r w:rsidRPr="005D6102">
        <w:t xml:space="preserve">Figure </w:t>
      </w:r>
      <w:r w:rsidR="00F843F6" w:rsidRPr="005D6102">
        <w:rPr>
          <w:noProof/>
        </w:rPr>
        <w:t>4</w:t>
      </w:r>
      <w:r w:rsidRPr="005D6102">
        <w:t>.</w:t>
      </w:r>
      <w:r w:rsidR="000F4B63">
        <w:rPr>
          <w:noProof/>
        </w:rPr>
        <w:fldChar w:fldCharType="begin"/>
      </w:r>
      <w:r w:rsidR="000F4B63">
        <w:rPr>
          <w:noProof/>
        </w:rPr>
        <w:instrText xml:space="preserve"> SEQ Figure \* ARABIC \s 1 </w:instrText>
      </w:r>
      <w:r w:rsidR="000F4B63">
        <w:rPr>
          <w:noProof/>
        </w:rPr>
        <w:fldChar w:fldCharType="separate"/>
      </w:r>
      <w:r w:rsidR="00A7507E">
        <w:rPr>
          <w:noProof/>
        </w:rPr>
        <w:t>1</w:t>
      </w:r>
      <w:r w:rsidR="000F4B63">
        <w:rPr>
          <w:noProof/>
        </w:rPr>
        <w:fldChar w:fldCharType="end"/>
      </w:r>
      <w:r w:rsidRPr="005D6102">
        <w:t>: Forecast cobalt consumption</w:t>
      </w:r>
      <w:bookmarkEnd w:id="77"/>
    </w:p>
    <w:p w14:paraId="6DE1763A" w14:textId="3D183EA0" w:rsidR="001122AA" w:rsidRPr="005D6102" w:rsidRDefault="003003EB" w:rsidP="001122AA">
      <w:pPr>
        <w:pStyle w:val="Placeholder"/>
      </w:pPr>
      <w:r>
        <w:rPr>
          <w:noProof/>
          <w:lang w:eastAsia="en-AU"/>
        </w:rPr>
        <w:drawing>
          <wp:inline distT="0" distB="0" distL="0" distR="0" wp14:anchorId="11565511" wp14:editId="578DC3A6">
            <wp:extent cx="4862830" cy="3262630"/>
            <wp:effectExtent l="0" t="0" r="0" b="0"/>
            <wp:docPr id="2081" name="Picture 2081" descr="Projection for cobalt consumption out to 2030." title="Figure 4.1: Forecast cobalt consum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gibbons\AppData\Local\Microsoft\Windows\INetCache\Content.Word\Charts new_4.1.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862830" cy="3262630"/>
                    </a:xfrm>
                    <a:prstGeom prst="rect">
                      <a:avLst/>
                    </a:prstGeom>
                    <a:noFill/>
                    <a:ln>
                      <a:noFill/>
                    </a:ln>
                  </pic:spPr>
                </pic:pic>
              </a:graphicData>
            </a:graphic>
          </wp:inline>
        </w:drawing>
      </w:r>
    </w:p>
    <w:p w14:paraId="498E710C" w14:textId="26E00B7D" w:rsidR="009667DC" w:rsidRPr="005D6102" w:rsidRDefault="001122AA" w:rsidP="004C3B28">
      <w:pPr>
        <w:pStyle w:val="Source"/>
      </w:pPr>
      <w:r w:rsidRPr="005D6102">
        <w:t>Source:</w:t>
      </w:r>
      <w:r w:rsidR="007973E2">
        <w:t xml:space="preserve"> Bloomberg New Energy Finance (2019), </w:t>
      </w:r>
      <w:r w:rsidR="007973E2" w:rsidRPr="005D6102">
        <w:t>Department of Industry, Innovation and Science (2019</w:t>
      </w:r>
      <w:r w:rsidR="00E96388" w:rsidRPr="005D6102">
        <w:t>)</w:t>
      </w:r>
      <w:r w:rsidR="00E96388">
        <w:t xml:space="preserve">, </w:t>
      </w:r>
      <w:r w:rsidRPr="005D6102">
        <w:t xml:space="preserve">Roskill </w:t>
      </w:r>
      <w:r w:rsidR="006A2859" w:rsidRPr="005D6102">
        <w:t>(201</w:t>
      </w:r>
      <w:r w:rsidR="00547A73" w:rsidRPr="005D6102">
        <w:t>9</w:t>
      </w:r>
      <w:r w:rsidR="006A2859" w:rsidRPr="005D6102">
        <w:t>)</w:t>
      </w:r>
      <w:r w:rsidR="00E96388">
        <w:t>.</w:t>
      </w:r>
    </w:p>
    <w:p w14:paraId="32225D04" w14:textId="6DFFCEC1" w:rsidR="00874282" w:rsidRPr="005D6102" w:rsidRDefault="00874282" w:rsidP="00383C16">
      <w:pPr>
        <w:pStyle w:val="ListBullet3"/>
        <w:ind w:left="0" w:firstLine="0"/>
      </w:pPr>
      <w:bookmarkStart w:id="78" w:name="_Toc15388903"/>
      <w:bookmarkStart w:id="79" w:name="_Toc14958176"/>
      <w:bookmarkStart w:id="80" w:name="_Toc14958180"/>
      <w:r w:rsidRPr="005D6102">
        <w:t xml:space="preserve">Refined cobalt consumption is closely tied to </w:t>
      </w:r>
      <w:r w:rsidR="00383C16" w:rsidRPr="005D6102">
        <w:t xml:space="preserve">battery manufacturing activities. </w:t>
      </w:r>
      <w:r w:rsidRPr="005D6102">
        <w:t>China is the largest consumer of refined cobalt, accounting for around 40</w:t>
      </w:r>
      <w:r w:rsidR="00543ABB" w:rsidRPr="005D6102">
        <w:t xml:space="preserve"> </w:t>
      </w:r>
      <w:r w:rsidRPr="005D6102">
        <w:t>per cent of the world</w:t>
      </w:r>
      <w:r w:rsidR="00F9215D">
        <w:t>’s</w:t>
      </w:r>
      <w:r w:rsidRPr="005D6102">
        <w:t xml:space="preserve"> </w:t>
      </w:r>
      <w:r w:rsidR="00383C16" w:rsidRPr="005D6102">
        <w:t>refined consumption, followed by Japan and South Korea.</w:t>
      </w:r>
    </w:p>
    <w:p w14:paraId="54F40B85" w14:textId="19F784F6" w:rsidR="00254B19" w:rsidRPr="005D6102" w:rsidRDefault="0029662C" w:rsidP="00254B19">
      <w:pPr>
        <w:pStyle w:val="Heading2"/>
      </w:pPr>
      <w:bookmarkStart w:id="81" w:name="_Toc16143278"/>
      <w:bookmarkStart w:id="82" w:name="_Toc17803349"/>
      <w:r w:rsidRPr="005D6102">
        <w:t>World p</w:t>
      </w:r>
      <w:r w:rsidR="00254B19" w:rsidRPr="005D6102">
        <w:t>roduction</w:t>
      </w:r>
      <w:bookmarkEnd w:id="78"/>
      <w:bookmarkEnd w:id="81"/>
      <w:bookmarkEnd w:id="82"/>
    </w:p>
    <w:p w14:paraId="235BBAE4" w14:textId="565F35EC" w:rsidR="00A45C92" w:rsidRPr="005D6102" w:rsidRDefault="00A2689D" w:rsidP="00A45C92">
      <w:pPr>
        <w:pStyle w:val="Heading3"/>
      </w:pPr>
      <w:r w:rsidRPr="005D6102">
        <w:t>Mined and refined production of cobalt is h</w:t>
      </w:r>
      <w:r w:rsidR="00A45C92" w:rsidRPr="005D6102">
        <w:t xml:space="preserve">ighly concentrated </w:t>
      </w:r>
      <w:bookmarkEnd w:id="79"/>
    </w:p>
    <w:p w14:paraId="111D910D" w14:textId="489A25BE" w:rsidR="00A45C92" w:rsidRPr="005D6102" w:rsidRDefault="00A45C92" w:rsidP="00A45C92">
      <w:pPr>
        <w:pStyle w:val="BodyText"/>
      </w:pPr>
      <w:r w:rsidRPr="005D6102">
        <w:t xml:space="preserve">The Democratic Republic of the Congo (DRC) accounts for around </w:t>
      </w:r>
      <w:r w:rsidR="0095116A">
        <w:t>65</w:t>
      </w:r>
      <w:r w:rsidR="00D23360" w:rsidRPr="005D6102">
        <w:t xml:space="preserve"> per cent</w:t>
      </w:r>
      <w:r w:rsidRPr="005D6102">
        <w:t xml:space="preserve"> of world mined cobalt production</w:t>
      </w:r>
      <w:r w:rsidR="00BA3262">
        <w:t xml:space="preserve">, </w:t>
      </w:r>
      <w:r w:rsidR="00457F79">
        <w:t xml:space="preserve">while </w:t>
      </w:r>
      <w:r w:rsidR="00BA3262" w:rsidRPr="005D6102">
        <w:t>Australia accounts for around 3 per cent</w:t>
      </w:r>
      <w:r w:rsidR="00114DA2">
        <w:t xml:space="preserve"> </w:t>
      </w:r>
      <w:r w:rsidR="00FC4A43" w:rsidRPr="005D6102">
        <w:rPr>
          <w:color w:val="373737" w:themeColor="text1"/>
        </w:rPr>
        <w:t xml:space="preserve">(Figure </w:t>
      </w:r>
      <w:r w:rsidR="00F843F6" w:rsidRPr="005D6102">
        <w:rPr>
          <w:color w:val="373737" w:themeColor="text1"/>
        </w:rPr>
        <w:t>4</w:t>
      </w:r>
      <w:r w:rsidR="00FC4A43" w:rsidRPr="005D6102">
        <w:rPr>
          <w:color w:val="373737" w:themeColor="text1"/>
        </w:rPr>
        <w:t>.2)</w:t>
      </w:r>
      <w:r w:rsidRPr="005D6102">
        <w:t xml:space="preserve">. </w:t>
      </w:r>
      <w:r w:rsidR="00487C2A" w:rsidRPr="005D6102">
        <w:t xml:space="preserve">In the </w:t>
      </w:r>
      <w:r w:rsidRPr="005D6102">
        <w:t>DRC</w:t>
      </w:r>
      <w:r w:rsidR="007650F4" w:rsidRPr="005D6102">
        <w:t>,</w:t>
      </w:r>
      <w:r w:rsidRPr="005D6102">
        <w:t xml:space="preserve"> cobalt is co-produced with copper, and </w:t>
      </w:r>
      <w:r w:rsidR="0080546F" w:rsidRPr="005D6102">
        <w:t>faces</w:t>
      </w:r>
      <w:r w:rsidRPr="005D6102">
        <w:t xml:space="preserve"> significant social and environmental issues</w:t>
      </w:r>
      <w:r w:rsidR="0080546F" w:rsidRPr="005D6102">
        <w:t>,</w:t>
      </w:r>
      <w:r w:rsidRPr="005D6102">
        <w:t xml:space="preserve"> which are a </w:t>
      </w:r>
      <w:r w:rsidR="007650F4" w:rsidRPr="005D6102">
        <w:t xml:space="preserve">major </w:t>
      </w:r>
      <w:r w:rsidRPr="005D6102">
        <w:t>risk to supply</w:t>
      </w:r>
      <w:r w:rsidR="007650F4" w:rsidRPr="005D6102">
        <w:t xml:space="preserve">. This supply risk </w:t>
      </w:r>
      <w:r w:rsidR="00487C2A" w:rsidRPr="005D6102">
        <w:t xml:space="preserve">is </w:t>
      </w:r>
      <w:r w:rsidR="007650F4" w:rsidRPr="005D6102">
        <w:t xml:space="preserve">making cobalt, and </w:t>
      </w:r>
      <w:r w:rsidR="001D43E5" w:rsidRPr="005D6102">
        <w:t>cobalt</w:t>
      </w:r>
      <w:r w:rsidR="007650F4" w:rsidRPr="005D6102">
        <w:t xml:space="preserve"> sourced in the DRC, </w:t>
      </w:r>
      <w:r w:rsidR="00543ABB" w:rsidRPr="005D6102">
        <w:t xml:space="preserve">increasingly </w:t>
      </w:r>
      <w:r w:rsidR="00487C2A" w:rsidRPr="005D6102">
        <w:t xml:space="preserve">unattractive </w:t>
      </w:r>
      <w:r w:rsidR="00487C2A" w:rsidRPr="005D6102">
        <w:lastRenderedPageBreak/>
        <w:t>to consumers</w:t>
      </w:r>
      <w:r w:rsidRPr="005D6102">
        <w:t xml:space="preserve">. </w:t>
      </w:r>
      <w:r w:rsidR="00BA3262">
        <w:t xml:space="preserve">Despite this, </w:t>
      </w:r>
      <w:r w:rsidR="00280B50">
        <w:t>in</w:t>
      </w:r>
      <w:r w:rsidR="00BA3262">
        <w:t xml:space="preserve"> the </w:t>
      </w:r>
      <w:r w:rsidR="00280B50">
        <w:t xml:space="preserve">future, </w:t>
      </w:r>
      <w:r w:rsidR="00BA3262">
        <w:t xml:space="preserve">the </w:t>
      </w:r>
      <w:r w:rsidR="00280B50">
        <w:t>highest</w:t>
      </w:r>
      <w:r w:rsidR="00BA3262">
        <w:t xml:space="preserve"> production growth is expected to come from the DRC.</w:t>
      </w:r>
    </w:p>
    <w:p w14:paraId="415A2129" w14:textId="7B6B58C9" w:rsidR="00743368" w:rsidRPr="005D6102" w:rsidRDefault="00743368" w:rsidP="009971BD">
      <w:pPr>
        <w:pStyle w:val="Caption"/>
      </w:pPr>
      <w:r w:rsidRPr="005D6102">
        <w:t xml:space="preserve">Figure </w:t>
      </w:r>
      <w:r w:rsidR="00F843F6" w:rsidRPr="005D6102">
        <w:rPr>
          <w:noProof/>
        </w:rPr>
        <w:t>4</w:t>
      </w:r>
      <w:r w:rsidRPr="005D6102">
        <w:t>.</w:t>
      </w:r>
      <w:r w:rsidR="000F4B63">
        <w:rPr>
          <w:noProof/>
        </w:rPr>
        <w:fldChar w:fldCharType="begin"/>
      </w:r>
      <w:r w:rsidR="000F4B63">
        <w:rPr>
          <w:noProof/>
        </w:rPr>
        <w:instrText xml:space="preserve"> SEQ Figure \* ARABIC \s 1 </w:instrText>
      </w:r>
      <w:r w:rsidR="000F4B63">
        <w:rPr>
          <w:noProof/>
        </w:rPr>
        <w:fldChar w:fldCharType="separate"/>
      </w:r>
      <w:r w:rsidR="00A7507E">
        <w:rPr>
          <w:noProof/>
        </w:rPr>
        <w:t>2</w:t>
      </w:r>
      <w:r w:rsidR="000F4B63">
        <w:rPr>
          <w:noProof/>
        </w:rPr>
        <w:fldChar w:fldCharType="end"/>
      </w:r>
      <w:r w:rsidRPr="005D6102">
        <w:t>: World production of mined cobalt</w:t>
      </w:r>
    </w:p>
    <w:tbl>
      <w:tblPr>
        <w:tblStyle w:val="OCETable"/>
        <w:tblW w:w="4358" w:type="pct"/>
        <w:tblInd w:w="108" w:type="dxa"/>
        <w:tblLayout w:type="fixed"/>
        <w:tblLook w:val="04A0" w:firstRow="1" w:lastRow="0" w:firstColumn="1" w:lastColumn="0" w:noHBand="0" w:noVBand="1"/>
        <w:tblCaption w:val="Table contains figure 4.2"/>
      </w:tblPr>
      <w:tblGrid>
        <w:gridCol w:w="7762"/>
      </w:tblGrid>
      <w:tr w:rsidR="00743368" w:rsidRPr="005D6102" w14:paraId="3AA23B74" w14:textId="77777777" w:rsidTr="0070688F">
        <w:trPr>
          <w:cnfStyle w:val="100000000000" w:firstRow="1" w:lastRow="0" w:firstColumn="0" w:lastColumn="0" w:oddVBand="0" w:evenVBand="0" w:oddHBand="0" w:evenHBand="0" w:firstRowFirstColumn="0" w:firstRowLastColumn="0" w:lastRowFirstColumn="0" w:lastRowLastColumn="0"/>
          <w:trHeight w:val="3597"/>
          <w:tblHeader/>
        </w:trPr>
        <w:tc>
          <w:tcPr>
            <w:tcW w:w="7763" w:type="dxa"/>
            <w:shd w:val="clear" w:color="auto" w:fill="auto"/>
          </w:tcPr>
          <w:p w14:paraId="39B6F358" w14:textId="5CA6C6A2" w:rsidR="00743368" w:rsidRPr="005D6102" w:rsidRDefault="004211B9" w:rsidP="008B73EC">
            <w:pPr>
              <w:pStyle w:val="PlaceholderWide"/>
              <w:jc w:val="both"/>
            </w:pPr>
            <w:r>
              <w:rPr>
                <w:noProof/>
                <w:lang w:eastAsia="en-AU"/>
              </w:rPr>
              <w:drawing>
                <wp:inline distT="0" distB="0" distL="0" distR="0" wp14:anchorId="35DF34C0" wp14:editId="738E756E">
                  <wp:extent cx="4572000" cy="2743200"/>
                  <wp:effectExtent l="0" t="0" r="0" b="0"/>
                  <wp:docPr id="6" name="Chart 6" descr="This chart shows the production of cobalt by major producer, between 2006-2018." title="Figure 4.2: World production of mined cobalt"/>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tc>
      </w:tr>
    </w:tbl>
    <w:p w14:paraId="7CCFABBA" w14:textId="39AEB54B" w:rsidR="00743368" w:rsidRPr="005D6102" w:rsidRDefault="00A45C92" w:rsidP="009971BD">
      <w:pPr>
        <w:pStyle w:val="Note"/>
      </w:pPr>
      <w:r w:rsidRPr="005D6102">
        <w:t>Notes:</w:t>
      </w:r>
      <w:r w:rsidRPr="005D6102">
        <w:rPr>
          <w:lang w:eastAsia="en-AU"/>
        </w:rPr>
        <w:t xml:space="preserve"> DRC </w:t>
      </w:r>
      <w:r w:rsidR="002505DF">
        <w:rPr>
          <w:lang w:eastAsia="en-AU"/>
        </w:rPr>
        <w:t xml:space="preserve">is </w:t>
      </w:r>
      <w:r w:rsidRPr="005D6102">
        <w:rPr>
          <w:lang w:eastAsia="en-AU"/>
        </w:rPr>
        <w:t xml:space="preserve">the Democratic Republic of the Congo. </w:t>
      </w:r>
    </w:p>
    <w:p w14:paraId="45FBEF90" w14:textId="051F222D" w:rsidR="00743368" w:rsidRPr="005D6102" w:rsidRDefault="00743368" w:rsidP="009971BD">
      <w:pPr>
        <w:pStyle w:val="Source"/>
      </w:pPr>
      <w:r w:rsidRPr="005D6102">
        <w:t xml:space="preserve">Source: </w:t>
      </w:r>
      <w:r w:rsidR="004211B9">
        <w:t>Bloomberg</w:t>
      </w:r>
      <w:r w:rsidR="004211B9" w:rsidRPr="005D6102">
        <w:t xml:space="preserve"> (2019)</w:t>
      </w:r>
    </w:p>
    <w:p w14:paraId="1BC50BA5" w14:textId="74A741C6" w:rsidR="00280698" w:rsidRPr="005D6102" w:rsidRDefault="00280698" w:rsidP="00280698">
      <w:pPr>
        <w:pStyle w:val="ListBullet3"/>
        <w:ind w:left="0" w:firstLine="0"/>
      </w:pPr>
      <w:r w:rsidRPr="005D6102">
        <w:t xml:space="preserve">Cobalt mined in the DRC is </w:t>
      </w:r>
      <w:r w:rsidR="00D676C5" w:rsidRPr="005D6102">
        <w:t xml:space="preserve">almost exclusively </w:t>
      </w:r>
      <w:r w:rsidRPr="005D6102">
        <w:t>exported to China</w:t>
      </w:r>
      <w:r w:rsidR="00B40432">
        <w:t xml:space="preserve"> </w:t>
      </w:r>
      <w:r w:rsidR="00CC48EB">
        <w:t xml:space="preserve">for </w:t>
      </w:r>
      <w:r w:rsidRPr="005D6102">
        <w:t>further</w:t>
      </w:r>
      <w:r w:rsidR="00CC48EB">
        <w:t xml:space="preserve"> </w:t>
      </w:r>
      <w:r w:rsidRPr="005D6102">
        <w:t>refin</w:t>
      </w:r>
      <w:r w:rsidR="00CC48EB">
        <w:t>ing</w:t>
      </w:r>
      <w:r w:rsidRPr="005D6102">
        <w:t xml:space="preserve">. </w:t>
      </w:r>
      <w:r w:rsidR="00E56FFA" w:rsidRPr="005D6102">
        <w:t>China</w:t>
      </w:r>
      <w:r w:rsidRPr="005D6102">
        <w:t xml:space="preserve"> accounts for around </w:t>
      </w:r>
      <w:r w:rsidR="002C6205" w:rsidRPr="005D6102">
        <w:t>6</w:t>
      </w:r>
      <w:r w:rsidR="002C6205">
        <w:t>6</w:t>
      </w:r>
      <w:r w:rsidR="002C6205" w:rsidRPr="005D6102">
        <w:t xml:space="preserve"> </w:t>
      </w:r>
      <w:r w:rsidR="00D23360" w:rsidRPr="005D6102">
        <w:t>per cent</w:t>
      </w:r>
      <w:r w:rsidRPr="005D6102">
        <w:t xml:space="preserve"> of </w:t>
      </w:r>
      <w:r w:rsidR="007D4973">
        <w:t xml:space="preserve">refined </w:t>
      </w:r>
      <w:r w:rsidRPr="005D6102">
        <w:t xml:space="preserve">cobalt </w:t>
      </w:r>
      <w:r w:rsidR="007D4973">
        <w:t>production</w:t>
      </w:r>
      <w:r w:rsidR="00FC4A43" w:rsidRPr="005D6102">
        <w:t xml:space="preserve"> </w:t>
      </w:r>
      <w:r w:rsidR="00FC4A43" w:rsidRPr="005D6102">
        <w:rPr>
          <w:color w:val="373737" w:themeColor="text1"/>
        </w:rPr>
        <w:t xml:space="preserve">(Figure </w:t>
      </w:r>
      <w:r w:rsidR="00F843F6" w:rsidRPr="005D6102">
        <w:rPr>
          <w:color w:val="373737" w:themeColor="text1"/>
        </w:rPr>
        <w:t>4</w:t>
      </w:r>
      <w:r w:rsidR="00FC4A43" w:rsidRPr="005D6102">
        <w:rPr>
          <w:color w:val="373737" w:themeColor="text1"/>
        </w:rPr>
        <w:t>.3)</w:t>
      </w:r>
      <w:r w:rsidRPr="005D6102">
        <w:t xml:space="preserve">. </w:t>
      </w:r>
      <w:r w:rsidR="007D4973">
        <w:t xml:space="preserve">In terms of refining capacity, </w:t>
      </w:r>
      <w:r w:rsidRPr="005D6102">
        <w:t xml:space="preserve">Australia accounts for around </w:t>
      </w:r>
      <w:r w:rsidR="002C6205">
        <w:t>3</w:t>
      </w:r>
      <w:r w:rsidR="002C6205" w:rsidRPr="005D6102">
        <w:t xml:space="preserve"> </w:t>
      </w:r>
      <w:r w:rsidR="00D23360" w:rsidRPr="005D6102">
        <w:t>per cent</w:t>
      </w:r>
      <w:r w:rsidR="00D676C5" w:rsidRPr="005D6102">
        <w:t xml:space="preserve"> of world capacity and</w:t>
      </w:r>
      <w:r w:rsidRPr="005D6102">
        <w:t xml:space="preserve"> </w:t>
      </w:r>
      <w:r w:rsidR="00D676C5" w:rsidRPr="005D6102">
        <w:t xml:space="preserve">is ranked </w:t>
      </w:r>
      <w:r w:rsidR="002C6205">
        <w:t>5</w:t>
      </w:r>
      <w:r w:rsidR="002C6205" w:rsidRPr="005D6102">
        <w:rPr>
          <w:vertAlign w:val="superscript"/>
        </w:rPr>
        <w:t>th</w:t>
      </w:r>
      <w:r w:rsidR="002C6205" w:rsidRPr="005D6102">
        <w:t xml:space="preserve"> </w:t>
      </w:r>
      <w:r w:rsidR="00D676C5" w:rsidRPr="005D6102">
        <w:t>in world</w:t>
      </w:r>
      <w:r w:rsidRPr="005D6102">
        <w:t>.</w:t>
      </w:r>
    </w:p>
    <w:p w14:paraId="3399D48B" w14:textId="1BAAF37A" w:rsidR="00743368" w:rsidRPr="005D6102" w:rsidRDefault="00743368" w:rsidP="009971BD">
      <w:pPr>
        <w:pStyle w:val="Caption"/>
      </w:pPr>
      <w:r w:rsidRPr="005D6102">
        <w:t xml:space="preserve">Figure </w:t>
      </w:r>
      <w:r w:rsidR="00F843F6" w:rsidRPr="005D6102">
        <w:rPr>
          <w:noProof/>
        </w:rPr>
        <w:t>4</w:t>
      </w:r>
      <w:r w:rsidRPr="005D6102">
        <w:t>.</w:t>
      </w:r>
      <w:r w:rsidR="000F4B63">
        <w:rPr>
          <w:noProof/>
        </w:rPr>
        <w:fldChar w:fldCharType="begin"/>
      </w:r>
      <w:r w:rsidR="000F4B63">
        <w:rPr>
          <w:noProof/>
        </w:rPr>
        <w:instrText xml:space="preserve"> SEQ Figure \* ARABIC \s 1 </w:instrText>
      </w:r>
      <w:r w:rsidR="000F4B63">
        <w:rPr>
          <w:noProof/>
        </w:rPr>
        <w:fldChar w:fldCharType="separate"/>
      </w:r>
      <w:r w:rsidR="00A7507E">
        <w:rPr>
          <w:noProof/>
        </w:rPr>
        <w:t>3</w:t>
      </w:r>
      <w:r w:rsidR="000F4B63">
        <w:rPr>
          <w:noProof/>
        </w:rPr>
        <w:fldChar w:fldCharType="end"/>
      </w:r>
      <w:r w:rsidRPr="005D6102">
        <w:t>: World production of refined cobalt</w:t>
      </w:r>
    </w:p>
    <w:tbl>
      <w:tblPr>
        <w:tblStyle w:val="OCETable"/>
        <w:tblW w:w="4371" w:type="pct"/>
        <w:tblInd w:w="108" w:type="dxa"/>
        <w:tblLayout w:type="fixed"/>
        <w:tblLook w:val="04A0" w:firstRow="1" w:lastRow="0" w:firstColumn="1" w:lastColumn="0" w:noHBand="0" w:noVBand="1"/>
        <w:tblCaption w:val="Table contains figure 4.3"/>
      </w:tblPr>
      <w:tblGrid>
        <w:gridCol w:w="7786"/>
      </w:tblGrid>
      <w:tr w:rsidR="00743368" w:rsidRPr="005D6102" w14:paraId="382D56A3" w14:textId="77777777" w:rsidTr="0070688F">
        <w:trPr>
          <w:cnfStyle w:val="100000000000" w:firstRow="1" w:lastRow="0" w:firstColumn="0" w:lastColumn="0" w:oddVBand="0" w:evenVBand="0" w:oddHBand="0" w:evenHBand="0" w:firstRowFirstColumn="0" w:firstRowLastColumn="0" w:lastRowFirstColumn="0" w:lastRowLastColumn="0"/>
          <w:trHeight w:val="2342"/>
          <w:tblHeader/>
        </w:trPr>
        <w:tc>
          <w:tcPr>
            <w:tcW w:w="7786" w:type="dxa"/>
            <w:shd w:val="clear" w:color="auto" w:fill="auto"/>
          </w:tcPr>
          <w:p w14:paraId="2F7BB722" w14:textId="5F107E9E" w:rsidR="00743368" w:rsidRPr="005D6102" w:rsidRDefault="004211B9" w:rsidP="009971BD">
            <w:pPr>
              <w:pStyle w:val="PlaceholderWide"/>
            </w:pPr>
            <w:r>
              <w:rPr>
                <w:noProof/>
                <w:lang w:eastAsia="en-AU"/>
              </w:rPr>
              <w:drawing>
                <wp:inline distT="0" distB="0" distL="0" distR="0" wp14:anchorId="35F3A234" wp14:editId="2D64ED3D">
                  <wp:extent cx="4572000" cy="2743200"/>
                  <wp:effectExtent l="0" t="0" r="0" b="0"/>
                  <wp:docPr id="10" name="Chart 10" descr="This chart shows world production of refined cobalt between 2005-2017." title="Figure 4.3: World production of refined cobalt"/>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tc>
      </w:tr>
    </w:tbl>
    <w:p w14:paraId="3EE0F442" w14:textId="23525C94" w:rsidR="00743368" w:rsidRPr="005D6102" w:rsidRDefault="00743368" w:rsidP="009971BD">
      <w:pPr>
        <w:pStyle w:val="Source"/>
      </w:pPr>
      <w:r w:rsidRPr="005D6102">
        <w:t xml:space="preserve">Source: </w:t>
      </w:r>
      <w:r w:rsidR="004211B9">
        <w:t>Bloomberg</w:t>
      </w:r>
      <w:r w:rsidR="004211B9" w:rsidRPr="005D6102">
        <w:t xml:space="preserve"> (2019)</w:t>
      </w:r>
    </w:p>
    <w:p w14:paraId="7CAB1AAC" w14:textId="1145C047" w:rsidR="00C57913" w:rsidRPr="005D6102" w:rsidRDefault="00117749" w:rsidP="00C57913">
      <w:pPr>
        <w:pStyle w:val="Heading2"/>
      </w:pPr>
      <w:bookmarkStart w:id="83" w:name="_Toc15388904"/>
      <w:bookmarkStart w:id="84" w:name="_Toc16143279"/>
      <w:bookmarkStart w:id="85" w:name="_Toc17803350"/>
      <w:r w:rsidRPr="005D6102">
        <w:lastRenderedPageBreak/>
        <w:t>Market</w:t>
      </w:r>
      <w:r w:rsidR="00C57913" w:rsidRPr="005D6102">
        <w:t xml:space="preserve"> outlook</w:t>
      </w:r>
      <w:bookmarkEnd w:id="83"/>
      <w:bookmarkEnd w:id="84"/>
      <w:bookmarkEnd w:id="85"/>
    </w:p>
    <w:p w14:paraId="4B2B3683" w14:textId="3B011BCA" w:rsidR="00C57913" w:rsidRPr="005D6102" w:rsidRDefault="00C57913" w:rsidP="0070688F">
      <w:pPr>
        <w:pStyle w:val="Heading3"/>
      </w:pPr>
      <w:r w:rsidRPr="005D6102">
        <w:t xml:space="preserve">Growing metal consumption may </w:t>
      </w:r>
      <w:r w:rsidR="00D676C5" w:rsidRPr="005D6102">
        <w:t xml:space="preserve">tighten the </w:t>
      </w:r>
      <w:r w:rsidRPr="005D6102">
        <w:t>market balance and increase prices</w:t>
      </w:r>
    </w:p>
    <w:p w14:paraId="53D72D82" w14:textId="453DEE68" w:rsidR="00C57913" w:rsidRPr="005D6102" w:rsidRDefault="002505DF" w:rsidP="0070688F">
      <w:pPr>
        <w:pStyle w:val="BodyText"/>
      </w:pPr>
      <w:r>
        <w:t>P</w:t>
      </w:r>
      <w:r w:rsidR="001D4FAE" w:rsidRPr="005D6102">
        <w:t>rior to 2017</w:t>
      </w:r>
      <w:r w:rsidR="00C57913" w:rsidRPr="005D6102">
        <w:t xml:space="preserve">, the cobalt market </w:t>
      </w:r>
      <w:r>
        <w:t xml:space="preserve">was </w:t>
      </w:r>
      <w:r w:rsidR="00C57913" w:rsidRPr="005D6102">
        <w:t>well supplied. However</w:t>
      </w:r>
      <w:r w:rsidR="001D4FAE" w:rsidRPr="005D6102">
        <w:t>, in 2017 and 2018 cobalt prices spiked,</w:t>
      </w:r>
      <w:r w:rsidR="00C57913" w:rsidRPr="005D6102">
        <w:t xml:space="preserve"> exceeding </w:t>
      </w:r>
      <w:r w:rsidR="0013129F" w:rsidRPr="005D6102">
        <w:t>US</w:t>
      </w:r>
      <w:r w:rsidR="00C57913" w:rsidRPr="005D6102">
        <w:t>$94,000 a tonne</w:t>
      </w:r>
      <w:r w:rsidR="00371DB3">
        <w:t xml:space="preserve"> — </w:t>
      </w:r>
      <w:r w:rsidR="00F23454" w:rsidRPr="005D6102">
        <w:t>doubl</w:t>
      </w:r>
      <w:r w:rsidR="00D676C5" w:rsidRPr="005D6102">
        <w:t xml:space="preserve">e </w:t>
      </w:r>
      <w:r w:rsidR="00C57913" w:rsidRPr="005D6102">
        <w:t xml:space="preserve">the average of the previous five years. Prices have </w:t>
      </w:r>
      <w:r w:rsidR="00280B50">
        <w:t xml:space="preserve">since declined </w:t>
      </w:r>
      <w:r w:rsidR="00186716" w:rsidRPr="005D6102">
        <w:t>stead</w:t>
      </w:r>
      <w:r w:rsidR="00280B50">
        <w:t>il</w:t>
      </w:r>
      <w:r w:rsidR="00186716" w:rsidRPr="005D6102">
        <w:t>y</w:t>
      </w:r>
      <w:r w:rsidR="00C57913" w:rsidRPr="005D6102">
        <w:t>; in the first half of 2019</w:t>
      </w:r>
      <w:r w:rsidR="00D676C5" w:rsidRPr="005D6102">
        <w:t>,</w:t>
      </w:r>
      <w:r w:rsidR="00C57913" w:rsidRPr="005D6102">
        <w:t xml:space="preserve"> the cobalt LME spot price average</w:t>
      </w:r>
      <w:r w:rsidR="001F1F73" w:rsidRPr="005D6102">
        <w:t>d</w:t>
      </w:r>
      <w:r w:rsidR="00C57913" w:rsidRPr="005D6102">
        <w:t xml:space="preserve"> </w:t>
      </w:r>
      <w:r w:rsidR="0013129F" w:rsidRPr="005D6102">
        <w:t>US</w:t>
      </w:r>
      <w:r w:rsidR="00C57913" w:rsidRPr="005D6102">
        <w:t xml:space="preserve">$33,500 a tonne. </w:t>
      </w:r>
      <w:r w:rsidR="009E4183" w:rsidRPr="005D6102">
        <w:t>Recent low prices and expectations about demand growth</w:t>
      </w:r>
      <w:r w:rsidR="00280B50">
        <w:t>,</w:t>
      </w:r>
      <w:r w:rsidR="009E4183" w:rsidRPr="005D6102">
        <w:t xml:space="preserve"> ha</w:t>
      </w:r>
      <w:r w:rsidR="004933DD">
        <w:t>ve</w:t>
      </w:r>
      <w:r w:rsidR="009E4183" w:rsidRPr="005D6102">
        <w:t xml:space="preserve"> prompted the </w:t>
      </w:r>
      <w:r w:rsidR="00186716" w:rsidRPr="005D6102">
        <w:t xml:space="preserve">temporary </w:t>
      </w:r>
      <w:r w:rsidR="009E4183" w:rsidRPr="005D6102">
        <w:t xml:space="preserve">closure of Glencore’s Mutanda mine in the DRC, the largest cobalt mine in the world. </w:t>
      </w:r>
    </w:p>
    <w:p w14:paraId="00F9BFFA" w14:textId="3F0E8969" w:rsidR="00C57913" w:rsidRPr="005D6102" w:rsidRDefault="00C57913" w:rsidP="0070688F">
      <w:pPr>
        <w:pStyle w:val="BodyText"/>
      </w:pPr>
      <w:r w:rsidRPr="005D6102">
        <w:t xml:space="preserve">Cobalt prices are expected to </w:t>
      </w:r>
      <w:r w:rsidR="00D676C5" w:rsidRPr="005D6102">
        <w:t xml:space="preserve">rise </w:t>
      </w:r>
      <w:r w:rsidRPr="005D6102">
        <w:t>as battery production increases</w:t>
      </w:r>
      <w:r w:rsidR="00280B50">
        <w:t>. However,</w:t>
      </w:r>
      <w:r w:rsidRPr="005D6102">
        <w:t xml:space="preserve"> the market is expected to be adequately supplied until around 2025</w:t>
      </w:r>
      <w:r w:rsidR="009575EC">
        <w:t>, as new production enters the market and the output of recycled production increases</w:t>
      </w:r>
      <w:r w:rsidRPr="005D6102">
        <w:t xml:space="preserve">. Cobalt used in batteries is </w:t>
      </w:r>
      <w:r w:rsidR="00DD673B" w:rsidRPr="005D6102">
        <w:t>projected</w:t>
      </w:r>
      <w:r w:rsidRPr="005D6102">
        <w:t xml:space="preserve"> to grow by </w:t>
      </w:r>
      <w:r w:rsidR="001D4FAE" w:rsidRPr="005D6102">
        <w:t>9</w:t>
      </w:r>
      <w:r w:rsidR="00D23360" w:rsidRPr="005D6102">
        <w:t xml:space="preserve"> per cent</w:t>
      </w:r>
      <w:r w:rsidRPr="005D6102">
        <w:t xml:space="preserve"> a year </w:t>
      </w:r>
      <w:r w:rsidR="001D4FAE" w:rsidRPr="005D6102">
        <w:t>to 20</w:t>
      </w:r>
      <w:r w:rsidR="00E96388">
        <w:t>30</w:t>
      </w:r>
      <w:r w:rsidR="00371DB3">
        <w:t>.</w:t>
      </w:r>
      <w:r w:rsidR="00587AD8">
        <w:t xml:space="preserve"> </w:t>
      </w:r>
      <w:r w:rsidR="00371DB3">
        <w:t>C</w:t>
      </w:r>
      <w:r w:rsidR="001D4FAE" w:rsidRPr="005D6102">
        <w:t xml:space="preserve">obalt used in nickel alloys, pigments and permanent magnets is also set to grow. </w:t>
      </w:r>
      <w:r w:rsidR="00E96388">
        <w:t xml:space="preserve">This growth is </w:t>
      </w:r>
      <w:r w:rsidR="00E82DD6">
        <w:t xml:space="preserve">expected </w:t>
      </w:r>
      <w:r w:rsidR="00E96388">
        <w:t xml:space="preserve">to support modest price </w:t>
      </w:r>
      <w:r w:rsidR="00E82DD6">
        <w:t xml:space="preserve">increases </w:t>
      </w:r>
      <w:r w:rsidR="00280B50">
        <w:t>in the medium term</w:t>
      </w:r>
      <w:r w:rsidR="004215B1">
        <w:t>, although u</w:t>
      </w:r>
      <w:r w:rsidR="00E82DD6">
        <w:t xml:space="preserve">ncertainty around trends in battery manufacturing </w:t>
      </w:r>
      <w:r w:rsidR="004215B1">
        <w:t xml:space="preserve">could lead to </w:t>
      </w:r>
      <w:r w:rsidR="00587AD8">
        <w:t xml:space="preserve">price </w:t>
      </w:r>
      <w:r w:rsidR="004215B1">
        <w:t xml:space="preserve">volatility </w:t>
      </w:r>
      <w:r w:rsidR="00E82DD6" w:rsidRPr="005D6102">
        <w:t>(Figure 4.4)</w:t>
      </w:r>
      <w:r w:rsidR="00E82DD6">
        <w:t>.</w:t>
      </w:r>
    </w:p>
    <w:p w14:paraId="084694F1" w14:textId="08F102D6" w:rsidR="00C57913" w:rsidRPr="005D6102" w:rsidRDefault="00C57913" w:rsidP="0070688F">
      <w:pPr>
        <w:pStyle w:val="BodyText"/>
      </w:pPr>
      <w:r w:rsidRPr="005D6102">
        <w:t xml:space="preserve">Issues in the DRC, including heightened political instability and </w:t>
      </w:r>
      <w:r w:rsidR="0013129F" w:rsidRPr="005D6102">
        <w:t xml:space="preserve">a </w:t>
      </w:r>
      <w:r w:rsidRPr="005D6102">
        <w:t xml:space="preserve">new tax treatment on critical minerals mining, </w:t>
      </w:r>
      <w:r w:rsidR="005F0694">
        <w:t>also</w:t>
      </w:r>
      <w:r w:rsidR="005F0694" w:rsidRPr="005D6102">
        <w:t xml:space="preserve"> </w:t>
      </w:r>
      <w:r w:rsidRPr="005D6102">
        <w:t xml:space="preserve">pose a risk to world production. </w:t>
      </w:r>
      <w:r w:rsidR="00DD673B" w:rsidRPr="005D6102">
        <w:t xml:space="preserve">These </w:t>
      </w:r>
      <w:r w:rsidRPr="005D6102">
        <w:t>supply</w:t>
      </w:r>
      <w:r w:rsidR="00DD673B" w:rsidRPr="005D6102">
        <w:t>-side</w:t>
      </w:r>
      <w:r w:rsidRPr="005D6102">
        <w:t xml:space="preserve"> issues </w:t>
      </w:r>
      <w:r w:rsidR="00DD673B" w:rsidRPr="005D6102">
        <w:t xml:space="preserve">and </w:t>
      </w:r>
      <w:r w:rsidR="00664F3C">
        <w:t>fear of price spikes</w:t>
      </w:r>
      <w:r w:rsidR="00280B50">
        <w:t>,</w:t>
      </w:r>
      <w:r w:rsidR="00664F3C">
        <w:t xml:space="preserve"> </w:t>
      </w:r>
      <w:r w:rsidRPr="005D6102">
        <w:t xml:space="preserve">are prompting investment into </w:t>
      </w:r>
      <w:r w:rsidR="00D65CF0" w:rsidRPr="005D6102">
        <w:t>alternative</w:t>
      </w:r>
      <w:r w:rsidR="00DD673B" w:rsidRPr="005D6102">
        <w:t>s</w:t>
      </w:r>
      <w:r w:rsidRPr="005D6102">
        <w:t xml:space="preserve">, including </w:t>
      </w:r>
      <w:r w:rsidR="003059EE" w:rsidRPr="005D6102">
        <w:t xml:space="preserve">substitution of </w:t>
      </w:r>
      <w:r w:rsidRPr="005D6102">
        <w:t xml:space="preserve">cobalt </w:t>
      </w:r>
      <w:r w:rsidR="003059EE" w:rsidRPr="005D6102">
        <w:t xml:space="preserve">in </w:t>
      </w:r>
      <w:r w:rsidRPr="005D6102">
        <w:t xml:space="preserve">batteries. The market outlook </w:t>
      </w:r>
      <w:r w:rsidR="005A0DC5" w:rsidRPr="005D6102">
        <w:t xml:space="preserve">is </w:t>
      </w:r>
      <w:r w:rsidRPr="005D6102">
        <w:t xml:space="preserve">dependent on these factors, as well as on the take-up of </w:t>
      </w:r>
      <w:r w:rsidR="009B422F" w:rsidRPr="005D6102">
        <w:t>e</w:t>
      </w:r>
      <w:r w:rsidR="00841BFA" w:rsidRPr="005D6102">
        <w:t>lectric vehicles</w:t>
      </w:r>
      <w:r w:rsidRPr="005D6102">
        <w:t>.</w:t>
      </w:r>
    </w:p>
    <w:p w14:paraId="16CCA118" w14:textId="077982BA" w:rsidR="00C57913" w:rsidRDefault="00C57913" w:rsidP="00C57913">
      <w:pPr>
        <w:pStyle w:val="Caption"/>
      </w:pPr>
      <w:r w:rsidRPr="005D6102">
        <w:t xml:space="preserve">Figure </w:t>
      </w:r>
      <w:r w:rsidR="00F843F6" w:rsidRPr="005D6102">
        <w:rPr>
          <w:noProof/>
        </w:rPr>
        <w:t>4</w:t>
      </w:r>
      <w:r w:rsidRPr="005D6102">
        <w:t>.</w:t>
      </w:r>
      <w:r w:rsidR="000F4B63">
        <w:rPr>
          <w:noProof/>
        </w:rPr>
        <w:fldChar w:fldCharType="begin"/>
      </w:r>
      <w:r w:rsidR="000F4B63">
        <w:rPr>
          <w:noProof/>
        </w:rPr>
        <w:instrText xml:space="preserve"> SEQ Figure \* ARABIC \s 1 </w:instrText>
      </w:r>
      <w:r w:rsidR="000F4B63">
        <w:rPr>
          <w:noProof/>
        </w:rPr>
        <w:fldChar w:fldCharType="separate"/>
      </w:r>
      <w:r w:rsidR="00A7507E">
        <w:rPr>
          <w:noProof/>
        </w:rPr>
        <w:t>4</w:t>
      </w:r>
      <w:r w:rsidR="000F4B63">
        <w:rPr>
          <w:noProof/>
        </w:rPr>
        <w:fldChar w:fldCharType="end"/>
      </w:r>
      <w:r w:rsidRPr="005D6102">
        <w:t xml:space="preserve">: </w:t>
      </w:r>
      <w:r w:rsidR="003234E2" w:rsidRPr="005D6102">
        <w:t xml:space="preserve">Cobalt </w:t>
      </w:r>
      <w:r w:rsidRPr="005D6102">
        <w:t xml:space="preserve">price outlook </w:t>
      </w:r>
    </w:p>
    <w:p w14:paraId="2BA32676" w14:textId="2773CDBF" w:rsidR="004215B1" w:rsidRPr="004215B1" w:rsidRDefault="004215B1" w:rsidP="00721D72">
      <w:pPr>
        <w:pStyle w:val="Placeholder"/>
        <w:jc w:val="left"/>
      </w:pPr>
    </w:p>
    <w:p w14:paraId="434CD5E5" w14:textId="7FEB3C7C" w:rsidR="00C57913" w:rsidRPr="005D6102" w:rsidRDefault="003003EB" w:rsidP="00C57913">
      <w:pPr>
        <w:pStyle w:val="Placeholder"/>
      </w:pPr>
      <w:r>
        <w:rPr>
          <w:noProof/>
          <w:lang w:eastAsia="en-AU"/>
        </w:rPr>
        <w:drawing>
          <wp:inline distT="0" distB="0" distL="0" distR="0" wp14:anchorId="2EF8A9CF" wp14:editId="79755886">
            <wp:extent cx="4862830" cy="3439160"/>
            <wp:effectExtent l="0" t="0" r="0" b="0"/>
            <wp:docPr id="2082" name="Picture 2082" descr="Cobalt price projection out to 2030." title="Figure 4.4: Cobalt price outl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gibbons\AppData\Local\Microsoft\Windows\INetCache\Content.Word\Charts new_4.4.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862830" cy="3439160"/>
                    </a:xfrm>
                    <a:prstGeom prst="rect">
                      <a:avLst/>
                    </a:prstGeom>
                    <a:noFill/>
                    <a:ln>
                      <a:noFill/>
                    </a:ln>
                  </pic:spPr>
                </pic:pic>
              </a:graphicData>
            </a:graphic>
          </wp:inline>
        </w:drawing>
      </w:r>
    </w:p>
    <w:p w14:paraId="29864725" w14:textId="04271A59" w:rsidR="00C57913" w:rsidRPr="005D6102" w:rsidRDefault="0028632B" w:rsidP="00C57913">
      <w:pPr>
        <w:pStyle w:val="Source"/>
        <w:pBdr>
          <w:bottom w:val="single" w:sz="4" w:space="0" w:color="595A5B"/>
        </w:pBdr>
      </w:pPr>
      <w:r w:rsidRPr="005D6102">
        <w:t xml:space="preserve">Source: </w:t>
      </w:r>
      <w:r w:rsidR="00EB0E32">
        <w:t xml:space="preserve">Bloomberg (2019), </w:t>
      </w:r>
      <w:r w:rsidR="00EB0E32" w:rsidRPr="005D6102">
        <w:t>Department of Industry, Innovation and Science (2019)</w:t>
      </w:r>
    </w:p>
    <w:p w14:paraId="787520BD" w14:textId="22111A76" w:rsidR="009B422F" w:rsidRPr="005D6102" w:rsidRDefault="009B422F" w:rsidP="006F5182">
      <w:pPr>
        <w:pStyle w:val="Heading2"/>
        <w:ind w:left="0" w:firstLine="0"/>
      </w:pPr>
      <w:bookmarkStart w:id="86" w:name="_Toc16143280"/>
      <w:bookmarkStart w:id="87" w:name="_Toc17803351"/>
      <w:bookmarkStart w:id="88" w:name="_Toc15388905"/>
      <w:r w:rsidRPr="005D6102">
        <w:t>Australia</w:t>
      </w:r>
      <w:bookmarkEnd w:id="86"/>
      <w:bookmarkEnd w:id="87"/>
    </w:p>
    <w:p w14:paraId="2637DADF" w14:textId="3155D775" w:rsidR="004C3B28" w:rsidRPr="005D6102" w:rsidRDefault="002B1E7A" w:rsidP="009B422F">
      <w:pPr>
        <w:pStyle w:val="Heading3"/>
      </w:pPr>
      <w:r w:rsidRPr="005D6102">
        <w:t>Australia has strong cobalt prospects</w:t>
      </w:r>
      <w:bookmarkEnd w:id="80"/>
      <w:bookmarkEnd w:id="88"/>
    </w:p>
    <w:p w14:paraId="4E17A403" w14:textId="3B3AC6BA" w:rsidR="00B0213C" w:rsidRPr="005D6102" w:rsidRDefault="004C3B28" w:rsidP="00B0213C">
      <w:pPr>
        <w:pStyle w:val="BodyText"/>
      </w:pPr>
      <w:r w:rsidRPr="005D6102">
        <w:t xml:space="preserve">Australia’s cobalt is expected to be in high demand </w:t>
      </w:r>
      <w:r w:rsidR="00397265" w:rsidRPr="005D6102">
        <w:t>going forward</w:t>
      </w:r>
      <w:r w:rsidR="00DD3F4A" w:rsidRPr="005D6102">
        <w:t>,</w:t>
      </w:r>
      <w:r w:rsidRPr="005D6102">
        <w:t xml:space="preserve"> as </w:t>
      </w:r>
      <w:r w:rsidR="00E32EC3" w:rsidRPr="005D6102">
        <w:t>consumers</w:t>
      </w:r>
      <w:r w:rsidRPr="005D6102">
        <w:t xml:space="preserve"> increasingly seek secure</w:t>
      </w:r>
      <w:r w:rsidR="0013129F" w:rsidRPr="005D6102">
        <w:t xml:space="preserve"> and </w:t>
      </w:r>
      <w:r w:rsidRPr="005D6102">
        <w:t>ethical supply</w:t>
      </w:r>
      <w:r w:rsidR="0013129F" w:rsidRPr="005D6102">
        <w:t xml:space="preserve"> sources</w:t>
      </w:r>
      <w:r w:rsidRPr="005D6102">
        <w:t xml:space="preserve">. </w:t>
      </w:r>
      <w:r w:rsidR="00175333" w:rsidRPr="005D6102">
        <w:t>Australia</w:t>
      </w:r>
      <w:r w:rsidR="006A2859" w:rsidRPr="005D6102">
        <w:t>’s</w:t>
      </w:r>
      <w:r w:rsidR="00175333" w:rsidRPr="005D6102">
        <w:t xml:space="preserve"> cobalt is primarily found in nickel laterite resources</w:t>
      </w:r>
      <w:r w:rsidR="00BD7057" w:rsidRPr="005D6102">
        <w:t>,</w:t>
      </w:r>
      <w:r w:rsidR="00F77646" w:rsidRPr="005D6102">
        <w:t xml:space="preserve"> and </w:t>
      </w:r>
      <w:r w:rsidR="0013129F" w:rsidRPr="005D6102">
        <w:lastRenderedPageBreak/>
        <w:t xml:space="preserve">has also been extracted from copper deposits. </w:t>
      </w:r>
      <w:r w:rsidR="006A2859" w:rsidRPr="005D6102">
        <w:t>With Australia holding an estimated one-sixth of the world's known cobalt reserves (Table 4.1), t</w:t>
      </w:r>
      <w:r w:rsidR="00B0213C" w:rsidRPr="005D6102">
        <w:t xml:space="preserve">here are </w:t>
      </w:r>
      <w:r w:rsidR="00BD7057" w:rsidRPr="005D6102">
        <w:t xml:space="preserve">significant </w:t>
      </w:r>
      <w:r w:rsidR="00B0213C" w:rsidRPr="005D6102">
        <w:t>opportunities for</w:t>
      </w:r>
      <w:r w:rsidR="0013129F" w:rsidRPr="005D6102">
        <w:t xml:space="preserve"> cobalt extraction from existing mines, </w:t>
      </w:r>
      <w:r w:rsidR="005A0DC5" w:rsidRPr="005D6102">
        <w:t>the</w:t>
      </w:r>
      <w:r w:rsidR="00B0213C" w:rsidRPr="005D6102">
        <w:t xml:space="preserve"> development of known deposits and </w:t>
      </w:r>
      <w:r w:rsidR="005A0DC5" w:rsidRPr="005D6102">
        <w:t xml:space="preserve">the </w:t>
      </w:r>
      <w:r w:rsidR="00B0213C" w:rsidRPr="005D6102">
        <w:t>discovery of new deposits.</w:t>
      </w:r>
    </w:p>
    <w:p w14:paraId="7BFBDD7B" w14:textId="0CF2254F" w:rsidR="00C57913" w:rsidRPr="005D6102" w:rsidRDefault="001E42E5" w:rsidP="00AF370E">
      <w:pPr>
        <w:pStyle w:val="Caption"/>
      </w:pPr>
      <w:bookmarkStart w:id="89" w:name="_Toc14958220"/>
      <w:r w:rsidRPr="005D6102">
        <w:t xml:space="preserve">Table </w:t>
      </w:r>
      <w:r w:rsidR="00F843F6" w:rsidRPr="005D6102">
        <w:t>4</w:t>
      </w:r>
      <w:r w:rsidRPr="005D6102">
        <w:t>.</w:t>
      </w:r>
      <w:r w:rsidRPr="005D6102">
        <w:rPr>
          <w:noProof/>
        </w:rPr>
        <w:fldChar w:fldCharType="begin"/>
      </w:r>
      <w:r w:rsidRPr="005D6102">
        <w:rPr>
          <w:noProof/>
        </w:rPr>
        <w:instrText xml:space="preserve"> SEQ Table \* ARABIC \s 1 </w:instrText>
      </w:r>
      <w:r w:rsidRPr="005D6102">
        <w:rPr>
          <w:noProof/>
        </w:rPr>
        <w:fldChar w:fldCharType="separate"/>
      </w:r>
      <w:r w:rsidR="00A7507E">
        <w:rPr>
          <w:noProof/>
        </w:rPr>
        <w:t>1</w:t>
      </w:r>
      <w:r w:rsidRPr="005D6102">
        <w:rPr>
          <w:noProof/>
        </w:rPr>
        <w:fldChar w:fldCharType="end"/>
      </w:r>
      <w:r w:rsidR="00C57913" w:rsidRPr="005D6102">
        <w:t>: Australia’s cobalt resources and production</w:t>
      </w:r>
    </w:p>
    <w:tbl>
      <w:tblPr>
        <w:tblStyle w:val="OCETable"/>
        <w:tblW w:w="0" w:type="auto"/>
        <w:tblLook w:val="04A0" w:firstRow="1" w:lastRow="0" w:firstColumn="1" w:lastColumn="0" w:noHBand="0" w:noVBand="1"/>
        <w:tblCaption w:val="Table 4.1: Australia’s cobalt resources and production"/>
        <w:tblDescription w:val="This chart shows Australia's cobalt reserves and production in terms of world ranking and share of world. "/>
      </w:tblPr>
      <w:tblGrid>
        <w:gridCol w:w="1342"/>
        <w:gridCol w:w="1494"/>
        <w:gridCol w:w="1270"/>
        <w:gridCol w:w="1007"/>
        <w:gridCol w:w="1348"/>
        <w:gridCol w:w="1301"/>
        <w:gridCol w:w="1144"/>
      </w:tblGrid>
      <w:tr w:rsidR="006D0043" w:rsidRPr="005D6102" w14:paraId="541BB841" w14:textId="77777777" w:rsidTr="00B201A1">
        <w:trPr>
          <w:cnfStyle w:val="100000000000" w:firstRow="1" w:lastRow="0" w:firstColumn="0" w:lastColumn="0" w:oddVBand="0" w:evenVBand="0" w:oddHBand="0" w:evenHBand="0" w:firstRowFirstColumn="0" w:firstRowLastColumn="0" w:lastRowFirstColumn="0" w:lastRowLastColumn="0"/>
          <w:tblHeader/>
        </w:trPr>
        <w:tc>
          <w:tcPr>
            <w:tcW w:w="2836" w:type="dxa"/>
            <w:gridSpan w:val="2"/>
          </w:tcPr>
          <w:bookmarkEnd w:id="89"/>
          <w:p w14:paraId="086CA216" w14:textId="77777777" w:rsidR="00C57913" w:rsidRPr="005D6102" w:rsidRDefault="00C57913" w:rsidP="00AF370E">
            <w:pPr>
              <w:keepNext/>
              <w:keepLines/>
            </w:pPr>
            <w:r w:rsidRPr="005D6102">
              <w:rPr>
                <w:b/>
              </w:rPr>
              <w:t>Australia’s resources</w:t>
            </w:r>
          </w:p>
        </w:tc>
        <w:tc>
          <w:tcPr>
            <w:tcW w:w="1270" w:type="dxa"/>
          </w:tcPr>
          <w:p w14:paraId="4A92D6C5" w14:textId="77777777" w:rsidR="00C57913" w:rsidRPr="005D6102" w:rsidRDefault="00C57913" w:rsidP="00AF370E">
            <w:pPr>
              <w:keepNext/>
              <w:keepLines/>
            </w:pPr>
          </w:p>
        </w:tc>
        <w:tc>
          <w:tcPr>
            <w:tcW w:w="1007" w:type="dxa"/>
            <w:tcBorders>
              <w:right w:val="single" w:sz="4" w:space="0" w:color="FFFFFF" w:themeColor="background1"/>
            </w:tcBorders>
          </w:tcPr>
          <w:p w14:paraId="7E4626EB" w14:textId="77777777" w:rsidR="00C57913" w:rsidRPr="005D6102" w:rsidRDefault="00C57913" w:rsidP="00AF370E">
            <w:pPr>
              <w:keepNext/>
              <w:keepLines/>
              <w:rPr>
                <w:b/>
              </w:rPr>
            </w:pPr>
          </w:p>
        </w:tc>
        <w:tc>
          <w:tcPr>
            <w:tcW w:w="2649" w:type="dxa"/>
            <w:gridSpan w:val="2"/>
            <w:tcBorders>
              <w:left w:val="single" w:sz="4" w:space="0" w:color="FFFFFF" w:themeColor="background1"/>
            </w:tcBorders>
          </w:tcPr>
          <w:p w14:paraId="64500007" w14:textId="77777777" w:rsidR="00C57913" w:rsidRPr="005D6102" w:rsidRDefault="00C57913" w:rsidP="00AF370E">
            <w:pPr>
              <w:keepNext/>
              <w:keepLines/>
              <w:rPr>
                <w:b/>
              </w:rPr>
            </w:pPr>
            <w:r w:rsidRPr="005D6102">
              <w:rPr>
                <w:b/>
              </w:rPr>
              <w:t>Australia’s production</w:t>
            </w:r>
          </w:p>
        </w:tc>
        <w:tc>
          <w:tcPr>
            <w:tcW w:w="1144" w:type="dxa"/>
          </w:tcPr>
          <w:p w14:paraId="6C1DF3B8" w14:textId="77777777" w:rsidR="00C57913" w:rsidRPr="005D6102" w:rsidRDefault="00C57913" w:rsidP="00AF370E">
            <w:pPr>
              <w:keepNext/>
              <w:keepLines/>
            </w:pPr>
          </w:p>
        </w:tc>
      </w:tr>
      <w:tr w:rsidR="00C57913" w:rsidRPr="005D6102" w14:paraId="2A0C2F27" w14:textId="77777777" w:rsidTr="00B87735">
        <w:trPr>
          <w:cnfStyle w:val="000000100000" w:firstRow="0" w:lastRow="0" w:firstColumn="0" w:lastColumn="0" w:oddVBand="0" w:evenVBand="0" w:oddHBand="1" w:evenHBand="0" w:firstRowFirstColumn="0" w:firstRowLastColumn="0" w:lastRowFirstColumn="0" w:lastRowLastColumn="0"/>
          <w:trHeight w:val="524"/>
        </w:trPr>
        <w:tc>
          <w:tcPr>
            <w:tcW w:w="1342" w:type="dxa"/>
            <w:shd w:val="clear" w:color="auto" w:fill="005CAF"/>
          </w:tcPr>
          <w:p w14:paraId="46786A5B" w14:textId="77777777" w:rsidR="00C57913" w:rsidRPr="005D6102" w:rsidRDefault="00C57913" w:rsidP="00AF370E">
            <w:pPr>
              <w:keepNext/>
              <w:keepLines/>
              <w:rPr>
                <w:color w:val="FFFFFF" w:themeColor="background1"/>
                <w:sz w:val="28"/>
                <w:szCs w:val="28"/>
              </w:rPr>
            </w:pPr>
            <w:r w:rsidRPr="005D6102">
              <w:rPr>
                <w:color w:val="FFFFFF" w:themeColor="background1"/>
              </w:rPr>
              <w:t>Geological potential</w:t>
            </w:r>
          </w:p>
        </w:tc>
        <w:tc>
          <w:tcPr>
            <w:tcW w:w="1494" w:type="dxa"/>
            <w:shd w:val="clear" w:color="auto" w:fill="005CAF"/>
          </w:tcPr>
          <w:p w14:paraId="14950F9C" w14:textId="77777777" w:rsidR="00C57913" w:rsidRPr="005D6102" w:rsidRDefault="00C57913" w:rsidP="00AF370E">
            <w:pPr>
              <w:keepNext/>
              <w:keepLines/>
              <w:rPr>
                <w:color w:val="FFFFFF" w:themeColor="background1"/>
                <w:sz w:val="28"/>
                <w:szCs w:val="28"/>
              </w:rPr>
            </w:pPr>
            <w:r w:rsidRPr="005D6102">
              <w:rPr>
                <w:color w:val="FFFFFF" w:themeColor="background1"/>
              </w:rPr>
              <w:t xml:space="preserve">Economic Demonstrated Resource </w:t>
            </w:r>
          </w:p>
        </w:tc>
        <w:tc>
          <w:tcPr>
            <w:tcW w:w="1270" w:type="dxa"/>
            <w:shd w:val="clear" w:color="auto" w:fill="005CAF"/>
          </w:tcPr>
          <w:p w14:paraId="35849263" w14:textId="77777777" w:rsidR="00C57913" w:rsidRPr="005D6102" w:rsidRDefault="00C57913" w:rsidP="00AF370E">
            <w:pPr>
              <w:keepNext/>
              <w:keepLines/>
              <w:rPr>
                <w:color w:val="FFFFFF" w:themeColor="background1"/>
                <w:sz w:val="28"/>
                <w:szCs w:val="28"/>
              </w:rPr>
            </w:pPr>
            <w:r w:rsidRPr="005D6102">
              <w:rPr>
                <w:color w:val="FFFFFF" w:themeColor="background1"/>
              </w:rPr>
              <w:t>Share world resources</w:t>
            </w:r>
          </w:p>
        </w:tc>
        <w:tc>
          <w:tcPr>
            <w:tcW w:w="1007" w:type="dxa"/>
            <w:tcBorders>
              <w:right w:val="single" w:sz="4" w:space="0" w:color="FFFFFF" w:themeColor="background1"/>
            </w:tcBorders>
            <w:shd w:val="clear" w:color="auto" w:fill="005CAF"/>
          </w:tcPr>
          <w:p w14:paraId="39F0BB14" w14:textId="77777777" w:rsidR="00C57913" w:rsidRPr="005D6102" w:rsidRDefault="00C57913" w:rsidP="00AF370E">
            <w:pPr>
              <w:keepNext/>
              <w:keepLines/>
              <w:rPr>
                <w:color w:val="FFFFFF" w:themeColor="background1"/>
              </w:rPr>
            </w:pPr>
            <w:r w:rsidRPr="005D6102">
              <w:rPr>
                <w:color w:val="FFFFFF" w:themeColor="background1"/>
              </w:rPr>
              <w:t>World ranking resources</w:t>
            </w:r>
          </w:p>
        </w:tc>
        <w:tc>
          <w:tcPr>
            <w:tcW w:w="1348" w:type="dxa"/>
            <w:tcBorders>
              <w:left w:val="single" w:sz="4" w:space="0" w:color="FFFFFF" w:themeColor="background1"/>
            </w:tcBorders>
            <w:shd w:val="clear" w:color="auto" w:fill="005CAF"/>
          </w:tcPr>
          <w:p w14:paraId="6345C34F" w14:textId="77777777" w:rsidR="00C57913" w:rsidRPr="005D6102" w:rsidRDefault="00C57913" w:rsidP="00AF370E">
            <w:pPr>
              <w:keepNext/>
              <w:keepLines/>
              <w:rPr>
                <w:b/>
                <w:color w:val="FFFFFF"/>
              </w:rPr>
            </w:pPr>
            <w:r w:rsidRPr="005D6102">
              <w:rPr>
                <w:b/>
                <w:color w:val="FFFFFF"/>
              </w:rPr>
              <w:t>2018 production</w:t>
            </w:r>
          </w:p>
        </w:tc>
        <w:tc>
          <w:tcPr>
            <w:tcW w:w="1301" w:type="dxa"/>
            <w:shd w:val="clear" w:color="auto" w:fill="005CAF"/>
          </w:tcPr>
          <w:p w14:paraId="06628DC3" w14:textId="77777777" w:rsidR="00C57913" w:rsidRPr="005D6102" w:rsidRDefault="00C57913" w:rsidP="00AF370E">
            <w:pPr>
              <w:keepNext/>
              <w:keepLines/>
              <w:rPr>
                <w:color w:val="FFFFFF" w:themeColor="background1"/>
                <w:sz w:val="28"/>
                <w:szCs w:val="28"/>
              </w:rPr>
            </w:pPr>
            <w:r w:rsidRPr="005D6102">
              <w:rPr>
                <w:color w:val="FFFFFF" w:themeColor="background1"/>
              </w:rPr>
              <w:t xml:space="preserve">Share of world production </w:t>
            </w:r>
          </w:p>
        </w:tc>
        <w:tc>
          <w:tcPr>
            <w:tcW w:w="1144" w:type="dxa"/>
            <w:shd w:val="clear" w:color="auto" w:fill="005CAF"/>
          </w:tcPr>
          <w:p w14:paraId="0DE52013" w14:textId="77777777" w:rsidR="00C57913" w:rsidRPr="005D6102" w:rsidRDefault="00C57913" w:rsidP="00AF370E">
            <w:pPr>
              <w:keepNext/>
              <w:keepLines/>
              <w:rPr>
                <w:color w:val="FFFFFF" w:themeColor="background1"/>
              </w:rPr>
            </w:pPr>
            <w:r w:rsidRPr="005D6102">
              <w:rPr>
                <w:color w:val="FFFFFF" w:themeColor="background1"/>
              </w:rPr>
              <w:t>World ranking production</w:t>
            </w:r>
          </w:p>
        </w:tc>
      </w:tr>
      <w:tr w:rsidR="00C57913" w:rsidRPr="005D6102" w14:paraId="57507BB0" w14:textId="77777777" w:rsidTr="009971BD">
        <w:trPr>
          <w:cnfStyle w:val="000000010000" w:firstRow="0" w:lastRow="0" w:firstColumn="0" w:lastColumn="0" w:oddVBand="0" w:evenVBand="0" w:oddHBand="0" w:evenHBand="1" w:firstRowFirstColumn="0" w:firstRowLastColumn="0" w:lastRowFirstColumn="0" w:lastRowLastColumn="0"/>
        </w:trPr>
        <w:tc>
          <w:tcPr>
            <w:tcW w:w="1342" w:type="dxa"/>
          </w:tcPr>
          <w:p w14:paraId="3079B220" w14:textId="77777777" w:rsidR="00C57913" w:rsidRPr="005D6102" w:rsidRDefault="00C57913" w:rsidP="00AF370E">
            <w:pPr>
              <w:keepNext/>
              <w:keepLines/>
              <w:rPr>
                <w:sz w:val="28"/>
                <w:szCs w:val="28"/>
              </w:rPr>
            </w:pPr>
            <w:r w:rsidRPr="005D6102">
              <w:t>High</w:t>
            </w:r>
          </w:p>
        </w:tc>
        <w:tc>
          <w:tcPr>
            <w:tcW w:w="1494" w:type="dxa"/>
          </w:tcPr>
          <w:p w14:paraId="47B34FFD" w14:textId="1073EC73" w:rsidR="00C57913" w:rsidRPr="005D6102" w:rsidRDefault="00C57913" w:rsidP="00AF370E">
            <w:pPr>
              <w:keepNext/>
              <w:keepLines/>
              <w:rPr>
                <w:sz w:val="28"/>
                <w:szCs w:val="28"/>
              </w:rPr>
            </w:pPr>
            <w:r w:rsidRPr="005D6102">
              <w:t>3</w:t>
            </w:r>
            <w:r w:rsidR="00DB1B75">
              <w:t>,</w:t>
            </w:r>
            <w:r w:rsidRPr="005D6102">
              <w:t>430kt</w:t>
            </w:r>
          </w:p>
        </w:tc>
        <w:tc>
          <w:tcPr>
            <w:tcW w:w="1270" w:type="dxa"/>
          </w:tcPr>
          <w:p w14:paraId="451078FF" w14:textId="149080B1" w:rsidR="00C57913" w:rsidRPr="005D6102" w:rsidRDefault="00C57913" w:rsidP="00D07AF2">
            <w:pPr>
              <w:keepNext/>
              <w:keepLines/>
              <w:rPr>
                <w:sz w:val="28"/>
                <w:szCs w:val="28"/>
              </w:rPr>
            </w:pPr>
            <w:r w:rsidRPr="005D6102">
              <w:t>1</w:t>
            </w:r>
            <w:r w:rsidR="00D07AF2" w:rsidRPr="005D6102">
              <w:t>7</w:t>
            </w:r>
            <w:r w:rsidRPr="005D6102">
              <w:t>%</w:t>
            </w:r>
          </w:p>
        </w:tc>
        <w:tc>
          <w:tcPr>
            <w:tcW w:w="1007" w:type="dxa"/>
          </w:tcPr>
          <w:p w14:paraId="23FEB18B" w14:textId="77777777" w:rsidR="00C57913" w:rsidRPr="005D6102" w:rsidRDefault="00C57913" w:rsidP="00AF370E">
            <w:pPr>
              <w:keepNext/>
              <w:keepLines/>
            </w:pPr>
            <w:r w:rsidRPr="005D6102">
              <w:t>2</w:t>
            </w:r>
            <w:r w:rsidRPr="005D6102">
              <w:rPr>
                <w:vertAlign w:val="superscript"/>
              </w:rPr>
              <w:t>nd</w:t>
            </w:r>
          </w:p>
        </w:tc>
        <w:tc>
          <w:tcPr>
            <w:tcW w:w="1348" w:type="dxa"/>
          </w:tcPr>
          <w:p w14:paraId="7CEDF257" w14:textId="77777777" w:rsidR="00C57913" w:rsidRPr="005D6102" w:rsidRDefault="00C57913" w:rsidP="00AF370E">
            <w:pPr>
              <w:keepNext/>
              <w:keepLines/>
              <w:rPr>
                <w:sz w:val="28"/>
                <w:szCs w:val="28"/>
              </w:rPr>
            </w:pPr>
            <w:r w:rsidRPr="005D6102">
              <w:t>5kt</w:t>
            </w:r>
          </w:p>
        </w:tc>
        <w:tc>
          <w:tcPr>
            <w:tcW w:w="1301" w:type="dxa"/>
          </w:tcPr>
          <w:p w14:paraId="4F76F36F" w14:textId="5EE78073" w:rsidR="00C57913" w:rsidRPr="005D6102" w:rsidRDefault="00587AD8" w:rsidP="00AF370E">
            <w:pPr>
              <w:keepNext/>
              <w:keepLines/>
              <w:rPr>
                <w:sz w:val="28"/>
                <w:szCs w:val="28"/>
              </w:rPr>
            </w:pPr>
            <w:r>
              <w:t>4</w:t>
            </w:r>
            <w:r w:rsidR="00C57913" w:rsidRPr="005D6102">
              <w:t>%</w:t>
            </w:r>
          </w:p>
        </w:tc>
        <w:tc>
          <w:tcPr>
            <w:tcW w:w="1144" w:type="dxa"/>
          </w:tcPr>
          <w:p w14:paraId="2165BEAB" w14:textId="77777777" w:rsidR="00C57913" w:rsidRPr="005D6102" w:rsidRDefault="00C57913" w:rsidP="00AF370E">
            <w:pPr>
              <w:keepNext/>
              <w:keepLines/>
            </w:pPr>
            <w:r w:rsidRPr="005D6102">
              <w:t>3</w:t>
            </w:r>
            <w:r w:rsidRPr="005D6102">
              <w:rPr>
                <w:vertAlign w:val="superscript"/>
              </w:rPr>
              <w:t>rd</w:t>
            </w:r>
          </w:p>
        </w:tc>
      </w:tr>
    </w:tbl>
    <w:p w14:paraId="0B5E0F42" w14:textId="77777777" w:rsidR="005175F2" w:rsidRPr="005D6102" w:rsidRDefault="005175F2" w:rsidP="00AF370E">
      <w:pPr>
        <w:pStyle w:val="Source"/>
        <w:keepNext/>
      </w:pPr>
      <w:r w:rsidRPr="005D6102">
        <w:t>Source: Australian Trade and Investment Commission (2019) Critical Minerals Prospectus, Geoscience Australia (2019) Critical Minerals in Australia</w:t>
      </w:r>
    </w:p>
    <w:p w14:paraId="4324EACD" w14:textId="15E26798" w:rsidR="005A14A7" w:rsidRPr="005D6102" w:rsidRDefault="007A5D0C" w:rsidP="007A5D0C">
      <w:pPr>
        <w:pStyle w:val="BodyText"/>
      </w:pPr>
      <w:r>
        <w:t>In 2019, Australia’s production of mined cobalt is estimated to be 5,500 tonnes</w:t>
      </w:r>
      <w:r w:rsidR="00280B50">
        <w:t>,</w:t>
      </w:r>
      <w:r w:rsidRPr="005D6102">
        <w:t xml:space="preserve"> </w:t>
      </w:r>
      <w:r>
        <w:t xml:space="preserve">and refined metal production </w:t>
      </w:r>
      <w:r w:rsidR="00280B50">
        <w:t xml:space="preserve">is </w:t>
      </w:r>
      <w:r>
        <w:t xml:space="preserve">estimated to be 3,200 tonnes. After some consolidation in recent years, </w:t>
      </w:r>
      <w:r w:rsidR="008833DC">
        <w:t xml:space="preserve">there is strong potential in Australia’s cobalt </w:t>
      </w:r>
      <w:r>
        <w:t>production</w:t>
      </w:r>
      <w:r w:rsidR="008833DC">
        <w:t xml:space="preserve">, with </w:t>
      </w:r>
      <w:r>
        <w:t xml:space="preserve">a number of </w:t>
      </w:r>
      <w:r w:rsidR="008833DC">
        <w:t xml:space="preserve">cobalt </w:t>
      </w:r>
      <w:r>
        <w:t xml:space="preserve">projects under development and positive </w:t>
      </w:r>
      <w:r w:rsidR="008833DC">
        <w:t xml:space="preserve">price expectations in associated </w:t>
      </w:r>
      <w:r>
        <w:t>copper and nickel</w:t>
      </w:r>
      <w:r w:rsidR="008833DC">
        <w:t xml:space="preserve"> markets</w:t>
      </w:r>
      <w:r>
        <w:t xml:space="preserve">. </w:t>
      </w:r>
    </w:p>
    <w:p w14:paraId="503968FD" w14:textId="7AC7D112" w:rsidR="00E32EC3" w:rsidRPr="005D6102" w:rsidRDefault="00AF370E" w:rsidP="00E32EC3">
      <w:pPr>
        <w:pStyle w:val="BodyText"/>
      </w:pPr>
      <w:r w:rsidRPr="005D6102">
        <w:t xml:space="preserve">There are a number of cobalt projects under development in Australia, including pure cobalt projects and cobalt-nickel-scandium projects. </w:t>
      </w:r>
      <w:r w:rsidR="00E32EC3" w:rsidRPr="005D6102">
        <w:t xml:space="preserve">Australia Mine’s Sconi project in Queensland </w:t>
      </w:r>
      <w:r w:rsidR="003B37D9" w:rsidRPr="005D6102">
        <w:t xml:space="preserve">(annual cobalt capacity </w:t>
      </w:r>
      <w:r w:rsidR="00AC34F6" w:rsidRPr="005D6102">
        <w:t xml:space="preserve">1.8 thousand tonnes) and </w:t>
      </w:r>
      <w:r w:rsidR="00E32EC3" w:rsidRPr="005D6102">
        <w:t xml:space="preserve">Clean TeQ’s Sunrise project in NSW </w:t>
      </w:r>
      <w:r w:rsidR="00AC34F6" w:rsidRPr="005D6102">
        <w:t xml:space="preserve">(annual cobalt capacity 3.2 thousand tonnes) </w:t>
      </w:r>
      <w:r w:rsidR="00E32EC3" w:rsidRPr="005D6102">
        <w:t>are both being assessed for feasibility. Both projects have associated nickel production, w</w:t>
      </w:r>
      <w:r w:rsidR="00AC34F6" w:rsidRPr="005D6102">
        <w:t xml:space="preserve">hich is expected to support project </w:t>
      </w:r>
      <w:r w:rsidR="002D6D67" w:rsidRPr="005D6102">
        <w:t>financing and development</w:t>
      </w:r>
      <w:r w:rsidR="00AC34F6" w:rsidRPr="005D6102">
        <w:t xml:space="preserve">. </w:t>
      </w:r>
    </w:p>
    <w:p w14:paraId="3D654C02" w14:textId="77777777" w:rsidR="00767CA8" w:rsidRPr="005D6102" w:rsidRDefault="00767CA8">
      <w:pPr>
        <w:spacing w:after="200" w:line="276" w:lineRule="auto"/>
      </w:pPr>
      <w:bookmarkStart w:id="90" w:name="_Toc14958181"/>
      <w:r w:rsidRPr="005D6102">
        <w:br w:type="page"/>
      </w:r>
    </w:p>
    <w:p w14:paraId="4EA91D2E" w14:textId="6B2A730A" w:rsidR="002A4E35" w:rsidRPr="005D6102" w:rsidRDefault="009B2F60" w:rsidP="000D4DF0">
      <w:pPr>
        <w:pStyle w:val="Heading1"/>
        <w:ind w:left="0" w:firstLine="0"/>
      </w:pPr>
      <w:bookmarkStart w:id="91" w:name="_Toc14958182"/>
      <w:bookmarkStart w:id="92" w:name="_Toc15388907"/>
      <w:bookmarkStart w:id="93" w:name="_Toc16143282"/>
      <w:bookmarkStart w:id="94" w:name="_Toc17803352"/>
      <w:bookmarkStart w:id="95" w:name="_Toc16143281"/>
      <w:r w:rsidRPr="005D6102">
        <w:rPr>
          <w:noProof/>
          <w:lang w:eastAsia="en-AU"/>
        </w:rPr>
        <w:lastRenderedPageBreak/>
        <w:drawing>
          <wp:anchor distT="0" distB="0" distL="114300" distR="114300" simplePos="0" relativeHeight="251658240" behindDoc="0" locked="0" layoutInCell="1" allowOverlap="1" wp14:anchorId="4004658F" wp14:editId="57DE2B2E">
            <wp:simplePos x="0" y="0"/>
            <wp:positionH relativeFrom="column">
              <wp:posOffset>4243070</wp:posOffset>
            </wp:positionH>
            <wp:positionV relativeFrom="paragraph">
              <wp:posOffset>-382905</wp:posOffset>
            </wp:positionV>
            <wp:extent cx="1537252" cy="922351"/>
            <wp:effectExtent l="0" t="0" r="6350" b="0"/>
            <wp:wrapNone/>
            <wp:docPr id="11" name="Picture 11" descr="Image shows the mineral Antimo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ntimony image.jpg"/>
                    <pic:cNvPicPr/>
                  </pic:nvPicPr>
                  <pic:blipFill>
                    <a:blip r:embed="rId36">
                      <a:extLst>
                        <a:ext uri="{28A0092B-C50C-407E-A947-70E740481C1C}">
                          <a14:useLocalDpi xmlns:a14="http://schemas.microsoft.com/office/drawing/2010/main" val="0"/>
                        </a:ext>
                      </a:extLst>
                    </a:blip>
                    <a:stretch>
                      <a:fillRect/>
                    </a:stretch>
                  </pic:blipFill>
                  <pic:spPr>
                    <a:xfrm>
                      <a:off x="0" y="0"/>
                      <a:ext cx="1537252" cy="922351"/>
                    </a:xfrm>
                    <a:prstGeom prst="rect">
                      <a:avLst/>
                    </a:prstGeom>
                  </pic:spPr>
                </pic:pic>
              </a:graphicData>
            </a:graphic>
            <wp14:sizeRelH relativeFrom="margin">
              <wp14:pctWidth>0</wp14:pctWidth>
            </wp14:sizeRelH>
            <wp14:sizeRelV relativeFrom="margin">
              <wp14:pctHeight>0</wp14:pctHeight>
            </wp14:sizeRelV>
          </wp:anchor>
        </w:drawing>
      </w:r>
      <w:bookmarkEnd w:id="91"/>
      <w:bookmarkEnd w:id="92"/>
      <w:bookmarkEnd w:id="93"/>
      <w:r w:rsidR="00593584" w:rsidRPr="005D6102">
        <w:t>Antimony</w:t>
      </w:r>
      <w:bookmarkEnd w:id="90"/>
      <w:bookmarkEnd w:id="94"/>
      <w:bookmarkEnd w:id="95"/>
    </w:p>
    <w:p w14:paraId="78BF7FE9" w14:textId="588EBBFF" w:rsidR="00593584" w:rsidRPr="005D6102" w:rsidRDefault="009B2F60" w:rsidP="009B2F60">
      <w:pPr>
        <w:pStyle w:val="Heading1"/>
      </w:pPr>
      <w:bookmarkStart w:id="96" w:name="_Toc17803353"/>
      <w:r>
        <w:rPr>
          <w:noProof/>
          <w:lang w:eastAsia="en-AU"/>
        </w:rPr>
        <w:drawing>
          <wp:inline distT="0" distB="0" distL="0" distR="0" wp14:anchorId="76CEFF19" wp14:editId="6A65E023">
            <wp:extent cx="5655310" cy="3907790"/>
            <wp:effectExtent l="0" t="0" r="2540" b="0"/>
            <wp:docPr id="22" name="Picture 22" descr="This infographic shows the size and scale of Australia's antimony resources. Australia's are the fourth largest antimony reserves in the world. It also shows the top three antimony importers - China, India and Italy. And it shows the 3 major end uses for antimony are flame retardants, batteries and plastics." title="Antimony infograph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ntimony.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655310" cy="3907790"/>
                    </a:xfrm>
                    <a:prstGeom prst="rect">
                      <a:avLst/>
                    </a:prstGeom>
                  </pic:spPr>
                </pic:pic>
              </a:graphicData>
            </a:graphic>
          </wp:inline>
        </w:drawing>
      </w:r>
      <w:bookmarkEnd w:id="96"/>
    </w:p>
    <w:p w14:paraId="659B036E" w14:textId="4D943BB2" w:rsidR="00593584" w:rsidRPr="005D6102" w:rsidRDefault="00593584" w:rsidP="009B2F60">
      <w:pPr>
        <w:pStyle w:val="Heading2"/>
      </w:pPr>
      <w:bookmarkStart w:id="97" w:name="_Toc14958183"/>
      <w:bookmarkStart w:id="98" w:name="_Toc15388908"/>
      <w:bookmarkStart w:id="99" w:name="_Toc16143283"/>
      <w:bookmarkStart w:id="100" w:name="_Toc17803354"/>
      <w:r w:rsidRPr="005D6102">
        <w:t xml:space="preserve">Key </w:t>
      </w:r>
      <w:r w:rsidR="00BB5068" w:rsidRPr="005D6102">
        <w:t>properties and uses</w:t>
      </w:r>
      <w:bookmarkEnd w:id="97"/>
      <w:bookmarkEnd w:id="98"/>
      <w:bookmarkEnd w:id="99"/>
      <w:bookmarkEnd w:id="100"/>
    </w:p>
    <w:p w14:paraId="535D0D12" w14:textId="7BD86D46" w:rsidR="003702D0" w:rsidRPr="005D6102" w:rsidRDefault="0025618C" w:rsidP="003702D0">
      <w:pPr>
        <w:pStyle w:val="BodyText"/>
      </w:pPr>
      <w:r w:rsidRPr="005D6102">
        <w:t>A</w:t>
      </w:r>
      <w:r w:rsidR="003702D0" w:rsidRPr="005D6102">
        <w:t>ntimony generally occurs along with lead, copper and silver in complex polymetallic ores that also contain molybdenum, tungsten, zinc, indium and bismuth.</w:t>
      </w:r>
      <w:r w:rsidR="00461C5E" w:rsidRPr="005D6102">
        <w:t xml:space="preserve"> It is a silvery-white brittle metal known to be semi-conductive and resistant to acids.</w:t>
      </w:r>
    </w:p>
    <w:p w14:paraId="331193DE" w14:textId="616C1B68" w:rsidR="00290CA6" w:rsidRPr="005D6102" w:rsidRDefault="00461C5E" w:rsidP="00290CA6">
      <w:pPr>
        <w:pStyle w:val="BodyText"/>
      </w:pPr>
      <w:r w:rsidRPr="005D6102">
        <w:t xml:space="preserve">Antimony </w:t>
      </w:r>
      <w:r w:rsidR="00E32AB6" w:rsidRPr="005D6102">
        <w:t xml:space="preserve">is mostly used in lead acid batteries and </w:t>
      </w:r>
      <w:r w:rsidR="004D3D1A" w:rsidRPr="005D6102">
        <w:t xml:space="preserve">as a </w:t>
      </w:r>
      <w:r w:rsidR="00E32AB6" w:rsidRPr="005D6102">
        <w:t xml:space="preserve">flame </w:t>
      </w:r>
      <w:r w:rsidR="004D3D1A" w:rsidRPr="005D6102">
        <w:t xml:space="preserve">retardant in </w:t>
      </w:r>
      <w:r w:rsidR="006B0644" w:rsidRPr="005D6102">
        <w:t>other materials</w:t>
      </w:r>
      <w:r w:rsidR="006D6A41" w:rsidRPr="005D6102">
        <w:t xml:space="preserve"> such as plastics</w:t>
      </w:r>
      <w:r w:rsidR="00E32AB6" w:rsidRPr="005D6102">
        <w:t>.</w:t>
      </w:r>
      <w:r w:rsidR="008E4CFA" w:rsidRPr="005D6102">
        <w:t xml:space="preserve"> </w:t>
      </w:r>
      <w:r w:rsidR="000A3DB7" w:rsidRPr="005D6102">
        <w:t xml:space="preserve">Smaller quantities are used in </w:t>
      </w:r>
      <w:r w:rsidR="004B0C95" w:rsidRPr="005D6102">
        <w:t>niche</w:t>
      </w:r>
      <w:r w:rsidR="000A3DB7" w:rsidRPr="005D6102">
        <w:t xml:space="preserve"> applications such as to improve the performance of glass in photovoltaic solar panels</w:t>
      </w:r>
      <w:r w:rsidR="00E32AB6" w:rsidRPr="005D6102">
        <w:t>.</w:t>
      </w:r>
      <w:r w:rsidR="008E4CFA" w:rsidRPr="005D6102">
        <w:t xml:space="preserve"> </w:t>
      </w:r>
      <w:r w:rsidR="00290CA6" w:rsidRPr="005D6102">
        <w:t xml:space="preserve">The metallurgical antimony required for batteries is sourced from either mining or from </w:t>
      </w:r>
      <w:r w:rsidR="003702D0" w:rsidRPr="005D6102">
        <w:t xml:space="preserve">the </w:t>
      </w:r>
      <w:r w:rsidR="006B0644" w:rsidRPr="005D6102">
        <w:t xml:space="preserve">secondary recovery of antimonial lead, such as </w:t>
      </w:r>
      <w:r w:rsidR="00290CA6" w:rsidRPr="005D6102">
        <w:t xml:space="preserve">the recycling of lead acid batteries. </w:t>
      </w:r>
      <w:r w:rsidR="00FA0342" w:rsidRPr="005D6102">
        <w:t xml:space="preserve">Antimony for non-metallurgical applications is generally sourced from mining. </w:t>
      </w:r>
      <w:r w:rsidR="00290CA6" w:rsidRPr="005D6102">
        <w:t xml:space="preserve"> </w:t>
      </w:r>
    </w:p>
    <w:p w14:paraId="7C41C5FC" w14:textId="7612D227" w:rsidR="00290CA6" w:rsidRPr="005D6102" w:rsidRDefault="00931CE7" w:rsidP="009B2F60">
      <w:pPr>
        <w:pStyle w:val="Heading2"/>
      </w:pPr>
      <w:bookmarkStart w:id="101" w:name="_Toc16143284"/>
      <w:bookmarkStart w:id="102" w:name="_Toc17803355"/>
      <w:r w:rsidRPr="005D6102">
        <w:t>Substitution</w:t>
      </w:r>
      <w:bookmarkEnd w:id="101"/>
      <w:bookmarkEnd w:id="102"/>
    </w:p>
    <w:p w14:paraId="75E47714" w14:textId="75C887EB" w:rsidR="00290CA6" w:rsidRPr="005D6102" w:rsidRDefault="00A917D5" w:rsidP="00290CA6">
      <w:pPr>
        <w:pStyle w:val="BodyText"/>
      </w:pPr>
      <w:r w:rsidRPr="005D6102">
        <w:t xml:space="preserve">Antimony </w:t>
      </w:r>
      <w:r w:rsidR="008E4CFA" w:rsidRPr="005D6102">
        <w:t xml:space="preserve">has </w:t>
      </w:r>
      <w:r w:rsidR="00461C5E" w:rsidRPr="005D6102">
        <w:t xml:space="preserve">cost-effective </w:t>
      </w:r>
      <w:r w:rsidR="008E4CFA" w:rsidRPr="005D6102">
        <w:t>substitutes i</w:t>
      </w:r>
      <w:r w:rsidR="00AF7B5F" w:rsidRPr="005D6102">
        <w:t>n flame-retardant applications</w:t>
      </w:r>
      <w:r w:rsidR="00461C5E" w:rsidRPr="005D6102">
        <w:t xml:space="preserve">, although some </w:t>
      </w:r>
      <w:r w:rsidR="00AF7B5F" w:rsidRPr="005D6102">
        <w:t xml:space="preserve">can </w:t>
      </w:r>
      <w:r w:rsidR="00461C5E" w:rsidRPr="005D6102">
        <w:t>have undesirable consequences like weakening the polymer</w:t>
      </w:r>
      <w:r w:rsidR="00AF7B5F" w:rsidRPr="005D6102">
        <w:t xml:space="preserve"> being treated</w:t>
      </w:r>
      <w:r w:rsidR="008E4CFA" w:rsidRPr="005D6102">
        <w:t>.</w:t>
      </w:r>
      <w:r w:rsidR="00290CA6" w:rsidRPr="005D6102">
        <w:t xml:space="preserve"> </w:t>
      </w:r>
      <w:r w:rsidR="000366E9" w:rsidRPr="005D6102">
        <w:t xml:space="preserve">In </w:t>
      </w:r>
      <w:r w:rsidR="006D6A41" w:rsidRPr="005D6102">
        <w:t>automotive lead-</w:t>
      </w:r>
      <w:r w:rsidR="000366E9" w:rsidRPr="005D6102">
        <w:t xml:space="preserve">acid batteries, lead-calcium-tin alloys </w:t>
      </w:r>
      <w:r w:rsidR="00405FE9" w:rsidRPr="005D6102">
        <w:t xml:space="preserve">can be substituted for </w:t>
      </w:r>
      <w:r w:rsidR="000366E9" w:rsidRPr="005D6102">
        <w:t>antimonial lead. Additionally, t</w:t>
      </w:r>
      <w:r w:rsidR="00290CA6" w:rsidRPr="005D6102">
        <w:t xml:space="preserve">echnological developments in lead acid batteries have progressively reduced the amount of antimony required for alloying with lead, with modern car batteries containing a fraction of the antimony they once did. </w:t>
      </w:r>
    </w:p>
    <w:p w14:paraId="0A8481F6" w14:textId="77777777" w:rsidR="009B2F60" w:rsidRDefault="009B2F60">
      <w:pPr>
        <w:spacing w:after="200" w:line="276" w:lineRule="auto"/>
        <w:rPr>
          <w:rFonts w:asciiTheme="majorHAnsi" w:eastAsia="Times New Roman" w:hAnsiTheme="majorHAnsi" w:cs="Arial"/>
          <w:b/>
          <w:iCs/>
          <w:color w:val="56B4DF"/>
          <w:kern w:val="32"/>
          <w:szCs w:val="28"/>
        </w:rPr>
      </w:pPr>
      <w:bookmarkStart w:id="103" w:name="_Toc15388910"/>
      <w:bookmarkStart w:id="104" w:name="_Toc16143285"/>
      <w:r>
        <w:br w:type="page"/>
      </w:r>
    </w:p>
    <w:p w14:paraId="798F740C" w14:textId="051B7C84" w:rsidR="00593584" w:rsidRPr="005D6102" w:rsidRDefault="00192DC3" w:rsidP="009B2F60">
      <w:pPr>
        <w:pStyle w:val="Heading2"/>
      </w:pPr>
      <w:bookmarkStart w:id="105" w:name="_Toc17803356"/>
      <w:r w:rsidRPr="005D6102">
        <w:lastRenderedPageBreak/>
        <w:t>World Consumption</w:t>
      </w:r>
      <w:bookmarkEnd w:id="103"/>
      <w:bookmarkEnd w:id="104"/>
      <w:bookmarkEnd w:id="105"/>
    </w:p>
    <w:p w14:paraId="41C53ACD" w14:textId="0E586D9E" w:rsidR="00013859" w:rsidRPr="00013859" w:rsidRDefault="00013859" w:rsidP="00587AD8">
      <w:pPr>
        <w:pStyle w:val="Heading3"/>
      </w:pPr>
      <w:r>
        <w:t>Consumption of antimony is in decline</w:t>
      </w:r>
    </w:p>
    <w:p w14:paraId="3E2E2AB1" w14:textId="4529B1FA" w:rsidR="00B00C3B" w:rsidRPr="005D6102" w:rsidRDefault="00E32AB6" w:rsidP="00275664">
      <w:pPr>
        <w:pStyle w:val="BodyText"/>
      </w:pPr>
      <w:r w:rsidRPr="005D6102">
        <w:t xml:space="preserve">China is both </w:t>
      </w:r>
      <w:r w:rsidR="00290CA6" w:rsidRPr="005D6102">
        <w:t xml:space="preserve">the </w:t>
      </w:r>
      <w:r w:rsidRPr="005D6102">
        <w:t xml:space="preserve">main consumer </w:t>
      </w:r>
      <w:r w:rsidR="00290CA6" w:rsidRPr="005D6102">
        <w:t xml:space="preserve">and the largest supplier </w:t>
      </w:r>
      <w:r w:rsidRPr="005D6102">
        <w:t>of antimony</w:t>
      </w:r>
      <w:r w:rsidR="00275664" w:rsidRPr="005D6102">
        <w:t xml:space="preserve">. The US, by contrast, relies on imports for 85 per cent of its antimony requirements, primarily from China, Bolivia and Belgium. </w:t>
      </w:r>
    </w:p>
    <w:p w14:paraId="368C1F8F" w14:textId="77777777" w:rsidR="00BA0C1A" w:rsidRPr="005D6102" w:rsidRDefault="00BA0C1A" w:rsidP="00AF7B5F">
      <w:pPr>
        <w:pStyle w:val="BodyText"/>
      </w:pPr>
      <w:r w:rsidRPr="005D6102">
        <w:t>The top antimony importers are:</w:t>
      </w:r>
    </w:p>
    <w:p w14:paraId="38A37CED" w14:textId="77777777" w:rsidR="00BA0C1A" w:rsidRPr="005D6102" w:rsidRDefault="00BA0C1A" w:rsidP="00BA0C1A">
      <w:pPr>
        <w:pStyle w:val="ListParagraph"/>
        <w:numPr>
          <w:ilvl w:val="0"/>
          <w:numId w:val="36"/>
        </w:numPr>
        <w:spacing w:after="160" w:line="259" w:lineRule="auto"/>
        <w:contextualSpacing/>
        <w:jc w:val="left"/>
      </w:pPr>
      <w:r w:rsidRPr="005D6102">
        <w:t>China (US$149 million)</w:t>
      </w:r>
    </w:p>
    <w:p w14:paraId="72FC70FA" w14:textId="20F0EF7D" w:rsidR="00BA0C1A" w:rsidRPr="005D6102" w:rsidRDefault="00BA0C1A" w:rsidP="00BA0C1A">
      <w:pPr>
        <w:pStyle w:val="ListParagraph"/>
        <w:numPr>
          <w:ilvl w:val="0"/>
          <w:numId w:val="36"/>
        </w:numPr>
        <w:spacing w:after="160" w:line="259" w:lineRule="auto"/>
        <w:contextualSpacing/>
        <w:jc w:val="left"/>
      </w:pPr>
      <w:r w:rsidRPr="005D6102">
        <w:t>India (</w:t>
      </w:r>
      <w:r w:rsidR="002F7ACC">
        <w:t>US$</w:t>
      </w:r>
      <w:r w:rsidRPr="005D6102">
        <w:t>14 million)</w:t>
      </w:r>
    </w:p>
    <w:p w14:paraId="598721B4" w14:textId="2FF6A2D8" w:rsidR="00BA0C1A" w:rsidRPr="005D6102" w:rsidRDefault="00BA0C1A" w:rsidP="00BA0C1A">
      <w:pPr>
        <w:pStyle w:val="ListParagraph"/>
        <w:numPr>
          <w:ilvl w:val="0"/>
          <w:numId w:val="36"/>
        </w:numPr>
        <w:spacing w:after="160" w:line="259" w:lineRule="auto"/>
        <w:contextualSpacing/>
        <w:jc w:val="left"/>
      </w:pPr>
      <w:r w:rsidRPr="005D6102">
        <w:t>Italy (</w:t>
      </w:r>
      <w:r w:rsidR="002F7ACC">
        <w:t>US$</w:t>
      </w:r>
      <w:r w:rsidRPr="005D6102">
        <w:t>9 million)</w:t>
      </w:r>
    </w:p>
    <w:p w14:paraId="277D87F4" w14:textId="23D1FD54" w:rsidR="00290CA6" w:rsidRPr="005D6102" w:rsidRDefault="000366E9" w:rsidP="007C09DD">
      <w:pPr>
        <w:pStyle w:val="BodyText"/>
      </w:pPr>
      <w:r w:rsidRPr="005D6102">
        <w:t xml:space="preserve">Antimony consumption has been in decline (Figure </w:t>
      </w:r>
      <w:r w:rsidR="0001448D">
        <w:t>5</w:t>
      </w:r>
      <w:r w:rsidRPr="005D6102">
        <w:t xml:space="preserve">.1), led by falling </w:t>
      </w:r>
      <w:r w:rsidR="004A5AA3" w:rsidRPr="005D6102">
        <w:t>flame retardant and battery use</w:t>
      </w:r>
      <w:r w:rsidRPr="005D6102">
        <w:t xml:space="preserve">. </w:t>
      </w:r>
      <w:r w:rsidR="00402ECA" w:rsidRPr="005D6102">
        <w:t xml:space="preserve">The role of antimony </w:t>
      </w:r>
      <w:r w:rsidR="004A5AA3" w:rsidRPr="005D6102">
        <w:t>has continued</w:t>
      </w:r>
      <w:r w:rsidR="00402ECA" w:rsidRPr="005D6102">
        <w:t xml:space="preserve"> to grow in plastics </w:t>
      </w:r>
      <w:r w:rsidR="004A5AA3" w:rsidRPr="005D6102">
        <w:t>production</w:t>
      </w:r>
      <w:r w:rsidR="00402ECA" w:rsidRPr="005D6102">
        <w:t xml:space="preserve">, </w:t>
      </w:r>
      <w:r w:rsidR="004A5AA3" w:rsidRPr="005D6102">
        <w:t>where it’s used, for example,</w:t>
      </w:r>
      <w:r w:rsidR="00402ECA" w:rsidRPr="005D6102">
        <w:t xml:space="preserve"> as </w:t>
      </w:r>
      <w:r w:rsidR="004A5AA3" w:rsidRPr="005D6102">
        <w:t xml:space="preserve">a heat stabiliser in </w:t>
      </w:r>
      <w:r w:rsidR="00402ECA" w:rsidRPr="005D6102">
        <w:t>PVC. The use of antimony in plastics</w:t>
      </w:r>
      <w:r w:rsidR="004A5AA3" w:rsidRPr="005D6102">
        <w:t>, while relatively small in volumes,</w:t>
      </w:r>
      <w:r w:rsidR="00402ECA" w:rsidRPr="005D6102">
        <w:t xml:space="preserve"> has been growing at an annual rate of over 4 per cent since 2010, and </w:t>
      </w:r>
      <w:r w:rsidR="004A5AA3" w:rsidRPr="005D6102">
        <w:t xml:space="preserve">this </w:t>
      </w:r>
      <w:r w:rsidR="00402ECA" w:rsidRPr="005D6102">
        <w:t>is expected to continue.</w:t>
      </w:r>
    </w:p>
    <w:p w14:paraId="02FB86AF" w14:textId="63765E64" w:rsidR="00D87B20" w:rsidRPr="005D6102" w:rsidRDefault="000366E9" w:rsidP="0070688F">
      <w:pPr>
        <w:pStyle w:val="BodyText"/>
        <w:spacing w:after="0"/>
      </w:pPr>
      <w:r w:rsidRPr="005D6102">
        <w:t xml:space="preserve">The volume of antimony consumed for battery production has fallen </w:t>
      </w:r>
      <w:r w:rsidR="00D947B0" w:rsidRPr="005D6102">
        <w:t>by an average</w:t>
      </w:r>
      <w:r w:rsidRPr="005D6102">
        <w:t xml:space="preserve"> 1 per cent a year since 2010 </w:t>
      </w:r>
      <w:r w:rsidR="005C198E" w:rsidRPr="005D6102">
        <w:t>due to decreasing intensity of use,</w:t>
      </w:r>
      <w:r w:rsidRPr="005D6102">
        <w:t xml:space="preserve"> despite </w:t>
      </w:r>
      <w:r w:rsidR="009914A0" w:rsidRPr="005D6102">
        <w:t xml:space="preserve">growth in the volume of </w:t>
      </w:r>
      <w:r w:rsidRPr="005D6102">
        <w:t xml:space="preserve">lead acid battery </w:t>
      </w:r>
      <w:r w:rsidR="009914A0" w:rsidRPr="005D6102">
        <w:t>production overall</w:t>
      </w:r>
      <w:r w:rsidRPr="005D6102">
        <w:t>.</w:t>
      </w:r>
      <w:r w:rsidR="007E38A5" w:rsidRPr="005D6102">
        <w:t xml:space="preserve"> </w:t>
      </w:r>
    </w:p>
    <w:p w14:paraId="334B8038" w14:textId="573A965E" w:rsidR="00290CA6" w:rsidRPr="005D6102" w:rsidRDefault="00290CA6" w:rsidP="0070688F">
      <w:pPr>
        <w:pStyle w:val="Caption"/>
        <w:spacing w:before="120"/>
      </w:pPr>
      <w:bookmarkStart w:id="106" w:name="_Toc14958211"/>
      <w:r w:rsidRPr="005D6102">
        <w:t xml:space="preserve">Figure </w:t>
      </w:r>
      <w:r w:rsidR="00013859">
        <w:t>5</w:t>
      </w:r>
      <w:r w:rsidRPr="005D6102">
        <w:t>.</w:t>
      </w:r>
      <w:r w:rsidR="000F4B63">
        <w:rPr>
          <w:noProof/>
        </w:rPr>
        <w:fldChar w:fldCharType="begin"/>
      </w:r>
      <w:r w:rsidR="000F4B63">
        <w:rPr>
          <w:noProof/>
        </w:rPr>
        <w:instrText xml:space="preserve"> SEQ Figure \* ARABIC \s 1 </w:instrText>
      </w:r>
      <w:r w:rsidR="000F4B63">
        <w:rPr>
          <w:noProof/>
        </w:rPr>
        <w:fldChar w:fldCharType="separate"/>
      </w:r>
      <w:r w:rsidR="00A7507E">
        <w:rPr>
          <w:noProof/>
        </w:rPr>
        <w:t>1</w:t>
      </w:r>
      <w:r w:rsidR="000F4B63">
        <w:rPr>
          <w:noProof/>
        </w:rPr>
        <w:fldChar w:fldCharType="end"/>
      </w:r>
      <w:r w:rsidRPr="005D6102">
        <w:t xml:space="preserve">: World </w:t>
      </w:r>
      <w:r w:rsidR="007E6235" w:rsidRPr="005D6102">
        <w:t xml:space="preserve">antimony </w:t>
      </w:r>
      <w:r w:rsidRPr="005D6102">
        <w:t xml:space="preserve">consumption </w:t>
      </w:r>
      <w:bookmarkEnd w:id="106"/>
    </w:p>
    <w:tbl>
      <w:tblPr>
        <w:tblStyle w:val="OCETable"/>
        <w:tblW w:w="5000" w:type="pct"/>
        <w:tblInd w:w="108" w:type="dxa"/>
        <w:tblLayout w:type="fixed"/>
        <w:tblLook w:val="04A0" w:firstRow="1" w:lastRow="0" w:firstColumn="1" w:lastColumn="0" w:noHBand="0" w:noVBand="1"/>
        <w:tblCaption w:val="Table contains figure 5.1"/>
      </w:tblPr>
      <w:tblGrid>
        <w:gridCol w:w="8906"/>
      </w:tblGrid>
      <w:tr w:rsidR="00290CA6" w:rsidRPr="005D6102" w14:paraId="1D3F9D51" w14:textId="77777777" w:rsidTr="0070688F">
        <w:trPr>
          <w:cnfStyle w:val="100000000000" w:firstRow="1" w:lastRow="0" w:firstColumn="0" w:lastColumn="0" w:oddVBand="0" w:evenVBand="0" w:oddHBand="0" w:evenHBand="0" w:firstRowFirstColumn="0" w:firstRowLastColumn="0" w:lastRowFirstColumn="0" w:lastRowLastColumn="0"/>
          <w:trHeight w:val="3443"/>
          <w:tblHeader/>
        </w:trPr>
        <w:tc>
          <w:tcPr>
            <w:tcW w:w="8906" w:type="dxa"/>
            <w:shd w:val="clear" w:color="auto" w:fill="auto"/>
          </w:tcPr>
          <w:p w14:paraId="7282C154" w14:textId="568C3500" w:rsidR="00290CA6" w:rsidRPr="005D6102" w:rsidRDefault="00290CA6" w:rsidP="0086353F">
            <w:pPr>
              <w:pStyle w:val="PlaceholderWide"/>
            </w:pPr>
            <w:r w:rsidRPr="005D6102">
              <w:rPr>
                <w:noProof/>
                <w:lang w:eastAsia="en-AU"/>
              </w:rPr>
              <w:drawing>
                <wp:inline distT="0" distB="0" distL="0" distR="0" wp14:anchorId="1359D192" wp14:editId="164AED84">
                  <wp:extent cx="5189220" cy="2400300"/>
                  <wp:effectExtent l="0" t="0" r="0" b="0"/>
                  <wp:docPr id="14" name="Chart 14" descr="This chart shows the gradual decline in histrorical consumption of antimony from 2010 to 2018, as well as the dominance of batteries and flame retardants in uses of antimony." title="Figure 5.1: World antimony consumption"/>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tc>
      </w:tr>
    </w:tbl>
    <w:p w14:paraId="60CC10C8" w14:textId="6CD4F02B" w:rsidR="00402ECA" w:rsidRPr="005D6102" w:rsidRDefault="00290CA6" w:rsidP="0064593E">
      <w:pPr>
        <w:pStyle w:val="Source"/>
        <w:pBdr>
          <w:bottom w:val="single" w:sz="4" w:space="0" w:color="595A5B"/>
        </w:pBdr>
      </w:pPr>
      <w:r w:rsidRPr="005D6102">
        <w:t>Source: Roskill</w:t>
      </w:r>
      <w:r w:rsidR="00CA6165" w:rsidRPr="005656B3">
        <w:t xml:space="preserve"> (2019)</w:t>
      </w:r>
    </w:p>
    <w:p w14:paraId="73EF255B" w14:textId="340500F1" w:rsidR="00290CA6" w:rsidRPr="005D6102" w:rsidRDefault="00F77D85" w:rsidP="0070688F">
      <w:pPr>
        <w:pStyle w:val="Heading2"/>
        <w:rPr>
          <w:lang w:val="en"/>
        </w:rPr>
      </w:pPr>
      <w:bookmarkStart w:id="107" w:name="_Toc15388911"/>
      <w:bookmarkStart w:id="108" w:name="_Toc16143286"/>
      <w:bookmarkStart w:id="109" w:name="_Toc17803357"/>
      <w:r w:rsidRPr="005D6102">
        <w:rPr>
          <w:lang w:val="en"/>
        </w:rPr>
        <w:t>World production</w:t>
      </w:r>
      <w:bookmarkEnd w:id="107"/>
      <w:bookmarkEnd w:id="108"/>
      <w:bookmarkEnd w:id="109"/>
    </w:p>
    <w:p w14:paraId="18B4F24C" w14:textId="6F7C6068" w:rsidR="009E7D1B" w:rsidRPr="005D6102" w:rsidRDefault="009E7D1B" w:rsidP="009E7D1B">
      <w:pPr>
        <w:pStyle w:val="BodyText"/>
      </w:pPr>
      <w:r w:rsidRPr="005D6102">
        <w:t xml:space="preserve">China has dominated </w:t>
      </w:r>
      <w:r w:rsidR="00143182" w:rsidRPr="005D6102">
        <w:t>global</w:t>
      </w:r>
      <w:r w:rsidRPr="005D6102">
        <w:t xml:space="preserve"> antimony supply for over a decade. However, </w:t>
      </w:r>
      <w:r w:rsidR="00143182" w:rsidRPr="005D6102">
        <w:t xml:space="preserve">increasing enforcement of environmental regulations has seen its </w:t>
      </w:r>
      <w:r w:rsidRPr="005D6102">
        <w:t xml:space="preserve">production </w:t>
      </w:r>
      <w:r w:rsidR="00143182" w:rsidRPr="005D6102">
        <w:t>falling recently</w:t>
      </w:r>
      <w:r w:rsidRPr="005D6102">
        <w:t>, causing its share of world production to drop from 80 per cent in 2010 to 48 per cent in 2018.</w:t>
      </w:r>
      <w:r w:rsidR="00400DAC" w:rsidRPr="005D6102">
        <w:t xml:space="preserve"> </w:t>
      </w:r>
      <w:r w:rsidRPr="005D6102">
        <w:t xml:space="preserve">By contrast, Russia’s production of mined antimony is growing strongly, reaching 29 per cent of global supply in 2018, and </w:t>
      </w:r>
      <w:r w:rsidR="00143182" w:rsidRPr="005D6102">
        <w:t>bringing the country into</w:t>
      </w:r>
      <w:r w:rsidRPr="005D6102">
        <w:t xml:space="preserve"> second place </w:t>
      </w:r>
      <w:r w:rsidR="00280B50">
        <w:t>—</w:t>
      </w:r>
      <w:r w:rsidR="00E84238" w:rsidRPr="005D6102">
        <w:t xml:space="preserve"> </w:t>
      </w:r>
      <w:r w:rsidR="00143182" w:rsidRPr="005D6102">
        <w:t>displacing</w:t>
      </w:r>
      <w:r w:rsidRPr="005D6102">
        <w:t xml:space="preserve"> Tajikistan</w:t>
      </w:r>
      <w:r w:rsidR="001E5B07" w:rsidRPr="005D6102">
        <w:t xml:space="preserve"> (Figure </w:t>
      </w:r>
      <w:r w:rsidR="0001448D">
        <w:t>5</w:t>
      </w:r>
      <w:r w:rsidR="001E5B07" w:rsidRPr="005D6102">
        <w:t>.2</w:t>
      </w:r>
      <w:r w:rsidRPr="005D6102">
        <w:t xml:space="preserve">). </w:t>
      </w:r>
    </w:p>
    <w:p w14:paraId="0E28EB4F" w14:textId="7A2E1F41" w:rsidR="009B6A55" w:rsidRPr="005D6102" w:rsidRDefault="009B6A55" w:rsidP="004A6BAE">
      <w:pPr>
        <w:pStyle w:val="Caption"/>
      </w:pPr>
      <w:bookmarkStart w:id="110" w:name="_Toc14958185"/>
      <w:r w:rsidRPr="005D6102">
        <w:lastRenderedPageBreak/>
        <w:t xml:space="preserve">Figure </w:t>
      </w:r>
      <w:r w:rsidR="00013859">
        <w:t>5</w:t>
      </w:r>
      <w:r w:rsidRPr="005D6102">
        <w:t>.</w:t>
      </w:r>
      <w:r w:rsidR="000F4B63">
        <w:rPr>
          <w:noProof/>
        </w:rPr>
        <w:fldChar w:fldCharType="begin"/>
      </w:r>
      <w:r w:rsidR="000F4B63">
        <w:rPr>
          <w:noProof/>
        </w:rPr>
        <w:instrText xml:space="preserve"> SEQ Figure \* ARABIC \s 1 </w:instrText>
      </w:r>
      <w:r w:rsidR="000F4B63">
        <w:rPr>
          <w:noProof/>
        </w:rPr>
        <w:fldChar w:fldCharType="separate"/>
      </w:r>
      <w:r w:rsidR="00A7507E">
        <w:rPr>
          <w:noProof/>
        </w:rPr>
        <w:t>2</w:t>
      </w:r>
      <w:r w:rsidR="000F4B63">
        <w:rPr>
          <w:noProof/>
        </w:rPr>
        <w:fldChar w:fldCharType="end"/>
      </w:r>
      <w:r w:rsidRPr="005D6102">
        <w:t xml:space="preserve">: </w:t>
      </w:r>
      <w:r w:rsidR="009E7D1B" w:rsidRPr="005D6102">
        <w:t>World mine p</w:t>
      </w:r>
      <w:r w:rsidR="00B9061E" w:rsidRPr="005D6102">
        <w:t xml:space="preserve">roduction of </w:t>
      </w:r>
      <w:r w:rsidR="0095700B" w:rsidRPr="005D6102">
        <w:t>antimony</w:t>
      </w:r>
      <w:r w:rsidR="00B9061E" w:rsidRPr="005D6102">
        <w:t>, major producers and Australia</w:t>
      </w:r>
    </w:p>
    <w:tbl>
      <w:tblPr>
        <w:tblStyle w:val="OCETable"/>
        <w:tblW w:w="5034" w:type="pct"/>
        <w:tblInd w:w="108" w:type="dxa"/>
        <w:tblLayout w:type="fixed"/>
        <w:tblLook w:val="04A0" w:firstRow="1" w:lastRow="0" w:firstColumn="1" w:lastColumn="0" w:noHBand="0" w:noVBand="1"/>
        <w:tblCaption w:val="Table contains figure 5.2"/>
      </w:tblPr>
      <w:tblGrid>
        <w:gridCol w:w="8967"/>
      </w:tblGrid>
      <w:tr w:rsidR="009B6A55" w:rsidRPr="005D6102" w14:paraId="3EAC2572" w14:textId="77777777" w:rsidTr="0064593E">
        <w:trPr>
          <w:cnfStyle w:val="100000000000" w:firstRow="1" w:lastRow="0" w:firstColumn="0" w:lastColumn="0" w:oddVBand="0" w:evenVBand="0" w:oddHBand="0" w:evenHBand="0" w:firstRowFirstColumn="0" w:firstRowLastColumn="0" w:lastRowFirstColumn="0" w:lastRowLastColumn="0"/>
          <w:trHeight w:val="3863"/>
          <w:tblHeader/>
        </w:trPr>
        <w:tc>
          <w:tcPr>
            <w:tcW w:w="8966" w:type="dxa"/>
            <w:shd w:val="clear" w:color="auto" w:fill="auto"/>
          </w:tcPr>
          <w:p w14:paraId="52D7DFA9" w14:textId="258F2B34" w:rsidR="009B6A55" w:rsidRPr="005D6102" w:rsidRDefault="0040204B" w:rsidP="004A6BAE">
            <w:pPr>
              <w:pStyle w:val="PlaceholderWide"/>
            </w:pPr>
            <w:r w:rsidRPr="005D6102">
              <w:rPr>
                <w:noProof/>
                <w:lang w:eastAsia="en-AU"/>
              </w:rPr>
              <w:drawing>
                <wp:inline distT="0" distB="0" distL="0" distR="0" wp14:anchorId="5EA8B9CD" wp14:editId="47642DB6">
                  <wp:extent cx="5018681" cy="2819400"/>
                  <wp:effectExtent l="0" t="0" r="0" b="0"/>
                  <wp:docPr id="17" name="Chart 17" descr="This chart shows major players in antimony mining historically, with China's proportion of the total declining but still around 50 per cent in 2018." title="Figure 5.2: World mine production of antimony, major producers and Australia"/>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tc>
      </w:tr>
    </w:tbl>
    <w:p w14:paraId="35C2FD99" w14:textId="55211D62" w:rsidR="009B6A55" w:rsidRPr="005D6102" w:rsidRDefault="009B6A55" w:rsidP="0064593E">
      <w:pPr>
        <w:pStyle w:val="Source"/>
        <w:spacing w:before="240"/>
      </w:pPr>
      <w:r w:rsidRPr="005D6102">
        <w:t xml:space="preserve">Source: </w:t>
      </w:r>
      <w:r w:rsidR="0040204B" w:rsidRPr="005D6102">
        <w:t>Roskill</w:t>
      </w:r>
      <w:bookmarkStart w:id="111" w:name="_Toc14958186"/>
      <w:bookmarkEnd w:id="110"/>
      <w:r w:rsidR="00CA6165">
        <w:t xml:space="preserve"> (2019)</w:t>
      </w:r>
    </w:p>
    <w:p w14:paraId="2DAA0C9A" w14:textId="04EE7161" w:rsidR="00537316" w:rsidRPr="005D6102" w:rsidRDefault="00537316" w:rsidP="00537316">
      <w:pPr>
        <w:pStyle w:val="BodyText"/>
      </w:pPr>
      <w:r w:rsidRPr="005D6102">
        <w:t>Australia has the fourth largest reserves of antimony in the world, and was the sixth largest supplier of mined antimony in 2018, accounting for 2 per cent of global mine production. Australia’s production fluctuates with market conditions, with at least one mine suspending production in recent years</w:t>
      </w:r>
      <w:r w:rsidR="00464E09" w:rsidRPr="005D6102">
        <w:t>,</w:t>
      </w:r>
      <w:r w:rsidRPr="005D6102">
        <w:t xml:space="preserve"> due to lower prices. </w:t>
      </w:r>
    </w:p>
    <w:bookmarkEnd w:id="111"/>
    <w:p w14:paraId="253BB580" w14:textId="5ABD727D" w:rsidR="003F5C43" w:rsidRPr="005D6102" w:rsidRDefault="003F5C43" w:rsidP="00FD66D6">
      <w:pPr>
        <w:pStyle w:val="BodyText"/>
        <w:spacing w:before="120"/>
      </w:pPr>
      <w:r w:rsidRPr="005D6102">
        <w:t>Processing of antimony is complex</w:t>
      </w:r>
      <w:r w:rsidR="004E4BBA">
        <w:t>,</w:t>
      </w:r>
      <w:r w:rsidRPr="005D6102">
        <w:t xml:space="preserve"> and differs according to the particulars of the ore in which it is contained. Australian antimony is currently associated with gold, so alkaline sulphide leaching of the ore is a preferred pre-treatment method to isolate antimony. A number of pyro- or hydro-metallurgical processing techniques can then be applied for antimony recovery. </w:t>
      </w:r>
    </w:p>
    <w:p w14:paraId="21E53762" w14:textId="057CDC1E" w:rsidR="003F5C43" w:rsidRPr="005D6102" w:rsidRDefault="003F5C43" w:rsidP="003F5C43">
      <w:pPr>
        <w:pStyle w:val="BodyText"/>
      </w:pPr>
      <w:r w:rsidRPr="005D6102">
        <w:t>China</w:t>
      </w:r>
      <w:r w:rsidR="006809F8" w:rsidRPr="005D6102">
        <w:t xml:space="preserve"> has capabilities for processing most ore types. It</w:t>
      </w:r>
      <w:r w:rsidRPr="005D6102">
        <w:t xml:space="preserve"> processes all of its own mine output, all of Australia’s mine output</w:t>
      </w:r>
      <w:r w:rsidR="006647A0" w:rsidRPr="005D6102">
        <w:t>,</w:t>
      </w:r>
      <w:r w:rsidRPr="005D6102">
        <w:t xml:space="preserve"> and the majority of ores and concentrates mined elsewhere. China therefore dominates the world’s supply of </w:t>
      </w:r>
      <w:r w:rsidR="00FB0580" w:rsidRPr="005D6102">
        <w:t>antimony</w:t>
      </w:r>
      <w:r w:rsidR="004F40CD" w:rsidRPr="005D6102">
        <w:t xml:space="preserve"> metal and</w:t>
      </w:r>
      <w:r w:rsidR="00FB0580" w:rsidRPr="005D6102">
        <w:t xml:space="preserve"> antimony oxide</w:t>
      </w:r>
      <w:r w:rsidR="004F40CD" w:rsidRPr="005D6102">
        <w:t>. By contrast, Europe (led by Germany) is the leading supplier of antimonial lead which is sourced</w:t>
      </w:r>
      <w:r w:rsidRPr="005D6102">
        <w:t xml:space="preserve"> </w:t>
      </w:r>
      <w:r w:rsidR="004F40CD" w:rsidRPr="005D6102">
        <w:t>from lead acid battery recycling</w:t>
      </w:r>
      <w:r w:rsidR="00FB0580" w:rsidRPr="005D6102">
        <w:t xml:space="preserve"> rather than mining</w:t>
      </w:r>
      <w:r w:rsidR="004F40CD" w:rsidRPr="005D6102">
        <w:t>.</w:t>
      </w:r>
      <w:r w:rsidRPr="005D6102">
        <w:t xml:space="preserve"> </w:t>
      </w:r>
    </w:p>
    <w:p w14:paraId="32D9D7AA" w14:textId="77777777" w:rsidR="00BB0F7C" w:rsidRPr="005D6102" w:rsidRDefault="00BB0F7C" w:rsidP="0064593E">
      <w:pPr>
        <w:pStyle w:val="Heading2"/>
      </w:pPr>
      <w:bookmarkStart w:id="112" w:name="_Toc16143287"/>
      <w:bookmarkStart w:id="113" w:name="_Toc17803358"/>
      <w:r w:rsidRPr="005D6102">
        <w:t>Market Outlook</w:t>
      </w:r>
      <w:bookmarkEnd w:id="112"/>
      <w:bookmarkEnd w:id="113"/>
    </w:p>
    <w:p w14:paraId="065342C6" w14:textId="0ECC35DF" w:rsidR="00AC55CE" w:rsidRPr="005D6102" w:rsidRDefault="00AC55CE" w:rsidP="00AC55CE">
      <w:pPr>
        <w:pStyle w:val="Heading3"/>
      </w:pPr>
      <w:r w:rsidRPr="005D6102">
        <w:t>A slowly-growing market, with some additional mines needed</w:t>
      </w:r>
    </w:p>
    <w:p w14:paraId="44E8862C" w14:textId="04544F94" w:rsidR="001814AA" w:rsidRPr="005D6102" w:rsidRDefault="00A1204B" w:rsidP="00DC3018">
      <w:pPr>
        <w:pStyle w:val="BodyText"/>
      </w:pPr>
      <w:r w:rsidRPr="005D6102">
        <w:t xml:space="preserve">Consumption of antimony is forecast to grow slowly </w:t>
      </w:r>
      <w:r w:rsidR="008B4FB0" w:rsidRPr="005D6102">
        <w:t xml:space="preserve">— </w:t>
      </w:r>
      <w:r w:rsidRPr="005D6102">
        <w:t xml:space="preserve">at </w:t>
      </w:r>
      <w:r w:rsidR="004663D9">
        <w:t>under 1</w:t>
      </w:r>
      <w:r w:rsidRPr="005D6102">
        <w:t xml:space="preserve"> per cent a year over the next 10 years</w:t>
      </w:r>
      <w:r w:rsidR="008B4FB0" w:rsidRPr="005D6102">
        <w:t>—</w:t>
      </w:r>
      <w:r w:rsidR="00E30A5C" w:rsidRPr="005D6102">
        <w:t xml:space="preserve"> and a change in the composition of consumption will </w:t>
      </w:r>
      <w:r w:rsidR="008B4FB0" w:rsidRPr="005D6102">
        <w:t xml:space="preserve">support </w:t>
      </w:r>
      <w:r w:rsidR="00E30A5C" w:rsidRPr="005D6102">
        <w:t>growth in mining</w:t>
      </w:r>
      <w:r w:rsidRPr="005D6102">
        <w:t>.</w:t>
      </w:r>
    </w:p>
    <w:p w14:paraId="2BAF633B" w14:textId="79C664BA" w:rsidR="00DC3018" w:rsidRPr="005D6102" w:rsidRDefault="00DC3018" w:rsidP="00DC3018">
      <w:pPr>
        <w:pStyle w:val="BodyText"/>
      </w:pPr>
      <w:r w:rsidRPr="005D6102">
        <w:t xml:space="preserve">The market for metallurgical antimony is expected to contract over the </w:t>
      </w:r>
      <w:r w:rsidR="008B4FB0" w:rsidRPr="005D6102">
        <w:t xml:space="preserve">outlook period </w:t>
      </w:r>
      <w:r w:rsidRPr="005D6102">
        <w:t>as the intensity of use in batteries continue</w:t>
      </w:r>
      <w:r w:rsidR="001814AA" w:rsidRPr="005D6102">
        <w:t>s</w:t>
      </w:r>
      <w:r w:rsidRPr="005D6102">
        <w:t xml:space="preserve"> to decline. Longer term, lead acid batteries themselves may give way to lithium-based and other battery technologies. </w:t>
      </w:r>
      <w:r w:rsidR="008B4FB0" w:rsidRPr="005D6102">
        <w:t>Increasing batter</w:t>
      </w:r>
      <w:r w:rsidR="001814AA" w:rsidRPr="005D6102">
        <w:t>y</w:t>
      </w:r>
      <w:r w:rsidR="008B4FB0" w:rsidRPr="005D6102">
        <w:t xml:space="preserve"> recycling activity, particularly in China, is forecast to fully meet metallurgical demand for antimonial lead in the mid</w:t>
      </w:r>
      <w:r w:rsidR="001814AA" w:rsidRPr="005D6102">
        <w:t>-</w:t>
      </w:r>
      <w:r w:rsidR="008B4FB0" w:rsidRPr="005D6102">
        <w:t>2020s.</w:t>
      </w:r>
    </w:p>
    <w:p w14:paraId="4917BAD9" w14:textId="77777777" w:rsidR="00B71F5D" w:rsidRDefault="005325B5" w:rsidP="00DC3018">
      <w:pPr>
        <w:pStyle w:val="BodyText"/>
      </w:pPr>
      <w:r w:rsidRPr="005D6102">
        <w:t>Steady g</w:t>
      </w:r>
      <w:r w:rsidR="001814AA" w:rsidRPr="005D6102">
        <w:t>rowth in non-metallurgical uses of antimony is likely to offset</w:t>
      </w:r>
      <w:r w:rsidR="00DC3018" w:rsidRPr="005D6102">
        <w:t xml:space="preserve"> the </w:t>
      </w:r>
      <w:r w:rsidR="008B4FB0" w:rsidRPr="005D6102">
        <w:t xml:space="preserve">metallurgical </w:t>
      </w:r>
      <w:r w:rsidR="00DC3018" w:rsidRPr="005D6102">
        <w:t>decline over the outlook period to 2028</w:t>
      </w:r>
      <w:r w:rsidRPr="005D6102">
        <w:t>, led by increasing c</w:t>
      </w:r>
      <w:r w:rsidR="001814AA" w:rsidRPr="005D6102">
        <w:t xml:space="preserve">onsumption in </w:t>
      </w:r>
      <w:r w:rsidR="00DC3018" w:rsidRPr="005D6102">
        <w:t>flame retardant</w:t>
      </w:r>
      <w:r w:rsidR="00A1204B" w:rsidRPr="005D6102">
        <w:t>s</w:t>
      </w:r>
      <w:r w:rsidR="00DC3018" w:rsidRPr="005D6102">
        <w:t xml:space="preserve"> and plastics. </w:t>
      </w:r>
    </w:p>
    <w:p w14:paraId="027EA4E8" w14:textId="317D9597" w:rsidR="00DC3018" w:rsidRPr="005D6102" w:rsidRDefault="00B71F5D" w:rsidP="00DC3018">
      <w:pPr>
        <w:pStyle w:val="BodyText"/>
      </w:pPr>
      <w:r w:rsidRPr="005D6102">
        <w:lastRenderedPageBreak/>
        <w:t>The US National Toxicology Program has recently confirmed that antimony trioxide is ‘reasonably anticipated to be a human carcinogen’. It is likely that subsequent policy decisions will limit its application in some uses, such as in flame retardants, to minimise the risks of human exposure.</w:t>
      </w:r>
      <w:r>
        <w:t xml:space="preserve"> Even with </w:t>
      </w:r>
      <w:r w:rsidR="00DC3018" w:rsidRPr="005D6102">
        <w:t xml:space="preserve">regulatory limits on </w:t>
      </w:r>
      <w:r w:rsidR="008B4FB0" w:rsidRPr="005D6102">
        <w:t xml:space="preserve">some uses of </w:t>
      </w:r>
      <w:r w:rsidR="00DC3018" w:rsidRPr="005D6102">
        <w:t xml:space="preserve">antimony trioxide flame retardants, the </w:t>
      </w:r>
      <w:r>
        <w:t xml:space="preserve">expected </w:t>
      </w:r>
      <w:r w:rsidR="00DC3018" w:rsidRPr="005D6102">
        <w:t xml:space="preserve">growth in flame retardant demand overall is likely to </w:t>
      </w:r>
      <w:r w:rsidR="004663D9">
        <w:t>support continued growth in antimony use</w:t>
      </w:r>
      <w:r w:rsidR="00DC3018" w:rsidRPr="005D6102">
        <w:t>.</w:t>
      </w:r>
    </w:p>
    <w:p w14:paraId="60628E93" w14:textId="20B94B18" w:rsidR="00DC3018" w:rsidRPr="005D6102" w:rsidRDefault="009D1E95" w:rsidP="00EB71D4">
      <w:pPr>
        <w:pStyle w:val="BodyText"/>
        <w:spacing w:after="0"/>
      </w:pPr>
      <w:r w:rsidRPr="005D6102">
        <w:t xml:space="preserve">Over the outlook period, </w:t>
      </w:r>
      <w:r w:rsidR="00DC3018" w:rsidRPr="005D6102">
        <w:t xml:space="preserve">non-metallurgical </w:t>
      </w:r>
      <w:r w:rsidRPr="005D6102">
        <w:t>uses will support growth in antimony mining</w:t>
      </w:r>
      <w:r w:rsidR="00EC1F29" w:rsidRPr="005D6102">
        <w:t>,</w:t>
      </w:r>
      <w:r w:rsidRPr="005D6102">
        <w:t xml:space="preserve"> averaging around 1.</w:t>
      </w:r>
      <w:r w:rsidR="004663D9">
        <w:t>5</w:t>
      </w:r>
      <w:r w:rsidRPr="005D6102">
        <w:t xml:space="preserve"> per cent</w:t>
      </w:r>
      <w:r w:rsidR="00EC1F29" w:rsidRPr="005D6102">
        <w:t xml:space="preserve"> a year</w:t>
      </w:r>
      <w:r w:rsidRPr="005D6102">
        <w:t xml:space="preserve">. </w:t>
      </w:r>
      <w:r w:rsidR="003A6628" w:rsidRPr="005D6102">
        <w:t>Some i</w:t>
      </w:r>
      <w:r w:rsidRPr="005D6102">
        <w:t xml:space="preserve">nvestment in </w:t>
      </w:r>
      <w:r w:rsidR="00EC1F29" w:rsidRPr="005D6102">
        <w:t xml:space="preserve">additional </w:t>
      </w:r>
      <w:r w:rsidR="003A6628" w:rsidRPr="005D6102">
        <w:t xml:space="preserve">low-cost </w:t>
      </w:r>
      <w:r w:rsidR="00DC3018" w:rsidRPr="005D6102">
        <w:t xml:space="preserve">mining capacity </w:t>
      </w:r>
      <w:r w:rsidRPr="005D6102">
        <w:t xml:space="preserve">is </w:t>
      </w:r>
      <w:r w:rsidR="00DC3018" w:rsidRPr="005D6102">
        <w:t xml:space="preserve">expected to be needed to meet </w:t>
      </w:r>
      <w:r w:rsidRPr="005D6102">
        <w:t>expected consumption volumes</w:t>
      </w:r>
      <w:r w:rsidR="00DC3018" w:rsidRPr="005D6102">
        <w:t>.</w:t>
      </w:r>
      <w:r w:rsidR="00B71F5D">
        <w:t xml:space="preserve"> </w:t>
      </w:r>
      <w:r w:rsidR="00734374">
        <w:t xml:space="preserve">With output capacity </w:t>
      </w:r>
      <w:r w:rsidR="00D67EBF">
        <w:t>growing</w:t>
      </w:r>
      <w:r w:rsidR="00734374">
        <w:t xml:space="preserve"> faster than antimony use, a modest decline in the price of mining output is expected </w:t>
      </w:r>
      <w:r w:rsidR="00734374" w:rsidRPr="00734374">
        <w:t>(Figure 5.3)</w:t>
      </w:r>
      <w:r w:rsidR="00734374">
        <w:t>.</w:t>
      </w:r>
    </w:p>
    <w:p w14:paraId="40048B06" w14:textId="2BB8AC1F" w:rsidR="00DC3018" w:rsidRDefault="006465C8" w:rsidP="00666D47">
      <w:pPr>
        <w:pStyle w:val="Caption"/>
        <w:pBdr>
          <w:top w:val="single" w:sz="2" w:space="2" w:color="595A5B"/>
        </w:pBdr>
      </w:pPr>
      <w:bookmarkStart w:id="114" w:name="_Toc15388912"/>
      <w:r>
        <w:t xml:space="preserve"> </w:t>
      </w:r>
      <w:r w:rsidR="00DC3018" w:rsidRPr="005D6102">
        <w:t xml:space="preserve">Figure </w:t>
      </w:r>
      <w:r w:rsidR="00013859">
        <w:rPr>
          <w:noProof/>
        </w:rPr>
        <w:t>5</w:t>
      </w:r>
      <w:r w:rsidR="00DC3018" w:rsidRPr="005D6102">
        <w:t>.</w:t>
      </w:r>
      <w:r w:rsidR="000F4B63">
        <w:rPr>
          <w:noProof/>
        </w:rPr>
        <w:fldChar w:fldCharType="begin"/>
      </w:r>
      <w:r w:rsidR="000F4B63">
        <w:rPr>
          <w:noProof/>
        </w:rPr>
        <w:instrText xml:space="preserve"> SEQ Figure \* ARABIC \s 1 </w:instrText>
      </w:r>
      <w:r w:rsidR="000F4B63">
        <w:rPr>
          <w:noProof/>
        </w:rPr>
        <w:fldChar w:fldCharType="separate"/>
      </w:r>
      <w:r w:rsidR="00A7507E">
        <w:rPr>
          <w:noProof/>
        </w:rPr>
        <w:t>3</w:t>
      </w:r>
      <w:r w:rsidR="000F4B63">
        <w:rPr>
          <w:noProof/>
        </w:rPr>
        <w:fldChar w:fldCharType="end"/>
      </w:r>
      <w:r w:rsidR="00DC3018" w:rsidRPr="005D6102">
        <w:t xml:space="preserve">: </w:t>
      </w:r>
      <w:r w:rsidR="00AF28A6">
        <w:t xml:space="preserve"> A</w:t>
      </w:r>
      <w:r w:rsidR="00DC3018" w:rsidRPr="005D6102">
        <w:t xml:space="preserve">ntimony </w:t>
      </w:r>
      <w:r w:rsidR="00D93476">
        <w:t xml:space="preserve">price outlook </w:t>
      </w:r>
      <w:r>
        <w:t xml:space="preserve">(2017 </w:t>
      </w:r>
      <w:r w:rsidRPr="006465C8">
        <w:t>US dollars</w:t>
      </w:r>
      <w:r>
        <w:t>)</w:t>
      </w:r>
    </w:p>
    <w:p w14:paraId="2D7C45F0" w14:textId="61F5EF84" w:rsidR="007C7375" w:rsidRPr="007C7375" w:rsidRDefault="007E04A2" w:rsidP="007C7375">
      <w:pPr>
        <w:pStyle w:val="Placeholder"/>
      </w:pPr>
      <w:r>
        <w:rPr>
          <w:noProof/>
          <w:lang w:eastAsia="en-AU"/>
        </w:rPr>
        <w:drawing>
          <wp:inline distT="0" distB="0" distL="0" distR="0" wp14:anchorId="46DA2114" wp14:editId="5D42AD0F">
            <wp:extent cx="5114925" cy="2763520"/>
            <wp:effectExtent l="0" t="0" r="952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114925" cy="2763520"/>
                    </a:xfrm>
                    <a:prstGeom prst="rect">
                      <a:avLst/>
                    </a:prstGeom>
                    <a:noFill/>
                    <a:ln>
                      <a:noFill/>
                    </a:ln>
                  </pic:spPr>
                </pic:pic>
              </a:graphicData>
            </a:graphic>
          </wp:inline>
        </w:drawing>
      </w:r>
    </w:p>
    <w:bookmarkEnd w:id="114"/>
    <w:p w14:paraId="2A38B558" w14:textId="2EAB82A2" w:rsidR="00DC3018" w:rsidRPr="005D6102" w:rsidRDefault="00DC3018" w:rsidP="00DC3018">
      <w:pPr>
        <w:pStyle w:val="Note"/>
      </w:pPr>
      <w:r w:rsidRPr="005D6102">
        <w:t>Source: Roskill</w:t>
      </w:r>
      <w:r w:rsidR="00CD5DA0">
        <w:t xml:space="preserve"> (2019),</w:t>
      </w:r>
      <w:r w:rsidR="00CD5DA0" w:rsidRPr="00CD5DA0">
        <w:t xml:space="preserve"> Department of</w:t>
      </w:r>
      <w:r w:rsidR="00CD5DA0" w:rsidRPr="0064593E">
        <w:t xml:space="preserve"> Industry, </w:t>
      </w:r>
      <w:r w:rsidR="00CD5DA0" w:rsidRPr="00CD5DA0">
        <w:t>Innovation</w:t>
      </w:r>
      <w:r w:rsidR="00CD5DA0" w:rsidRPr="0064593E">
        <w:t xml:space="preserve"> and </w:t>
      </w:r>
      <w:r w:rsidR="00CD5DA0" w:rsidRPr="00CD5DA0">
        <w:t>Science (2019)</w:t>
      </w:r>
      <w:r w:rsidR="00CD5DA0">
        <w:t xml:space="preserve"> </w:t>
      </w:r>
    </w:p>
    <w:p w14:paraId="7897E416" w14:textId="456F9C36" w:rsidR="00593584" w:rsidRPr="005D6102" w:rsidRDefault="00593584" w:rsidP="0064593E">
      <w:pPr>
        <w:pStyle w:val="Heading2"/>
        <w:tabs>
          <w:tab w:val="left" w:pos="2454"/>
        </w:tabs>
      </w:pPr>
      <w:bookmarkStart w:id="115" w:name="_Toc16143288"/>
      <w:bookmarkStart w:id="116" w:name="_Toc17803359"/>
      <w:r w:rsidRPr="005D6102">
        <w:t>Australia</w:t>
      </w:r>
      <w:bookmarkEnd w:id="115"/>
      <w:bookmarkEnd w:id="116"/>
      <w:r w:rsidR="00DC3018" w:rsidRPr="005D6102">
        <w:tab/>
      </w:r>
    </w:p>
    <w:p w14:paraId="2B080595" w14:textId="4FF7320E" w:rsidR="00AC55CE" w:rsidRPr="005D6102" w:rsidRDefault="00AC55CE" w:rsidP="0064593E">
      <w:pPr>
        <w:pStyle w:val="Heading3"/>
      </w:pPr>
      <w:r w:rsidRPr="005D6102">
        <w:t>Australia’s production has been in decline, but has potential to grow again</w:t>
      </w:r>
    </w:p>
    <w:p w14:paraId="169612AD" w14:textId="6F89C56E" w:rsidR="00F158D1" w:rsidRPr="005D6102" w:rsidRDefault="00336623" w:rsidP="00CD083A">
      <w:pPr>
        <w:pStyle w:val="BodyText"/>
      </w:pPr>
      <w:r w:rsidRPr="005D6102">
        <w:t xml:space="preserve">Australia has large </w:t>
      </w:r>
      <w:r w:rsidR="00FB0580" w:rsidRPr="005D6102">
        <w:t>economic demonstrated</w:t>
      </w:r>
      <w:r w:rsidRPr="005D6102">
        <w:t xml:space="preserve"> reserves of antinomy,</w:t>
      </w:r>
      <w:r w:rsidR="009960E2" w:rsidRPr="005D6102">
        <w:t xml:space="preserve"> </w:t>
      </w:r>
      <w:r w:rsidRPr="005D6102">
        <w:t>but only one currently-operating mine at C</w:t>
      </w:r>
      <w:r w:rsidR="00F158D1" w:rsidRPr="005D6102">
        <w:t>o</w:t>
      </w:r>
      <w:r w:rsidRPr="005D6102">
        <w:t>sterfield in Victoria</w:t>
      </w:r>
      <w:r w:rsidR="00400DAC" w:rsidRPr="005D6102">
        <w:t xml:space="preserve">. </w:t>
      </w:r>
      <w:r w:rsidR="00906514" w:rsidRPr="005D6102">
        <w:t>Mandalay Resources</w:t>
      </w:r>
      <w:r w:rsidR="00400DAC" w:rsidRPr="005D6102">
        <w:t>,</w:t>
      </w:r>
      <w:r w:rsidR="009960E2" w:rsidRPr="005D6102">
        <w:t xml:space="preserve"> which </w:t>
      </w:r>
      <w:r w:rsidR="00400DAC" w:rsidRPr="005D6102">
        <w:t>owns the mine, extracts</w:t>
      </w:r>
      <w:r w:rsidR="009960E2" w:rsidRPr="005D6102">
        <w:t xml:space="preserve"> </w:t>
      </w:r>
      <w:r w:rsidR="00F77D85" w:rsidRPr="005D6102">
        <w:t>both</w:t>
      </w:r>
      <w:r w:rsidR="009960E2" w:rsidRPr="005D6102">
        <w:t xml:space="preserve"> </w:t>
      </w:r>
      <w:r w:rsidR="00F158D1" w:rsidRPr="005D6102">
        <w:t xml:space="preserve">gold and antimony. </w:t>
      </w:r>
      <w:r w:rsidR="001F691C" w:rsidRPr="005D6102">
        <w:t>Low antimony prices have seen a</w:t>
      </w:r>
      <w:r w:rsidR="00F158D1" w:rsidRPr="005D6102">
        <w:t xml:space="preserve"> similarly-sized producer, Hillgrove in New South Wales</w:t>
      </w:r>
      <w:r w:rsidR="00906514" w:rsidRPr="005D6102">
        <w:t xml:space="preserve"> (Hillgrove Mines)</w:t>
      </w:r>
      <w:r w:rsidR="00F158D1" w:rsidRPr="005D6102">
        <w:t>, held in a state of ‘care and maintenance’ since 2016.</w:t>
      </w:r>
      <w:r w:rsidR="00B36D67" w:rsidRPr="005D6102">
        <w:t xml:space="preserve"> Australian </w:t>
      </w:r>
      <w:r w:rsidR="004D3D1A" w:rsidRPr="005D6102">
        <w:t>antimony</w:t>
      </w:r>
      <w:r w:rsidR="00B36D67" w:rsidRPr="005D6102">
        <w:t xml:space="preserve"> ore </w:t>
      </w:r>
      <w:r w:rsidR="002B1E7A" w:rsidRPr="005D6102">
        <w:t xml:space="preserve">has </w:t>
      </w:r>
      <w:r w:rsidR="00400DAC" w:rsidRPr="005D6102">
        <w:t>relatively strong</w:t>
      </w:r>
      <w:r w:rsidR="002B1E7A" w:rsidRPr="005D6102">
        <w:t xml:space="preserve"> </w:t>
      </w:r>
      <w:r w:rsidR="00F77D85" w:rsidRPr="005D6102">
        <w:t>market value</w:t>
      </w:r>
      <w:r w:rsidR="001F691C" w:rsidRPr="005D6102">
        <w:t>,</w:t>
      </w:r>
      <w:r w:rsidR="00B36D67" w:rsidRPr="005D6102">
        <w:t xml:space="preserve"> due to </w:t>
      </w:r>
      <w:r w:rsidR="001F691C" w:rsidRPr="005D6102">
        <w:t>both</w:t>
      </w:r>
      <w:r w:rsidR="00B36D67" w:rsidRPr="005D6102">
        <w:t xml:space="preserve"> </w:t>
      </w:r>
      <w:r w:rsidR="00400DAC" w:rsidRPr="005D6102">
        <w:t>high</w:t>
      </w:r>
      <w:r w:rsidR="00B36D67" w:rsidRPr="005D6102">
        <w:t xml:space="preserve"> </w:t>
      </w:r>
      <w:r w:rsidR="001F691C" w:rsidRPr="005D6102">
        <w:t>ore grades</w:t>
      </w:r>
      <w:r w:rsidR="00FB0580" w:rsidRPr="005D6102">
        <w:t xml:space="preserve"> and the presence of gold</w:t>
      </w:r>
      <w:r w:rsidR="00060B68" w:rsidRPr="005D6102">
        <w:t>.</w:t>
      </w:r>
    </w:p>
    <w:p w14:paraId="36B4113F" w14:textId="2D93B347" w:rsidR="00BC2241" w:rsidRDefault="00BC2241" w:rsidP="00CD083A">
      <w:pPr>
        <w:pStyle w:val="BodyText"/>
      </w:pPr>
      <w:r w:rsidRPr="005D6102">
        <w:t xml:space="preserve">Another source of Australian antimony is the recycling of lead acid batteries, such as car batteries. Three facilities perform this: Enirgi in Wagga Wagga NSW; HydroMet in Laverton Victoria; and HydroMet in Unanderra NSW. This </w:t>
      </w:r>
      <w:r w:rsidR="001F691C" w:rsidRPr="005D6102">
        <w:t xml:space="preserve">recycling </w:t>
      </w:r>
      <w:r w:rsidRPr="005D6102">
        <w:t>process produce</w:t>
      </w:r>
      <w:r w:rsidR="00B36D67" w:rsidRPr="005D6102">
        <w:t>s</w:t>
      </w:r>
      <w:r w:rsidRPr="005D6102">
        <w:t xml:space="preserve"> antimon</w:t>
      </w:r>
      <w:r w:rsidR="001F691C" w:rsidRPr="005D6102">
        <w:t>i</w:t>
      </w:r>
      <w:r w:rsidRPr="005D6102">
        <w:t>al lead</w:t>
      </w:r>
      <w:r w:rsidR="001F691C" w:rsidRPr="005D6102">
        <w:t>,</w:t>
      </w:r>
      <w:r w:rsidR="00F77D85" w:rsidRPr="005D6102">
        <w:t xml:space="preserve"> and the outlook for Australian output of this type is expected to be stable since recycling rates are already high</w:t>
      </w:r>
      <w:r w:rsidRPr="005D6102">
        <w:t>.</w:t>
      </w:r>
    </w:p>
    <w:p w14:paraId="6CF88456" w14:textId="37E21C48" w:rsidR="00587AD8" w:rsidRPr="005D6102" w:rsidRDefault="00587AD8" w:rsidP="00587AD8">
      <w:pPr>
        <w:pStyle w:val="Caption"/>
      </w:pPr>
      <w:r w:rsidRPr="005D6102">
        <w:lastRenderedPageBreak/>
        <w:t xml:space="preserve">Table </w:t>
      </w:r>
      <w:r>
        <w:t>5</w:t>
      </w:r>
      <w:r w:rsidRPr="005D6102">
        <w:t>.</w:t>
      </w:r>
      <w:r w:rsidRPr="005D6102">
        <w:rPr>
          <w:noProof/>
        </w:rPr>
        <w:fldChar w:fldCharType="begin"/>
      </w:r>
      <w:r w:rsidRPr="005D6102">
        <w:rPr>
          <w:noProof/>
        </w:rPr>
        <w:instrText xml:space="preserve"> SEQ Table \* ARABIC \s 1 </w:instrText>
      </w:r>
      <w:r w:rsidRPr="005D6102">
        <w:rPr>
          <w:noProof/>
        </w:rPr>
        <w:fldChar w:fldCharType="separate"/>
      </w:r>
      <w:r w:rsidR="00A7507E">
        <w:rPr>
          <w:noProof/>
        </w:rPr>
        <w:t>1</w:t>
      </w:r>
      <w:r w:rsidRPr="005D6102">
        <w:rPr>
          <w:noProof/>
        </w:rPr>
        <w:fldChar w:fldCharType="end"/>
      </w:r>
      <w:r w:rsidRPr="005D6102">
        <w:t xml:space="preserve">: Australia’s </w:t>
      </w:r>
      <w:r>
        <w:t xml:space="preserve">antimony </w:t>
      </w:r>
      <w:r w:rsidRPr="005D6102">
        <w:t>resources and production</w:t>
      </w:r>
    </w:p>
    <w:tbl>
      <w:tblPr>
        <w:tblStyle w:val="OCETable"/>
        <w:tblW w:w="0" w:type="auto"/>
        <w:tblLook w:val="04A0" w:firstRow="1" w:lastRow="0" w:firstColumn="1" w:lastColumn="0" w:noHBand="0" w:noVBand="1"/>
        <w:tblCaption w:val="Table 5.1: Australia’s antimony resources and production"/>
        <w:tblDescription w:val="This table presents the geological potential of Australia's antimony resources, as well as its share of current production."/>
      </w:tblPr>
      <w:tblGrid>
        <w:gridCol w:w="1342"/>
        <w:gridCol w:w="1494"/>
        <w:gridCol w:w="1270"/>
        <w:gridCol w:w="1007"/>
        <w:gridCol w:w="1348"/>
        <w:gridCol w:w="1301"/>
        <w:gridCol w:w="1144"/>
      </w:tblGrid>
      <w:tr w:rsidR="008B6083" w:rsidRPr="005D6102" w14:paraId="73273E88" w14:textId="77777777" w:rsidTr="0064593E">
        <w:trPr>
          <w:cnfStyle w:val="100000000000" w:firstRow="1" w:lastRow="0" w:firstColumn="0" w:lastColumn="0" w:oddVBand="0" w:evenVBand="0" w:oddHBand="0" w:evenHBand="0" w:firstRowFirstColumn="0" w:firstRowLastColumn="0" w:lastRowFirstColumn="0" w:lastRowLastColumn="0"/>
          <w:tblHeader/>
        </w:trPr>
        <w:tc>
          <w:tcPr>
            <w:tcW w:w="5113" w:type="dxa"/>
            <w:gridSpan w:val="4"/>
            <w:tcBorders>
              <w:right w:val="single" w:sz="4" w:space="0" w:color="FFFFFF" w:themeColor="background1"/>
            </w:tcBorders>
            <w:vAlign w:val="bottom"/>
          </w:tcPr>
          <w:p w14:paraId="0D79D377" w14:textId="21055278" w:rsidR="008B6083" w:rsidRPr="005D6102" w:rsidRDefault="00F74A98" w:rsidP="00BF4AD0">
            <w:pPr>
              <w:rPr>
                <w:b/>
              </w:rPr>
            </w:pPr>
            <w:r w:rsidRPr="00587AD8">
              <w:rPr>
                <w:rFonts w:eastAsia="Times New Roman" w:cs="Arial"/>
                <w:color w:val="005CAF"/>
                <w:szCs w:val="20"/>
                <w:lang w:val="en"/>
              </w:rPr>
              <w:t xml:space="preserve">Table </w:t>
            </w:r>
            <w:r w:rsidR="0038180A" w:rsidRPr="00587AD8">
              <w:rPr>
                <w:rFonts w:eastAsia="Times New Roman" w:cs="Arial"/>
                <w:noProof/>
                <w:color w:val="005CAF"/>
                <w:szCs w:val="20"/>
                <w:lang w:val="en"/>
              </w:rPr>
              <w:t>5</w:t>
            </w:r>
            <w:r w:rsidRPr="00587AD8">
              <w:rPr>
                <w:rFonts w:eastAsia="Times New Roman" w:cs="Arial"/>
                <w:color w:val="005CAF"/>
                <w:szCs w:val="20"/>
                <w:lang w:val="en"/>
              </w:rPr>
              <w:t>.1: Australia’s antimony resources and production</w:t>
            </w:r>
            <w:r w:rsidR="008B6083" w:rsidRPr="005D6102">
              <w:rPr>
                <w:b/>
              </w:rPr>
              <w:t>Australia’s resources</w:t>
            </w:r>
          </w:p>
        </w:tc>
        <w:tc>
          <w:tcPr>
            <w:tcW w:w="3793" w:type="dxa"/>
            <w:gridSpan w:val="3"/>
            <w:tcBorders>
              <w:left w:val="single" w:sz="4" w:space="0" w:color="FFFFFF" w:themeColor="background1"/>
            </w:tcBorders>
            <w:vAlign w:val="bottom"/>
          </w:tcPr>
          <w:p w14:paraId="15B245AA" w14:textId="77777777" w:rsidR="008B6083" w:rsidRPr="005D6102" w:rsidRDefault="008B6083" w:rsidP="00BF4AD0">
            <w:r w:rsidRPr="005D6102">
              <w:rPr>
                <w:b/>
              </w:rPr>
              <w:t>Australia’s production</w:t>
            </w:r>
          </w:p>
        </w:tc>
      </w:tr>
      <w:tr w:rsidR="008B6083" w:rsidRPr="005D6102" w14:paraId="34B77F9B" w14:textId="77777777" w:rsidTr="00BF4AD0">
        <w:trPr>
          <w:cnfStyle w:val="000000100000" w:firstRow="0" w:lastRow="0" w:firstColumn="0" w:lastColumn="0" w:oddVBand="0" w:evenVBand="0" w:oddHBand="1" w:evenHBand="0" w:firstRowFirstColumn="0" w:firstRowLastColumn="0" w:lastRowFirstColumn="0" w:lastRowLastColumn="0"/>
        </w:trPr>
        <w:tc>
          <w:tcPr>
            <w:tcW w:w="1342" w:type="dxa"/>
            <w:shd w:val="clear" w:color="auto" w:fill="005CAF"/>
          </w:tcPr>
          <w:p w14:paraId="4396D4F4" w14:textId="77777777" w:rsidR="008B6083" w:rsidRPr="005D6102" w:rsidRDefault="008B6083" w:rsidP="00BF4AD0">
            <w:pPr>
              <w:rPr>
                <w:color w:val="FFFFFF" w:themeColor="background1"/>
                <w:sz w:val="28"/>
                <w:szCs w:val="28"/>
              </w:rPr>
            </w:pPr>
            <w:r w:rsidRPr="005D6102">
              <w:rPr>
                <w:color w:val="FFFFFF" w:themeColor="background1"/>
              </w:rPr>
              <w:t>Geological potential</w:t>
            </w:r>
          </w:p>
        </w:tc>
        <w:tc>
          <w:tcPr>
            <w:tcW w:w="1494" w:type="dxa"/>
            <w:shd w:val="clear" w:color="auto" w:fill="005CAF"/>
          </w:tcPr>
          <w:p w14:paraId="0C745DB3" w14:textId="77777777" w:rsidR="008B6083" w:rsidRPr="005D6102" w:rsidRDefault="008B6083" w:rsidP="00BF4AD0">
            <w:pPr>
              <w:rPr>
                <w:color w:val="FFFFFF" w:themeColor="background1"/>
                <w:sz w:val="28"/>
                <w:szCs w:val="28"/>
              </w:rPr>
            </w:pPr>
            <w:r w:rsidRPr="005D6102">
              <w:rPr>
                <w:color w:val="FFFFFF" w:themeColor="background1"/>
              </w:rPr>
              <w:t xml:space="preserve">Economic Demonstrated Resource </w:t>
            </w:r>
          </w:p>
        </w:tc>
        <w:tc>
          <w:tcPr>
            <w:tcW w:w="1270" w:type="dxa"/>
            <w:shd w:val="clear" w:color="auto" w:fill="005CAF"/>
          </w:tcPr>
          <w:p w14:paraId="673B5353" w14:textId="77777777" w:rsidR="008B6083" w:rsidRPr="005D6102" w:rsidRDefault="008B6083" w:rsidP="00BF4AD0">
            <w:pPr>
              <w:rPr>
                <w:color w:val="FFFFFF" w:themeColor="background1"/>
                <w:sz w:val="28"/>
                <w:szCs w:val="28"/>
              </w:rPr>
            </w:pPr>
            <w:r w:rsidRPr="005D6102">
              <w:rPr>
                <w:color w:val="FFFFFF" w:themeColor="background1"/>
              </w:rPr>
              <w:t>Share world resources</w:t>
            </w:r>
          </w:p>
        </w:tc>
        <w:tc>
          <w:tcPr>
            <w:tcW w:w="1007" w:type="dxa"/>
            <w:tcBorders>
              <w:right w:val="single" w:sz="4" w:space="0" w:color="FFFFFF" w:themeColor="background1"/>
            </w:tcBorders>
            <w:shd w:val="clear" w:color="auto" w:fill="005CAF"/>
          </w:tcPr>
          <w:p w14:paraId="69F872F0" w14:textId="77777777" w:rsidR="008B6083" w:rsidRPr="005D6102" w:rsidRDefault="008B6083" w:rsidP="00BF4AD0">
            <w:pPr>
              <w:rPr>
                <w:color w:val="FFFFFF" w:themeColor="background1"/>
              </w:rPr>
            </w:pPr>
            <w:r w:rsidRPr="005D6102">
              <w:rPr>
                <w:color w:val="FFFFFF" w:themeColor="background1"/>
              </w:rPr>
              <w:t>World ranking resources</w:t>
            </w:r>
          </w:p>
        </w:tc>
        <w:tc>
          <w:tcPr>
            <w:tcW w:w="1348" w:type="dxa"/>
            <w:tcBorders>
              <w:left w:val="single" w:sz="4" w:space="0" w:color="FFFFFF" w:themeColor="background1"/>
            </w:tcBorders>
            <w:shd w:val="clear" w:color="auto" w:fill="005CAF"/>
          </w:tcPr>
          <w:p w14:paraId="7B5E4E94" w14:textId="77777777" w:rsidR="008B6083" w:rsidRPr="005D6102" w:rsidRDefault="008B6083" w:rsidP="00BF4AD0">
            <w:pPr>
              <w:rPr>
                <w:b/>
                <w:color w:val="FFFFFF"/>
              </w:rPr>
            </w:pPr>
            <w:r w:rsidRPr="005D6102">
              <w:rPr>
                <w:b/>
                <w:color w:val="FFFFFF"/>
              </w:rPr>
              <w:t>2018 production</w:t>
            </w:r>
          </w:p>
        </w:tc>
        <w:tc>
          <w:tcPr>
            <w:tcW w:w="1301" w:type="dxa"/>
            <w:shd w:val="clear" w:color="auto" w:fill="005CAF"/>
          </w:tcPr>
          <w:p w14:paraId="6BF98B75" w14:textId="77777777" w:rsidR="008B6083" w:rsidRPr="005D6102" w:rsidRDefault="008B6083" w:rsidP="00BF4AD0">
            <w:pPr>
              <w:rPr>
                <w:color w:val="FFFFFF" w:themeColor="background1"/>
                <w:sz w:val="28"/>
                <w:szCs w:val="28"/>
              </w:rPr>
            </w:pPr>
            <w:r w:rsidRPr="005D6102">
              <w:rPr>
                <w:color w:val="FFFFFF" w:themeColor="background1"/>
              </w:rPr>
              <w:t xml:space="preserve">Share of world production </w:t>
            </w:r>
          </w:p>
        </w:tc>
        <w:tc>
          <w:tcPr>
            <w:tcW w:w="1144" w:type="dxa"/>
            <w:shd w:val="clear" w:color="auto" w:fill="005CAF"/>
          </w:tcPr>
          <w:p w14:paraId="5F6805E8" w14:textId="77777777" w:rsidR="008B6083" w:rsidRPr="005D6102" w:rsidRDefault="008B6083" w:rsidP="00BF4AD0">
            <w:pPr>
              <w:rPr>
                <w:color w:val="FFFFFF" w:themeColor="background1"/>
              </w:rPr>
            </w:pPr>
            <w:r w:rsidRPr="005D6102">
              <w:rPr>
                <w:color w:val="FFFFFF" w:themeColor="background1"/>
              </w:rPr>
              <w:t>World ranking production</w:t>
            </w:r>
          </w:p>
        </w:tc>
      </w:tr>
      <w:tr w:rsidR="008B6083" w:rsidRPr="005D6102" w14:paraId="7CD04496" w14:textId="77777777" w:rsidTr="00BF4AD0">
        <w:trPr>
          <w:cnfStyle w:val="000000010000" w:firstRow="0" w:lastRow="0" w:firstColumn="0" w:lastColumn="0" w:oddVBand="0" w:evenVBand="0" w:oddHBand="0" w:evenHBand="1" w:firstRowFirstColumn="0" w:firstRowLastColumn="0" w:lastRowFirstColumn="0" w:lastRowLastColumn="0"/>
        </w:trPr>
        <w:tc>
          <w:tcPr>
            <w:tcW w:w="1342" w:type="dxa"/>
          </w:tcPr>
          <w:p w14:paraId="7EA72D7A" w14:textId="77777777" w:rsidR="008B6083" w:rsidRPr="005D6102" w:rsidRDefault="008B6083" w:rsidP="00BF4AD0">
            <w:pPr>
              <w:rPr>
                <w:sz w:val="28"/>
                <w:szCs w:val="28"/>
              </w:rPr>
            </w:pPr>
            <w:r w:rsidRPr="005D6102">
              <w:t>Moderate</w:t>
            </w:r>
          </w:p>
        </w:tc>
        <w:tc>
          <w:tcPr>
            <w:tcW w:w="1494" w:type="dxa"/>
          </w:tcPr>
          <w:p w14:paraId="6E88AF28" w14:textId="296412FC" w:rsidR="008B6083" w:rsidRPr="005D6102" w:rsidRDefault="008B6083" w:rsidP="00BF4AD0">
            <w:pPr>
              <w:rPr>
                <w:sz w:val="28"/>
                <w:szCs w:val="28"/>
              </w:rPr>
            </w:pPr>
            <w:r w:rsidRPr="005D6102">
              <w:t>138kt</w:t>
            </w:r>
          </w:p>
        </w:tc>
        <w:tc>
          <w:tcPr>
            <w:tcW w:w="1270" w:type="dxa"/>
          </w:tcPr>
          <w:p w14:paraId="0CB48BE5" w14:textId="79A467AC" w:rsidR="008B6083" w:rsidRPr="005D6102" w:rsidRDefault="00BF4AD0" w:rsidP="00BF4AD0">
            <w:pPr>
              <w:rPr>
                <w:sz w:val="28"/>
                <w:szCs w:val="28"/>
              </w:rPr>
            </w:pPr>
            <w:r w:rsidRPr="005D6102">
              <w:t>9 per cent</w:t>
            </w:r>
          </w:p>
        </w:tc>
        <w:tc>
          <w:tcPr>
            <w:tcW w:w="1007" w:type="dxa"/>
          </w:tcPr>
          <w:p w14:paraId="05677523" w14:textId="19026F7B" w:rsidR="008B6083" w:rsidRPr="005D6102" w:rsidRDefault="00BF4AD0" w:rsidP="00BF4AD0">
            <w:r w:rsidRPr="005D6102">
              <w:t>4th</w:t>
            </w:r>
          </w:p>
        </w:tc>
        <w:tc>
          <w:tcPr>
            <w:tcW w:w="1348" w:type="dxa"/>
          </w:tcPr>
          <w:p w14:paraId="6D0561E1" w14:textId="23ABF435" w:rsidR="008B6083" w:rsidRPr="005D6102" w:rsidRDefault="00BF4AD0" w:rsidP="00BF4AD0">
            <w:pPr>
              <w:rPr>
                <w:sz w:val="28"/>
                <w:szCs w:val="28"/>
              </w:rPr>
            </w:pPr>
            <w:r w:rsidRPr="005D6102">
              <w:t>3.4kt</w:t>
            </w:r>
          </w:p>
        </w:tc>
        <w:tc>
          <w:tcPr>
            <w:tcW w:w="1301" w:type="dxa"/>
          </w:tcPr>
          <w:p w14:paraId="0288EE5A" w14:textId="10136280" w:rsidR="008B6083" w:rsidRPr="005D6102" w:rsidRDefault="00BF4AD0" w:rsidP="00BF4AD0">
            <w:pPr>
              <w:rPr>
                <w:sz w:val="28"/>
                <w:szCs w:val="28"/>
              </w:rPr>
            </w:pPr>
            <w:r w:rsidRPr="005D6102">
              <w:t>&lt;1%</w:t>
            </w:r>
          </w:p>
        </w:tc>
        <w:tc>
          <w:tcPr>
            <w:tcW w:w="1144" w:type="dxa"/>
          </w:tcPr>
          <w:p w14:paraId="5A2C9EAD" w14:textId="77777777" w:rsidR="008B6083" w:rsidRPr="005D6102" w:rsidRDefault="008B6083" w:rsidP="00BF4AD0">
            <w:r w:rsidRPr="005D6102">
              <w:t>Minor</w:t>
            </w:r>
          </w:p>
        </w:tc>
      </w:tr>
    </w:tbl>
    <w:p w14:paraId="681F5E68" w14:textId="39B26405" w:rsidR="00945119" w:rsidRDefault="00F74A98" w:rsidP="00DB1B75">
      <w:pPr>
        <w:pStyle w:val="BodyText"/>
      </w:pPr>
      <w:bookmarkStart w:id="117" w:name="_Toc14958187"/>
      <w:r w:rsidRPr="005D6102">
        <w:rPr>
          <w:color w:val="005CAF"/>
          <w:sz w:val="16"/>
          <w:szCs w:val="16"/>
        </w:rPr>
        <w:t>Source:</w:t>
      </w:r>
      <w:r w:rsidR="0038180A" w:rsidRPr="0038180A">
        <w:t xml:space="preserve"> </w:t>
      </w:r>
      <w:r w:rsidR="0038180A" w:rsidRPr="0038180A">
        <w:rPr>
          <w:color w:val="005CAF"/>
          <w:sz w:val="16"/>
          <w:szCs w:val="16"/>
        </w:rPr>
        <w:t>Roskill (2018), Australian Trade and Investment Commission (2019) Critical Minerals Prospectus, Geoscience Australia (2019) Critical Minerals in Australia</w:t>
      </w:r>
      <w:r w:rsidRPr="005D6102">
        <w:t xml:space="preserve"> </w:t>
      </w:r>
    </w:p>
    <w:p w14:paraId="6029B7B0" w14:textId="77777777" w:rsidR="00945119" w:rsidRDefault="00945119">
      <w:pPr>
        <w:spacing w:after="200" w:line="276" w:lineRule="auto"/>
        <w:rPr>
          <w:color w:val="373737"/>
          <w:sz w:val="20"/>
        </w:rPr>
      </w:pPr>
      <w:r>
        <w:br w:type="page"/>
      </w:r>
    </w:p>
    <w:p w14:paraId="6B9F0581" w14:textId="77777777" w:rsidR="00F034A9" w:rsidRPr="005D6102" w:rsidRDefault="00F034A9" w:rsidP="00DB1B75">
      <w:pPr>
        <w:pStyle w:val="BodyText"/>
        <w:rPr>
          <w:rFonts w:asciiTheme="majorHAnsi" w:eastAsia="Times New Roman" w:hAnsiTheme="majorHAnsi" w:cs="Arial"/>
          <w:b/>
          <w:bCs/>
          <w:color w:val="005CAF"/>
          <w:kern w:val="32"/>
          <w:sz w:val="32"/>
          <w:szCs w:val="32"/>
        </w:rPr>
      </w:pPr>
    </w:p>
    <w:p w14:paraId="2D3BEA78" w14:textId="04BF46C3" w:rsidR="00593584" w:rsidRPr="005D6102" w:rsidRDefault="009B2F60" w:rsidP="009B2F60">
      <w:pPr>
        <w:pStyle w:val="Heading1"/>
      </w:pPr>
      <w:bookmarkStart w:id="118" w:name="_Toc17803360"/>
      <w:bookmarkStart w:id="119" w:name="_Toc16143289"/>
      <w:r w:rsidRPr="005D6102">
        <w:rPr>
          <w:noProof/>
          <w:sz w:val="28"/>
          <w:szCs w:val="28"/>
          <w:lang w:eastAsia="en-AU"/>
        </w:rPr>
        <w:drawing>
          <wp:anchor distT="0" distB="0" distL="114300" distR="114300" simplePos="0" relativeHeight="251659264" behindDoc="0" locked="0" layoutInCell="1" allowOverlap="1" wp14:anchorId="187A8214" wp14:editId="60D6F2B8">
            <wp:simplePos x="0" y="0"/>
            <wp:positionH relativeFrom="column">
              <wp:posOffset>4200996</wp:posOffset>
            </wp:positionH>
            <wp:positionV relativeFrom="paragraph">
              <wp:posOffset>-429370</wp:posOffset>
            </wp:positionV>
            <wp:extent cx="1600698" cy="1067132"/>
            <wp:effectExtent l="0" t="0" r="0" b="0"/>
            <wp:wrapNone/>
            <wp:docPr id="12" name="Picture 12" descr="Image shows the mineral magnes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Magnesium+(3).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600698" cy="1067132"/>
                    </a:xfrm>
                    <a:prstGeom prst="rect">
                      <a:avLst/>
                    </a:prstGeom>
                  </pic:spPr>
                </pic:pic>
              </a:graphicData>
            </a:graphic>
            <wp14:sizeRelH relativeFrom="page">
              <wp14:pctWidth>0</wp14:pctWidth>
            </wp14:sizeRelH>
            <wp14:sizeRelV relativeFrom="page">
              <wp14:pctHeight>0</wp14:pctHeight>
            </wp14:sizeRelV>
          </wp:anchor>
        </w:drawing>
      </w:r>
      <w:r w:rsidR="00593584" w:rsidRPr="005D6102">
        <w:t>Magnesium</w:t>
      </w:r>
      <w:bookmarkEnd w:id="117"/>
      <w:bookmarkEnd w:id="118"/>
      <w:bookmarkEnd w:id="119"/>
    </w:p>
    <w:p w14:paraId="4CE06907" w14:textId="6DFE61C8" w:rsidR="00B844BD" w:rsidRPr="005D6102" w:rsidRDefault="009B2F60" w:rsidP="00977B45">
      <w:r>
        <w:rPr>
          <w:noProof/>
          <w:lang w:eastAsia="en-AU"/>
        </w:rPr>
        <w:drawing>
          <wp:inline distT="0" distB="0" distL="0" distR="0" wp14:anchorId="52FA28BF" wp14:editId="66295A60">
            <wp:extent cx="5750244" cy="4214191"/>
            <wp:effectExtent l="0" t="0" r="3175" b="0"/>
            <wp:docPr id="23" name="Picture 23" descr="This infographic includes information on the production and use of magnesium. It shows that Australia holds the 5th largest share and is the 4th largest producer. Magnesium is used for products that benefit from being lightweight, including car seats, laptops, and luggage. It is also used for refractories." title="Magnesium info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Magnesium.jpg"/>
                    <pic:cNvPicPr/>
                  </pic:nvPicPr>
                  <pic:blipFill rotWithShape="1">
                    <a:blip r:embed="rId42" cstate="print">
                      <a:extLst>
                        <a:ext uri="{28A0092B-C50C-407E-A947-70E740481C1C}">
                          <a14:useLocalDpi xmlns:a14="http://schemas.microsoft.com/office/drawing/2010/main" val="0"/>
                        </a:ext>
                      </a:extLst>
                    </a:blip>
                    <a:srcRect r="7767"/>
                    <a:stretch/>
                  </pic:blipFill>
                  <pic:spPr bwMode="auto">
                    <a:xfrm>
                      <a:off x="0" y="0"/>
                      <a:ext cx="5750879" cy="4214656"/>
                    </a:xfrm>
                    <a:prstGeom prst="rect">
                      <a:avLst/>
                    </a:prstGeom>
                    <a:ln>
                      <a:noFill/>
                    </a:ln>
                    <a:extLst>
                      <a:ext uri="{53640926-AAD7-44D8-BBD7-CCE9431645EC}">
                        <a14:shadowObscured xmlns:a14="http://schemas.microsoft.com/office/drawing/2010/main"/>
                      </a:ext>
                    </a:extLst>
                  </pic:spPr>
                </pic:pic>
              </a:graphicData>
            </a:graphic>
          </wp:inline>
        </w:drawing>
      </w:r>
    </w:p>
    <w:p w14:paraId="2933E5CB" w14:textId="040CB0DB" w:rsidR="00977B45" w:rsidRPr="005D6102" w:rsidRDefault="00977B45" w:rsidP="009B2F60">
      <w:pPr>
        <w:pStyle w:val="Heading2"/>
        <w:rPr>
          <w:sz w:val="28"/>
        </w:rPr>
      </w:pPr>
      <w:bookmarkStart w:id="120" w:name="_Toc14958188"/>
      <w:bookmarkStart w:id="121" w:name="_Toc15388914"/>
      <w:bookmarkStart w:id="122" w:name="_Toc16143290"/>
      <w:bookmarkStart w:id="123" w:name="_Toc17803361"/>
      <w:r w:rsidRPr="005D6102">
        <w:t xml:space="preserve">Key </w:t>
      </w:r>
      <w:bookmarkEnd w:id="120"/>
      <w:r w:rsidR="00D84F6A" w:rsidRPr="005D6102">
        <w:t>properties</w:t>
      </w:r>
      <w:r w:rsidR="00A05E17" w:rsidRPr="005D6102">
        <w:t xml:space="preserve"> and uses</w:t>
      </w:r>
      <w:bookmarkEnd w:id="121"/>
      <w:bookmarkEnd w:id="122"/>
      <w:bookmarkEnd w:id="123"/>
    </w:p>
    <w:p w14:paraId="60EF4B66" w14:textId="4DDC2264" w:rsidR="001D4CD0" w:rsidRPr="005D6102" w:rsidRDefault="00977B45" w:rsidP="002B102A">
      <w:pPr>
        <w:rPr>
          <w:sz w:val="20"/>
          <w:szCs w:val="20"/>
        </w:rPr>
      </w:pPr>
      <w:r w:rsidRPr="005D6102">
        <w:rPr>
          <w:sz w:val="20"/>
          <w:szCs w:val="20"/>
        </w:rPr>
        <w:t>Magnesium is a shiny-grey, light metal</w:t>
      </w:r>
      <w:r w:rsidR="00B974C7" w:rsidRPr="005D6102">
        <w:rPr>
          <w:sz w:val="20"/>
          <w:szCs w:val="20"/>
        </w:rPr>
        <w:t xml:space="preserve"> produced from precursors including magnesite.</w:t>
      </w:r>
    </w:p>
    <w:p w14:paraId="2DE0EF5A" w14:textId="76F556C0" w:rsidR="002B102A" w:rsidRPr="005D6102" w:rsidRDefault="004B5E46" w:rsidP="002B102A">
      <w:pPr>
        <w:rPr>
          <w:sz w:val="20"/>
          <w:szCs w:val="20"/>
        </w:rPr>
      </w:pPr>
      <w:r>
        <w:rPr>
          <w:sz w:val="20"/>
          <w:szCs w:val="20"/>
        </w:rPr>
        <w:t xml:space="preserve">Magnesium and its precursors have a range of industrial uses. </w:t>
      </w:r>
      <w:r w:rsidR="002B102A" w:rsidRPr="005D6102">
        <w:rPr>
          <w:sz w:val="20"/>
          <w:szCs w:val="20"/>
        </w:rPr>
        <w:t>Magnesia is used in large amounts for refractories, which are primarily used in the steel and cement industries. Steel production has risen by more than 2 per cent each year on average over the past five years, but technological improvements and efficiency gains have nonetheless led to steadily declines in demand for ref</w:t>
      </w:r>
      <w:r w:rsidR="00214714">
        <w:rPr>
          <w:sz w:val="20"/>
          <w:szCs w:val="20"/>
        </w:rPr>
        <w:t>r</w:t>
      </w:r>
      <w:r w:rsidR="002B102A" w:rsidRPr="005D6102">
        <w:rPr>
          <w:sz w:val="20"/>
          <w:szCs w:val="20"/>
        </w:rPr>
        <w:t>actor materials. Demand for magnesia and related products remains robust in agriculture and construction.</w:t>
      </w:r>
    </w:p>
    <w:p w14:paraId="2F230A2A" w14:textId="057E00B5" w:rsidR="00A45C92" w:rsidRPr="005D6102" w:rsidRDefault="00931CE7" w:rsidP="009B2F60">
      <w:pPr>
        <w:pStyle w:val="Heading2"/>
      </w:pPr>
      <w:bookmarkStart w:id="124" w:name="_Toc16143291"/>
      <w:bookmarkStart w:id="125" w:name="_Toc17803362"/>
      <w:r w:rsidRPr="005D6102">
        <w:t>Substitution</w:t>
      </w:r>
      <w:bookmarkEnd w:id="124"/>
      <w:bookmarkEnd w:id="125"/>
    </w:p>
    <w:p w14:paraId="6E49BA5B" w14:textId="34D43EC7" w:rsidR="00A45C92" w:rsidRPr="005D6102" w:rsidRDefault="00A45C92" w:rsidP="00A45C92">
      <w:pPr>
        <w:rPr>
          <w:sz w:val="20"/>
          <w:szCs w:val="20"/>
        </w:rPr>
      </w:pPr>
      <w:r w:rsidRPr="005D6102">
        <w:rPr>
          <w:sz w:val="20"/>
          <w:szCs w:val="20"/>
        </w:rPr>
        <w:t xml:space="preserve">Aluminium and zinc may substitute for magnesium in castings and wrought products, but the light weight of magnesium provides an advantage. </w:t>
      </w:r>
    </w:p>
    <w:p w14:paraId="7838B210" w14:textId="0EC48326" w:rsidR="00A45C92" w:rsidRPr="005D6102" w:rsidRDefault="00A05E17" w:rsidP="009B2F60">
      <w:pPr>
        <w:pStyle w:val="Heading2"/>
      </w:pPr>
      <w:bookmarkStart w:id="126" w:name="_Toc15388916"/>
      <w:bookmarkStart w:id="127" w:name="_Toc16143292"/>
      <w:bookmarkStart w:id="128" w:name="_Toc17803363"/>
      <w:r w:rsidRPr="005D6102">
        <w:t>World consumption</w:t>
      </w:r>
      <w:bookmarkEnd w:id="126"/>
      <w:bookmarkEnd w:id="127"/>
      <w:bookmarkEnd w:id="128"/>
    </w:p>
    <w:p w14:paraId="0D4D4F1E" w14:textId="7C3A215F" w:rsidR="000513E4" w:rsidRPr="005D6102" w:rsidRDefault="000513E4" w:rsidP="009B2F60">
      <w:pPr>
        <w:pStyle w:val="Heading3"/>
      </w:pPr>
      <w:r w:rsidRPr="005D6102">
        <w:t>Magnesium is increasingly important for industrial and chemical markets</w:t>
      </w:r>
    </w:p>
    <w:p w14:paraId="64B4A8FD" w14:textId="4E19CFEE" w:rsidR="00977B45" w:rsidRPr="005D6102" w:rsidRDefault="00360B0E" w:rsidP="00977B45">
      <w:pPr>
        <w:rPr>
          <w:sz w:val="20"/>
          <w:szCs w:val="20"/>
        </w:rPr>
      </w:pPr>
      <w:r w:rsidRPr="005D6102">
        <w:rPr>
          <w:sz w:val="20"/>
          <w:szCs w:val="20"/>
        </w:rPr>
        <w:t xml:space="preserve">Magnesium markets were worth more than </w:t>
      </w:r>
      <w:r w:rsidR="002F7ACC">
        <w:rPr>
          <w:sz w:val="20"/>
          <w:szCs w:val="20"/>
        </w:rPr>
        <w:t>US$</w:t>
      </w:r>
      <w:r w:rsidRPr="005D6102">
        <w:rPr>
          <w:sz w:val="20"/>
          <w:szCs w:val="20"/>
        </w:rPr>
        <w:t>7</w:t>
      </w:r>
      <w:r w:rsidR="001D4CD0" w:rsidRPr="005D6102">
        <w:rPr>
          <w:sz w:val="20"/>
          <w:szCs w:val="20"/>
        </w:rPr>
        <w:t>5</w:t>
      </w:r>
      <w:r w:rsidRPr="005D6102">
        <w:rPr>
          <w:sz w:val="20"/>
          <w:szCs w:val="20"/>
        </w:rPr>
        <w:t>0 million in 2018, with the top magnesium importers being:</w:t>
      </w:r>
    </w:p>
    <w:p w14:paraId="01C3DD23" w14:textId="77777777" w:rsidR="00977B45" w:rsidRPr="005D6102" w:rsidRDefault="00977B45" w:rsidP="00977B45">
      <w:pPr>
        <w:pStyle w:val="ListParagraph"/>
        <w:numPr>
          <w:ilvl w:val="0"/>
          <w:numId w:val="36"/>
        </w:numPr>
        <w:spacing w:after="160" w:line="259" w:lineRule="auto"/>
        <w:contextualSpacing/>
        <w:jc w:val="left"/>
        <w:rPr>
          <w:color w:val="auto"/>
        </w:rPr>
      </w:pPr>
      <w:r w:rsidRPr="005D6102">
        <w:rPr>
          <w:color w:val="auto"/>
        </w:rPr>
        <w:t>Germany (US$204 million)</w:t>
      </w:r>
    </w:p>
    <w:p w14:paraId="5207386B" w14:textId="00DCB159" w:rsidR="00977B45" w:rsidRPr="005D6102" w:rsidRDefault="00977B45" w:rsidP="00977B45">
      <w:pPr>
        <w:pStyle w:val="ListParagraph"/>
        <w:numPr>
          <w:ilvl w:val="0"/>
          <w:numId w:val="36"/>
        </w:numPr>
        <w:spacing w:after="160" w:line="259" w:lineRule="auto"/>
        <w:contextualSpacing/>
        <w:jc w:val="left"/>
        <w:rPr>
          <w:color w:val="auto"/>
        </w:rPr>
      </w:pPr>
      <w:r w:rsidRPr="005D6102">
        <w:rPr>
          <w:color w:val="auto"/>
        </w:rPr>
        <w:t>Canada (</w:t>
      </w:r>
      <w:r w:rsidR="002F7ACC">
        <w:rPr>
          <w:color w:val="auto"/>
        </w:rPr>
        <w:t>US$</w:t>
      </w:r>
      <w:r w:rsidRPr="005D6102">
        <w:rPr>
          <w:color w:val="auto"/>
        </w:rPr>
        <w:t>195 million)</w:t>
      </w:r>
    </w:p>
    <w:p w14:paraId="7A0C3D42" w14:textId="43F67931" w:rsidR="00977B45" w:rsidRPr="005D6102" w:rsidRDefault="00977B45" w:rsidP="00977B45">
      <w:pPr>
        <w:pStyle w:val="ListParagraph"/>
        <w:numPr>
          <w:ilvl w:val="0"/>
          <w:numId w:val="36"/>
        </w:numPr>
        <w:spacing w:after="160" w:line="259" w:lineRule="auto"/>
        <w:contextualSpacing/>
        <w:jc w:val="left"/>
        <w:rPr>
          <w:color w:val="auto"/>
        </w:rPr>
      </w:pPr>
      <w:r w:rsidRPr="005D6102">
        <w:rPr>
          <w:color w:val="auto"/>
        </w:rPr>
        <w:lastRenderedPageBreak/>
        <w:t>US (</w:t>
      </w:r>
      <w:r w:rsidR="002F7ACC">
        <w:rPr>
          <w:color w:val="auto"/>
        </w:rPr>
        <w:t>US$</w:t>
      </w:r>
      <w:r w:rsidRPr="005D6102">
        <w:rPr>
          <w:color w:val="auto"/>
        </w:rPr>
        <w:t>159 million)</w:t>
      </w:r>
    </w:p>
    <w:p w14:paraId="4296FC65" w14:textId="0B9B3341" w:rsidR="00977B45" w:rsidRPr="005D6102" w:rsidRDefault="00977B45" w:rsidP="00977B45">
      <w:pPr>
        <w:pStyle w:val="ListParagraph"/>
        <w:numPr>
          <w:ilvl w:val="0"/>
          <w:numId w:val="36"/>
        </w:numPr>
        <w:spacing w:after="160" w:line="259" w:lineRule="auto"/>
        <w:contextualSpacing/>
        <w:jc w:val="left"/>
        <w:rPr>
          <w:color w:val="auto"/>
        </w:rPr>
      </w:pPr>
      <w:r w:rsidRPr="005D6102">
        <w:rPr>
          <w:color w:val="auto"/>
        </w:rPr>
        <w:t>Japan (</w:t>
      </w:r>
      <w:r w:rsidR="002F7ACC">
        <w:rPr>
          <w:color w:val="auto"/>
        </w:rPr>
        <w:t>US$</w:t>
      </w:r>
      <w:r w:rsidRPr="005D6102">
        <w:rPr>
          <w:color w:val="auto"/>
        </w:rPr>
        <w:t>100 million)</w:t>
      </w:r>
    </w:p>
    <w:p w14:paraId="35D6A9F8" w14:textId="056E1CCF" w:rsidR="00977B45" w:rsidRPr="005D6102" w:rsidRDefault="00977B45" w:rsidP="00977B45">
      <w:pPr>
        <w:pStyle w:val="ListParagraph"/>
        <w:numPr>
          <w:ilvl w:val="0"/>
          <w:numId w:val="36"/>
        </w:numPr>
        <w:spacing w:after="160" w:line="259" w:lineRule="auto"/>
        <w:contextualSpacing/>
        <w:jc w:val="left"/>
        <w:rPr>
          <w:color w:val="auto"/>
        </w:rPr>
      </w:pPr>
      <w:r w:rsidRPr="005D6102">
        <w:rPr>
          <w:color w:val="auto"/>
        </w:rPr>
        <w:t>Republic of Korea (</w:t>
      </w:r>
      <w:r w:rsidR="002F7ACC">
        <w:rPr>
          <w:color w:val="auto"/>
        </w:rPr>
        <w:t>US$</w:t>
      </w:r>
      <w:r w:rsidRPr="005D6102">
        <w:rPr>
          <w:color w:val="auto"/>
        </w:rPr>
        <w:t>58 million)</w:t>
      </w:r>
    </w:p>
    <w:p w14:paraId="472AB1FF" w14:textId="6EECB16B" w:rsidR="00360B0E" w:rsidRPr="005D6102" w:rsidRDefault="00585B09" w:rsidP="003220CF">
      <w:pPr>
        <w:rPr>
          <w:sz w:val="20"/>
          <w:szCs w:val="20"/>
        </w:rPr>
      </w:pPr>
      <w:r>
        <w:rPr>
          <w:sz w:val="20"/>
          <w:szCs w:val="20"/>
        </w:rPr>
        <w:t xml:space="preserve">The US imports around half of its magnesium, making it relatively import reliant. More </w:t>
      </w:r>
      <w:r w:rsidR="00FA2A99">
        <w:rPr>
          <w:sz w:val="20"/>
          <w:szCs w:val="20"/>
        </w:rPr>
        <w:t>than</w:t>
      </w:r>
      <w:r>
        <w:rPr>
          <w:sz w:val="20"/>
          <w:szCs w:val="20"/>
        </w:rPr>
        <w:t xml:space="preserve"> half of magnesium used in the US is directed to</w:t>
      </w:r>
      <w:r w:rsidR="00360B0E" w:rsidRPr="005D6102">
        <w:rPr>
          <w:sz w:val="20"/>
          <w:szCs w:val="20"/>
        </w:rPr>
        <w:t xml:space="preserve"> agricultural, chemical, construction, environmental, and industrial applications. </w:t>
      </w:r>
      <w:r>
        <w:rPr>
          <w:sz w:val="20"/>
          <w:szCs w:val="20"/>
        </w:rPr>
        <w:t xml:space="preserve">A substantial amount is also </w:t>
      </w:r>
      <w:r w:rsidR="00360B0E" w:rsidRPr="005D6102">
        <w:rPr>
          <w:sz w:val="20"/>
          <w:szCs w:val="20"/>
        </w:rPr>
        <w:t xml:space="preserve">used for refractories in the form of dead-burned magnesia, fused magnesia, and olivine. </w:t>
      </w:r>
    </w:p>
    <w:p w14:paraId="22C60B13" w14:textId="49E44233" w:rsidR="002B102A" w:rsidRPr="005D6102" w:rsidRDefault="00734A89" w:rsidP="009B2F60">
      <w:pPr>
        <w:pStyle w:val="Heading2"/>
      </w:pPr>
      <w:bookmarkStart w:id="129" w:name="_Toc15388917"/>
      <w:bookmarkStart w:id="130" w:name="_Toc16143293"/>
      <w:bookmarkStart w:id="131" w:name="_Toc17803364"/>
      <w:bookmarkStart w:id="132" w:name="_Toc14958189"/>
      <w:r w:rsidRPr="005D6102">
        <w:t>World production</w:t>
      </w:r>
      <w:bookmarkEnd w:id="129"/>
      <w:bookmarkEnd w:id="130"/>
      <w:bookmarkEnd w:id="131"/>
    </w:p>
    <w:p w14:paraId="51A90089" w14:textId="7C229D40" w:rsidR="000513E4" w:rsidRPr="005D6102" w:rsidRDefault="000513E4" w:rsidP="009B2F60">
      <w:pPr>
        <w:pStyle w:val="Heading3"/>
      </w:pPr>
      <w:r w:rsidRPr="005D6102">
        <w:t>China dominates magnesium production, but the market is starting to diversify</w:t>
      </w:r>
    </w:p>
    <w:p w14:paraId="66205C0A" w14:textId="375EAD8B" w:rsidR="002B102A" w:rsidRPr="005D6102" w:rsidRDefault="002B102A" w:rsidP="002B102A">
      <w:pPr>
        <w:rPr>
          <w:sz w:val="20"/>
          <w:szCs w:val="20"/>
        </w:rPr>
      </w:pPr>
      <w:r w:rsidRPr="005D6102">
        <w:rPr>
          <w:sz w:val="20"/>
          <w:szCs w:val="20"/>
        </w:rPr>
        <w:t xml:space="preserve">At present, magnesium production is heavily dominated by China, which accounts for 86 per cent of all </w:t>
      </w:r>
      <w:r w:rsidR="005F2B48" w:rsidRPr="005D6102">
        <w:rPr>
          <w:sz w:val="20"/>
          <w:szCs w:val="20"/>
        </w:rPr>
        <w:t xml:space="preserve">refined </w:t>
      </w:r>
      <w:r w:rsidRPr="005D6102">
        <w:rPr>
          <w:sz w:val="20"/>
          <w:szCs w:val="20"/>
        </w:rPr>
        <w:t xml:space="preserve">output. Russia accounts for 5 per cent, with Israel accounting for a further 2 per cent. </w:t>
      </w:r>
    </w:p>
    <w:p w14:paraId="6FF7892A" w14:textId="2226CE8F" w:rsidR="002B102A" w:rsidRPr="005D6102" w:rsidRDefault="002B102A" w:rsidP="002B102A">
      <w:pPr>
        <w:rPr>
          <w:sz w:val="20"/>
          <w:szCs w:val="20"/>
        </w:rPr>
      </w:pPr>
      <w:r w:rsidRPr="005D6102">
        <w:rPr>
          <w:sz w:val="20"/>
          <w:szCs w:val="20"/>
        </w:rPr>
        <w:t xml:space="preserve">China dominates every stage of the magnesium supply chain, </w:t>
      </w:r>
      <w:r w:rsidR="00C75BBD">
        <w:rPr>
          <w:sz w:val="20"/>
          <w:szCs w:val="20"/>
        </w:rPr>
        <w:t>with production</w:t>
      </w:r>
      <w:r w:rsidRPr="005D6102">
        <w:rPr>
          <w:sz w:val="20"/>
          <w:szCs w:val="20"/>
        </w:rPr>
        <w:t xml:space="preserve"> concentrated in the Liaoning province, which has two primary production hubs: Dashiqiao (which includes the bulk of processing) and Haicheng (which holds large deposits and primary production facilities). </w:t>
      </w:r>
    </w:p>
    <w:p w14:paraId="0655FB8F" w14:textId="5621B148" w:rsidR="002B102A" w:rsidRPr="005D6102" w:rsidRDefault="005F2B48" w:rsidP="002B102A">
      <w:pPr>
        <w:rPr>
          <w:sz w:val="20"/>
          <w:szCs w:val="20"/>
        </w:rPr>
      </w:pPr>
      <w:r w:rsidRPr="005D6102">
        <w:rPr>
          <w:sz w:val="20"/>
          <w:szCs w:val="20"/>
        </w:rPr>
        <w:t xml:space="preserve">In recent years, </w:t>
      </w:r>
      <w:r w:rsidR="002B102A" w:rsidRPr="005D6102">
        <w:rPr>
          <w:sz w:val="20"/>
          <w:szCs w:val="20"/>
        </w:rPr>
        <w:t xml:space="preserve">Chinese </w:t>
      </w:r>
      <w:r w:rsidR="00D51FE6" w:rsidRPr="005D6102">
        <w:rPr>
          <w:sz w:val="20"/>
          <w:szCs w:val="20"/>
        </w:rPr>
        <w:t>refined</w:t>
      </w:r>
      <w:r w:rsidR="002B102A" w:rsidRPr="005D6102">
        <w:rPr>
          <w:sz w:val="20"/>
          <w:szCs w:val="20"/>
        </w:rPr>
        <w:t xml:space="preserve"> production has been constrained by the closure of some facilities on environmental grounds. This comes alongside new restrictions on access to mining explosives. By late 2017, cuts in Chinese </w:t>
      </w:r>
      <w:r w:rsidR="00D51FE6" w:rsidRPr="005D6102">
        <w:rPr>
          <w:sz w:val="20"/>
          <w:szCs w:val="20"/>
        </w:rPr>
        <w:t xml:space="preserve">mine </w:t>
      </w:r>
      <w:r w:rsidR="002B102A" w:rsidRPr="005D6102">
        <w:rPr>
          <w:sz w:val="20"/>
          <w:szCs w:val="20"/>
        </w:rPr>
        <w:t xml:space="preserve">output had led to significant global supply shortfalls, and windfalls for suppliers outside China. </w:t>
      </w:r>
      <w:r w:rsidR="00B50AA9" w:rsidRPr="005D6102">
        <w:rPr>
          <w:sz w:val="20"/>
          <w:szCs w:val="20"/>
        </w:rPr>
        <w:t>As Chinese production costs rise, countries including Australia will have more opportunities to enter the market, and supply sources are expected to diversify.</w:t>
      </w:r>
    </w:p>
    <w:p w14:paraId="7EC74A99" w14:textId="37BA8C74" w:rsidR="005610C5" w:rsidRPr="008A7D62" w:rsidRDefault="002B102A" w:rsidP="006D0043">
      <w:r w:rsidRPr="005D6102">
        <w:rPr>
          <w:sz w:val="20"/>
          <w:szCs w:val="20"/>
        </w:rPr>
        <w:t xml:space="preserve">Most </w:t>
      </w:r>
      <w:r w:rsidR="00AD5F41" w:rsidRPr="005D6102">
        <w:rPr>
          <w:sz w:val="20"/>
          <w:szCs w:val="20"/>
        </w:rPr>
        <w:t>magnesia</w:t>
      </w:r>
      <w:r w:rsidR="00805520" w:rsidRPr="005D6102">
        <w:rPr>
          <w:sz w:val="20"/>
          <w:szCs w:val="20"/>
        </w:rPr>
        <w:t xml:space="preserve"> trade</w:t>
      </w:r>
      <w:r w:rsidRPr="005D6102">
        <w:rPr>
          <w:sz w:val="20"/>
          <w:szCs w:val="20"/>
        </w:rPr>
        <w:t xml:space="preserve"> occurs th</w:t>
      </w:r>
      <w:r w:rsidR="00A14E4A">
        <w:rPr>
          <w:sz w:val="20"/>
          <w:szCs w:val="20"/>
        </w:rPr>
        <w:t>r</w:t>
      </w:r>
      <w:r w:rsidRPr="005D6102">
        <w:rPr>
          <w:sz w:val="20"/>
          <w:szCs w:val="20"/>
        </w:rPr>
        <w:t>ough contracts between producers and consumers</w:t>
      </w:r>
      <w:r w:rsidR="00AD5F41" w:rsidRPr="005D6102">
        <w:rPr>
          <w:sz w:val="20"/>
          <w:szCs w:val="20"/>
        </w:rPr>
        <w:t xml:space="preserve">, with little trading at </w:t>
      </w:r>
      <w:r w:rsidR="00D51FE6" w:rsidRPr="005D6102">
        <w:rPr>
          <w:sz w:val="20"/>
          <w:szCs w:val="20"/>
        </w:rPr>
        <w:t>exchange markets</w:t>
      </w:r>
      <w:r w:rsidRPr="005D6102">
        <w:rPr>
          <w:sz w:val="20"/>
          <w:szCs w:val="20"/>
        </w:rPr>
        <w:t xml:space="preserve">. This means there is little transparency and minimal information on prices for magnesium and its precursors. However, it </w:t>
      </w:r>
      <w:r w:rsidR="00B50AA9" w:rsidRPr="005D6102">
        <w:rPr>
          <w:sz w:val="20"/>
          <w:szCs w:val="20"/>
        </w:rPr>
        <w:t>is</w:t>
      </w:r>
      <w:r w:rsidRPr="005D6102">
        <w:rPr>
          <w:sz w:val="20"/>
          <w:szCs w:val="20"/>
        </w:rPr>
        <w:t xml:space="preserve"> clear that prices for products such as magnesite are virtually set by China due to its dominant position, and </w:t>
      </w:r>
      <w:r w:rsidR="00D51FE6" w:rsidRPr="005D6102">
        <w:rPr>
          <w:sz w:val="20"/>
          <w:szCs w:val="20"/>
        </w:rPr>
        <w:t xml:space="preserve">the </w:t>
      </w:r>
      <w:r w:rsidRPr="005D6102">
        <w:rPr>
          <w:sz w:val="20"/>
          <w:szCs w:val="20"/>
        </w:rPr>
        <w:t xml:space="preserve">prices for these minerals have risen sharply following environmental closures among Chinese facilities. </w:t>
      </w:r>
    </w:p>
    <w:p w14:paraId="6194B7C1" w14:textId="60DF5F50" w:rsidR="005610C5" w:rsidRPr="008A7D62" w:rsidRDefault="005610C5" w:rsidP="008A7D62">
      <w:pPr>
        <w:rPr>
          <w:sz w:val="20"/>
        </w:rPr>
      </w:pPr>
    </w:p>
    <w:p w14:paraId="65A8BB0C" w14:textId="2F70825C" w:rsidR="000513E4" w:rsidRPr="005D6102" w:rsidRDefault="000513E4" w:rsidP="0009608F">
      <w:pPr>
        <w:pStyle w:val="Heading2"/>
      </w:pPr>
      <w:bookmarkStart w:id="133" w:name="_Toc16143294"/>
      <w:bookmarkStart w:id="134" w:name="_Toc17803365"/>
      <w:r w:rsidRPr="005D6102">
        <w:t>Market outlook</w:t>
      </w:r>
      <w:bookmarkEnd w:id="133"/>
      <w:bookmarkEnd w:id="134"/>
    </w:p>
    <w:p w14:paraId="56F7A253" w14:textId="04770650" w:rsidR="000513E4" w:rsidRPr="005D6102" w:rsidRDefault="000513E4" w:rsidP="0009608F">
      <w:pPr>
        <w:pStyle w:val="Heading3"/>
      </w:pPr>
      <w:r w:rsidRPr="005D6102">
        <w:t>Magnesium use is growing slowly, with new projects emerging</w:t>
      </w:r>
    </w:p>
    <w:p w14:paraId="7791911F" w14:textId="7C4A06EA" w:rsidR="000513E4" w:rsidRPr="005D6102" w:rsidRDefault="000513E4" w:rsidP="000513E4">
      <w:pPr>
        <w:rPr>
          <w:sz w:val="20"/>
          <w:szCs w:val="20"/>
        </w:rPr>
      </w:pPr>
      <w:r w:rsidRPr="005D6102">
        <w:rPr>
          <w:sz w:val="20"/>
          <w:szCs w:val="20"/>
        </w:rPr>
        <w:t xml:space="preserve">Magnesite use is expected to grow slowly over time. A gradual decline in use of gypsum and fibre cement in the construction industry, and their replacement with magboard (which includes magnesium content) is one potential growth source. Demand for magnesium-based fertilisers — which are soluble and quick-acting — is also set to rise, and the ubiquity of global agriculture means this could create many new opportunities around the world. Global demand is expected to grow by </w:t>
      </w:r>
      <w:r w:rsidR="005B629B">
        <w:rPr>
          <w:sz w:val="20"/>
          <w:szCs w:val="20"/>
        </w:rPr>
        <w:t>around 2.5 per cent per year out to 2030</w:t>
      </w:r>
      <w:r w:rsidRPr="005D6102">
        <w:rPr>
          <w:sz w:val="20"/>
          <w:szCs w:val="20"/>
        </w:rPr>
        <w:t>, with the Chinese construction sector set to make the largest contribution.</w:t>
      </w:r>
      <w:r w:rsidR="00171D73" w:rsidRPr="005D6102">
        <w:rPr>
          <w:sz w:val="20"/>
          <w:szCs w:val="20"/>
        </w:rPr>
        <w:t xml:space="preserve"> </w:t>
      </w:r>
      <w:r w:rsidRPr="005D6102">
        <w:rPr>
          <w:sz w:val="20"/>
          <w:szCs w:val="20"/>
        </w:rPr>
        <w:t xml:space="preserve">Prices for magnesium precursors are expected to ease back from recent peaks, before rising slowly over the medium term. </w:t>
      </w:r>
    </w:p>
    <w:p w14:paraId="2A72B209" w14:textId="22681A06" w:rsidR="000513E4" w:rsidRPr="005D6102" w:rsidRDefault="000513E4" w:rsidP="002B102A">
      <w:pPr>
        <w:rPr>
          <w:color w:val="373737"/>
          <w:sz w:val="20"/>
        </w:rPr>
      </w:pPr>
      <w:r w:rsidRPr="005D6102">
        <w:rPr>
          <w:sz w:val="20"/>
          <w:szCs w:val="20"/>
        </w:rPr>
        <w:t xml:space="preserve">Most magnesite is processed into magnesia in the country where it is extracted. This would likely be the case for Australia too, meaning that expansion of supply here would potentially entail a full production chain growing up over time. Only a </w:t>
      </w:r>
      <w:r w:rsidR="00D84F6A" w:rsidRPr="005D6102">
        <w:rPr>
          <w:sz w:val="20"/>
          <w:szCs w:val="20"/>
        </w:rPr>
        <w:t>very small</w:t>
      </w:r>
      <w:r w:rsidRPr="005D6102">
        <w:rPr>
          <w:sz w:val="20"/>
          <w:szCs w:val="20"/>
        </w:rPr>
        <w:t xml:space="preserve"> number of new magnesium projects have been commissioned since 2010, but production has the potential to grow, as new mineral projects emerge in Australia, Russia, Turkey, and Spain. </w:t>
      </w:r>
    </w:p>
    <w:p w14:paraId="074370CE" w14:textId="0D24D685" w:rsidR="00977B45" w:rsidRPr="005D6102" w:rsidRDefault="00977B45" w:rsidP="00054B91">
      <w:pPr>
        <w:pStyle w:val="Heading2"/>
        <w:rPr>
          <w:color w:val="373737"/>
          <w:sz w:val="20"/>
        </w:rPr>
      </w:pPr>
      <w:bookmarkStart w:id="135" w:name="_Toc15388918"/>
      <w:bookmarkStart w:id="136" w:name="_Toc16143295"/>
      <w:bookmarkStart w:id="137" w:name="_Toc17803366"/>
      <w:r w:rsidRPr="005D6102">
        <w:lastRenderedPageBreak/>
        <w:t>Australia</w:t>
      </w:r>
      <w:bookmarkEnd w:id="132"/>
      <w:bookmarkEnd w:id="135"/>
      <w:bookmarkEnd w:id="136"/>
      <w:bookmarkEnd w:id="137"/>
    </w:p>
    <w:p w14:paraId="51BDDAEE" w14:textId="7502D1AD" w:rsidR="000513E4" w:rsidRPr="005D6102" w:rsidRDefault="000513E4" w:rsidP="0009608F">
      <w:pPr>
        <w:pStyle w:val="Heading3"/>
      </w:pPr>
      <w:r w:rsidRPr="005D6102">
        <w:t>Australia has potential to be leading supplier of magnesium precursors</w:t>
      </w:r>
    </w:p>
    <w:p w14:paraId="5651DDD9" w14:textId="5AA8EBE8" w:rsidR="008B7C84" w:rsidRPr="005D6102" w:rsidRDefault="00DF1A08" w:rsidP="000513E4">
      <w:pPr>
        <w:rPr>
          <w:sz w:val="20"/>
          <w:szCs w:val="20"/>
        </w:rPr>
      </w:pPr>
      <w:r w:rsidRPr="005D6102">
        <w:rPr>
          <w:sz w:val="20"/>
          <w:szCs w:val="20"/>
        </w:rPr>
        <w:t xml:space="preserve">Australia </w:t>
      </w:r>
      <w:r w:rsidR="003A44AA">
        <w:rPr>
          <w:sz w:val="20"/>
          <w:szCs w:val="20"/>
        </w:rPr>
        <w:t>extracts</w:t>
      </w:r>
      <w:r w:rsidR="00490AFA" w:rsidRPr="005D6102">
        <w:rPr>
          <w:sz w:val="20"/>
          <w:szCs w:val="20"/>
        </w:rPr>
        <w:t xml:space="preserve"> </w:t>
      </w:r>
      <w:r w:rsidRPr="005D6102">
        <w:rPr>
          <w:sz w:val="20"/>
          <w:szCs w:val="20"/>
        </w:rPr>
        <w:t>a</w:t>
      </w:r>
      <w:r w:rsidR="004C7123">
        <w:rPr>
          <w:sz w:val="20"/>
          <w:szCs w:val="20"/>
        </w:rPr>
        <w:t>pproximately</w:t>
      </w:r>
      <w:r w:rsidRPr="005D6102">
        <w:rPr>
          <w:sz w:val="20"/>
          <w:szCs w:val="20"/>
        </w:rPr>
        <w:t xml:space="preserve"> 500,000 tonnes of magnesite each year</w:t>
      </w:r>
      <w:r w:rsidR="003A44AA">
        <w:rPr>
          <w:sz w:val="20"/>
          <w:szCs w:val="20"/>
        </w:rPr>
        <w:t>, or around 2 per cent of global output</w:t>
      </w:r>
      <w:r w:rsidR="00D74605">
        <w:rPr>
          <w:sz w:val="20"/>
          <w:szCs w:val="20"/>
        </w:rPr>
        <w:t xml:space="preserve"> (Figure 6.1</w:t>
      </w:r>
      <w:r w:rsidR="002B578F">
        <w:rPr>
          <w:sz w:val="20"/>
          <w:szCs w:val="20"/>
        </w:rPr>
        <w:t>)</w:t>
      </w:r>
      <w:r w:rsidRPr="005D6102">
        <w:rPr>
          <w:sz w:val="20"/>
          <w:szCs w:val="20"/>
        </w:rPr>
        <w:t xml:space="preserve">. </w:t>
      </w:r>
      <w:r w:rsidR="00582BC8" w:rsidRPr="005D6102">
        <w:rPr>
          <w:sz w:val="20"/>
          <w:szCs w:val="20"/>
        </w:rPr>
        <w:t xml:space="preserve">More than 90 per cent </w:t>
      </w:r>
      <w:r w:rsidR="00490AFA" w:rsidRPr="005D6102">
        <w:rPr>
          <w:sz w:val="20"/>
          <w:szCs w:val="20"/>
        </w:rPr>
        <w:t>of</w:t>
      </w:r>
      <w:r w:rsidR="00582BC8" w:rsidRPr="005D6102">
        <w:rPr>
          <w:sz w:val="20"/>
          <w:szCs w:val="20"/>
        </w:rPr>
        <w:t xml:space="preserve"> Australian magnesite output is produced by QMAG, which is owned by Sibelco. The company holds a deposit at Kunwarara in Queensland, </w:t>
      </w:r>
      <w:r w:rsidR="00107BA4" w:rsidRPr="005D6102">
        <w:rPr>
          <w:sz w:val="20"/>
          <w:szCs w:val="20"/>
        </w:rPr>
        <w:t xml:space="preserve">and produces </w:t>
      </w:r>
      <w:r w:rsidR="00582BC8" w:rsidRPr="005D6102">
        <w:rPr>
          <w:sz w:val="20"/>
          <w:szCs w:val="20"/>
        </w:rPr>
        <w:t xml:space="preserve">fine-grained monocrystalline nodular magnesite. </w:t>
      </w:r>
      <w:r w:rsidR="00490AFA" w:rsidRPr="005D6102">
        <w:rPr>
          <w:sz w:val="20"/>
          <w:szCs w:val="20"/>
        </w:rPr>
        <w:t xml:space="preserve">In Victoria, </w:t>
      </w:r>
      <w:r w:rsidR="00582BC8" w:rsidRPr="005D6102">
        <w:rPr>
          <w:sz w:val="20"/>
          <w:szCs w:val="20"/>
        </w:rPr>
        <w:t xml:space="preserve">Calix produces magnesium hydroxide using magnesite raw materials mined in South Australia. Causmag </w:t>
      </w:r>
      <w:r w:rsidR="00490AFA" w:rsidRPr="005D6102">
        <w:rPr>
          <w:sz w:val="20"/>
          <w:szCs w:val="20"/>
        </w:rPr>
        <w:t xml:space="preserve">also </w:t>
      </w:r>
      <w:r w:rsidR="00582BC8" w:rsidRPr="005D6102">
        <w:rPr>
          <w:sz w:val="20"/>
          <w:szCs w:val="20"/>
        </w:rPr>
        <w:t xml:space="preserve">produces high-purity magnesium oxide powder using output mined at Thuddungra in NSW. </w:t>
      </w:r>
    </w:p>
    <w:p w14:paraId="5C0DA227" w14:textId="12EAC76F" w:rsidR="00490AFA" w:rsidRPr="005D6102" w:rsidRDefault="00A927E2" w:rsidP="00631A54">
      <w:pPr>
        <w:rPr>
          <w:sz w:val="20"/>
          <w:szCs w:val="20"/>
        </w:rPr>
      </w:pPr>
      <w:r w:rsidRPr="005D6102">
        <w:rPr>
          <w:sz w:val="20"/>
          <w:szCs w:val="20"/>
        </w:rPr>
        <w:t>Australian</w:t>
      </w:r>
      <w:r w:rsidR="003824C2" w:rsidRPr="005D6102">
        <w:rPr>
          <w:sz w:val="20"/>
          <w:szCs w:val="20"/>
        </w:rPr>
        <w:t xml:space="preserve"> output </w:t>
      </w:r>
      <w:r w:rsidR="00B50AA9" w:rsidRPr="005D6102">
        <w:rPr>
          <w:sz w:val="20"/>
          <w:szCs w:val="20"/>
        </w:rPr>
        <w:t>could potentially</w:t>
      </w:r>
      <w:r w:rsidR="003824C2" w:rsidRPr="005D6102">
        <w:rPr>
          <w:sz w:val="20"/>
          <w:szCs w:val="20"/>
        </w:rPr>
        <w:t xml:space="preserve"> quadruple as </w:t>
      </w:r>
      <w:r w:rsidR="00490AFA" w:rsidRPr="005D6102">
        <w:rPr>
          <w:sz w:val="20"/>
          <w:szCs w:val="20"/>
        </w:rPr>
        <w:t>new</w:t>
      </w:r>
      <w:r w:rsidR="003824C2" w:rsidRPr="005D6102">
        <w:rPr>
          <w:sz w:val="20"/>
          <w:szCs w:val="20"/>
        </w:rPr>
        <w:t xml:space="preserve"> projects </w:t>
      </w:r>
      <w:r w:rsidR="00490AFA" w:rsidRPr="005D6102">
        <w:rPr>
          <w:sz w:val="20"/>
          <w:szCs w:val="20"/>
        </w:rPr>
        <w:t>commence</w:t>
      </w:r>
      <w:r w:rsidR="003824C2" w:rsidRPr="005D6102">
        <w:rPr>
          <w:sz w:val="20"/>
          <w:szCs w:val="20"/>
        </w:rPr>
        <w:t xml:space="preserve">. </w:t>
      </w:r>
      <w:r w:rsidR="00B50AA9" w:rsidRPr="005D6102">
        <w:rPr>
          <w:sz w:val="20"/>
          <w:szCs w:val="20"/>
        </w:rPr>
        <w:t>Possible</w:t>
      </w:r>
      <w:r w:rsidR="00582BC8" w:rsidRPr="005D6102">
        <w:rPr>
          <w:sz w:val="20"/>
          <w:szCs w:val="20"/>
        </w:rPr>
        <w:t xml:space="preserve"> projects include</w:t>
      </w:r>
      <w:r w:rsidR="00490AFA" w:rsidRPr="005D6102">
        <w:rPr>
          <w:sz w:val="20"/>
          <w:szCs w:val="20"/>
        </w:rPr>
        <w:t>:</w:t>
      </w:r>
      <w:r w:rsidR="00582BC8" w:rsidRPr="005D6102">
        <w:rPr>
          <w:sz w:val="20"/>
          <w:szCs w:val="20"/>
        </w:rPr>
        <w:t xml:space="preserve"> </w:t>
      </w:r>
    </w:p>
    <w:p w14:paraId="5A662B2A" w14:textId="06CF6050" w:rsidR="005610C5" w:rsidRPr="005D6102" w:rsidRDefault="005610C5" w:rsidP="005610C5">
      <w:pPr>
        <w:pStyle w:val="ListParagraph"/>
        <w:numPr>
          <w:ilvl w:val="0"/>
          <w:numId w:val="50"/>
        </w:numPr>
        <w:rPr>
          <w:color w:val="auto"/>
          <w:szCs w:val="20"/>
        </w:rPr>
      </w:pPr>
      <w:r w:rsidRPr="005D6102">
        <w:rPr>
          <w:color w:val="auto"/>
          <w:szCs w:val="20"/>
        </w:rPr>
        <w:t xml:space="preserve">Archer Exploration’s Leigh Creek deposit in South Australia </w:t>
      </w:r>
    </w:p>
    <w:p w14:paraId="1C92D99B" w14:textId="0D9D861C" w:rsidR="005610C5" w:rsidRPr="005D6102" w:rsidRDefault="005610C5" w:rsidP="005610C5">
      <w:pPr>
        <w:pStyle w:val="ListParagraph"/>
        <w:numPr>
          <w:ilvl w:val="0"/>
          <w:numId w:val="50"/>
        </w:numPr>
        <w:rPr>
          <w:color w:val="auto"/>
          <w:szCs w:val="20"/>
        </w:rPr>
      </w:pPr>
      <w:r w:rsidRPr="005D6102">
        <w:rPr>
          <w:color w:val="auto"/>
          <w:szCs w:val="20"/>
        </w:rPr>
        <w:t xml:space="preserve">Thesally’s Huandot project in the Northern Territory </w:t>
      </w:r>
    </w:p>
    <w:p w14:paraId="48B2BFA3" w14:textId="4662D5FA" w:rsidR="005610C5" w:rsidRPr="005D6102" w:rsidRDefault="005610C5" w:rsidP="005610C5">
      <w:pPr>
        <w:pStyle w:val="ListParagraph"/>
        <w:numPr>
          <w:ilvl w:val="0"/>
          <w:numId w:val="50"/>
        </w:numPr>
        <w:rPr>
          <w:color w:val="auto"/>
          <w:szCs w:val="20"/>
        </w:rPr>
      </w:pPr>
      <w:r w:rsidRPr="005D6102">
        <w:rPr>
          <w:color w:val="auto"/>
          <w:szCs w:val="20"/>
        </w:rPr>
        <w:t>Jindalee Resources’ Prospect Ridge project in Tasmania</w:t>
      </w:r>
    </w:p>
    <w:p w14:paraId="0C6EB020" w14:textId="48340F24" w:rsidR="005610C5" w:rsidRPr="005D6102" w:rsidRDefault="005610C5" w:rsidP="005610C5">
      <w:pPr>
        <w:pStyle w:val="ListParagraph"/>
        <w:numPr>
          <w:ilvl w:val="0"/>
          <w:numId w:val="50"/>
        </w:numPr>
        <w:rPr>
          <w:color w:val="auto"/>
          <w:szCs w:val="20"/>
        </w:rPr>
      </w:pPr>
      <w:r w:rsidRPr="005D6102">
        <w:rPr>
          <w:color w:val="auto"/>
          <w:szCs w:val="20"/>
        </w:rPr>
        <w:t xml:space="preserve">BMAG’s Ravensthorpe project, in Western Australia </w:t>
      </w:r>
    </w:p>
    <w:p w14:paraId="0D678249" w14:textId="397F496F" w:rsidR="005610C5" w:rsidRPr="005D6102" w:rsidRDefault="005610C5" w:rsidP="005610C5">
      <w:pPr>
        <w:pStyle w:val="ListParagraph"/>
        <w:numPr>
          <w:ilvl w:val="0"/>
          <w:numId w:val="50"/>
        </w:numPr>
        <w:rPr>
          <w:color w:val="auto"/>
          <w:szCs w:val="20"/>
        </w:rPr>
      </w:pPr>
      <w:r w:rsidRPr="005D6102">
        <w:rPr>
          <w:color w:val="auto"/>
          <w:szCs w:val="20"/>
        </w:rPr>
        <w:t xml:space="preserve">Korab Reosurces’ Winchester project in the Northern Territory </w:t>
      </w:r>
    </w:p>
    <w:p w14:paraId="79F60FF1" w14:textId="6AFDAECE" w:rsidR="00631A54" w:rsidRPr="005D6102" w:rsidRDefault="00DF1A08" w:rsidP="00DF1A08">
      <w:pPr>
        <w:rPr>
          <w:sz w:val="20"/>
          <w:szCs w:val="20"/>
        </w:rPr>
      </w:pPr>
      <w:r w:rsidRPr="005D6102">
        <w:rPr>
          <w:sz w:val="20"/>
          <w:szCs w:val="20"/>
        </w:rPr>
        <w:t xml:space="preserve">Opportunities </w:t>
      </w:r>
      <w:r w:rsidR="00582BC8" w:rsidRPr="005D6102">
        <w:rPr>
          <w:sz w:val="20"/>
          <w:szCs w:val="20"/>
        </w:rPr>
        <w:t xml:space="preserve">also </w:t>
      </w:r>
      <w:r w:rsidRPr="005D6102">
        <w:rPr>
          <w:sz w:val="20"/>
          <w:szCs w:val="20"/>
        </w:rPr>
        <w:t xml:space="preserve">exist in the Pilbara region of Western Australia, where salt producers generate </w:t>
      </w:r>
      <w:r w:rsidR="003A44AA">
        <w:rPr>
          <w:sz w:val="20"/>
          <w:szCs w:val="20"/>
        </w:rPr>
        <w:t>large quantities</w:t>
      </w:r>
      <w:r w:rsidR="00631A54" w:rsidRPr="005D6102">
        <w:rPr>
          <w:sz w:val="20"/>
          <w:szCs w:val="20"/>
        </w:rPr>
        <w:t xml:space="preserve"> of</w:t>
      </w:r>
      <w:r w:rsidRPr="005D6102">
        <w:rPr>
          <w:sz w:val="20"/>
          <w:szCs w:val="20"/>
        </w:rPr>
        <w:t xml:space="preserve"> magnesium in their waste streams</w:t>
      </w:r>
      <w:r w:rsidR="00631A54" w:rsidRPr="005D6102">
        <w:rPr>
          <w:sz w:val="20"/>
          <w:szCs w:val="20"/>
        </w:rPr>
        <w:t xml:space="preserve">. </w:t>
      </w:r>
    </w:p>
    <w:p w14:paraId="286D6F8E" w14:textId="184C02F0" w:rsidR="005610C5" w:rsidRPr="005D6102" w:rsidRDefault="005610C5" w:rsidP="005610C5">
      <w:pPr>
        <w:pStyle w:val="Caption"/>
      </w:pPr>
      <w:bookmarkStart w:id="138" w:name="_Toc14958221"/>
      <w:r>
        <w:t>Figure</w:t>
      </w:r>
      <w:r w:rsidRPr="005D6102">
        <w:t xml:space="preserve"> </w:t>
      </w:r>
      <w:r w:rsidRPr="005D6102">
        <w:rPr>
          <w:noProof/>
        </w:rPr>
        <w:t>6</w:t>
      </w:r>
      <w:r w:rsidRPr="005D6102">
        <w:t>.</w:t>
      </w:r>
      <w:r w:rsidR="00D74605">
        <w:rPr>
          <w:noProof/>
        </w:rPr>
        <w:t>1</w:t>
      </w:r>
      <w:r w:rsidRPr="005D6102">
        <w:t>: Australia’s</w:t>
      </w:r>
      <w:r>
        <w:t xml:space="preserve"> share of global</w:t>
      </w:r>
      <w:r w:rsidRPr="005D6102">
        <w:t xml:space="preserve"> magnesite production</w:t>
      </w:r>
    </w:p>
    <w:p w14:paraId="095D502A" w14:textId="191322F0" w:rsidR="005610C5" w:rsidRPr="005D6102" w:rsidRDefault="005610C5" w:rsidP="005610C5">
      <w:pPr>
        <w:rPr>
          <w:sz w:val="20"/>
          <w:szCs w:val="20"/>
        </w:rPr>
      </w:pPr>
      <w:r w:rsidRPr="005610C5">
        <w:rPr>
          <w:noProof/>
          <w:lang w:eastAsia="en-AU"/>
        </w:rPr>
        <w:t xml:space="preserve"> </w:t>
      </w:r>
      <w:r>
        <w:rPr>
          <w:noProof/>
          <w:lang w:eastAsia="en-AU"/>
        </w:rPr>
        <w:drawing>
          <wp:inline distT="0" distB="0" distL="0" distR="0" wp14:anchorId="2AEA6B9F" wp14:editId="7643208E">
            <wp:extent cx="4572000" cy="2743200"/>
            <wp:effectExtent l="0" t="0" r="0" b="0"/>
            <wp:docPr id="2090" name="Chart 2090" descr="This chart shows Australia's historical share of global magnesite production, which has remained around 2 per cent since 2010." title="Australia's share of global magnesite production"/>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bookmarkEnd w:id="138"/>
    <w:p w14:paraId="728B2775" w14:textId="072128F6" w:rsidR="003824C2" w:rsidRPr="005610C5" w:rsidRDefault="005610C5" w:rsidP="003824C2">
      <w:pPr>
        <w:pStyle w:val="Source"/>
        <w:rPr>
          <w:color w:val="373737"/>
          <w:sz w:val="20"/>
        </w:rPr>
      </w:pPr>
      <w:r w:rsidRPr="005D6102">
        <w:t xml:space="preserve">Source: </w:t>
      </w:r>
      <w:r>
        <w:t xml:space="preserve">Department of Industry, Innovation and Science (2019), </w:t>
      </w:r>
      <w:r w:rsidRPr="005D6102">
        <w:t xml:space="preserve">Roskill (2018) </w:t>
      </w:r>
    </w:p>
    <w:p w14:paraId="48A48965" w14:textId="77777777" w:rsidR="003824C2" w:rsidRPr="0035248B" w:rsidRDefault="000B1AE0" w:rsidP="003824C2">
      <w:pPr>
        <w:pStyle w:val="Source"/>
        <w:rPr>
          <w:sz w:val="18"/>
          <w:szCs w:val="18"/>
        </w:rPr>
      </w:pPr>
      <w:r w:rsidRPr="0035248B">
        <w:rPr>
          <w:sz w:val="18"/>
          <w:szCs w:val="18"/>
        </w:rPr>
        <w:t xml:space="preserve">Table </w:t>
      </w:r>
      <w:r w:rsidR="00171D73" w:rsidRPr="0035248B">
        <w:rPr>
          <w:sz w:val="18"/>
          <w:szCs w:val="18"/>
        </w:rPr>
        <w:t>6</w:t>
      </w:r>
      <w:r w:rsidR="003824C2" w:rsidRPr="0035248B">
        <w:rPr>
          <w:sz w:val="18"/>
          <w:szCs w:val="18"/>
        </w:rPr>
        <w:t>.</w:t>
      </w:r>
      <w:r w:rsidR="00171D73" w:rsidRPr="0035248B">
        <w:rPr>
          <w:sz w:val="18"/>
          <w:szCs w:val="18"/>
        </w:rPr>
        <w:t>1</w:t>
      </w:r>
      <w:r w:rsidR="003824C2" w:rsidRPr="0035248B">
        <w:rPr>
          <w:sz w:val="18"/>
          <w:szCs w:val="18"/>
        </w:rPr>
        <w:t>: Australia’s magnesium resources and production</w:t>
      </w:r>
    </w:p>
    <w:tbl>
      <w:tblPr>
        <w:tblStyle w:val="OCETable"/>
        <w:tblW w:w="9204" w:type="dxa"/>
        <w:tblLook w:val="04A0" w:firstRow="1" w:lastRow="0" w:firstColumn="1" w:lastColumn="0" w:noHBand="0" w:noVBand="1"/>
        <w:tblCaption w:val="Australia's magnesium resources and production"/>
        <w:tblDescription w:val="This table shows data on Australia's geological endowment and production of magnesium."/>
      </w:tblPr>
      <w:tblGrid>
        <w:gridCol w:w="1335"/>
        <w:gridCol w:w="1347"/>
        <w:gridCol w:w="1342"/>
        <w:gridCol w:w="1342"/>
        <w:gridCol w:w="1335"/>
        <w:gridCol w:w="1234"/>
        <w:gridCol w:w="1269"/>
      </w:tblGrid>
      <w:tr w:rsidR="003824C2" w:rsidRPr="005D6102" w14:paraId="447F9394" w14:textId="77777777" w:rsidTr="008A7D62">
        <w:trPr>
          <w:cnfStyle w:val="100000000000" w:firstRow="1" w:lastRow="0" w:firstColumn="0" w:lastColumn="0" w:oddVBand="0" w:evenVBand="0" w:oddHBand="0" w:evenHBand="0" w:firstRowFirstColumn="0" w:firstRowLastColumn="0" w:lastRowFirstColumn="0" w:lastRowLastColumn="0"/>
          <w:tblHeader/>
        </w:trPr>
        <w:tc>
          <w:tcPr>
            <w:tcW w:w="5366" w:type="dxa"/>
            <w:gridSpan w:val="4"/>
          </w:tcPr>
          <w:p w14:paraId="5F75A40B" w14:textId="77777777" w:rsidR="003824C2" w:rsidRPr="005D6102" w:rsidRDefault="003824C2" w:rsidP="002C04CF">
            <w:pPr>
              <w:rPr>
                <w:b/>
              </w:rPr>
            </w:pPr>
            <w:r w:rsidRPr="005D6102">
              <w:rPr>
                <w:b/>
              </w:rPr>
              <w:t>Australia’s reserves</w:t>
            </w:r>
          </w:p>
        </w:tc>
        <w:tc>
          <w:tcPr>
            <w:tcW w:w="3838" w:type="dxa"/>
            <w:gridSpan w:val="3"/>
          </w:tcPr>
          <w:p w14:paraId="3F23339B" w14:textId="77777777" w:rsidR="003824C2" w:rsidRPr="005D6102" w:rsidRDefault="003824C2" w:rsidP="002C04CF">
            <w:pPr>
              <w:rPr>
                <w:b/>
              </w:rPr>
            </w:pPr>
            <w:r w:rsidRPr="005D6102">
              <w:rPr>
                <w:b/>
              </w:rPr>
              <w:t>Australia’s production</w:t>
            </w:r>
          </w:p>
        </w:tc>
      </w:tr>
      <w:tr w:rsidR="003824C2" w:rsidRPr="005D6102" w14:paraId="1AC2BDBF" w14:textId="77777777" w:rsidTr="002C04CF">
        <w:trPr>
          <w:cnfStyle w:val="000000100000" w:firstRow="0" w:lastRow="0" w:firstColumn="0" w:lastColumn="0" w:oddVBand="0" w:evenVBand="0" w:oddHBand="1" w:evenHBand="0" w:firstRowFirstColumn="0" w:firstRowLastColumn="0" w:lastRowFirstColumn="0" w:lastRowLastColumn="0"/>
        </w:trPr>
        <w:tc>
          <w:tcPr>
            <w:tcW w:w="1335" w:type="dxa"/>
            <w:shd w:val="clear" w:color="auto" w:fill="005CAF"/>
          </w:tcPr>
          <w:p w14:paraId="6D4D7F89" w14:textId="77777777" w:rsidR="003824C2" w:rsidRPr="005D6102" w:rsidRDefault="003824C2" w:rsidP="002C04CF">
            <w:pPr>
              <w:rPr>
                <w:color w:val="FFFFFF" w:themeColor="background1"/>
                <w:sz w:val="28"/>
                <w:szCs w:val="28"/>
              </w:rPr>
            </w:pPr>
            <w:r w:rsidRPr="005D6102">
              <w:rPr>
                <w:color w:val="FFFFFF" w:themeColor="background1"/>
              </w:rPr>
              <w:t>Geological potential</w:t>
            </w:r>
          </w:p>
        </w:tc>
        <w:tc>
          <w:tcPr>
            <w:tcW w:w="1347" w:type="dxa"/>
            <w:shd w:val="clear" w:color="auto" w:fill="005CAF"/>
          </w:tcPr>
          <w:p w14:paraId="5122A4C1" w14:textId="77777777" w:rsidR="003824C2" w:rsidRPr="005D6102" w:rsidRDefault="003824C2" w:rsidP="002C04CF">
            <w:pPr>
              <w:rPr>
                <w:color w:val="FFFFFF" w:themeColor="background1"/>
                <w:sz w:val="28"/>
                <w:szCs w:val="28"/>
              </w:rPr>
            </w:pPr>
            <w:r w:rsidRPr="005D6102">
              <w:rPr>
                <w:color w:val="FFFFFF" w:themeColor="background1"/>
              </w:rPr>
              <w:t>Economic Demonstrated Resource</w:t>
            </w:r>
          </w:p>
        </w:tc>
        <w:tc>
          <w:tcPr>
            <w:tcW w:w="1342" w:type="dxa"/>
            <w:shd w:val="clear" w:color="auto" w:fill="005CAF"/>
          </w:tcPr>
          <w:p w14:paraId="39174EDD" w14:textId="77777777" w:rsidR="003824C2" w:rsidRPr="005D6102" w:rsidRDefault="003824C2" w:rsidP="002C04CF">
            <w:pPr>
              <w:rPr>
                <w:color w:val="FFFFFF" w:themeColor="background1"/>
              </w:rPr>
            </w:pPr>
            <w:r w:rsidRPr="005D6102">
              <w:rPr>
                <w:color w:val="FFFFFF" w:themeColor="background1"/>
              </w:rPr>
              <w:t>Share world resources</w:t>
            </w:r>
          </w:p>
        </w:tc>
        <w:tc>
          <w:tcPr>
            <w:tcW w:w="1342" w:type="dxa"/>
            <w:shd w:val="clear" w:color="auto" w:fill="005CAF"/>
          </w:tcPr>
          <w:p w14:paraId="4E394A74" w14:textId="77777777" w:rsidR="003824C2" w:rsidRPr="005D6102" w:rsidRDefault="003824C2" w:rsidP="002C04CF">
            <w:pPr>
              <w:rPr>
                <w:color w:val="FFFFFF" w:themeColor="background1"/>
                <w:sz w:val="28"/>
                <w:szCs w:val="28"/>
              </w:rPr>
            </w:pPr>
            <w:r w:rsidRPr="005D6102">
              <w:rPr>
                <w:color w:val="FFFFFF" w:themeColor="background1"/>
              </w:rPr>
              <w:t>World ranking resources</w:t>
            </w:r>
          </w:p>
        </w:tc>
        <w:tc>
          <w:tcPr>
            <w:tcW w:w="1335" w:type="dxa"/>
            <w:shd w:val="clear" w:color="auto" w:fill="005CAF"/>
          </w:tcPr>
          <w:p w14:paraId="06EA19A3" w14:textId="77777777" w:rsidR="003824C2" w:rsidRPr="005D6102" w:rsidRDefault="003824C2" w:rsidP="002C04CF">
            <w:pPr>
              <w:rPr>
                <w:color w:val="FFFFFF" w:themeColor="background1"/>
                <w:sz w:val="28"/>
                <w:szCs w:val="28"/>
              </w:rPr>
            </w:pPr>
            <w:r w:rsidRPr="005D6102">
              <w:rPr>
                <w:color w:val="FFFFFF" w:themeColor="background1"/>
              </w:rPr>
              <w:t>2018 production</w:t>
            </w:r>
          </w:p>
        </w:tc>
        <w:tc>
          <w:tcPr>
            <w:tcW w:w="1234" w:type="dxa"/>
            <w:shd w:val="clear" w:color="auto" w:fill="005CAF"/>
          </w:tcPr>
          <w:p w14:paraId="5DE63F5B" w14:textId="77777777" w:rsidR="003824C2" w:rsidRPr="005D6102" w:rsidRDefault="003824C2" w:rsidP="002C04CF">
            <w:pPr>
              <w:rPr>
                <w:color w:val="FFFFFF" w:themeColor="background1"/>
                <w:sz w:val="28"/>
                <w:szCs w:val="28"/>
              </w:rPr>
            </w:pPr>
            <w:r w:rsidRPr="005D6102">
              <w:rPr>
                <w:color w:val="FFFFFF" w:themeColor="background1"/>
              </w:rPr>
              <w:t>Share of world production</w:t>
            </w:r>
          </w:p>
        </w:tc>
        <w:tc>
          <w:tcPr>
            <w:tcW w:w="1269" w:type="dxa"/>
            <w:shd w:val="clear" w:color="auto" w:fill="005CAF"/>
          </w:tcPr>
          <w:p w14:paraId="6519684A" w14:textId="77777777" w:rsidR="003824C2" w:rsidRPr="005D6102" w:rsidRDefault="003824C2" w:rsidP="002C04CF">
            <w:pPr>
              <w:rPr>
                <w:color w:val="FFFFFF" w:themeColor="background1"/>
                <w:sz w:val="28"/>
                <w:szCs w:val="28"/>
              </w:rPr>
            </w:pPr>
            <w:r w:rsidRPr="005D6102">
              <w:rPr>
                <w:color w:val="FFFFFF" w:themeColor="background1"/>
              </w:rPr>
              <w:t>World ranking production</w:t>
            </w:r>
          </w:p>
        </w:tc>
      </w:tr>
      <w:tr w:rsidR="003824C2" w:rsidRPr="005D6102" w14:paraId="0DFE2D3B" w14:textId="77777777" w:rsidTr="002C04CF">
        <w:trPr>
          <w:cnfStyle w:val="000000010000" w:firstRow="0" w:lastRow="0" w:firstColumn="0" w:lastColumn="0" w:oddVBand="0" w:evenVBand="0" w:oddHBand="0" w:evenHBand="1" w:firstRowFirstColumn="0" w:firstRowLastColumn="0" w:lastRowFirstColumn="0" w:lastRowLastColumn="0"/>
        </w:trPr>
        <w:tc>
          <w:tcPr>
            <w:tcW w:w="1335" w:type="dxa"/>
          </w:tcPr>
          <w:p w14:paraId="3BF5FA37" w14:textId="77777777" w:rsidR="003824C2" w:rsidRPr="005D6102" w:rsidRDefault="003824C2" w:rsidP="002C04CF">
            <w:pPr>
              <w:rPr>
                <w:sz w:val="28"/>
                <w:szCs w:val="28"/>
              </w:rPr>
            </w:pPr>
            <w:r w:rsidRPr="005D6102">
              <w:t>Moderate</w:t>
            </w:r>
          </w:p>
        </w:tc>
        <w:tc>
          <w:tcPr>
            <w:tcW w:w="1347" w:type="dxa"/>
          </w:tcPr>
          <w:p w14:paraId="668CE1CD" w14:textId="77777777" w:rsidR="003824C2" w:rsidRPr="005D6102" w:rsidRDefault="003824C2" w:rsidP="002C04CF">
            <w:pPr>
              <w:rPr>
                <w:sz w:val="28"/>
                <w:szCs w:val="28"/>
              </w:rPr>
            </w:pPr>
            <w:r w:rsidRPr="005D6102">
              <w:t>1.17mt</w:t>
            </w:r>
          </w:p>
        </w:tc>
        <w:tc>
          <w:tcPr>
            <w:tcW w:w="1342" w:type="dxa"/>
          </w:tcPr>
          <w:p w14:paraId="45BF5CCC" w14:textId="77777777" w:rsidR="003824C2" w:rsidRPr="005D6102" w:rsidRDefault="003824C2" w:rsidP="002C04CF">
            <w:r w:rsidRPr="005D6102">
              <w:t>N/A</w:t>
            </w:r>
          </w:p>
        </w:tc>
        <w:tc>
          <w:tcPr>
            <w:tcW w:w="1342" w:type="dxa"/>
          </w:tcPr>
          <w:p w14:paraId="5957EA74" w14:textId="77777777" w:rsidR="003824C2" w:rsidRPr="005D6102" w:rsidRDefault="003824C2" w:rsidP="002C04CF">
            <w:pPr>
              <w:rPr>
                <w:sz w:val="28"/>
                <w:szCs w:val="28"/>
              </w:rPr>
            </w:pPr>
            <w:r w:rsidRPr="005D6102">
              <w:t>5</w:t>
            </w:r>
            <w:r w:rsidRPr="005D6102">
              <w:rPr>
                <w:vertAlign w:val="superscript"/>
              </w:rPr>
              <w:t>th</w:t>
            </w:r>
          </w:p>
        </w:tc>
        <w:tc>
          <w:tcPr>
            <w:tcW w:w="1335" w:type="dxa"/>
          </w:tcPr>
          <w:p w14:paraId="1CCA5702" w14:textId="77777777" w:rsidR="003824C2" w:rsidRPr="005D6102" w:rsidRDefault="003824C2" w:rsidP="002C04CF">
            <w:pPr>
              <w:rPr>
                <w:sz w:val="28"/>
                <w:szCs w:val="28"/>
              </w:rPr>
            </w:pPr>
            <w:r w:rsidRPr="005D6102">
              <w:t>N/A</w:t>
            </w:r>
          </w:p>
        </w:tc>
        <w:tc>
          <w:tcPr>
            <w:tcW w:w="1234" w:type="dxa"/>
          </w:tcPr>
          <w:p w14:paraId="1978ACAA" w14:textId="77777777" w:rsidR="003824C2" w:rsidRPr="005D6102" w:rsidRDefault="003824C2" w:rsidP="002C04CF">
            <w:pPr>
              <w:rPr>
                <w:sz w:val="28"/>
                <w:szCs w:val="28"/>
              </w:rPr>
            </w:pPr>
            <w:r w:rsidRPr="005D6102">
              <w:t>N/A</w:t>
            </w:r>
          </w:p>
        </w:tc>
        <w:tc>
          <w:tcPr>
            <w:tcW w:w="1269" w:type="dxa"/>
          </w:tcPr>
          <w:p w14:paraId="4584AD6E" w14:textId="77777777" w:rsidR="003824C2" w:rsidRPr="005D6102" w:rsidRDefault="003824C2" w:rsidP="002C04CF">
            <w:pPr>
              <w:rPr>
                <w:sz w:val="28"/>
                <w:szCs w:val="28"/>
              </w:rPr>
            </w:pPr>
            <w:r w:rsidRPr="005D6102">
              <w:t>4</w:t>
            </w:r>
            <w:r w:rsidRPr="005D6102">
              <w:rPr>
                <w:vertAlign w:val="superscript"/>
              </w:rPr>
              <w:t>th</w:t>
            </w:r>
            <w:r w:rsidRPr="005D6102">
              <w:t xml:space="preserve"> </w:t>
            </w:r>
          </w:p>
        </w:tc>
      </w:tr>
    </w:tbl>
    <w:p w14:paraId="4C760944" w14:textId="6F0F005A" w:rsidR="003220CF" w:rsidRPr="005D6102" w:rsidRDefault="003824C2" w:rsidP="00631A54">
      <w:pPr>
        <w:pStyle w:val="BodyText"/>
        <w:rPr>
          <w:color w:val="005CAF"/>
          <w:sz w:val="16"/>
          <w:szCs w:val="16"/>
          <w:lang w:val="en"/>
        </w:rPr>
      </w:pPr>
      <w:r w:rsidRPr="005D6102">
        <w:rPr>
          <w:color w:val="005CAF"/>
          <w:sz w:val="16"/>
          <w:szCs w:val="16"/>
        </w:rPr>
        <w:t>Source: Australian Trade and Investment Commission (2019) Critical Minerals Prospectus, Geoscience Australia (2019)</w:t>
      </w:r>
    </w:p>
    <w:p w14:paraId="0C4D0197" w14:textId="302BCCA2" w:rsidR="000302AA" w:rsidRPr="005D6102" w:rsidRDefault="0009608F" w:rsidP="006314DD">
      <w:pPr>
        <w:pStyle w:val="Heading1"/>
        <w:rPr>
          <w:bCs w:val="0"/>
          <w:iCs/>
        </w:rPr>
      </w:pPr>
      <w:bookmarkStart w:id="139" w:name="_Toc14958192"/>
      <w:bookmarkStart w:id="140" w:name="_Toc16143296"/>
      <w:bookmarkStart w:id="141" w:name="_Toc17803367"/>
      <w:r>
        <w:rPr>
          <w:bCs w:val="0"/>
          <w:iCs/>
          <w:noProof/>
          <w:lang w:eastAsia="en-AU"/>
        </w:rPr>
        <w:lastRenderedPageBreak/>
        <w:drawing>
          <wp:anchor distT="0" distB="0" distL="114300" distR="114300" simplePos="0" relativeHeight="251660288" behindDoc="1" locked="0" layoutInCell="1" allowOverlap="1" wp14:anchorId="53B11B49" wp14:editId="234BD657">
            <wp:simplePos x="0" y="0"/>
            <wp:positionH relativeFrom="column">
              <wp:posOffset>3891363</wp:posOffset>
            </wp:positionH>
            <wp:positionV relativeFrom="paragraph">
              <wp:posOffset>-620615</wp:posOffset>
            </wp:positionV>
            <wp:extent cx="2003729" cy="1335744"/>
            <wp:effectExtent l="0" t="0" r="0" b="0"/>
            <wp:wrapNone/>
            <wp:docPr id="24" name="Picture 24" descr="Image shows the mineral tungst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tungsten.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003729" cy="1335744"/>
                    </a:xfrm>
                    <a:prstGeom prst="rect">
                      <a:avLst/>
                    </a:prstGeom>
                  </pic:spPr>
                </pic:pic>
              </a:graphicData>
            </a:graphic>
            <wp14:sizeRelH relativeFrom="page">
              <wp14:pctWidth>0</wp14:pctWidth>
            </wp14:sizeRelH>
            <wp14:sizeRelV relativeFrom="page">
              <wp14:pctHeight>0</wp14:pctHeight>
            </wp14:sizeRelV>
          </wp:anchor>
        </w:drawing>
      </w:r>
      <w:r w:rsidR="00593584" w:rsidRPr="005D6102">
        <w:t>Tungsten</w:t>
      </w:r>
      <w:bookmarkEnd w:id="139"/>
      <w:bookmarkEnd w:id="140"/>
      <w:bookmarkEnd w:id="141"/>
    </w:p>
    <w:p w14:paraId="08C95684" w14:textId="25E18770" w:rsidR="00593584" w:rsidRPr="005D6102" w:rsidRDefault="0009608F" w:rsidP="0009608F">
      <w:pPr>
        <w:pStyle w:val="Heading2"/>
        <w:rPr>
          <w:bCs/>
          <w:iCs w:val="0"/>
          <w:color w:val="005CAF"/>
          <w:sz w:val="32"/>
          <w:szCs w:val="32"/>
        </w:rPr>
      </w:pPr>
      <w:bookmarkStart w:id="142" w:name="_Toc17803368"/>
      <w:r>
        <w:rPr>
          <w:bCs/>
          <w:iCs w:val="0"/>
          <w:noProof/>
          <w:color w:val="005CAF"/>
          <w:sz w:val="32"/>
          <w:szCs w:val="32"/>
          <w:lang w:eastAsia="en-AU"/>
        </w:rPr>
        <w:drawing>
          <wp:inline distT="0" distB="0" distL="0" distR="0" wp14:anchorId="5815A13D" wp14:editId="3C8B0CA4">
            <wp:extent cx="5667566" cy="4993419"/>
            <wp:effectExtent l="0" t="0" r="0" b="0"/>
            <wp:docPr id="29" name="Picture 29" descr="This infographic shows the top producers of tungsten - China, Vietnam and Russia. For comparison, it also shows Australia's negligible production. it shows the top importers - the US, Austria and China. It describes Australia's large resource endowment, which is the second largest in the world." title="Tungsten info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Tungsten.jpg"/>
                    <pic:cNvPicPr/>
                  </pic:nvPicPr>
                  <pic:blipFill rotWithShape="1">
                    <a:blip r:embed="rId45" cstate="print">
                      <a:extLst>
                        <a:ext uri="{28A0092B-C50C-407E-A947-70E740481C1C}">
                          <a14:useLocalDpi xmlns:a14="http://schemas.microsoft.com/office/drawing/2010/main" val="0"/>
                        </a:ext>
                      </a:extLst>
                    </a:blip>
                    <a:srcRect l="2812"/>
                    <a:stretch/>
                  </pic:blipFill>
                  <pic:spPr bwMode="auto">
                    <a:xfrm>
                      <a:off x="0" y="0"/>
                      <a:ext cx="5672969" cy="4998179"/>
                    </a:xfrm>
                    <a:prstGeom prst="rect">
                      <a:avLst/>
                    </a:prstGeom>
                    <a:ln>
                      <a:noFill/>
                    </a:ln>
                    <a:extLst>
                      <a:ext uri="{53640926-AAD7-44D8-BBD7-CCE9431645EC}">
                        <a14:shadowObscured xmlns:a14="http://schemas.microsoft.com/office/drawing/2010/main"/>
                      </a:ext>
                    </a:extLst>
                  </pic:spPr>
                </pic:pic>
              </a:graphicData>
            </a:graphic>
          </wp:inline>
        </w:drawing>
      </w:r>
      <w:bookmarkEnd w:id="142"/>
    </w:p>
    <w:p w14:paraId="3F13EEED" w14:textId="24588FBA" w:rsidR="00593584" w:rsidRPr="005D6102" w:rsidRDefault="00593584" w:rsidP="0009608F">
      <w:pPr>
        <w:pStyle w:val="Heading2"/>
      </w:pPr>
      <w:bookmarkStart w:id="143" w:name="_Toc14958194"/>
      <w:bookmarkStart w:id="144" w:name="_Toc15388921"/>
      <w:bookmarkStart w:id="145" w:name="_Toc16143298"/>
      <w:bookmarkStart w:id="146" w:name="_Toc17803369"/>
      <w:r w:rsidRPr="005D6102">
        <w:t xml:space="preserve">Key </w:t>
      </w:r>
      <w:bookmarkEnd w:id="143"/>
      <w:r w:rsidR="006E6405" w:rsidRPr="005D6102">
        <w:t>properties and uses</w:t>
      </w:r>
      <w:bookmarkEnd w:id="144"/>
      <w:bookmarkEnd w:id="145"/>
      <w:bookmarkEnd w:id="146"/>
    </w:p>
    <w:p w14:paraId="0375030A" w14:textId="42A887A9" w:rsidR="00F25A48" w:rsidRPr="005D6102" w:rsidRDefault="00F25A48" w:rsidP="00F25A48">
      <w:pPr>
        <w:rPr>
          <w:sz w:val="20"/>
          <w:szCs w:val="20"/>
        </w:rPr>
      </w:pPr>
      <w:r w:rsidRPr="005D6102">
        <w:rPr>
          <w:sz w:val="20"/>
          <w:szCs w:val="20"/>
        </w:rPr>
        <w:t xml:space="preserve">In mineral deposits, tungsten is commonly found in association with molybdenum or tin. </w:t>
      </w:r>
    </w:p>
    <w:p w14:paraId="648235F4" w14:textId="1EC235AD" w:rsidR="000302AA" w:rsidRPr="005D6102" w:rsidRDefault="005A7A22" w:rsidP="000302AA">
      <w:pPr>
        <w:rPr>
          <w:sz w:val="20"/>
          <w:szCs w:val="20"/>
        </w:rPr>
      </w:pPr>
      <w:r w:rsidRPr="005D6102">
        <w:rPr>
          <w:sz w:val="20"/>
          <w:szCs w:val="20"/>
        </w:rPr>
        <w:t xml:space="preserve">Tungsten </w:t>
      </w:r>
      <w:r w:rsidR="000302AA" w:rsidRPr="005D6102">
        <w:rPr>
          <w:sz w:val="20"/>
          <w:szCs w:val="20"/>
        </w:rPr>
        <w:t>is a steel-grey, brittle metal with a high melting point</w:t>
      </w:r>
      <w:r w:rsidR="00F25A48" w:rsidRPr="005D6102">
        <w:rPr>
          <w:sz w:val="20"/>
          <w:szCs w:val="20"/>
        </w:rPr>
        <w:t>,</w:t>
      </w:r>
      <w:r w:rsidR="000302AA" w:rsidRPr="005D6102">
        <w:rPr>
          <w:sz w:val="20"/>
          <w:szCs w:val="20"/>
        </w:rPr>
        <w:t xml:space="preserve"> very high tensile strength</w:t>
      </w:r>
      <w:r w:rsidR="00F25A48" w:rsidRPr="005D6102">
        <w:rPr>
          <w:sz w:val="20"/>
          <w:szCs w:val="20"/>
        </w:rPr>
        <w:t>, and</w:t>
      </w:r>
      <w:r w:rsidR="000302AA" w:rsidRPr="005D6102">
        <w:rPr>
          <w:sz w:val="20"/>
          <w:szCs w:val="20"/>
        </w:rPr>
        <w:t xml:space="preserve"> the lowest coefficient of thermal expansion of any metal</w:t>
      </w:r>
      <w:r w:rsidR="00F25A48" w:rsidRPr="005D6102">
        <w:rPr>
          <w:sz w:val="20"/>
          <w:szCs w:val="20"/>
        </w:rPr>
        <w:t>. These qualities are</w:t>
      </w:r>
      <w:r w:rsidRPr="005D6102">
        <w:rPr>
          <w:sz w:val="20"/>
          <w:szCs w:val="20"/>
        </w:rPr>
        <w:t xml:space="preserve"> useful in tool making</w:t>
      </w:r>
      <w:r w:rsidR="003C6FBF" w:rsidRPr="005D6102">
        <w:rPr>
          <w:sz w:val="20"/>
          <w:szCs w:val="20"/>
        </w:rPr>
        <w:t>.</w:t>
      </w:r>
    </w:p>
    <w:p w14:paraId="01CE624F" w14:textId="341D78D5" w:rsidR="00EF4BA0" w:rsidRPr="005D6102" w:rsidRDefault="000302AA" w:rsidP="00EF4BA0">
      <w:pPr>
        <w:rPr>
          <w:sz w:val="20"/>
          <w:szCs w:val="20"/>
        </w:rPr>
      </w:pPr>
      <w:r w:rsidRPr="005D6102">
        <w:rPr>
          <w:sz w:val="20"/>
          <w:szCs w:val="20"/>
        </w:rPr>
        <w:t>Tungsten is used to make alloys and specialty steels, as well as electrodes, filaments, wires, and other components for electrical, electronic, heating, lighting and welding applications.</w:t>
      </w:r>
      <w:r w:rsidR="005A7A22" w:rsidRPr="005D6102">
        <w:rPr>
          <w:sz w:val="20"/>
          <w:szCs w:val="20"/>
        </w:rPr>
        <w:t xml:space="preserve"> </w:t>
      </w:r>
      <w:r w:rsidR="00BC40BA" w:rsidRPr="005D6102">
        <w:rPr>
          <w:sz w:val="20"/>
          <w:szCs w:val="20"/>
        </w:rPr>
        <w:t>Cemented carbide parts are important for cutting and wear-resistant applications, primarily in the construction, metalworking, mining, and oil and gas drilling industries. It is also used to produce chemicals.</w:t>
      </w:r>
      <w:r w:rsidR="00EF4BA0" w:rsidRPr="005D6102">
        <w:rPr>
          <w:sz w:val="20"/>
          <w:szCs w:val="20"/>
        </w:rPr>
        <w:t xml:space="preserve"> </w:t>
      </w:r>
    </w:p>
    <w:p w14:paraId="732C4BC2" w14:textId="37E16F33" w:rsidR="002E6967" w:rsidRPr="005D6102" w:rsidRDefault="00931CE7" w:rsidP="0009608F">
      <w:pPr>
        <w:pStyle w:val="Heading2"/>
        <w:rPr>
          <w:sz w:val="24"/>
        </w:rPr>
      </w:pPr>
      <w:bookmarkStart w:id="147" w:name="_Toc16143299"/>
      <w:bookmarkStart w:id="148" w:name="_Toc17803370"/>
      <w:r w:rsidRPr="005D6102">
        <w:rPr>
          <w:szCs w:val="20"/>
        </w:rPr>
        <w:t>Substitution</w:t>
      </w:r>
      <w:bookmarkEnd w:id="147"/>
      <w:bookmarkEnd w:id="148"/>
    </w:p>
    <w:p w14:paraId="6A4F8E36" w14:textId="1A7E8CB9" w:rsidR="002E6967" w:rsidRPr="005D6102" w:rsidRDefault="002E6967" w:rsidP="002E6967">
      <w:pPr>
        <w:rPr>
          <w:sz w:val="20"/>
          <w:szCs w:val="20"/>
        </w:rPr>
      </w:pPr>
      <w:r w:rsidRPr="005D6102">
        <w:rPr>
          <w:sz w:val="20"/>
          <w:szCs w:val="20"/>
        </w:rPr>
        <w:t xml:space="preserve">Substitutes for tungsten carbide include molybdenum carbide, titanium carbide, ceramics, ceramic-metal composites, and tool steel. Molybdenum steel can substitute for tungsten steel, and there are several substitutes for tungsten in lighting. </w:t>
      </w:r>
      <w:r w:rsidR="009749EF" w:rsidRPr="005D6102">
        <w:rPr>
          <w:sz w:val="20"/>
          <w:szCs w:val="20"/>
        </w:rPr>
        <w:t xml:space="preserve">These tend to be less cost effective than tungsten or face performance limitations. </w:t>
      </w:r>
      <w:r w:rsidRPr="005D6102">
        <w:rPr>
          <w:sz w:val="20"/>
          <w:szCs w:val="20"/>
        </w:rPr>
        <w:t xml:space="preserve">Depleted uranium can be substituted in </w:t>
      </w:r>
      <w:r w:rsidR="009749EF" w:rsidRPr="005D6102">
        <w:rPr>
          <w:sz w:val="20"/>
          <w:szCs w:val="20"/>
        </w:rPr>
        <w:t>munitions</w:t>
      </w:r>
      <w:r w:rsidRPr="005D6102">
        <w:rPr>
          <w:sz w:val="20"/>
          <w:szCs w:val="20"/>
        </w:rPr>
        <w:t xml:space="preserve">, </w:t>
      </w:r>
      <w:r w:rsidR="009749EF" w:rsidRPr="005D6102">
        <w:rPr>
          <w:sz w:val="20"/>
          <w:szCs w:val="20"/>
        </w:rPr>
        <w:t>is cheaper than tungsten</w:t>
      </w:r>
      <w:r w:rsidR="00CA7886" w:rsidRPr="005D6102">
        <w:rPr>
          <w:sz w:val="20"/>
          <w:szCs w:val="20"/>
        </w:rPr>
        <w:t>,</w:t>
      </w:r>
      <w:r w:rsidR="009749EF" w:rsidRPr="005D6102">
        <w:rPr>
          <w:sz w:val="20"/>
          <w:szCs w:val="20"/>
        </w:rPr>
        <w:t xml:space="preserve"> but </w:t>
      </w:r>
      <w:r w:rsidR="00CA7886" w:rsidRPr="005D6102">
        <w:rPr>
          <w:sz w:val="20"/>
          <w:szCs w:val="20"/>
        </w:rPr>
        <w:t xml:space="preserve">has been </w:t>
      </w:r>
      <w:r w:rsidR="009749EF" w:rsidRPr="005D6102">
        <w:rPr>
          <w:sz w:val="20"/>
          <w:szCs w:val="20"/>
        </w:rPr>
        <w:t>associated with health concerns</w:t>
      </w:r>
      <w:r w:rsidR="00CA7886" w:rsidRPr="005D6102">
        <w:rPr>
          <w:sz w:val="20"/>
          <w:szCs w:val="20"/>
        </w:rPr>
        <w:t xml:space="preserve"> for people handling it</w:t>
      </w:r>
      <w:r w:rsidRPr="005D6102">
        <w:rPr>
          <w:sz w:val="20"/>
          <w:szCs w:val="20"/>
        </w:rPr>
        <w:t>.</w:t>
      </w:r>
    </w:p>
    <w:p w14:paraId="297B4816" w14:textId="0285ABBE" w:rsidR="00012EAF" w:rsidRPr="005D6102" w:rsidRDefault="00D34DCE" w:rsidP="00DC5F66">
      <w:pPr>
        <w:pStyle w:val="Caption"/>
      </w:pPr>
      <w:r w:rsidRPr="005D6102">
        <w:lastRenderedPageBreak/>
        <w:t xml:space="preserve">Figure </w:t>
      </w:r>
      <w:r w:rsidR="00717639">
        <w:rPr>
          <w:noProof/>
        </w:rPr>
        <w:t>7</w:t>
      </w:r>
      <w:r w:rsidRPr="005D6102">
        <w:t>.</w:t>
      </w:r>
      <w:r w:rsidR="000F4B63">
        <w:rPr>
          <w:noProof/>
        </w:rPr>
        <w:fldChar w:fldCharType="begin"/>
      </w:r>
      <w:r w:rsidR="000F4B63">
        <w:rPr>
          <w:noProof/>
        </w:rPr>
        <w:instrText xml:space="preserve"> SEQ Figure \* ARABIC \s 1 </w:instrText>
      </w:r>
      <w:r w:rsidR="000F4B63">
        <w:rPr>
          <w:noProof/>
        </w:rPr>
        <w:fldChar w:fldCharType="separate"/>
      </w:r>
      <w:r w:rsidR="00A7507E">
        <w:rPr>
          <w:noProof/>
        </w:rPr>
        <w:t>1</w:t>
      </w:r>
      <w:r w:rsidR="000F4B63">
        <w:rPr>
          <w:noProof/>
        </w:rPr>
        <w:fldChar w:fldCharType="end"/>
      </w:r>
      <w:r w:rsidR="00012EAF" w:rsidRPr="005D6102">
        <w:t xml:space="preserve">: </w:t>
      </w:r>
      <w:r w:rsidR="00DC5F66" w:rsidRPr="005D6102">
        <w:t>World consumption of tungsten by use</w:t>
      </w:r>
    </w:p>
    <w:tbl>
      <w:tblPr>
        <w:tblStyle w:val="OCETable"/>
        <w:tblW w:w="4940" w:type="pct"/>
        <w:tblInd w:w="108" w:type="dxa"/>
        <w:tblLayout w:type="fixed"/>
        <w:tblLook w:val="04A0" w:firstRow="1" w:lastRow="0" w:firstColumn="1" w:lastColumn="0" w:noHBand="0" w:noVBand="1"/>
        <w:tblCaption w:val="table contains figure 7.1"/>
      </w:tblPr>
      <w:tblGrid>
        <w:gridCol w:w="8799"/>
      </w:tblGrid>
      <w:tr w:rsidR="00012EAF" w:rsidRPr="005D6102" w14:paraId="22C24E65" w14:textId="77777777" w:rsidTr="008A7D62">
        <w:trPr>
          <w:cnfStyle w:val="100000000000" w:firstRow="1" w:lastRow="0" w:firstColumn="0" w:lastColumn="0" w:oddVBand="0" w:evenVBand="0" w:oddHBand="0" w:evenHBand="0" w:firstRowFirstColumn="0" w:firstRowLastColumn="0" w:lastRowFirstColumn="0" w:lastRowLastColumn="0"/>
          <w:tblHeader/>
        </w:trPr>
        <w:tc>
          <w:tcPr>
            <w:tcW w:w="8799" w:type="dxa"/>
            <w:shd w:val="clear" w:color="auto" w:fill="auto"/>
          </w:tcPr>
          <w:p w14:paraId="798948FF" w14:textId="52B88A14" w:rsidR="00012EAF" w:rsidRPr="005D6102" w:rsidRDefault="007D15C0" w:rsidP="00DB1B75">
            <w:pPr>
              <w:pStyle w:val="PlaceholderWide"/>
              <w:jc w:val="left"/>
            </w:pPr>
            <w:r>
              <w:rPr>
                <w:noProof/>
                <w:lang w:eastAsia="en-AU"/>
              </w:rPr>
              <w:drawing>
                <wp:inline distT="0" distB="0" distL="0" distR="0" wp14:anchorId="42F48256" wp14:editId="48C81069">
                  <wp:extent cx="4560277" cy="2730745"/>
                  <wp:effectExtent l="0" t="0" r="0" b="0"/>
                  <wp:docPr id="3" name="Chart 3" descr="This chart shows the main end uses for tungsten, and total world consumption from 2011 to 2018." title="Figure 7.1: World consumption of tungsten by use"/>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r w:rsidR="00012EAF" w:rsidRPr="005D6102">
              <w:t xml:space="preserve"> Xx Paste figure </w:t>
            </w:r>
          </w:p>
        </w:tc>
      </w:tr>
    </w:tbl>
    <w:p w14:paraId="0880639F" w14:textId="0FBE6D6B" w:rsidR="00D34DCE" w:rsidRPr="005D6102" w:rsidRDefault="00D34DCE" w:rsidP="00D34DCE">
      <w:pPr>
        <w:pStyle w:val="Source"/>
      </w:pPr>
      <w:r w:rsidRPr="005D6102">
        <w:t xml:space="preserve">Source: Roskill </w:t>
      </w:r>
      <w:r w:rsidR="005656B3" w:rsidRPr="005656B3">
        <w:rPr>
          <w:lang w:val="en-AU"/>
        </w:rPr>
        <w:t>(</w:t>
      </w:r>
      <w:r w:rsidR="005656B3" w:rsidRPr="008A7D62">
        <w:rPr>
          <w:lang w:val="en-AU"/>
        </w:rPr>
        <w:t>2019)</w:t>
      </w:r>
      <w:r w:rsidR="00900C52" w:rsidRPr="00900C52">
        <w:rPr>
          <w:noProof/>
          <w:lang w:eastAsia="en-AU"/>
        </w:rPr>
        <w:t xml:space="preserve"> </w:t>
      </w:r>
    </w:p>
    <w:p w14:paraId="74F48555" w14:textId="05E483F8" w:rsidR="00207EFC" w:rsidRPr="005D6102" w:rsidRDefault="00207EFC" w:rsidP="0009608F">
      <w:pPr>
        <w:pStyle w:val="Heading2"/>
      </w:pPr>
      <w:bookmarkStart w:id="149" w:name="_Toc15388923"/>
      <w:bookmarkStart w:id="150" w:name="_Toc16143300"/>
      <w:bookmarkStart w:id="151" w:name="_Toc17803371"/>
      <w:r w:rsidRPr="005D6102">
        <w:t>World consumption</w:t>
      </w:r>
      <w:bookmarkEnd w:id="149"/>
      <w:bookmarkEnd w:id="150"/>
      <w:bookmarkEnd w:id="151"/>
    </w:p>
    <w:p w14:paraId="1C5AFF55" w14:textId="799589A6" w:rsidR="009A6A4C" w:rsidRPr="005D6102" w:rsidRDefault="009A6A4C" w:rsidP="009A6A4C">
      <w:pPr>
        <w:rPr>
          <w:sz w:val="20"/>
          <w:szCs w:val="20"/>
        </w:rPr>
      </w:pPr>
      <w:r w:rsidRPr="005D6102">
        <w:rPr>
          <w:sz w:val="20"/>
          <w:szCs w:val="20"/>
        </w:rPr>
        <w:t xml:space="preserve">The top </w:t>
      </w:r>
      <w:r w:rsidR="00DC3564" w:rsidRPr="005D6102">
        <w:rPr>
          <w:sz w:val="20"/>
          <w:szCs w:val="20"/>
        </w:rPr>
        <w:t>tungsten</w:t>
      </w:r>
      <w:r w:rsidRPr="005D6102">
        <w:rPr>
          <w:sz w:val="20"/>
          <w:szCs w:val="20"/>
        </w:rPr>
        <w:t xml:space="preserve"> importers are:</w:t>
      </w:r>
    </w:p>
    <w:p w14:paraId="6A021E11" w14:textId="6C064F81" w:rsidR="009A6A4C" w:rsidRPr="005D6102" w:rsidRDefault="009A6A4C" w:rsidP="009A6A4C">
      <w:pPr>
        <w:pStyle w:val="ListParagraph"/>
        <w:numPr>
          <w:ilvl w:val="0"/>
          <w:numId w:val="36"/>
        </w:numPr>
        <w:spacing w:after="160" w:line="259" w:lineRule="auto"/>
        <w:contextualSpacing/>
        <w:jc w:val="left"/>
      </w:pPr>
      <w:r w:rsidRPr="005D6102">
        <w:t>US (US$84 million)</w:t>
      </w:r>
    </w:p>
    <w:p w14:paraId="6E48693C" w14:textId="49250B70" w:rsidR="009A6A4C" w:rsidRPr="005D6102" w:rsidRDefault="009A6A4C" w:rsidP="009A6A4C">
      <w:pPr>
        <w:pStyle w:val="ListParagraph"/>
        <w:numPr>
          <w:ilvl w:val="0"/>
          <w:numId w:val="36"/>
        </w:numPr>
        <w:spacing w:after="160" w:line="259" w:lineRule="auto"/>
        <w:contextualSpacing/>
        <w:jc w:val="left"/>
      </w:pPr>
      <w:r w:rsidRPr="005D6102">
        <w:t>Austria (US</w:t>
      </w:r>
      <w:r w:rsidR="00497270">
        <w:t>$</w:t>
      </w:r>
      <w:r w:rsidRPr="005D6102">
        <w:t>45 million)</w:t>
      </w:r>
    </w:p>
    <w:p w14:paraId="6AFA14B0" w14:textId="2D34A008" w:rsidR="009A6A4C" w:rsidRPr="005D6102" w:rsidRDefault="009A6A4C" w:rsidP="009A6A4C">
      <w:pPr>
        <w:pStyle w:val="ListParagraph"/>
        <w:numPr>
          <w:ilvl w:val="0"/>
          <w:numId w:val="36"/>
        </w:numPr>
        <w:spacing w:after="160" w:line="259" w:lineRule="auto"/>
        <w:contextualSpacing/>
        <w:jc w:val="left"/>
      </w:pPr>
      <w:r w:rsidRPr="005D6102">
        <w:t>China (US</w:t>
      </w:r>
      <w:r w:rsidR="00497270">
        <w:t>$</w:t>
      </w:r>
      <w:r w:rsidRPr="005D6102">
        <w:t>27 million)</w:t>
      </w:r>
    </w:p>
    <w:p w14:paraId="63AC0157" w14:textId="56EC0C4D" w:rsidR="00207EFC" w:rsidRPr="005D6102" w:rsidRDefault="00207EFC" w:rsidP="00207EFC">
      <w:pPr>
        <w:rPr>
          <w:sz w:val="20"/>
          <w:szCs w:val="20"/>
        </w:rPr>
      </w:pPr>
      <w:r w:rsidRPr="005D6102">
        <w:rPr>
          <w:sz w:val="20"/>
          <w:szCs w:val="20"/>
        </w:rPr>
        <w:t xml:space="preserve">Since tungsten’s main uses are in industry, its consumption tends to grow in line with the world economy, and particularly in line with the manufacturing sector. Tungsten has seen steady growth in both demand and supply over the past decade. With strong world economic growth from 2011 to 2018, tungsten consumption rose 2.1 per cent a year on average (Figure </w:t>
      </w:r>
      <w:r w:rsidR="00013859">
        <w:rPr>
          <w:sz w:val="20"/>
          <w:szCs w:val="20"/>
        </w:rPr>
        <w:t>7</w:t>
      </w:r>
      <w:r w:rsidRPr="005D6102">
        <w:rPr>
          <w:sz w:val="20"/>
          <w:szCs w:val="20"/>
        </w:rPr>
        <w:t xml:space="preserve">.1). Current weakness in the global economy and manufacturing sector has contributed to prices falling to </w:t>
      </w:r>
      <w:r w:rsidR="005211B3" w:rsidRPr="005D6102">
        <w:rPr>
          <w:sz w:val="20"/>
          <w:szCs w:val="20"/>
        </w:rPr>
        <w:t>two</w:t>
      </w:r>
      <w:r w:rsidR="00F03837" w:rsidRPr="005D6102">
        <w:rPr>
          <w:sz w:val="20"/>
          <w:szCs w:val="20"/>
        </w:rPr>
        <w:t>-</w:t>
      </w:r>
      <w:r w:rsidRPr="005D6102">
        <w:rPr>
          <w:sz w:val="20"/>
          <w:szCs w:val="20"/>
        </w:rPr>
        <w:t xml:space="preserve">year lows of around US$270 per </w:t>
      </w:r>
      <w:r w:rsidR="0030798A" w:rsidRPr="005D6102">
        <w:rPr>
          <w:sz w:val="20"/>
          <w:szCs w:val="20"/>
        </w:rPr>
        <w:t>metric tonne unit (</w:t>
      </w:r>
      <w:r w:rsidRPr="005D6102">
        <w:rPr>
          <w:sz w:val="20"/>
          <w:szCs w:val="20"/>
        </w:rPr>
        <w:t>mtu</w:t>
      </w:r>
      <w:r w:rsidR="0030798A" w:rsidRPr="005D6102">
        <w:rPr>
          <w:sz w:val="20"/>
          <w:szCs w:val="20"/>
        </w:rPr>
        <w:t>)</w:t>
      </w:r>
      <w:r w:rsidRPr="005D6102">
        <w:rPr>
          <w:sz w:val="20"/>
          <w:szCs w:val="20"/>
        </w:rPr>
        <w:t xml:space="preserve">. </w:t>
      </w:r>
    </w:p>
    <w:p w14:paraId="58BC635C" w14:textId="475E5886" w:rsidR="00207EFC" w:rsidRPr="005D6102" w:rsidRDefault="00207EFC" w:rsidP="00207EFC">
      <w:pPr>
        <w:rPr>
          <w:sz w:val="20"/>
          <w:szCs w:val="20"/>
        </w:rPr>
      </w:pPr>
      <w:r w:rsidRPr="005D6102">
        <w:rPr>
          <w:sz w:val="20"/>
          <w:szCs w:val="20"/>
        </w:rPr>
        <w:t>Tungsten has long been considered strategically important</w:t>
      </w:r>
      <w:r w:rsidR="00F03837" w:rsidRPr="005D6102">
        <w:rPr>
          <w:sz w:val="20"/>
          <w:szCs w:val="20"/>
        </w:rPr>
        <w:t>,</w:t>
      </w:r>
      <w:r w:rsidRPr="005D6102">
        <w:rPr>
          <w:sz w:val="20"/>
          <w:szCs w:val="20"/>
        </w:rPr>
        <w:t xml:space="preserve"> and the US has maintained a </w:t>
      </w:r>
      <w:r w:rsidR="001C5695" w:rsidRPr="005D6102">
        <w:rPr>
          <w:sz w:val="20"/>
          <w:szCs w:val="20"/>
        </w:rPr>
        <w:t>d</w:t>
      </w:r>
      <w:r w:rsidRPr="005D6102">
        <w:rPr>
          <w:sz w:val="20"/>
          <w:szCs w:val="20"/>
        </w:rPr>
        <w:t xml:space="preserve">efence </w:t>
      </w:r>
      <w:r w:rsidR="001C5695" w:rsidRPr="005D6102">
        <w:rPr>
          <w:sz w:val="20"/>
          <w:szCs w:val="20"/>
        </w:rPr>
        <w:t>n</w:t>
      </w:r>
      <w:r w:rsidRPr="005D6102">
        <w:rPr>
          <w:sz w:val="20"/>
          <w:szCs w:val="20"/>
        </w:rPr>
        <w:t xml:space="preserve">ational </w:t>
      </w:r>
      <w:r w:rsidR="001C5695" w:rsidRPr="005D6102">
        <w:rPr>
          <w:sz w:val="20"/>
          <w:szCs w:val="20"/>
        </w:rPr>
        <w:t>s</w:t>
      </w:r>
      <w:r w:rsidRPr="005D6102">
        <w:rPr>
          <w:sz w:val="20"/>
          <w:szCs w:val="20"/>
        </w:rPr>
        <w:t xml:space="preserve">tockpile of tungsten ores and concentrates since the 1940s. </w:t>
      </w:r>
    </w:p>
    <w:p w14:paraId="5275FE51" w14:textId="5136D495" w:rsidR="000C2A9A" w:rsidRPr="005D6102" w:rsidRDefault="00E26BAF" w:rsidP="0009608F">
      <w:pPr>
        <w:pStyle w:val="Heading2"/>
        <w:rPr>
          <w:sz w:val="20"/>
          <w:szCs w:val="20"/>
        </w:rPr>
      </w:pPr>
      <w:bookmarkStart w:id="152" w:name="_Toc15388924"/>
      <w:bookmarkStart w:id="153" w:name="_Toc16143301"/>
      <w:bookmarkStart w:id="154" w:name="_Toc17803372"/>
      <w:r w:rsidRPr="005D6102">
        <w:t>World production</w:t>
      </w:r>
      <w:bookmarkEnd w:id="152"/>
      <w:bookmarkEnd w:id="153"/>
      <w:bookmarkEnd w:id="154"/>
    </w:p>
    <w:p w14:paraId="6E4E0590" w14:textId="38A0C50F" w:rsidR="00C56FF2" w:rsidRPr="005D6102" w:rsidRDefault="009D5783" w:rsidP="009868AA">
      <w:pPr>
        <w:rPr>
          <w:sz w:val="20"/>
          <w:szCs w:val="20"/>
        </w:rPr>
      </w:pPr>
      <w:r w:rsidRPr="005D6102">
        <w:rPr>
          <w:sz w:val="20"/>
          <w:szCs w:val="20"/>
        </w:rPr>
        <w:t xml:space="preserve">Over the past 20 years, </w:t>
      </w:r>
      <w:r w:rsidR="00C56FF2" w:rsidRPr="005D6102">
        <w:rPr>
          <w:sz w:val="20"/>
          <w:szCs w:val="20"/>
        </w:rPr>
        <w:t xml:space="preserve">China has been </w:t>
      </w:r>
      <w:r w:rsidRPr="005D6102">
        <w:rPr>
          <w:sz w:val="20"/>
          <w:szCs w:val="20"/>
        </w:rPr>
        <w:t>t</w:t>
      </w:r>
      <w:r w:rsidR="002B102A" w:rsidRPr="005D6102">
        <w:rPr>
          <w:sz w:val="20"/>
          <w:szCs w:val="20"/>
        </w:rPr>
        <w:t>he dominant producer of primary (mining) and secondary (recycling) tungsten</w:t>
      </w:r>
      <w:r w:rsidRPr="005D6102">
        <w:rPr>
          <w:sz w:val="20"/>
          <w:szCs w:val="20"/>
        </w:rPr>
        <w:t>. In 2018, China</w:t>
      </w:r>
      <w:r w:rsidR="002B102A" w:rsidRPr="005D6102">
        <w:rPr>
          <w:sz w:val="20"/>
          <w:szCs w:val="20"/>
        </w:rPr>
        <w:t xml:space="preserve"> accounted for 79 per cent of all mining output</w:t>
      </w:r>
      <w:r w:rsidRPr="005D6102">
        <w:rPr>
          <w:sz w:val="20"/>
          <w:szCs w:val="20"/>
        </w:rPr>
        <w:t>,</w:t>
      </w:r>
      <w:r w:rsidR="002B102A" w:rsidRPr="005D6102">
        <w:rPr>
          <w:sz w:val="20"/>
          <w:szCs w:val="20"/>
        </w:rPr>
        <w:t xml:space="preserve"> Vietnam </w:t>
      </w:r>
      <w:r w:rsidRPr="005D6102">
        <w:rPr>
          <w:sz w:val="20"/>
          <w:szCs w:val="20"/>
        </w:rPr>
        <w:t>accounted</w:t>
      </w:r>
      <w:r w:rsidR="002B102A" w:rsidRPr="005D6102">
        <w:rPr>
          <w:sz w:val="20"/>
          <w:szCs w:val="20"/>
        </w:rPr>
        <w:t xml:space="preserve"> for 8 per cent, and Russia for a further 3 per cent</w:t>
      </w:r>
      <w:r w:rsidR="00D34DCE" w:rsidRPr="005D6102">
        <w:rPr>
          <w:sz w:val="20"/>
          <w:szCs w:val="20"/>
        </w:rPr>
        <w:t xml:space="preserve"> (Figure </w:t>
      </w:r>
      <w:r w:rsidR="00013859">
        <w:rPr>
          <w:sz w:val="20"/>
          <w:szCs w:val="20"/>
        </w:rPr>
        <w:t>7</w:t>
      </w:r>
      <w:r w:rsidRPr="005D6102">
        <w:rPr>
          <w:sz w:val="20"/>
          <w:szCs w:val="20"/>
        </w:rPr>
        <w:t>.</w:t>
      </w:r>
      <w:r w:rsidR="004B0DD6" w:rsidRPr="005D6102">
        <w:rPr>
          <w:sz w:val="20"/>
          <w:szCs w:val="20"/>
        </w:rPr>
        <w:t>2</w:t>
      </w:r>
      <w:r w:rsidR="00D34DCE" w:rsidRPr="005D6102">
        <w:rPr>
          <w:sz w:val="20"/>
          <w:szCs w:val="20"/>
        </w:rPr>
        <w:t>)</w:t>
      </w:r>
      <w:r w:rsidR="002B102A" w:rsidRPr="005D6102">
        <w:rPr>
          <w:sz w:val="20"/>
          <w:szCs w:val="20"/>
        </w:rPr>
        <w:t xml:space="preserve">. While Australia has produced modest volumes of tungsten in the past, 2018 </w:t>
      </w:r>
      <w:r w:rsidR="00332617" w:rsidRPr="005D6102">
        <w:rPr>
          <w:sz w:val="20"/>
          <w:szCs w:val="20"/>
        </w:rPr>
        <w:t xml:space="preserve">Australian </w:t>
      </w:r>
      <w:r w:rsidR="002B102A" w:rsidRPr="005D6102">
        <w:rPr>
          <w:sz w:val="20"/>
          <w:szCs w:val="20"/>
        </w:rPr>
        <w:t>output was negligible</w:t>
      </w:r>
      <w:r w:rsidR="00D34DCE" w:rsidRPr="005D6102">
        <w:rPr>
          <w:sz w:val="20"/>
          <w:szCs w:val="20"/>
        </w:rPr>
        <w:t>.</w:t>
      </w:r>
      <w:r w:rsidR="002B102A" w:rsidRPr="005D6102">
        <w:rPr>
          <w:sz w:val="20"/>
          <w:szCs w:val="20"/>
        </w:rPr>
        <w:t xml:space="preserve"> </w:t>
      </w:r>
      <w:r w:rsidR="009868AA" w:rsidRPr="005D6102">
        <w:rPr>
          <w:sz w:val="20"/>
          <w:szCs w:val="20"/>
        </w:rPr>
        <w:t>A</w:t>
      </w:r>
      <w:r w:rsidR="0000176B" w:rsidRPr="005D6102">
        <w:rPr>
          <w:sz w:val="20"/>
          <w:szCs w:val="20"/>
        </w:rPr>
        <w:t xml:space="preserve"> number of </w:t>
      </w:r>
      <w:r w:rsidR="00332617" w:rsidRPr="005D6102">
        <w:rPr>
          <w:sz w:val="20"/>
          <w:szCs w:val="20"/>
        </w:rPr>
        <w:t xml:space="preserve">tungsten </w:t>
      </w:r>
      <w:r w:rsidR="0000176B" w:rsidRPr="005D6102">
        <w:rPr>
          <w:sz w:val="20"/>
          <w:szCs w:val="20"/>
        </w:rPr>
        <w:t>mines remain</w:t>
      </w:r>
      <w:r w:rsidR="009868AA" w:rsidRPr="005D6102">
        <w:rPr>
          <w:sz w:val="20"/>
          <w:szCs w:val="20"/>
        </w:rPr>
        <w:t xml:space="preserve"> uneconomic at prevailing prices.</w:t>
      </w:r>
      <w:r w:rsidR="00694E4D" w:rsidRPr="005D6102">
        <w:rPr>
          <w:sz w:val="20"/>
          <w:szCs w:val="20"/>
        </w:rPr>
        <w:t xml:space="preserve"> </w:t>
      </w:r>
    </w:p>
    <w:p w14:paraId="26721AA3" w14:textId="61FFFA14" w:rsidR="00F72BC1" w:rsidRPr="005D6102" w:rsidRDefault="00F72BC1" w:rsidP="00B9061E">
      <w:pPr>
        <w:pStyle w:val="Caption"/>
        <w:tabs>
          <w:tab w:val="left" w:pos="7591"/>
        </w:tabs>
      </w:pPr>
      <w:bookmarkStart w:id="155" w:name="_Toc14958195"/>
      <w:r w:rsidRPr="005D6102">
        <w:lastRenderedPageBreak/>
        <w:t xml:space="preserve">Figure </w:t>
      </w:r>
      <w:r w:rsidR="00717639">
        <w:rPr>
          <w:noProof/>
        </w:rPr>
        <w:t>7</w:t>
      </w:r>
      <w:r w:rsidRPr="005D6102">
        <w:t>.</w:t>
      </w:r>
      <w:r w:rsidR="000F4B63">
        <w:rPr>
          <w:noProof/>
        </w:rPr>
        <w:fldChar w:fldCharType="begin"/>
      </w:r>
      <w:r w:rsidR="000F4B63">
        <w:rPr>
          <w:noProof/>
        </w:rPr>
        <w:instrText xml:space="preserve"> SEQ Figure \* ARABIC \s 1 </w:instrText>
      </w:r>
      <w:r w:rsidR="000F4B63">
        <w:rPr>
          <w:noProof/>
        </w:rPr>
        <w:fldChar w:fldCharType="separate"/>
      </w:r>
      <w:r w:rsidR="00A7507E">
        <w:rPr>
          <w:noProof/>
        </w:rPr>
        <w:t>2</w:t>
      </w:r>
      <w:r w:rsidR="000F4B63">
        <w:rPr>
          <w:noProof/>
        </w:rPr>
        <w:fldChar w:fldCharType="end"/>
      </w:r>
      <w:r w:rsidRPr="005D6102">
        <w:t xml:space="preserve">: </w:t>
      </w:r>
      <w:r w:rsidR="0045597F" w:rsidRPr="005D6102">
        <w:t>Mine p</w:t>
      </w:r>
      <w:r w:rsidRPr="005D6102">
        <w:t>roduc</w:t>
      </w:r>
      <w:r w:rsidR="009C309F" w:rsidRPr="005D6102">
        <w:t>tion of tungsten concentrates</w:t>
      </w:r>
      <w:r w:rsidRPr="005D6102">
        <w:t>, major producers and Australia</w:t>
      </w:r>
      <w:r w:rsidR="00B9061E" w:rsidRPr="005D6102">
        <w:tab/>
      </w:r>
    </w:p>
    <w:tbl>
      <w:tblPr>
        <w:tblStyle w:val="OCETable"/>
        <w:tblW w:w="5120" w:type="pct"/>
        <w:tblInd w:w="108" w:type="dxa"/>
        <w:tblLayout w:type="fixed"/>
        <w:tblLook w:val="04A0" w:firstRow="1" w:lastRow="0" w:firstColumn="1" w:lastColumn="0" w:noHBand="0" w:noVBand="1"/>
        <w:tblCaption w:val="table contains figure 7.2"/>
      </w:tblPr>
      <w:tblGrid>
        <w:gridCol w:w="9120"/>
      </w:tblGrid>
      <w:tr w:rsidR="00F72BC1" w:rsidRPr="005D6102" w14:paraId="4EBBEFFF" w14:textId="77777777" w:rsidTr="008A7D62">
        <w:trPr>
          <w:cnfStyle w:val="100000000000" w:firstRow="1" w:lastRow="0" w:firstColumn="0" w:lastColumn="0" w:oddVBand="0" w:evenVBand="0" w:oddHBand="0" w:evenHBand="0" w:firstRowFirstColumn="0" w:firstRowLastColumn="0" w:lastRowFirstColumn="0" w:lastRowLastColumn="0"/>
          <w:trHeight w:val="2672"/>
          <w:tblHeader/>
        </w:trPr>
        <w:tc>
          <w:tcPr>
            <w:tcW w:w="9120" w:type="dxa"/>
            <w:shd w:val="clear" w:color="auto" w:fill="auto"/>
          </w:tcPr>
          <w:p w14:paraId="02749D1C" w14:textId="17786ADB" w:rsidR="00F72BC1" w:rsidRPr="005D6102" w:rsidRDefault="00477E8C" w:rsidP="00290CA6">
            <w:pPr>
              <w:pStyle w:val="PlaceholderWide"/>
            </w:pPr>
            <w:r w:rsidRPr="005D6102">
              <w:rPr>
                <w:noProof/>
                <w:lang w:eastAsia="en-AU"/>
              </w:rPr>
              <w:drawing>
                <wp:inline distT="0" distB="0" distL="0" distR="0" wp14:anchorId="28435D97" wp14:editId="0B4ACE45">
                  <wp:extent cx="5104737" cy="2537460"/>
                  <wp:effectExtent l="0" t="0" r="1270" b="0"/>
                  <wp:docPr id="7" name="Chart 7" descr="This chart shows the biggest producers of mined tungsten, including China, Vietnam and Russia. It also shows the small amount produced by Australia for comparison. " title="Figure 7.2: Mine production of tungsten concentrates, major producers and Australia"/>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r w:rsidR="009F60B1" w:rsidRPr="005D6102">
              <w:t>Pa</w:t>
            </w:r>
          </w:p>
        </w:tc>
      </w:tr>
    </w:tbl>
    <w:p w14:paraId="7F654B44" w14:textId="3E4C92B2" w:rsidR="00F72BC1" w:rsidRPr="005D6102" w:rsidRDefault="00F72BC1" w:rsidP="002B102A">
      <w:pPr>
        <w:pStyle w:val="Source"/>
        <w:rPr>
          <w:i/>
          <w:lang w:val="en-AU"/>
        </w:rPr>
      </w:pPr>
      <w:r w:rsidRPr="005D6102">
        <w:t xml:space="preserve">Source: </w:t>
      </w:r>
      <w:r w:rsidR="000416B8" w:rsidRPr="005D6102">
        <w:t xml:space="preserve">Roskill </w:t>
      </w:r>
      <w:r w:rsidR="002548AC" w:rsidRPr="005D6102">
        <w:rPr>
          <w:i/>
          <w:lang w:val="en-AU"/>
        </w:rPr>
        <w:t>(2018)</w:t>
      </w:r>
    </w:p>
    <w:p w14:paraId="43DA110A" w14:textId="1A55ADC0" w:rsidR="000749CE" w:rsidRPr="005D6102" w:rsidRDefault="000749CE" w:rsidP="000749CE">
      <w:pPr>
        <w:rPr>
          <w:sz w:val="20"/>
          <w:szCs w:val="20"/>
        </w:rPr>
      </w:pPr>
      <w:bookmarkStart w:id="156" w:name="_Toc14958196"/>
      <w:bookmarkEnd w:id="155"/>
      <w:r w:rsidRPr="005D6102">
        <w:rPr>
          <w:sz w:val="20"/>
          <w:szCs w:val="20"/>
        </w:rPr>
        <w:t>High prices from 2011 to 2014 stimulated investment around the world</w:t>
      </w:r>
      <w:r w:rsidR="00F03837" w:rsidRPr="005D6102">
        <w:rPr>
          <w:sz w:val="20"/>
          <w:szCs w:val="20"/>
        </w:rPr>
        <w:t>. This investment caused</w:t>
      </w:r>
      <w:r w:rsidRPr="005D6102">
        <w:rPr>
          <w:sz w:val="20"/>
          <w:szCs w:val="20"/>
        </w:rPr>
        <w:t xml:space="preserve"> world mining output to </w:t>
      </w:r>
      <w:r w:rsidR="00F03837" w:rsidRPr="005D6102">
        <w:rPr>
          <w:sz w:val="20"/>
          <w:szCs w:val="20"/>
        </w:rPr>
        <w:t>surge</w:t>
      </w:r>
      <w:r w:rsidRPr="005D6102">
        <w:rPr>
          <w:sz w:val="20"/>
          <w:szCs w:val="20"/>
        </w:rPr>
        <w:t xml:space="preserve"> in 2015, </w:t>
      </w:r>
      <w:r w:rsidR="00F03837" w:rsidRPr="005D6102">
        <w:rPr>
          <w:sz w:val="20"/>
          <w:szCs w:val="20"/>
        </w:rPr>
        <w:t xml:space="preserve">resulting in </w:t>
      </w:r>
      <w:r w:rsidRPr="005D6102">
        <w:rPr>
          <w:sz w:val="20"/>
          <w:szCs w:val="20"/>
        </w:rPr>
        <w:t>production exceeding consumption by around 10 per</w:t>
      </w:r>
      <w:r w:rsidR="008451D1" w:rsidRPr="005D6102">
        <w:rPr>
          <w:sz w:val="20"/>
          <w:szCs w:val="20"/>
        </w:rPr>
        <w:t xml:space="preserve"> </w:t>
      </w:r>
      <w:r w:rsidRPr="005D6102">
        <w:rPr>
          <w:sz w:val="20"/>
          <w:szCs w:val="20"/>
        </w:rPr>
        <w:t>cent in that year. Prices have declined since then, and mine closure</w:t>
      </w:r>
      <w:r w:rsidR="00B926DA" w:rsidRPr="005D6102">
        <w:rPr>
          <w:sz w:val="20"/>
          <w:szCs w:val="20"/>
        </w:rPr>
        <w:t>s</w:t>
      </w:r>
      <w:r w:rsidRPr="005D6102">
        <w:rPr>
          <w:sz w:val="20"/>
          <w:szCs w:val="20"/>
        </w:rPr>
        <w:t xml:space="preserve"> ha</w:t>
      </w:r>
      <w:r w:rsidR="00B926DA" w:rsidRPr="005D6102">
        <w:rPr>
          <w:sz w:val="20"/>
          <w:szCs w:val="20"/>
        </w:rPr>
        <w:t>ve</w:t>
      </w:r>
      <w:r w:rsidRPr="005D6102">
        <w:rPr>
          <w:sz w:val="20"/>
          <w:szCs w:val="20"/>
        </w:rPr>
        <w:t xml:space="preserve"> reduced primary supply, </w:t>
      </w:r>
      <w:r w:rsidR="00B926DA" w:rsidRPr="005D6102">
        <w:rPr>
          <w:sz w:val="20"/>
          <w:szCs w:val="20"/>
        </w:rPr>
        <w:t>albeit with some</w:t>
      </w:r>
      <w:r w:rsidRPr="005D6102">
        <w:rPr>
          <w:sz w:val="20"/>
          <w:szCs w:val="20"/>
        </w:rPr>
        <w:t xml:space="preserve"> offset </w:t>
      </w:r>
      <w:r w:rsidR="00B926DA" w:rsidRPr="005D6102">
        <w:rPr>
          <w:sz w:val="20"/>
          <w:szCs w:val="20"/>
        </w:rPr>
        <w:t>from</w:t>
      </w:r>
      <w:r w:rsidRPr="005D6102">
        <w:rPr>
          <w:sz w:val="20"/>
          <w:szCs w:val="20"/>
        </w:rPr>
        <w:t xml:space="preserve"> secondary sources. </w:t>
      </w:r>
      <w:r w:rsidR="00B926DA" w:rsidRPr="005D6102">
        <w:rPr>
          <w:sz w:val="20"/>
          <w:szCs w:val="20"/>
        </w:rPr>
        <w:t>H</w:t>
      </w:r>
      <w:r w:rsidRPr="005D6102">
        <w:rPr>
          <w:sz w:val="20"/>
          <w:szCs w:val="20"/>
        </w:rPr>
        <w:t>igher environmental standards for Chinese producers</w:t>
      </w:r>
      <w:r w:rsidR="00B926DA" w:rsidRPr="005D6102">
        <w:rPr>
          <w:sz w:val="20"/>
          <w:szCs w:val="20"/>
        </w:rPr>
        <w:t xml:space="preserve"> have also reduced output</w:t>
      </w:r>
      <w:r w:rsidR="004B0DD6" w:rsidRPr="005D6102">
        <w:rPr>
          <w:sz w:val="20"/>
          <w:szCs w:val="20"/>
        </w:rPr>
        <w:t xml:space="preserve"> more recently</w:t>
      </w:r>
      <w:r w:rsidRPr="005D6102">
        <w:rPr>
          <w:sz w:val="20"/>
          <w:szCs w:val="20"/>
        </w:rPr>
        <w:t xml:space="preserve">, with compliance action in 2017 and 2018 suspending operations </w:t>
      </w:r>
      <w:r w:rsidR="00F03837" w:rsidRPr="005D6102">
        <w:rPr>
          <w:sz w:val="20"/>
          <w:szCs w:val="20"/>
        </w:rPr>
        <w:t>at</w:t>
      </w:r>
      <w:r w:rsidRPr="005D6102">
        <w:rPr>
          <w:sz w:val="20"/>
          <w:szCs w:val="20"/>
        </w:rPr>
        <w:t xml:space="preserve"> some mines. </w:t>
      </w:r>
    </w:p>
    <w:p w14:paraId="1FBFFA3B" w14:textId="1AA49886" w:rsidR="00A94AAA" w:rsidRPr="005D6102" w:rsidRDefault="007D5E78" w:rsidP="002E6967">
      <w:r w:rsidRPr="005D6102">
        <w:rPr>
          <w:sz w:val="20"/>
          <w:szCs w:val="20"/>
        </w:rPr>
        <w:t>China dominates the ore processing and chemical production aspects of the tungsten supply chain</w:t>
      </w:r>
      <w:r w:rsidR="00B84959" w:rsidRPr="005D6102">
        <w:rPr>
          <w:sz w:val="20"/>
          <w:szCs w:val="20"/>
        </w:rPr>
        <w:t>. Newly-mined tungsten ores and concentrates are typically processed into ammonium paratungstate (APT)</w:t>
      </w:r>
      <w:r w:rsidR="00B66649" w:rsidRPr="005D6102">
        <w:rPr>
          <w:sz w:val="20"/>
          <w:szCs w:val="20"/>
        </w:rPr>
        <w:t xml:space="preserve"> or (to a smaller extent) ferrotungsten</w:t>
      </w:r>
      <w:r w:rsidR="00B84959" w:rsidRPr="005D6102">
        <w:rPr>
          <w:sz w:val="20"/>
          <w:szCs w:val="20"/>
        </w:rPr>
        <w:t xml:space="preserve"> as the initial refined tungsten production</w:t>
      </w:r>
      <w:r w:rsidR="00B66649" w:rsidRPr="005D6102">
        <w:rPr>
          <w:sz w:val="20"/>
          <w:szCs w:val="20"/>
        </w:rPr>
        <w:t xml:space="preserve"> steps. </w:t>
      </w:r>
      <w:r w:rsidR="006308B9" w:rsidRPr="005D6102">
        <w:rPr>
          <w:sz w:val="20"/>
          <w:szCs w:val="20"/>
        </w:rPr>
        <w:t xml:space="preserve">Most </w:t>
      </w:r>
      <w:r w:rsidR="00B66649" w:rsidRPr="005D6102">
        <w:rPr>
          <w:sz w:val="20"/>
          <w:szCs w:val="20"/>
        </w:rPr>
        <w:t>APT is then transformed into tungsten oxides, tungsten metal powders and, finally, tungsten carbide</w:t>
      </w:r>
      <w:r w:rsidR="00B84959" w:rsidRPr="005D6102">
        <w:rPr>
          <w:sz w:val="20"/>
          <w:szCs w:val="20"/>
        </w:rPr>
        <w:t>.</w:t>
      </w:r>
      <w:r w:rsidRPr="005D6102">
        <w:rPr>
          <w:sz w:val="20"/>
          <w:szCs w:val="20"/>
        </w:rPr>
        <w:t xml:space="preserve"> </w:t>
      </w:r>
      <w:r w:rsidR="006308B9" w:rsidRPr="005D6102">
        <w:rPr>
          <w:sz w:val="20"/>
          <w:szCs w:val="20"/>
        </w:rPr>
        <w:t>Most production capacity (</w:t>
      </w:r>
      <w:r w:rsidR="005656B3">
        <w:rPr>
          <w:sz w:val="20"/>
          <w:szCs w:val="20"/>
        </w:rPr>
        <w:t>three-quarters</w:t>
      </w:r>
      <w:r w:rsidR="006308B9" w:rsidRPr="005D6102">
        <w:rPr>
          <w:sz w:val="20"/>
          <w:szCs w:val="20"/>
        </w:rPr>
        <w:t xml:space="preserve">) for these processes is located in China, and </w:t>
      </w:r>
      <w:r w:rsidR="00267026" w:rsidRPr="005D6102">
        <w:rPr>
          <w:sz w:val="20"/>
          <w:szCs w:val="20"/>
        </w:rPr>
        <w:t xml:space="preserve">much </w:t>
      </w:r>
      <w:r w:rsidR="006308B9" w:rsidRPr="005D6102">
        <w:rPr>
          <w:sz w:val="20"/>
          <w:szCs w:val="20"/>
        </w:rPr>
        <w:t>capacity is unused — with worldwide current facilities capable of processing around double the current levels of output.</w:t>
      </w:r>
    </w:p>
    <w:p w14:paraId="7F721385" w14:textId="77777777" w:rsidR="00E37612" w:rsidRPr="005D6102" w:rsidRDefault="00E37612" w:rsidP="0009608F">
      <w:pPr>
        <w:pStyle w:val="Heading2"/>
      </w:pPr>
      <w:bookmarkStart w:id="157" w:name="_Toc16143302"/>
      <w:bookmarkStart w:id="158" w:name="_Toc17803373"/>
      <w:bookmarkStart w:id="159" w:name="_Toc15388925"/>
      <w:r w:rsidRPr="005D6102">
        <w:t>Market Outlook</w:t>
      </w:r>
      <w:bookmarkEnd w:id="157"/>
      <w:bookmarkEnd w:id="158"/>
    </w:p>
    <w:p w14:paraId="3D0EAB2E" w14:textId="5E4B8D33" w:rsidR="00416DAA" w:rsidRPr="005D6102" w:rsidRDefault="00416DAA" w:rsidP="00416DAA">
      <w:pPr>
        <w:pStyle w:val="Heading3"/>
      </w:pPr>
      <w:r w:rsidRPr="005D6102">
        <w:t>Solid market growth</w:t>
      </w:r>
      <w:r w:rsidR="00BF33B5" w:rsidRPr="005D6102">
        <w:t xml:space="preserve"> expected</w:t>
      </w:r>
    </w:p>
    <w:p w14:paraId="57C947F1" w14:textId="2C668176" w:rsidR="002E6967" w:rsidRPr="005D6102" w:rsidRDefault="002E6967" w:rsidP="002E6967">
      <w:pPr>
        <w:rPr>
          <w:sz w:val="20"/>
          <w:szCs w:val="20"/>
        </w:rPr>
      </w:pPr>
      <w:r w:rsidRPr="005D6102">
        <w:rPr>
          <w:sz w:val="20"/>
          <w:szCs w:val="20"/>
        </w:rPr>
        <w:t>While some uses of tungsten — such as filament light bulbs — may experience decline over the longer term, overall tungsten demand is expected to grow at around 1</w:t>
      </w:r>
      <w:r w:rsidR="00095993">
        <w:rPr>
          <w:sz w:val="20"/>
          <w:szCs w:val="20"/>
        </w:rPr>
        <w:t xml:space="preserve"> </w:t>
      </w:r>
      <w:r w:rsidRPr="005D6102">
        <w:rPr>
          <w:sz w:val="20"/>
          <w:szCs w:val="20"/>
        </w:rPr>
        <w:t xml:space="preserve">per cent per year on average over the </w:t>
      </w:r>
      <w:r w:rsidR="005656B3">
        <w:rPr>
          <w:sz w:val="20"/>
          <w:szCs w:val="20"/>
        </w:rPr>
        <w:t>period to 2030</w:t>
      </w:r>
      <w:r w:rsidRPr="005D6102">
        <w:rPr>
          <w:sz w:val="20"/>
          <w:szCs w:val="20"/>
        </w:rPr>
        <w:t xml:space="preserve">. Prices are expected to </w:t>
      </w:r>
      <w:r w:rsidR="007E08AB" w:rsidRPr="005D6102">
        <w:rPr>
          <w:sz w:val="20"/>
          <w:szCs w:val="20"/>
        </w:rPr>
        <w:t xml:space="preserve">recover from 2019 levels and to </w:t>
      </w:r>
      <w:r w:rsidRPr="005D6102">
        <w:rPr>
          <w:sz w:val="20"/>
          <w:szCs w:val="20"/>
        </w:rPr>
        <w:t xml:space="preserve">remain at levels which support steady growth in </w:t>
      </w:r>
      <w:r w:rsidR="00095993">
        <w:rPr>
          <w:sz w:val="20"/>
          <w:szCs w:val="20"/>
        </w:rPr>
        <w:t xml:space="preserve">world </w:t>
      </w:r>
      <w:r w:rsidRPr="005D6102">
        <w:rPr>
          <w:sz w:val="20"/>
          <w:szCs w:val="20"/>
        </w:rPr>
        <w:t xml:space="preserve">mining output (Figure </w:t>
      </w:r>
      <w:r w:rsidR="0001448D">
        <w:rPr>
          <w:sz w:val="20"/>
          <w:szCs w:val="20"/>
        </w:rPr>
        <w:t>7</w:t>
      </w:r>
      <w:r w:rsidRPr="005D6102">
        <w:rPr>
          <w:sz w:val="20"/>
          <w:szCs w:val="20"/>
        </w:rPr>
        <w:t>.3).</w:t>
      </w:r>
    </w:p>
    <w:p w14:paraId="5FD9DC17" w14:textId="287302D8" w:rsidR="002E6967" w:rsidRPr="005D6102" w:rsidRDefault="002E6967" w:rsidP="002E6967">
      <w:pPr>
        <w:pStyle w:val="Caption"/>
      </w:pPr>
      <w:r w:rsidRPr="005D6102">
        <w:lastRenderedPageBreak/>
        <w:t xml:space="preserve">Figure </w:t>
      </w:r>
      <w:r w:rsidR="00AE208F">
        <w:rPr>
          <w:noProof/>
        </w:rPr>
        <w:t>7</w:t>
      </w:r>
      <w:r w:rsidRPr="005D6102">
        <w:t>.</w:t>
      </w:r>
      <w:r w:rsidR="000F4B63">
        <w:rPr>
          <w:noProof/>
        </w:rPr>
        <w:fldChar w:fldCharType="begin"/>
      </w:r>
      <w:r w:rsidR="000F4B63">
        <w:rPr>
          <w:noProof/>
        </w:rPr>
        <w:instrText xml:space="preserve"> SEQ Figure \* ARABIC \s 1 </w:instrText>
      </w:r>
      <w:r w:rsidR="000F4B63">
        <w:rPr>
          <w:noProof/>
        </w:rPr>
        <w:fldChar w:fldCharType="separate"/>
      </w:r>
      <w:r w:rsidR="00A7507E">
        <w:rPr>
          <w:noProof/>
        </w:rPr>
        <w:t>3</w:t>
      </w:r>
      <w:r w:rsidR="000F4B63">
        <w:rPr>
          <w:noProof/>
        </w:rPr>
        <w:fldChar w:fldCharType="end"/>
      </w:r>
      <w:r w:rsidRPr="005D6102">
        <w:t>: World refined tungsten production/consumption, price outlook</w:t>
      </w:r>
    </w:p>
    <w:tbl>
      <w:tblPr>
        <w:tblStyle w:val="OCETable"/>
        <w:tblW w:w="4581" w:type="pct"/>
        <w:tblInd w:w="108" w:type="dxa"/>
        <w:tblLayout w:type="fixed"/>
        <w:tblLook w:val="04A0" w:firstRow="1" w:lastRow="0" w:firstColumn="1" w:lastColumn="0" w:noHBand="0" w:noVBand="1"/>
        <w:tblCaption w:val="table contains figure 7.3"/>
      </w:tblPr>
      <w:tblGrid>
        <w:gridCol w:w="8160"/>
      </w:tblGrid>
      <w:tr w:rsidR="002E6967" w:rsidRPr="005D6102" w14:paraId="1945E1E4" w14:textId="77777777" w:rsidTr="008A7D62">
        <w:trPr>
          <w:cnfStyle w:val="100000000000" w:firstRow="1" w:lastRow="0" w:firstColumn="0" w:lastColumn="0" w:oddVBand="0" w:evenVBand="0" w:oddHBand="0" w:evenHBand="0" w:firstRowFirstColumn="0" w:firstRowLastColumn="0" w:lastRowFirstColumn="0" w:lastRowLastColumn="0"/>
          <w:trHeight w:val="2958"/>
          <w:tblHeader/>
        </w:trPr>
        <w:tc>
          <w:tcPr>
            <w:tcW w:w="8159" w:type="dxa"/>
            <w:shd w:val="clear" w:color="auto" w:fill="auto"/>
          </w:tcPr>
          <w:p w14:paraId="43DD3BA4" w14:textId="574FA84D" w:rsidR="002E6967" w:rsidRPr="005D6102" w:rsidRDefault="00321513" w:rsidP="00332617">
            <w:pPr>
              <w:pStyle w:val="PlaceholderWide"/>
            </w:pPr>
            <w:r>
              <w:rPr>
                <w:noProof/>
                <w:lang w:eastAsia="en-AU"/>
              </w:rPr>
              <w:drawing>
                <wp:inline distT="0" distB="0" distL="0" distR="0" wp14:anchorId="41A47198" wp14:editId="3FDFECC9">
                  <wp:extent cx="4862830" cy="2753360"/>
                  <wp:effectExtent l="0" t="0" r="0" b="0"/>
                  <wp:docPr id="2087" name="Picture 2087" descr="Outlook for consumption, production and prices to 2030." title="Figure 7.3: WOrld refined tungsten production, consumption, price outl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gibbons\AppData\Local\Microsoft\Windows\INetCache\Content.Word\Charts new_7.3.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862830" cy="2753360"/>
                          </a:xfrm>
                          <a:prstGeom prst="rect">
                            <a:avLst/>
                          </a:prstGeom>
                          <a:noFill/>
                          <a:ln>
                            <a:noFill/>
                          </a:ln>
                        </pic:spPr>
                      </pic:pic>
                    </a:graphicData>
                  </a:graphic>
                </wp:inline>
              </w:drawing>
            </w:r>
            <w:r w:rsidR="002E6967" w:rsidRPr="005D6102">
              <w:t xml:space="preserve"> Xx Paste figure x</w:t>
            </w:r>
          </w:p>
        </w:tc>
      </w:tr>
    </w:tbl>
    <w:p w14:paraId="78A532BB" w14:textId="4D18AB88" w:rsidR="00332617" w:rsidRPr="005D6102" w:rsidRDefault="00332617" w:rsidP="00332617">
      <w:pPr>
        <w:pStyle w:val="Source"/>
        <w:spacing w:after="0"/>
      </w:pPr>
      <w:r w:rsidRPr="005D6102">
        <w:t xml:space="preserve">Notes: APT </w:t>
      </w:r>
      <w:r w:rsidR="00013859">
        <w:t>is</w:t>
      </w:r>
      <w:r w:rsidR="00013859" w:rsidRPr="005D6102">
        <w:t xml:space="preserve"> </w:t>
      </w:r>
      <w:r w:rsidRPr="005D6102">
        <w:t>ammonium paratungstate.</w:t>
      </w:r>
      <w:r w:rsidR="0030798A" w:rsidRPr="005D6102">
        <w:t xml:space="preserve"> A Metric Tonne Unit ("mtu") is equal to ten kilograms per metric tonne and is the standard weight measure of tungsten.</w:t>
      </w:r>
    </w:p>
    <w:p w14:paraId="5663CEA0" w14:textId="1ABC2A54" w:rsidR="00E37612" w:rsidRPr="005D6102" w:rsidRDefault="002E6967" w:rsidP="00CA6165">
      <w:pPr>
        <w:pStyle w:val="Source"/>
        <w:spacing w:before="0"/>
      </w:pPr>
      <w:r w:rsidRPr="005D6102">
        <w:t xml:space="preserve">Source: </w:t>
      </w:r>
      <w:r w:rsidR="001555E5">
        <w:t xml:space="preserve">Bloomberg </w:t>
      </w:r>
      <w:r w:rsidR="00AE100E">
        <w:t>(</w:t>
      </w:r>
      <w:r w:rsidR="001555E5">
        <w:t>2019</w:t>
      </w:r>
      <w:r w:rsidR="00AE100E">
        <w:t>)</w:t>
      </w:r>
      <w:r w:rsidR="001555E5">
        <w:t xml:space="preserve">, </w:t>
      </w:r>
      <w:r w:rsidRPr="005D6102">
        <w:t xml:space="preserve">Roskill </w:t>
      </w:r>
      <w:r w:rsidR="00CA6165" w:rsidRPr="000920F1">
        <w:rPr>
          <w:lang w:val="en-AU"/>
        </w:rPr>
        <w:t>(</w:t>
      </w:r>
      <w:r w:rsidR="003C77DB" w:rsidRPr="008A7D62">
        <w:rPr>
          <w:lang w:val="en-AU"/>
        </w:rPr>
        <w:t>2019)</w:t>
      </w:r>
      <w:r w:rsidRPr="00CA6165">
        <w:rPr>
          <w:lang w:val="en-AU"/>
        </w:rPr>
        <w:t>,</w:t>
      </w:r>
      <w:r w:rsidRPr="005D6102">
        <w:rPr>
          <w:lang w:val="en-AU"/>
        </w:rPr>
        <w:t xml:space="preserve"> Department of Industry, Innovation and Science (2019) estimates</w:t>
      </w:r>
    </w:p>
    <w:p w14:paraId="465214D9" w14:textId="6708068C" w:rsidR="00A91D0C" w:rsidRPr="005D6102" w:rsidRDefault="00A91D0C" w:rsidP="0009608F">
      <w:pPr>
        <w:pStyle w:val="Heading2"/>
        <w:ind w:left="0" w:firstLine="0"/>
      </w:pPr>
      <w:bookmarkStart w:id="160" w:name="_Toc16143303"/>
      <w:bookmarkStart w:id="161" w:name="_Toc17803374"/>
      <w:r w:rsidRPr="005D6102">
        <w:t>Australia</w:t>
      </w:r>
      <w:bookmarkEnd w:id="156"/>
      <w:bookmarkEnd w:id="159"/>
      <w:bookmarkEnd w:id="160"/>
      <w:bookmarkEnd w:id="161"/>
    </w:p>
    <w:p w14:paraId="2C57FAF4" w14:textId="44885416" w:rsidR="00AC55CE" w:rsidRPr="005D6102" w:rsidRDefault="00AC55CE" w:rsidP="00AC55CE">
      <w:pPr>
        <w:pStyle w:val="Heading3"/>
      </w:pPr>
      <w:r w:rsidRPr="005D6102">
        <w:t xml:space="preserve">Australia’s production has been in decline, but </w:t>
      </w:r>
      <w:r w:rsidR="00416DAA" w:rsidRPr="005D6102">
        <w:t>prospects for the future are bright</w:t>
      </w:r>
    </w:p>
    <w:p w14:paraId="7105749E" w14:textId="55DAF759" w:rsidR="00416DAA" w:rsidRPr="005D6102" w:rsidRDefault="00914A62" w:rsidP="00416DAA">
      <w:pPr>
        <w:spacing w:before="120"/>
        <w:rPr>
          <w:sz w:val="20"/>
          <w:szCs w:val="20"/>
        </w:rPr>
      </w:pPr>
      <w:r w:rsidRPr="005D6102">
        <w:rPr>
          <w:sz w:val="20"/>
          <w:szCs w:val="20"/>
        </w:rPr>
        <w:t>Australia’</w:t>
      </w:r>
      <w:r w:rsidR="006308B9" w:rsidRPr="005D6102">
        <w:rPr>
          <w:sz w:val="20"/>
          <w:szCs w:val="20"/>
        </w:rPr>
        <w:t>s</w:t>
      </w:r>
      <w:r w:rsidRPr="005D6102">
        <w:rPr>
          <w:sz w:val="20"/>
          <w:szCs w:val="20"/>
        </w:rPr>
        <w:t xml:space="preserve"> tungsten production is currently </w:t>
      </w:r>
      <w:r w:rsidR="00E24B0B" w:rsidRPr="005D6102">
        <w:rPr>
          <w:sz w:val="20"/>
          <w:szCs w:val="20"/>
        </w:rPr>
        <w:t>negligible</w:t>
      </w:r>
      <w:r w:rsidRPr="005D6102">
        <w:rPr>
          <w:sz w:val="20"/>
          <w:szCs w:val="20"/>
        </w:rPr>
        <w:t xml:space="preserve">, as the </w:t>
      </w:r>
      <w:r w:rsidR="00267026" w:rsidRPr="005D6102">
        <w:rPr>
          <w:sz w:val="20"/>
          <w:szCs w:val="20"/>
        </w:rPr>
        <w:t>major</w:t>
      </w:r>
      <w:r w:rsidR="00805AEB" w:rsidRPr="005D6102">
        <w:rPr>
          <w:sz w:val="20"/>
          <w:szCs w:val="20"/>
        </w:rPr>
        <w:t xml:space="preserve"> ongoing producer — </w:t>
      </w:r>
      <w:r w:rsidRPr="005D6102">
        <w:rPr>
          <w:sz w:val="20"/>
          <w:szCs w:val="20"/>
        </w:rPr>
        <w:t>Wolfram Camp mine in Dimbulah, Queensland</w:t>
      </w:r>
      <w:r w:rsidR="00805AEB" w:rsidRPr="005D6102">
        <w:rPr>
          <w:sz w:val="20"/>
          <w:szCs w:val="20"/>
        </w:rPr>
        <w:t xml:space="preserve"> —</w:t>
      </w:r>
      <w:r w:rsidRPr="005D6102">
        <w:rPr>
          <w:sz w:val="20"/>
          <w:szCs w:val="20"/>
        </w:rPr>
        <w:t xml:space="preserve"> </w:t>
      </w:r>
      <w:r w:rsidR="0030798A" w:rsidRPr="005D6102">
        <w:rPr>
          <w:sz w:val="20"/>
          <w:szCs w:val="20"/>
        </w:rPr>
        <w:t xml:space="preserve">ceased active production in </w:t>
      </w:r>
      <w:r w:rsidR="00AC7816" w:rsidRPr="005D6102">
        <w:rPr>
          <w:sz w:val="20"/>
          <w:szCs w:val="20"/>
        </w:rPr>
        <w:t>recent years</w:t>
      </w:r>
      <w:r w:rsidR="009879C6" w:rsidRPr="005D6102">
        <w:rPr>
          <w:sz w:val="20"/>
          <w:szCs w:val="20"/>
        </w:rPr>
        <w:t>,</w:t>
      </w:r>
      <w:r w:rsidRPr="005D6102">
        <w:rPr>
          <w:sz w:val="20"/>
          <w:szCs w:val="20"/>
        </w:rPr>
        <w:t xml:space="preserve"> due to </w:t>
      </w:r>
      <w:r w:rsidR="00E24B0B" w:rsidRPr="005D6102">
        <w:rPr>
          <w:sz w:val="20"/>
          <w:szCs w:val="20"/>
        </w:rPr>
        <w:t>weak market conditions</w:t>
      </w:r>
      <w:r w:rsidR="009879C6" w:rsidRPr="005D6102">
        <w:rPr>
          <w:sz w:val="20"/>
          <w:szCs w:val="20"/>
        </w:rPr>
        <w:t>. The company</w:t>
      </w:r>
      <w:r w:rsidR="00FB4F25" w:rsidRPr="005D6102">
        <w:rPr>
          <w:sz w:val="20"/>
          <w:szCs w:val="20"/>
        </w:rPr>
        <w:t xml:space="preserve"> is now</w:t>
      </w:r>
      <w:r w:rsidR="00A015E5" w:rsidRPr="005D6102">
        <w:rPr>
          <w:sz w:val="20"/>
          <w:szCs w:val="20"/>
        </w:rPr>
        <w:t xml:space="preserve"> in voluntary administration</w:t>
      </w:r>
      <w:r w:rsidRPr="005D6102">
        <w:rPr>
          <w:sz w:val="20"/>
          <w:szCs w:val="20"/>
        </w:rPr>
        <w:t xml:space="preserve">. </w:t>
      </w:r>
    </w:p>
    <w:p w14:paraId="7280719B" w14:textId="6DBF9D13" w:rsidR="00416DAA" w:rsidRPr="005D6102" w:rsidRDefault="00416DAA" w:rsidP="00416DAA">
      <w:pPr>
        <w:spacing w:before="120"/>
        <w:rPr>
          <w:sz w:val="20"/>
          <w:szCs w:val="20"/>
        </w:rPr>
      </w:pPr>
      <w:r w:rsidRPr="005D6102">
        <w:rPr>
          <w:sz w:val="20"/>
          <w:szCs w:val="20"/>
        </w:rPr>
        <w:t xml:space="preserve">Australia holds one-eighth of total global economic demonstrated resources, and has the potential to increase tungsten production significantly. </w:t>
      </w:r>
      <w:r w:rsidR="004C1F3E" w:rsidRPr="005D6102">
        <w:rPr>
          <w:rFonts w:ascii="Arial" w:hAnsi="Arial" w:cs="Arial"/>
          <w:color w:val="2F2F2F"/>
          <w:sz w:val="20"/>
          <w:szCs w:val="20"/>
          <w:shd w:val="clear" w:color="auto" w:fill="FFFFFF"/>
        </w:rPr>
        <w:t xml:space="preserve">Around half of Australia's tungsten reserves occur in the O'Callaghans deposit in WA, and this </w:t>
      </w:r>
      <w:r w:rsidR="004C1F3E" w:rsidRPr="005D6102">
        <w:rPr>
          <w:sz w:val="20"/>
          <w:szCs w:val="20"/>
        </w:rPr>
        <w:t xml:space="preserve">may be one of the largest deposits in the world. </w:t>
      </w:r>
      <w:r w:rsidRPr="005D6102">
        <w:rPr>
          <w:sz w:val="20"/>
          <w:szCs w:val="20"/>
        </w:rPr>
        <w:t xml:space="preserve">In coming years, up to 19 tungsten mine projects have some prospects for development. If all these projects come online, production of up to 15kt a year (equivalent to 17 per cent of projected </w:t>
      </w:r>
      <w:r w:rsidR="001B74EB">
        <w:rPr>
          <w:sz w:val="20"/>
          <w:szCs w:val="20"/>
        </w:rPr>
        <w:t xml:space="preserve">world </w:t>
      </w:r>
      <w:r w:rsidRPr="005D6102">
        <w:rPr>
          <w:sz w:val="20"/>
          <w:szCs w:val="20"/>
        </w:rPr>
        <w:t xml:space="preserve">mine output in 2028) would be possible. There is further potential for new discoveries and redevelopment of historic mines/districts, particularly in the Tasmanides Belt of Eastern Australia. Tungsten projects at feasibility stage are shown in the Development Projects Table </w:t>
      </w:r>
      <w:r w:rsidR="00013859">
        <w:rPr>
          <w:sz w:val="20"/>
          <w:szCs w:val="20"/>
        </w:rPr>
        <w:t>1.3</w:t>
      </w:r>
      <w:r w:rsidRPr="005D6102">
        <w:rPr>
          <w:sz w:val="20"/>
          <w:szCs w:val="20"/>
        </w:rPr>
        <w:t xml:space="preserve"> above.</w:t>
      </w:r>
    </w:p>
    <w:p w14:paraId="0E4D4BE5" w14:textId="7E896683" w:rsidR="00483AB0" w:rsidRPr="005D6102" w:rsidRDefault="00483AB0" w:rsidP="00483AB0">
      <w:pPr>
        <w:pStyle w:val="Caption"/>
      </w:pPr>
      <w:r w:rsidRPr="005D6102">
        <w:t xml:space="preserve">Table </w:t>
      </w:r>
      <w:r w:rsidR="0072534A">
        <w:rPr>
          <w:noProof/>
        </w:rPr>
        <w:t>7</w:t>
      </w:r>
      <w:r w:rsidRPr="005D6102">
        <w:t>.</w:t>
      </w:r>
      <w:r w:rsidR="0038180A">
        <w:rPr>
          <w:noProof/>
        </w:rPr>
        <w:t>1</w:t>
      </w:r>
      <w:r w:rsidRPr="005D6102">
        <w:t xml:space="preserve">: Australia’s </w:t>
      </w:r>
      <w:r w:rsidR="0038180A">
        <w:t xml:space="preserve">tungsten </w:t>
      </w:r>
      <w:r w:rsidRPr="005D6102">
        <w:t>resources and production</w:t>
      </w:r>
    </w:p>
    <w:tbl>
      <w:tblPr>
        <w:tblStyle w:val="OCETable"/>
        <w:tblW w:w="8966" w:type="dxa"/>
        <w:tblLook w:val="04A0" w:firstRow="1" w:lastRow="0" w:firstColumn="1" w:lastColumn="0" w:noHBand="0" w:noVBand="1"/>
        <w:tblCaption w:val="Table 7.1: Australia’s tungsten resources and production"/>
        <w:tblDescription w:val="This table shows Australia's tungsten resources and geological potential and recent levels of production ."/>
      </w:tblPr>
      <w:tblGrid>
        <w:gridCol w:w="1350"/>
        <w:gridCol w:w="1503"/>
        <w:gridCol w:w="1277"/>
        <w:gridCol w:w="1019"/>
        <w:gridCol w:w="1356"/>
        <w:gridCol w:w="1309"/>
        <w:gridCol w:w="1152"/>
      </w:tblGrid>
      <w:tr w:rsidR="00FF1E9F" w:rsidRPr="005D6102" w14:paraId="4996B245" w14:textId="77777777" w:rsidTr="008A7D62">
        <w:trPr>
          <w:cnfStyle w:val="100000000000" w:firstRow="1" w:lastRow="0" w:firstColumn="0" w:lastColumn="0" w:oddVBand="0" w:evenVBand="0" w:oddHBand="0" w:evenHBand="0" w:firstRowFirstColumn="0" w:firstRowLastColumn="0" w:lastRowFirstColumn="0" w:lastRowLastColumn="0"/>
          <w:trHeight w:val="338"/>
          <w:tblHeader/>
        </w:trPr>
        <w:tc>
          <w:tcPr>
            <w:tcW w:w="5149" w:type="dxa"/>
            <w:gridSpan w:val="4"/>
            <w:tcBorders>
              <w:right w:val="single" w:sz="4" w:space="0" w:color="FFFFFF" w:themeColor="background1"/>
            </w:tcBorders>
          </w:tcPr>
          <w:p w14:paraId="41E57A27" w14:textId="30FA5C38" w:rsidR="00FF1E9F" w:rsidRPr="005D6102" w:rsidRDefault="00FF1E9F" w:rsidP="006314DD">
            <w:pPr>
              <w:rPr>
                <w:b/>
              </w:rPr>
            </w:pPr>
            <w:r w:rsidRPr="005D6102">
              <w:rPr>
                <w:b/>
              </w:rPr>
              <w:t>Australia’s resources</w:t>
            </w:r>
          </w:p>
        </w:tc>
        <w:tc>
          <w:tcPr>
            <w:tcW w:w="3817" w:type="dxa"/>
            <w:gridSpan w:val="3"/>
            <w:tcBorders>
              <w:left w:val="single" w:sz="4" w:space="0" w:color="FFFFFF" w:themeColor="background1"/>
            </w:tcBorders>
          </w:tcPr>
          <w:p w14:paraId="651DF6EC" w14:textId="1DF541B2" w:rsidR="00FF1E9F" w:rsidRPr="005D6102" w:rsidRDefault="00FF1E9F" w:rsidP="006314DD">
            <w:r w:rsidRPr="005D6102">
              <w:rPr>
                <w:b/>
              </w:rPr>
              <w:t>Australia’s production</w:t>
            </w:r>
          </w:p>
        </w:tc>
      </w:tr>
      <w:tr w:rsidR="006314DD" w:rsidRPr="005D6102" w14:paraId="72501454" w14:textId="77777777" w:rsidTr="009F60B1">
        <w:trPr>
          <w:cnfStyle w:val="000000100000" w:firstRow="0" w:lastRow="0" w:firstColumn="0" w:lastColumn="0" w:oddVBand="0" w:evenVBand="0" w:oddHBand="1" w:evenHBand="0" w:firstRowFirstColumn="0" w:firstRowLastColumn="0" w:lastRowFirstColumn="0" w:lastRowLastColumn="0"/>
          <w:trHeight w:val="540"/>
        </w:trPr>
        <w:tc>
          <w:tcPr>
            <w:tcW w:w="1350" w:type="dxa"/>
            <w:shd w:val="clear" w:color="auto" w:fill="005CAF"/>
          </w:tcPr>
          <w:p w14:paraId="3541E88B" w14:textId="77777777" w:rsidR="006314DD" w:rsidRPr="005D6102" w:rsidRDefault="006314DD" w:rsidP="006314DD">
            <w:pPr>
              <w:rPr>
                <w:color w:val="FFFFFF" w:themeColor="background1"/>
                <w:sz w:val="28"/>
                <w:szCs w:val="28"/>
              </w:rPr>
            </w:pPr>
            <w:r w:rsidRPr="005D6102">
              <w:rPr>
                <w:color w:val="FFFFFF" w:themeColor="background1"/>
              </w:rPr>
              <w:t>Geological potential</w:t>
            </w:r>
          </w:p>
        </w:tc>
        <w:tc>
          <w:tcPr>
            <w:tcW w:w="1503" w:type="dxa"/>
            <w:shd w:val="clear" w:color="auto" w:fill="005CAF"/>
          </w:tcPr>
          <w:p w14:paraId="3C82F06B" w14:textId="77777777" w:rsidR="006314DD" w:rsidRPr="005D6102" w:rsidRDefault="006314DD" w:rsidP="006314DD">
            <w:pPr>
              <w:rPr>
                <w:color w:val="FFFFFF" w:themeColor="background1"/>
                <w:sz w:val="28"/>
                <w:szCs w:val="28"/>
              </w:rPr>
            </w:pPr>
            <w:r w:rsidRPr="005D6102">
              <w:rPr>
                <w:color w:val="FFFFFF" w:themeColor="background1"/>
              </w:rPr>
              <w:t xml:space="preserve">Economic Demonstrated Resource </w:t>
            </w:r>
          </w:p>
        </w:tc>
        <w:tc>
          <w:tcPr>
            <w:tcW w:w="1277" w:type="dxa"/>
            <w:shd w:val="clear" w:color="auto" w:fill="005CAF"/>
          </w:tcPr>
          <w:p w14:paraId="064DFD22" w14:textId="77777777" w:rsidR="006314DD" w:rsidRPr="005D6102" w:rsidRDefault="006314DD" w:rsidP="006314DD">
            <w:pPr>
              <w:rPr>
                <w:color w:val="FFFFFF" w:themeColor="background1"/>
                <w:sz w:val="28"/>
                <w:szCs w:val="28"/>
              </w:rPr>
            </w:pPr>
            <w:r w:rsidRPr="005D6102">
              <w:rPr>
                <w:color w:val="FFFFFF" w:themeColor="background1"/>
              </w:rPr>
              <w:t>Share world resources</w:t>
            </w:r>
          </w:p>
        </w:tc>
        <w:tc>
          <w:tcPr>
            <w:tcW w:w="1017" w:type="dxa"/>
            <w:tcBorders>
              <w:right w:val="single" w:sz="4" w:space="0" w:color="FFFFFF" w:themeColor="background1"/>
            </w:tcBorders>
            <w:shd w:val="clear" w:color="auto" w:fill="005CAF"/>
          </w:tcPr>
          <w:p w14:paraId="78F4C708" w14:textId="77777777" w:rsidR="006314DD" w:rsidRPr="005D6102" w:rsidRDefault="006314DD" w:rsidP="006314DD">
            <w:pPr>
              <w:rPr>
                <w:color w:val="FFFFFF" w:themeColor="background1"/>
              </w:rPr>
            </w:pPr>
            <w:r w:rsidRPr="005D6102">
              <w:rPr>
                <w:color w:val="FFFFFF" w:themeColor="background1"/>
              </w:rPr>
              <w:t>World ranking resources</w:t>
            </w:r>
          </w:p>
        </w:tc>
        <w:tc>
          <w:tcPr>
            <w:tcW w:w="1356" w:type="dxa"/>
            <w:tcBorders>
              <w:left w:val="single" w:sz="4" w:space="0" w:color="FFFFFF" w:themeColor="background1"/>
            </w:tcBorders>
            <w:shd w:val="clear" w:color="auto" w:fill="005CAF"/>
          </w:tcPr>
          <w:p w14:paraId="61847B42" w14:textId="77777777" w:rsidR="006314DD" w:rsidRPr="005D6102" w:rsidRDefault="006314DD" w:rsidP="006314DD">
            <w:pPr>
              <w:rPr>
                <w:b/>
                <w:color w:val="FFFFFF"/>
              </w:rPr>
            </w:pPr>
            <w:r w:rsidRPr="005D6102">
              <w:rPr>
                <w:b/>
                <w:color w:val="FFFFFF"/>
              </w:rPr>
              <w:t>2018 production</w:t>
            </w:r>
          </w:p>
        </w:tc>
        <w:tc>
          <w:tcPr>
            <w:tcW w:w="1309" w:type="dxa"/>
            <w:shd w:val="clear" w:color="auto" w:fill="005CAF"/>
          </w:tcPr>
          <w:p w14:paraId="32798ED6" w14:textId="77777777" w:rsidR="006314DD" w:rsidRPr="005D6102" w:rsidRDefault="006314DD" w:rsidP="006314DD">
            <w:pPr>
              <w:rPr>
                <w:color w:val="FFFFFF" w:themeColor="background1"/>
                <w:sz w:val="28"/>
                <w:szCs w:val="28"/>
              </w:rPr>
            </w:pPr>
            <w:r w:rsidRPr="005D6102">
              <w:rPr>
                <w:color w:val="FFFFFF" w:themeColor="background1"/>
              </w:rPr>
              <w:t xml:space="preserve">Share of world production </w:t>
            </w:r>
          </w:p>
        </w:tc>
        <w:tc>
          <w:tcPr>
            <w:tcW w:w="1152" w:type="dxa"/>
            <w:shd w:val="clear" w:color="auto" w:fill="005CAF"/>
          </w:tcPr>
          <w:p w14:paraId="7C6964E1" w14:textId="77777777" w:rsidR="006314DD" w:rsidRPr="005D6102" w:rsidRDefault="006314DD" w:rsidP="006314DD">
            <w:pPr>
              <w:rPr>
                <w:color w:val="FFFFFF" w:themeColor="background1"/>
              </w:rPr>
            </w:pPr>
            <w:r w:rsidRPr="005D6102">
              <w:rPr>
                <w:color w:val="FFFFFF" w:themeColor="background1"/>
              </w:rPr>
              <w:t>World ranking production</w:t>
            </w:r>
          </w:p>
        </w:tc>
      </w:tr>
      <w:tr w:rsidR="006314DD" w:rsidRPr="005D6102" w14:paraId="210A754C" w14:textId="77777777" w:rsidTr="009F60B1">
        <w:trPr>
          <w:cnfStyle w:val="000000010000" w:firstRow="0" w:lastRow="0" w:firstColumn="0" w:lastColumn="0" w:oddVBand="0" w:evenVBand="0" w:oddHBand="0" w:evenHBand="1" w:firstRowFirstColumn="0" w:firstRowLastColumn="0" w:lastRowFirstColumn="0" w:lastRowLastColumn="0"/>
          <w:trHeight w:val="177"/>
        </w:trPr>
        <w:tc>
          <w:tcPr>
            <w:tcW w:w="1350" w:type="dxa"/>
          </w:tcPr>
          <w:p w14:paraId="0528DFD1" w14:textId="414D61C0" w:rsidR="006314DD" w:rsidRPr="005D6102" w:rsidRDefault="006314DD" w:rsidP="006314DD">
            <w:pPr>
              <w:rPr>
                <w:sz w:val="28"/>
                <w:szCs w:val="28"/>
              </w:rPr>
            </w:pPr>
            <w:r w:rsidRPr="005D6102">
              <w:t>Moderate</w:t>
            </w:r>
          </w:p>
        </w:tc>
        <w:tc>
          <w:tcPr>
            <w:tcW w:w="1503" w:type="dxa"/>
          </w:tcPr>
          <w:p w14:paraId="0C1F0DCD" w14:textId="6C263F6E" w:rsidR="006314DD" w:rsidRPr="005D6102" w:rsidRDefault="006314DD" w:rsidP="006314DD">
            <w:pPr>
              <w:rPr>
                <w:sz w:val="28"/>
                <w:szCs w:val="28"/>
              </w:rPr>
            </w:pPr>
            <w:r w:rsidRPr="005D6102">
              <w:t>386kt</w:t>
            </w:r>
          </w:p>
        </w:tc>
        <w:tc>
          <w:tcPr>
            <w:tcW w:w="1277" w:type="dxa"/>
          </w:tcPr>
          <w:p w14:paraId="1E611FC8" w14:textId="782C64DE" w:rsidR="006314DD" w:rsidRPr="005D6102" w:rsidRDefault="00BF4AD0" w:rsidP="006314DD">
            <w:pPr>
              <w:rPr>
                <w:sz w:val="28"/>
                <w:szCs w:val="28"/>
              </w:rPr>
            </w:pPr>
            <w:r w:rsidRPr="005D6102">
              <w:t>12%</w:t>
            </w:r>
          </w:p>
        </w:tc>
        <w:tc>
          <w:tcPr>
            <w:tcW w:w="1017" w:type="dxa"/>
          </w:tcPr>
          <w:p w14:paraId="0F0CF8E0" w14:textId="5A26988D" w:rsidR="006314DD" w:rsidRPr="005D6102" w:rsidRDefault="00BF4AD0" w:rsidP="006314DD">
            <w:r w:rsidRPr="005D6102">
              <w:t>2nd</w:t>
            </w:r>
          </w:p>
        </w:tc>
        <w:tc>
          <w:tcPr>
            <w:tcW w:w="1356" w:type="dxa"/>
          </w:tcPr>
          <w:p w14:paraId="7FB46C35" w14:textId="57FF86B8" w:rsidR="006314DD" w:rsidRPr="005D6102" w:rsidRDefault="006314DD" w:rsidP="006314DD">
            <w:pPr>
              <w:rPr>
                <w:sz w:val="28"/>
                <w:szCs w:val="28"/>
              </w:rPr>
            </w:pPr>
            <w:r w:rsidRPr="005D6102">
              <w:t>Negligible</w:t>
            </w:r>
          </w:p>
        </w:tc>
        <w:tc>
          <w:tcPr>
            <w:tcW w:w="1309" w:type="dxa"/>
          </w:tcPr>
          <w:p w14:paraId="47A82E5B" w14:textId="4D723BF9" w:rsidR="006314DD" w:rsidRPr="005D6102" w:rsidRDefault="006314DD" w:rsidP="006314DD">
            <w:pPr>
              <w:rPr>
                <w:sz w:val="28"/>
                <w:szCs w:val="28"/>
              </w:rPr>
            </w:pPr>
            <w:r w:rsidRPr="005D6102">
              <w:t>Negligible</w:t>
            </w:r>
          </w:p>
        </w:tc>
        <w:tc>
          <w:tcPr>
            <w:tcW w:w="1152" w:type="dxa"/>
          </w:tcPr>
          <w:p w14:paraId="1A0731B4" w14:textId="189034F6" w:rsidR="006314DD" w:rsidRPr="005D6102" w:rsidRDefault="006314DD" w:rsidP="006314DD">
            <w:r w:rsidRPr="005D6102">
              <w:t>Minor</w:t>
            </w:r>
          </w:p>
        </w:tc>
      </w:tr>
    </w:tbl>
    <w:p w14:paraId="6F00E098" w14:textId="0C596E17" w:rsidR="00FF1E9F" w:rsidRDefault="00FF1E9F" w:rsidP="00716D9E">
      <w:pPr>
        <w:pStyle w:val="Note"/>
        <w:spacing w:after="240"/>
      </w:pPr>
      <w:r w:rsidRPr="00587AD8">
        <w:rPr>
          <w:szCs w:val="16"/>
        </w:rPr>
        <w:t>Source:</w:t>
      </w:r>
      <w:r w:rsidR="00B0114B" w:rsidRPr="00587AD8">
        <w:rPr>
          <w:szCs w:val="16"/>
        </w:rPr>
        <w:t xml:space="preserve"> </w:t>
      </w:r>
      <w:r w:rsidR="0038180A" w:rsidRPr="005D6102">
        <w:t>Roskill (2018), Australian Trade and Investment Commission (2019) Critical Minerals Prospectus, Geoscience Australia (2019) Critical Minerals in Australia</w:t>
      </w:r>
    </w:p>
    <w:p w14:paraId="497B7CEA" w14:textId="77777777" w:rsidR="00416DAA" w:rsidRPr="00F83B1E" w:rsidRDefault="00416DAA">
      <w:pPr>
        <w:spacing w:before="120"/>
        <w:rPr>
          <w:sz w:val="20"/>
          <w:szCs w:val="20"/>
        </w:rPr>
      </w:pPr>
    </w:p>
    <w:sectPr w:rsidR="00416DAA" w:rsidRPr="00F83B1E" w:rsidSect="0070688F">
      <w:headerReference w:type="even" r:id="rId49"/>
      <w:headerReference w:type="default" r:id="rId50"/>
      <w:footerReference w:type="default" r:id="rId51"/>
      <w:headerReference w:type="first" r:id="rId52"/>
      <w:footerReference w:type="first" r:id="rId53"/>
      <w:pgSz w:w="11906" w:h="16838" w:code="9"/>
      <w:pgMar w:top="1134" w:right="1440" w:bottom="1440" w:left="1560" w:header="709" w:footer="709"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832B7F7" w14:textId="77777777" w:rsidR="007C7375" w:rsidRDefault="007C7375" w:rsidP="00F244EA">
      <w:pPr>
        <w:spacing w:after="0" w:line="240" w:lineRule="auto"/>
      </w:pPr>
      <w:r>
        <w:separator/>
      </w:r>
    </w:p>
  </w:endnote>
  <w:endnote w:type="continuationSeparator" w:id="0">
    <w:p w14:paraId="0C2E93E6" w14:textId="77777777" w:rsidR="007C7375" w:rsidRDefault="007C7375" w:rsidP="00F244EA">
      <w:pPr>
        <w:spacing w:after="0" w:line="240" w:lineRule="auto"/>
      </w:pPr>
      <w:r>
        <w:continuationSeparator/>
      </w:r>
    </w:p>
  </w:endnote>
  <w:endnote w:type="continuationNotice" w:id="1">
    <w:p w14:paraId="1974C80F" w14:textId="77777777" w:rsidR="007C7375" w:rsidRDefault="007C7375">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247B" w:usb2="00000009" w:usb3="00000000" w:csb0="000001FF" w:csb1="00000000"/>
  </w:font>
  <w:font w:name="NimbusSanNov">
    <w:altName w:val="NimbusSanNov"/>
    <w:panose1 w:val="00000000000000000000"/>
    <w:charset w:val="00"/>
    <w:family w:val="swiss"/>
    <w:notTrueType/>
    <w:pitch w:val="default"/>
    <w:sig w:usb0="00000003" w:usb1="00000000" w:usb2="00000000" w:usb3="00000000" w:csb0="00000001" w:csb1="00000000"/>
  </w:font>
  <w:font w:name="Gotham Narrow Book">
    <w:altName w:val="Gotham Narrow Book"/>
    <w:panose1 w:val="00000000000000000000"/>
    <w:charset w:val="00"/>
    <w:family w:val="swiss"/>
    <w:notTrueType/>
    <w:pitch w:val="default"/>
    <w:sig w:usb0="00000003" w:usb1="00000000" w:usb2="00000000" w:usb3="00000000" w:csb0="00000001" w:csb1="00000000"/>
  </w:font>
  <w:font w:name="Montserrat">
    <w:panose1 w:val="02000505000000020004"/>
    <w:charset w:val="00"/>
    <w:family w:val="auto"/>
    <w:pitch w:val="variable"/>
    <w:sig w:usb0="00000007" w:usb1="00000000" w:usb2="00000000" w:usb3="00000000" w:csb0="00000093" w:csb1="00000000"/>
  </w:font>
  <w:font w:name="Minion Pro">
    <w:panose1 w:val="00000000000000000000"/>
    <w:charset w:val="00"/>
    <w:family w:val="roman"/>
    <w:notTrueType/>
    <w:pitch w:val="variable"/>
    <w:sig w:usb0="60000287" w:usb1="00000001" w:usb2="00000000" w:usb3="00000000" w:csb0="000001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4B190DD" w14:textId="77777777" w:rsidR="007C7375" w:rsidRPr="001C2E57" w:rsidRDefault="007C7375" w:rsidP="009971BD">
    <w:pPr>
      <w:pStyle w:val="Footer"/>
    </w:pPr>
    <w:r w:rsidRPr="001C2E57">
      <w:fldChar w:fldCharType="begin"/>
    </w:r>
    <w:r w:rsidRPr="001C2E57">
      <w:instrText>IF</w:instrText>
    </w:r>
    <w:r>
      <w:rPr>
        <w:noProof/>
      </w:rPr>
      <w:fldChar w:fldCharType="begin"/>
    </w:r>
    <w:r>
      <w:rPr>
        <w:noProof/>
      </w:rPr>
      <w:instrText xml:space="preserve"> STYLEREF "Title Heading" \* Charformat </w:instrText>
    </w:r>
    <w:r>
      <w:rPr>
        <w:noProof/>
      </w:rPr>
      <w:fldChar w:fldCharType="separate"/>
    </w:r>
    <w:r w:rsidR="006158CC">
      <w:rPr>
        <w:b/>
        <w:bCs/>
        <w:noProof/>
        <w:lang w:val="en-US"/>
      </w:rPr>
      <w:instrText>Error! No text of specified style in document.</w:instrText>
    </w:r>
    <w:r>
      <w:rPr>
        <w:noProof/>
      </w:rPr>
      <w:fldChar w:fldCharType="end"/>
    </w:r>
    <w:r w:rsidRPr="001C2E57">
      <w:instrText xml:space="preserve"> &lt;&gt; "Error*" </w:instrText>
    </w:r>
    <w:r>
      <w:rPr>
        <w:noProof/>
      </w:rPr>
      <w:fldChar w:fldCharType="begin"/>
    </w:r>
    <w:r>
      <w:rPr>
        <w:noProof/>
      </w:rPr>
      <w:instrText xml:space="preserve"> STYLEREF "Title Heading" \* Charformat </w:instrText>
    </w:r>
    <w:r>
      <w:rPr>
        <w:noProof/>
      </w:rPr>
      <w:fldChar w:fldCharType="separate"/>
    </w:r>
    <w:r>
      <w:rPr>
        <w:noProof/>
      </w:rPr>
      <w:instrText>OCE Report Template</w:instrText>
    </w:r>
    <w:r>
      <w:rPr>
        <w:noProof/>
      </w:rPr>
      <w:fldChar w:fldCharType="end"/>
    </w:r>
    <w:r w:rsidRPr="001C2E57">
      <w:instrText xml:space="preserve"> </w:instrText>
    </w:r>
    <w:r w:rsidRPr="001C2E57">
      <w:fldChar w:fldCharType="end"/>
    </w:r>
    <w:r>
      <w:ptab w:relativeTo="margin" w:alignment="right" w:leader="none"/>
    </w:r>
    <w:r w:rsidRPr="001C2E57">
      <w:fldChar w:fldCharType="begin"/>
    </w:r>
    <w:r w:rsidRPr="001C2E57">
      <w:instrText xml:space="preserve"> PAGE   \* MERGEFORMAT </w:instrText>
    </w:r>
    <w:r w:rsidRPr="001C2E57">
      <w:fldChar w:fldCharType="separate"/>
    </w:r>
    <w:r w:rsidR="006158CC">
      <w:rPr>
        <w:noProof/>
      </w:rPr>
      <w:t>i</w:t>
    </w:r>
    <w:r w:rsidRPr="001C2E57">
      <w:rPr>
        <w:noProof/>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60C5140" w14:textId="77777777" w:rsidR="007C7375" w:rsidRPr="001C2E57" w:rsidRDefault="007C7375" w:rsidP="009971BD">
    <w:pPr>
      <w:pStyle w:val="Footer"/>
    </w:pPr>
    <w:r w:rsidRPr="001C2E57">
      <w:fldChar w:fldCharType="begin"/>
    </w:r>
    <w:r w:rsidRPr="001C2E57">
      <w:instrText>IF</w:instrText>
    </w:r>
    <w:r>
      <w:rPr>
        <w:noProof/>
      </w:rPr>
      <w:fldChar w:fldCharType="begin"/>
    </w:r>
    <w:r>
      <w:rPr>
        <w:noProof/>
      </w:rPr>
      <w:instrText xml:space="preserve"> STYLEREF "Title Heading" \* Charformat </w:instrText>
    </w:r>
    <w:r>
      <w:rPr>
        <w:noProof/>
      </w:rPr>
      <w:fldChar w:fldCharType="separate"/>
    </w:r>
    <w:r>
      <w:rPr>
        <w:b/>
        <w:bCs/>
        <w:noProof/>
        <w:lang w:val="en-US"/>
      </w:rPr>
      <w:instrText>Error! No text of specified style in document.</w:instrText>
    </w:r>
    <w:r>
      <w:rPr>
        <w:noProof/>
      </w:rPr>
      <w:fldChar w:fldCharType="end"/>
    </w:r>
    <w:r w:rsidRPr="001C2E57">
      <w:instrText xml:space="preserve"> &lt;&gt; "Error*" </w:instrText>
    </w:r>
    <w:r>
      <w:rPr>
        <w:noProof/>
      </w:rPr>
      <w:fldChar w:fldCharType="begin"/>
    </w:r>
    <w:r>
      <w:rPr>
        <w:noProof/>
      </w:rPr>
      <w:instrText xml:space="preserve"> STYLEREF "Title Heading" \* Charformat </w:instrText>
    </w:r>
    <w:r>
      <w:rPr>
        <w:noProof/>
      </w:rPr>
      <w:fldChar w:fldCharType="separate"/>
    </w:r>
    <w:r>
      <w:rPr>
        <w:noProof/>
      </w:rPr>
      <w:instrText>OCE Report Template</w:instrText>
    </w:r>
    <w:r>
      <w:rPr>
        <w:noProof/>
      </w:rPr>
      <w:fldChar w:fldCharType="end"/>
    </w:r>
    <w:r w:rsidRPr="001C2E57">
      <w:instrText xml:space="preserve"> </w:instrText>
    </w:r>
    <w:r w:rsidRPr="001C2E57">
      <w:fldChar w:fldCharType="end"/>
    </w:r>
    <w:r>
      <w:ptab w:relativeTo="margin" w:alignment="right" w:leader="none"/>
    </w:r>
    <w:r w:rsidRPr="001C2E57">
      <w:fldChar w:fldCharType="begin"/>
    </w:r>
    <w:r w:rsidRPr="001C2E57">
      <w:instrText xml:space="preserve"> PAGE   \* MERGEFORMAT </w:instrText>
    </w:r>
    <w:r w:rsidRPr="001C2E57">
      <w:fldChar w:fldCharType="separate"/>
    </w:r>
    <w:r>
      <w:rPr>
        <w:noProof/>
      </w:rPr>
      <w:t>0</w:t>
    </w:r>
    <w:r w:rsidRPr="001C2E57">
      <w:rPr>
        <w:noProof/>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76BCD4" w14:textId="77777777" w:rsidR="007C7375" w:rsidRPr="001C2E57" w:rsidRDefault="007C7375" w:rsidP="00301D88">
    <w:pPr>
      <w:pStyle w:val="Footer"/>
      <w:tabs>
        <w:tab w:val="clear" w:pos="9680"/>
      </w:tabs>
    </w:pPr>
    <w:r w:rsidRPr="001C2E57">
      <w:fldChar w:fldCharType="begin"/>
    </w:r>
    <w:r w:rsidRPr="001C2E57">
      <w:instrText>IF</w:instrText>
    </w:r>
    <w:r>
      <w:fldChar w:fldCharType="begin"/>
    </w:r>
    <w:r>
      <w:instrText xml:space="preserve"> STYLEREF "Title Heading" \* Charformat </w:instrText>
    </w:r>
    <w:r>
      <w:fldChar w:fldCharType="separate"/>
    </w:r>
    <w:r w:rsidR="00406C79">
      <w:rPr>
        <w:b/>
        <w:bCs/>
        <w:noProof/>
        <w:lang w:val="en-US"/>
      </w:rPr>
      <w:instrText>Error! No text of specified style in document.</w:instrText>
    </w:r>
    <w:r>
      <w:rPr>
        <w:noProof/>
      </w:rPr>
      <w:fldChar w:fldCharType="end"/>
    </w:r>
    <w:r w:rsidRPr="001C2E57">
      <w:instrText xml:space="preserve"> &lt;&gt; "Error*" </w:instrText>
    </w:r>
    <w:r>
      <w:rPr>
        <w:noProof/>
      </w:rPr>
      <w:fldChar w:fldCharType="begin"/>
    </w:r>
    <w:r>
      <w:rPr>
        <w:noProof/>
      </w:rPr>
      <w:instrText xml:space="preserve"> STYLEREF "Title Heading" \* Charformat </w:instrText>
    </w:r>
    <w:r>
      <w:rPr>
        <w:noProof/>
      </w:rPr>
      <w:fldChar w:fldCharType="separate"/>
    </w:r>
    <w:r>
      <w:rPr>
        <w:noProof/>
      </w:rPr>
      <w:instrText>Type document title here Report cover</w:instrText>
    </w:r>
    <w:r>
      <w:rPr>
        <w:noProof/>
      </w:rPr>
      <w:fldChar w:fldCharType="end"/>
    </w:r>
    <w:r w:rsidRPr="001C2E57">
      <w:instrText xml:space="preserve"> </w:instrText>
    </w:r>
    <w:r w:rsidRPr="001C2E57">
      <w:fldChar w:fldCharType="end"/>
    </w:r>
    <w:r>
      <w:ptab w:relativeTo="margin" w:alignment="right" w:leader="none"/>
    </w:r>
    <w:r w:rsidRPr="001C2E57">
      <w:fldChar w:fldCharType="begin"/>
    </w:r>
    <w:r w:rsidRPr="001C2E57">
      <w:instrText xml:space="preserve"> PAGE   \* MERGEFORMAT </w:instrText>
    </w:r>
    <w:r w:rsidRPr="001C2E57">
      <w:fldChar w:fldCharType="separate"/>
    </w:r>
    <w:r w:rsidR="00406C79">
      <w:rPr>
        <w:noProof/>
      </w:rPr>
      <w:t>7</w:t>
    </w:r>
    <w:r w:rsidRPr="001C2E57">
      <w:rPr>
        <w:noProof/>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DFBECC9" w14:textId="77777777" w:rsidR="007C7375" w:rsidRPr="001C2E57" w:rsidRDefault="007C7375" w:rsidP="00E35ECE">
    <w:pPr>
      <w:pStyle w:val="Footer"/>
    </w:pPr>
    <w:r w:rsidRPr="001C2E57">
      <w:fldChar w:fldCharType="begin"/>
    </w:r>
    <w:r w:rsidRPr="001C2E57">
      <w:instrText>IF</w:instrText>
    </w:r>
    <w:r>
      <w:fldChar w:fldCharType="begin"/>
    </w:r>
    <w:r>
      <w:instrText xml:space="preserve"> STYLEREF "Title Heading" \* Charformat </w:instrText>
    </w:r>
    <w:r>
      <w:fldChar w:fldCharType="separate"/>
    </w:r>
    <w:r>
      <w:rPr>
        <w:b/>
        <w:bCs/>
        <w:noProof/>
        <w:lang w:val="en-US"/>
      </w:rPr>
      <w:instrText>Error! No text of specified style in document.</w:instrText>
    </w:r>
    <w:r>
      <w:rPr>
        <w:noProof/>
      </w:rPr>
      <w:fldChar w:fldCharType="end"/>
    </w:r>
    <w:r w:rsidRPr="001C2E57">
      <w:instrText xml:space="preserve"> &lt;&gt; "Error*" </w:instrText>
    </w:r>
    <w:r>
      <w:rPr>
        <w:noProof/>
      </w:rPr>
      <w:fldChar w:fldCharType="begin"/>
    </w:r>
    <w:r>
      <w:rPr>
        <w:noProof/>
      </w:rPr>
      <w:instrText xml:space="preserve"> STYLEREF "Title Heading" \* Charformat </w:instrText>
    </w:r>
    <w:r>
      <w:rPr>
        <w:noProof/>
      </w:rPr>
      <w:fldChar w:fldCharType="separate"/>
    </w:r>
    <w:r>
      <w:rPr>
        <w:noProof/>
      </w:rPr>
      <w:instrText>[Research Paper Title]</w:instrText>
    </w:r>
    <w:r>
      <w:rPr>
        <w:noProof/>
      </w:rPr>
      <w:fldChar w:fldCharType="end"/>
    </w:r>
    <w:r w:rsidRPr="001C2E57">
      <w:instrText xml:space="preserve"> </w:instrText>
    </w:r>
    <w:r w:rsidRPr="001C2E57">
      <w:fldChar w:fldCharType="end"/>
    </w:r>
    <w:r>
      <w:ptab w:relativeTo="margin" w:alignment="right" w:leader="none"/>
    </w:r>
    <w:r w:rsidRPr="001C2E57">
      <w:fldChar w:fldCharType="begin"/>
    </w:r>
    <w:r w:rsidRPr="001C2E57">
      <w:instrText xml:space="preserve"> PAGE   \* MERGEFORMAT </w:instrText>
    </w:r>
    <w:r w:rsidRPr="001C2E57">
      <w:fldChar w:fldCharType="separate"/>
    </w:r>
    <w:r>
      <w:rPr>
        <w:noProof/>
      </w:rPr>
      <w:t>1</w:t>
    </w:r>
    <w:r w:rsidRPr="001C2E57">
      <w:rPr>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B4BC478" w14:textId="77777777" w:rsidR="007C7375" w:rsidRDefault="007C7375" w:rsidP="00F244EA">
      <w:pPr>
        <w:spacing w:after="0" w:line="240" w:lineRule="auto"/>
      </w:pPr>
      <w:r>
        <w:separator/>
      </w:r>
    </w:p>
  </w:footnote>
  <w:footnote w:type="continuationSeparator" w:id="0">
    <w:p w14:paraId="51E66718" w14:textId="77777777" w:rsidR="007C7375" w:rsidRDefault="007C7375" w:rsidP="00F244EA">
      <w:pPr>
        <w:spacing w:after="0" w:line="240" w:lineRule="auto"/>
      </w:pPr>
      <w:r>
        <w:continuationSeparator/>
      </w:r>
    </w:p>
  </w:footnote>
  <w:footnote w:type="continuationNotice" w:id="1">
    <w:p w14:paraId="203BFCAB" w14:textId="77777777" w:rsidR="007C7375" w:rsidRDefault="007C7375">
      <w:pPr>
        <w:spacing w:after="0" w:line="240" w:lineRule="auto"/>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8FF94AB" w14:textId="77777777" w:rsidR="007C7375" w:rsidRDefault="007C7375">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44F1405" w14:textId="0C365544" w:rsidR="007C7375" w:rsidRDefault="007C7375">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50B52F4" w14:textId="1B71BFDD" w:rsidR="007C7375" w:rsidRDefault="007C7375">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7A18C3" w14:textId="52651DD5" w:rsidR="007C7375" w:rsidRDefault="007C7375">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323B38"/>
    <w:multiLevelType w:val="multilevel"/>
    <w:tmpl w:val="D5BAF582"/>
    <w:styleLink w:val="OCEHeadings"/>
    <w:lvl w:ilvl="0">
      <w:start w:val="1"/>
      <w:numFmt w:val="decimal"/>
      <w:lvlText w:val="%1."/>
      <w:lvlJc w:val="left"/>
      <w:pPr>
        <w:ind w:left="709" w:hanging="709"/>
      </w:pPr>
      <w:rPr>
        <w:rFonts w:hint="default"/>
      </w:rPr>
    </w:lvl>
    <w:lvl w:ilvl="1">
      <w:start w:val="1"/>
      <w:numFmt w:val="decimal"/>
      <w:lvlText w:val="%1.%2"/>
      <w:lvlJc w:val="left"/>
      <w:pPr>
        <w:ind w:left="709" w:hanging="709"/>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2160" w:firstLine="0"/>
      </w:pPr>
      <w:rPr>
        <w:rFonts w:hint="default"/>
      </w:rPr>
    </w:lvl>
    <w:lvl w:ilvl="4">
      <w:start w:val="1"/>
      <w:numFmt w:val="none"/>
      <w:suff w:val="nothing"/>
      <w:lvlText w:val=""/>
      <w:lvlJc w:val="left"/>
      <w:pPr>
        <w:ind w:left="2160" w:firstLine="0"/>
      </w:pPr>
      <w:rPr>
        <w:rFonts w:hint="default"/>
      </w:rPr>
    </w:lvl>
    <w:lvl w:ilvl="5">
      <w:start w:val="1"/>
      <w:numFmt w:val="upperLetter"/>
      <w:lvlText w:val="Appendix %6"/>
      <w:lvlJc w:val="left"/>
      <w:pPr>
        <w:ind w:left="2381" w:hanging="2381"/>
      </w:pPr>
      <w:rPr>
        <w:rFonts w:hint="default"/>
      </w:rPr>
    </w:lvl>
    <w:lvl w:ilvl="6">
      <w:start w:val="1"/>
      <w:numFmt w:val="decimal"/>
      <w:lvlText w:val="%6.%7"/>
      <w:lvlJc w:val="left"/>
      <w:pPr>
        <w:ind w:left="709" w:hanging="709"/>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 w15:restartNumberingAfterBreak="0">
    <w:nsid w:val="057A3A93"/>
    <w:multiLevelType w:val="multilevel"/>
    <w:tmpl w:val="BBAAF4A4"/>
    <w:numStyleLink w:val="OCEBulletedList"/>
  </w:abstractNum>
  <w:abstractNum w:abstractNumId="2" w15:restartNumberingAfterBreak="0">
    <w:nsid w:val="05B7681B"/>
    <w:multiLevelType w:val="multilevel"/>
    <w:tmpl w:val="A3F68728"/>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05FA705B"/>
    <w:multiLevelType w:val="multilevel"/>
    <w:tmpl w:val="70341E2E"/>
    <w:numStyleLink w:val="OCEOnePagerHeadingStyles"/>
  </w:abstractNum>
  <w:abstractNum w:abstractNumId="4" w15:restartNumberingAfterBreak="0">
    <w:nsid w:val="128933F4"/>
    <w:multiLevelType w:val="multilevel"/>
    <w:tmpl w:val="BBAAF4A4"/>
    <w:numStyleLink w:val="OCEBulletedList"/>
  </w:abstractNum>
  <w:abstractNum w:abstractNumId="5" w15:restartNumberingAfterBreak="0">
    <w:nsid w:val="153A1963"/>
    <w:multiLevelType w:val="multilevel"/>
    <w:tmpl w:val="56707342"/>
    <w:lvl w:ilvl="0">
      <w:start w:val="1"/>
      <w:numFmt w:val="bullet"/>
      <w:lvlText w:val=""/>
      <w:lvlJc w:val="left"/>
      <w:pPr>
        <w:ind w:left="340" w:hanging="340"/>
      </w:pPr>
      <w:rPr>
        <w:rFonts w:ascii="Symbol" w:hAnsi="Symbol" w:hint="default"/>
        <w:color w:val="005CAF"/>
      </w:rPr>
    </w:lvl>
    <w:lvl w:ilvl="1">
      <w:start w:val="1"/>
      <w:numFmt w:val="bullet"/>
      <w:lvlText w:val=""/>
      <w:lvlJc w:val="left"/>
      <w:pPr>
        <w:ind w:left="1050" w:hanging="340"/>
      </w:pPr>
      <w:rPr>
        <w:rFonts w:ascii="Symbol" w:hAnsi="Symbol" w:hint="default"/>
        <w:b w:val="0"/>
        <w:i w:val="0"/>
        <w:color w:val="005CAF"/>
        <w:w w:val="100"/>
        <w:position w:val="0"/>
        <w:sz w:val="20"/>
        <w:vertAlign w:val="baseline"/>
      </w:rPr>
    </w:lvl>
    <w:lvl w:ilvl="2">
      <w:start w:val="1"/>
      <w:numFmt w:val="bullet"/>
      <w:lvlText w:val="-"/>
      <w:lvlJc w:val="left"/>
      <w:pPr>
        <w:ind w:left="964" w:hanging="255"/>
      </w:pPr>
      <w:rPr>
        <w:rFonts w:ascii="Courier New" w:hAnsi="Courier New" w:hint="default"/>
        <w:color w:val="005CAF"/>
      </w:rPr>
    </w:lvl>
    <w:lvl w:ilvl="3">
      <w:start w:val="1"/>
      <w:numFmt w:val="none"/>
      <w:suff w:val="nothing"/>
      <w:lvlText w:val=""/>
      <w:lvlJc w:val="left"/>
      <w:pPr>
        <w:ind w:left="1134"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6" w15:restartNumberingAfterBreak="0">
    <w:nsid w:val="159A6EC1"/>
    <w:multiLevelType w:val="multilevel"/>
    <w:tmpl w:val="3BFA39A6"/>
    <w:numStyleLink w:val="OCENumberedList"/>
  </w:abstractNum>
  <w:abstractNum w:abstractNumId="7" w15:restartNumberingAfterBreak="0">
    <w:nsid w:val="16850E88"/>
    <w:multiLevelType w:val="hybridMultilevel"/>
    <w:tmpl w:val="70945B9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182859EC"/>
    <w:multiLevelType w:val="multilevel"/>
    <w:tmpl w:val="3684BDEC"/>
    <w:styleLink w:val="OCETableBullets"/>
    <w:lvl w:ilvl="0">
      <w:start w:val="1"/>
      <w:numFmt w:val="bullet"/>
      <w:pStyle w:val="TableListBullet"/>
      <w:lvlText w:val=""/>
      <w:lvlJc w:val="left"/>
      <w:pPr>
        <w:ind w:left="113" w:hanging="113"/>
      </w:pPr>
      <w:rPr>
        <w:rFonts w:ascii="Wingdings" w:hAnsi="Wingdings" w:hint="default"/>
      </w:rPr>
    </w:lvl>
    <w:lvl w:ilvl="1">
      <w:start w:val="1"/>
      <w:numFmt w:val="none"/>
      <w:suff w:val="nothing"/>
      <w:lvlText w:val=""/>
      <w:lvlJc w:val="left"/>
      <w:pPr>
        <w:ind w:left="-32767" w:firstLine="0"/>
      </w:pPr>
      <w:rPr>
        <w:rFonts w:hint="default"/>
      </w:rPr>
    </w:lvl>
    <w:lvl w:ilvl="2">
      <w:start w:val="1"/>
      <w:numFmt w:val="none"/>
      <w:suff w:val="nothing"/>
      <w:lvlText w:val=""/>
      <w:lvlJc w:val="left"/>
      <w:pPr>
        <w:ind w:left="-32767" w:firstLine="0"/>
      </w:pPr>
      <w:rPr>
        <w:rFonts w:hint="default"/>
      </w:rPr>
    </w:lvl>
    <w:lvl w:ilvl="3">
      <w:start w:val="1"/>
      <w:numFmt w:val="none"/>
      <w:suff w:val="nothing"/>
      <w:lvlText w:val=""/>
      <w:lvlJc w:val="left"/>
      <w:pPr>
        <w:ind w:left="-32767" w:firstLine="0"/>
      </w:pPr>
      <w:rPr>
        <w:rFonts w:hint="default"/>
      </w:rPr>
    </w:lvl>
    <w:lvl w:ilvl="4">
      <w:start w:val="1"/>
      <w:numFmt w:val="none"/>
      <w:suff w:val="nothing"/>
      <w:lvlText w:val=""/>
      <w:lvlJc w:val="left"/>
      <w:pPr>
        <w:ind w:left="-32767" w:firstLine="0"/>
      </w:pPr>
      <w:rPr>
        <w:rFonts w:hint="default"/>
      </w:rPr>
    </w:lvl>
    <w:lvl w:ilvl="5">
      <w:start w:val="1"/>
      <w:numFmt w:val="none"/>
      <w:suff w:val="nothing"/>
      <w:lvlText w:val=""/>
      <w:lvlJc w:val="left"/>
      <w:pPr>
        <w:ind w:left="-32767" w:firstLine="0"/>
      </w:pPr>
      <w:rPr>
        <w:rFonts w:hint="default"/>
      </w:rPr>
    </w:lvl>
    <w:lvl w:ilvl="6">
      <w:start w:val="1"/>
      <w:numFmt w:val="bullet"/>
      <w:suff w:val="nothing"/>
      <w:lvlText w:val=""/>
      <w:lvlJc w:val="left"/>
      <w:pPr>
        <w:ind w:left="-32767" w:firstLine="0"/>
      </w:pPr>
      <w:rPr>
        <w:rFonts w:ascii="Symbol" w:hAnsi="Symbol" w:hint="default"/>
      </w:rPr>
    </w:lvl>
    <w:lvl w:ilvl="7">
      <w:start w:val="1"/>
      <w:numFmt w:val="bullet"/>
      <w:suff w:val="nothing"/>
      <w:lvlText w:val="o"/>
      <w:lvlJc w:val="left"/>
      <w:pPr>
        <w:ind w:left="-32767" w:firstLine="0"/>
      </w:pPr>
      <w:rPr>
        <w:rFonts w:ascii="Courier New" w:hAnsi="Courier New" w:hint="default"/>
      </w:rPr>
    </w:lvl>
    <w:lvl w:ilvl="8">
      <w:start w:val="1"/>
      <w:numFmt w:val="bullet"/>
      <w:suff w:val="nothing"/>
      <w:lvlText w:val=""/>
      <w:lvlJc w:val="left"/>
      <w:pPr>
        <w:ind w:left="-32767" w:firstLine="0"/>
      </w:pPr>
      <w:rPr>
        <w:rFonts w:ascii="Wingdings" w:hAnsi="Wingdings" w:hint="default"/>
      </w:rPr>
    </w:lvl>
  </w:abstractNum>
  <w:abstractNum w:abstractNumId="9" w15:restartNumberingAfterBreak="0">
    <w:nsid w:val="187029E1"/>
    <w:multiLevelType w:val="multilevel"/>
    <w:tmpl w:val="9E06CAEE"/>
    <w:styleLink w:val="EASDMultilevelList"/>
    <w:lvl w:ilvl="0">
      <w:start w:val="1"/>
      <w:numFmt w:val="decimal"/>
      <w:lvlText w:val="%1."/>
      <w:lvlJc w:val="left"/>
      <w:pPr>
        <w:ind w:left="2520" w:hanging="360"/>
      </w:pPr>
      <w:rPr>
        <w:rFonts w:hint="default"/>
      </w:rPr>
    </w:lvl>
    <w:lvl w:ilvl="1">
      <w:start w:val="1"/>
      <w:numFmt w:val="decimal"/>
      <w:lvlText w:val="%1.%2."/>
      <w:lvlJc w:val="left"/>
      <w:pPr>
        <w:ind w:left="2121" w:firstLine="399"/>
      </w:pPr>
      <w:rPr>
        <w:rFonts w:hint="default"/>
      </w:rPr>
    </w:lvl>
    <w:lvl w:ilvl="2">
      <w:start w:val="1"/>
      <w:numFmt w:val="decimal"/>
      <w:lvlText w:val="%1.%2.%3."/>
      <w:lvlJc w:val="left"/>
      <w:pPr>
        <w:ind w:left="2121" w:firstLine="759"/>
      </w:pPr>
      <w:rPr>
        <w:rFonts w:hint="default"/>
      </w:rPr>
    </w:lvl>
    <w:lvl w:ilvl="3">
      <w:start w:val="1"/>
      <w:numFmt w:val="decimal"/>
      <w:lvlText w:val="%1.%2.%3.%4."/>
      <w:lvlJc w:val="left"/>
      <w:pPr>
        <w:ind w:left="2121" w:firstLine="1119"/>
      </w:pPr>
      <w:rPr>
        <w:rFonts w:hint="default"/>
      </w:rPr>
    </w:lvl>
    <w:lvl w:ilvl="4">
      <w:start w:val="1"/>
      <w:numFmt w:val="decimal"/>
      <w:lvlText w:val="%1.%2.%3.%4.%5."/>
      <w:lvlJc w:val="left"/>
      <w:pPr>
        <w:ind w:left="4392" w:hanging="792"/>
      </w:pPr>
      <w:rPr>
        <w:rFonts w:hint="default"/>
      </w:rPr>
    </w:lvl>
    <w:lvl w:ilvl="5">
      <w:start w:val="1"/>
      <w:numFmt w:val="decimal"/>
      <w:lvlText w:val="%1.%2.%3.%4.%5.%6."/>
      <w:lvlJc w:val="left"/>
      <w:pPr>
        <w:ind w:left="4896" w:hanging="936"/>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5904" w:hanging="1224"/>
      </w:pPr>
      <w:rPr>
        <w:rFonts w:hint="default"/>
      </w:rPr>
    </w:lvl>
    <w:lvl w:ilvl="8">
      <w:start w:val="1"/>
      <w:numFmt w:val="decimal"/>
      <w:lvlText w:val="%1.%2.%3.%4.%5.%6.%7.%8.%9."/>
      <w:lvlJc w:val="left"/>
      <w:pPr>
        <w:ind w:left="6480" w:hanging="1440"/>
      </w:pPr>
      <w:rPr>
        <w:rFonts w:hint="default"/>
      </w:rPr>
    </w:lvl>
  </w:abstractNum>
  <w:abstractNum w:abstractNumId="10" w15:restartNumberingAfterBreak="0">
    <w:nsid w:val="18801DAD"/>
    <w:multiLevelType w:val="multilevel"/>
    <w:tmpl w:val="3BFA39A6"/>
    <w:styleLink w:val="OCENumberedList"/>
    <w:lvl w:ilvl="0">
      <w:start w:val="1"/>
      <w:numFmt w:val="decimal"/>
      <w:pStyle w:val="ListNumber"/>
      <w:lvlText w:val="%1."/>
      <w:lvlJc w:val="left"/>
      <w:pPr>
        <w:ind w:left="425" w:hanging="425"/>
      </w:pPr>
      <w:rPr>
        <w:color w:val="005CAF"/>
      </w:rPr>
    </w:lvl>
    <w:lvl w:ilvl="1">
      <w:start w:val="1"/>
      <w:numFmt w:val="decimal"/>
      <w:pStyle w:val="ListNumber2"/>
      <w:lvlText w:val="%1.%2"/>
      <w:lvlJc w:val="left"/>
      <w:pPr>
        <w:ind w:left="992" w:hanging="567"/>
      </w:pPr>
      <w:rPr>
        <w:color w:val="005CAF"/>
      </w:rPr>
    </w:lvl>
    <w:lvl w:ilvl="2">
      <w:start w:val="1"/>
      <w:numFmt w:val="decimal"/>
      <w:pStyle w:val="ListNumber3"/>
      <w:lvlText w:val="%1.%2.%3"/>
      <w:lvlJc w:val="left"/>
      <w:pPr>
        <w:ind w:left="1701" w:hanging="709"/>
      </w:pPr>
      <w:rPr>
        <w:color w:val="005CAF"/>
      </w:rPr>
    </w:lvl>
    <w:lvl w:ilvl="3">
      <w:start w:val="1"/>
      <w:numFmt w:val="none"/>
      <w:pStyle w:val="ListNumber4"/>
      <w:suff w:val="nothing"/>
      <w:lvlText w:val=""/>
      <w:lvlJc w:val="left"/>
      <w:pPr>
        <w:ind w:left="1701" w:firstLine="0"/>
      </w:pPr>
      <w:rPr>
        <w:rFonts w:hint="default"/>
      </w:rPr>
    </w:lvl>
    <w:lvl w:ilvl="4">
      <w:start w:val="1"/>
      <w:numFmt w:val="none"/>
      <w:lvlRestart w:val="0"/>
      <w:suff w:val="nothing"/>
      <w:lvlText w:val=""/>
      <w:lvlJc w:val="left"/>
      <w:pPr>
        <w:ind w:left="3686" w:firstLine="0"/>
      </w:pPr>
      <w:rPr>
        <w:rFonts w:hint="default"/>
      </w:rPr>
    </w:lvl>
    <w:lvl w:ilvl="5">
      <w:start w:val="1"/>
      <w:numFmt w:val="none"/>
      <w:lvlRestart w:val="0"/>
      <w:suff w:val="nothing"/>
      <w:lvlText w:val=""/>
      <w:lvlJc w:val="left"/>
      <w:pPr>
        <w:ind w:left="3686" w:firstLine="0"/>
      </w:pPr>
      <w:rPr>
        <w:rFonts w:hint="default"/>
      </w:rPr>
    </w:lvl>
    <w:lvl w:ilvl="6">
      <w:start w:val="1"/>
      <w:numFmt w:val="none"/>
      <w:lvlRestart w:val="0"/>
      <w:suff w:val="nothing"/>
      <w:lvlText w:val=""/>
      <w:lvlJc w:val="left"/>
      <w:pPr>
        <w:ind w:left="3686" w:firstLine="0"/>
      </w:pPr>
      <w:rPr>
        <w:rFonts w:hint="default"/>
      </w:rPr>
    </w:lvl>
    <w:lvl w:ilvl="7">
      <w:start w:val="1"/>
      <w:numFmt w:val="none"/>
      <w:lvlRestart w:val="0"/>
      <w:suff w:val="nothing"/>
      <w:lvlText w:val=""/>
      <w:lvlJc w:val="left"/>
      <w:pPr>
        <w:ind w:left="3686" w:firstLine="0"/>
      </w:pPr>
      <w:rPr>
        <w:rFonts w:hint="default"/>
      </w:rPr>
    </w:lvl>
    <w:lvl w:ilvl="8">
      <w:start w:val="1"/>
      <w:numFmt w:val="none"/>
      <w:lvlRestart w:val="0"/>
      <w:suff w:val="nothing"/>
      <w:lvlText w:val=""/>
      <w:lvlJc w:val="left"/>
      <w:pPr>
        <w:ind w:left="3686" w:firstLine="0"/>
      </w:pPr>
      <w:rPr>
        <w:rFonts w:hint="default"/>
      </w:rPr>
    </w:lvl>
  </w:abstractNum>
  <w:abstractNum w:abstractNumId="11" w15:restartNumberingAfterBreak="0">
    <w:nsid w:val="1A572D9B"/>
    <w:multiLevelType w:val="multilevel"/>
    <w:tmpl w:val="2FAC3264"/>
    <w:lvl w:ilvl="0">
      <w:start w:val="1"/>
      <w:numFmt w:val="decimal"/>
      <w:lvlText w:val="%1."/>
      <w:lvlJc w:val="left"/>
      <w:pPr>
        <w:ind w:left="567" w:hanging="567"/>
      </w:pPr>
      <w:rPr>
        <w:rFonts w:hint="default"/>
      </w:rPr>
    </w:lvl>
    <w:lvl w:ilvl="1">
      <w:start w:val="1"/>
      <w:numFmt w:val="decimal"/>
      <w:lvlText w:val="%1.%2"/>
      <w:lvlJc w:val="left"/>
      <w:pPr>
        <w:ind w:left="567" w:hanging="567"/>
      </w:pPr>
      <w:rPr>
        <w:rFonts w:hint="default"/>
      </w:rPr>
    </w:lvl>
    <w:lvl w:ilvl="2">
      <w:start w:val="1"/>
      <w:numFmt w:val="none"/>
      <w:suff w:val="nothing"/>
      <w:lvlText w:val=""/>
      <w:lvlJc w:val="left"/>
      <w:pPr>
        <w:ind w:left="0" w:firstLine="0"/>
      </w:pPr>
      <w:rPr>
        <w:rFonts w:hint="default"/>
      </w:rPr>
    </w:lvl>
    <w:lvl w:ilvl="3">
      <w:start w:val="1"/>
      <w:numFmt w:val="none"/>
      <w:lvlRestart w:val="0"/>
      <w:suff w:val="nothing"/>
      <w:lvlText w:val=""/>
      <w:lvlJc w:val="left"/>
      <w:pPr>
        <w:ind w:left="-32767" w:firstLine="0"/>
      </w:pPr>
      <w:rPr>
        <w:rFonts w:hint="default"/>
      </w:rPr>
    </w:lvl>
    <w:lvl w:ilvl="4">
      <w:start w:val="1"/>
      <w:numFmt w:val="none"/>
      <w:lvlRestart w:val="0"/>
      <w:suff w:val="nothing"/>
      <w:lvlText w:val=""/>
      <w:lvlJc w:val="left"/>
      <w:pPr>
        <w:ind w:left="-32767" w:firstLine="0"/>
      </w:pPr>
      <w:rPr>
        <w:rFonts w:hint="default"/>
      </w:rPr>
    </w:lvl>
    <w:lvl w:ilvl="5">
      <w:start w:val="1"/>
      <w:numFmt w:val="none"/>
      <w:lvlRestart w:val="0"/>
      <w:suff w:val="nothing"/>
      <w:lvlText w:val=""/>
      <w:lvlJc w:val="left"/>
      <w:pPr>
        <w:ind w:left="-32767" w:firstLine="0"/>
      </w:pPr>
      <w:rPr>
        <w:rFonts w:hint="default"/>
      </w:rPr>
    </w:lvl>
    <w:lvl w:ilvl="6">
      <w:start w:val="1"/>
      <w:numFmt w:val="none"/>
      <w:lvlRestart w:val="0"/>
      <w:suff w:val="nothing"/>
      <w:lvlText w:val=""/>
      <w:lvlJc w:val="left"/>
      <w:pPr>
        <w:ind w:left="-32767" w:firstLine="0"/>
      </w:pPr>
      <w:rPr>
        <w:rFonts w:hint="default"/>
      </w:rPr>
    </w:lvl>
    <w:lvl w:ilvl="7">
      <w:start w:val="1"/>
      <w:numFmt w:val="none"/>
      <w:lvlRestart w:val="0"/>
      <w:suff w:val="nothing"/>
      <w:lvlText w:val=""/>
      <w:lvlJc w:val="left"/>
      <w:pPr>
        <w:ind w:left="-32767" w:firstLine="0"/>
      </w:pPr>
      <w:rPr>
        <w:rFonts w:hint="default"/>
      </w:rPr>
    </w:lvl>
    <w:lvl w:ilvl="8">
      <w:start w:val="1"/>
      <w:numFmt w:val="none"/>
      <w:lvlRestart w:val="0"/>
      <w:suff w:val="nothing"/>
      <w:lvlText w:val="%9."/>
      <w:lvlJc w:val="left"/>
      <w:pPr>
        <w:ind w:left="-32767" w:firstLine="0"/>
      </w:pPr>
      <w:rPr>
        <w:rFonts w:hint="default"/>
      </w:rPr>
    </w:lvl>
  </w:abstractNum>
  <w:abstractNum w:abstractNumId="12" w15:restartNumberingAfterBreak="0">
    <w:nsid w:val="25A84853"/>
    <w:multiLevelType w:val="multilevel"/>
    <w:tmpl w:val="70341E2E"/>
    <w:styleLink w:val="OCEOnePagerHeadingStyles"/>
    <w:lvl w:ilvl="0">
      <w:start w:val="1"/>
      <w:numFmt w:val="decimal"/>
      <w:lvlText w:val="%1."/>
      <w:lvlJc w:val="left"/>
      <w:pPr>
        <w:ind w:left="360" w:hanging="360"/>
      </w:pPr>
      <w:rPr>
        <w:rFonts w:hint="default"/>
      </w:rPr>
    </w:lvl>
    <w:lvl w:ilvl="1">
      <w:start w:val="1"/>
      <w:numFmt w:val="decimal"/>
      <w:lvlText w:val="%1.%2"/>
      <w:lvlJc w:val="left"/>
      <w:pPr>
        <w:ind w:left="0" w:firstLine="0"/>
      </w:pPr>
      <w:rPr>
        <w:rFonts w:hint="default"/>
      </w:rPr>
    </w:lvl>
    <w:lvl w:ilvl="2">
      <w:start w:val="1"/>
      <w:numFmt w:val="none"/>
      <w:suff w:val="nothing"/>
      <w:lvlText w:val=""/>
      <w:lvlJc w:val="left"/>
      <w:pPr>
        <w:ind w:left="-32767" w:firstLine="0"/>
      </w:pPr>
      <w:rPr>
        <w:rFonts w:hint="default"/>
      </w:rPr>
    </w:lvl>
    <w:lvl w:ilvl="3">
      <w:start w:val="1"/>
      <w:numFmt w:val="none"/>
      <w:lvlRestart w:val="0"/>
      <w:suff w:val="nothing"/>
      <w:lvlText w:val=""/>
      <w:lvlJc w:val="left"/>
      <w:pPr>
        <w:ind w:left="-32767" w:firstLine="0"/>
      </w:pPr>
      <w:rPr>
        <w:rFonts w:hint="default"/>
      </w:rPr>
    </w:lvl>
    <w:lvl w:ilvl="4">
      <w:start w:val="1"/>
      <w:numFmt w:val="none"/>
      <w:lvlRestart w:val="0"/>
      <w:suff w:val="nothing"/>
      <w:lvlText w:val=""/>
      <w:lvlJc w:val="left"/>
      <w:pPr>
        <w:ind w:left="-32767" w:firstLine="0"/>
      </w:pPr>
      <w:rPr>
        <w:rFonts w:hint="default"/>
      </w:rPr>
    </w:lvl>
    <w:lvl w:ilvl="5">
      <w:start w:val="1"/>
      <w:numFmt w:val="none"/>
      <w:lvlRestart w:val="0"/>
      <w:suff w:val="nothing"/>
      <w:lvlText w:val=""/>
      <w:lvlJc w:val="left"/>
      <w:pPr>
        <w:ind w:left="-32767" w:firstLine="0"/>
      </w:pPr>
      <w:rPr>
        <w:rFonts w:hint="default"/>
      </w:rPr>
    </w:lvl>
    <w:lvl w:ilvl="6">
      <w:start w:val="1"/>
      <w:numFmt w:val="none"/>
      <w:lvlRestart w:val="0"/>
      <w:suff w:val="nothing"/>
      <w:lvlText w:val=""/>
      <w:lvlJc w:val="left"/>
      <w:pPr>
        <w:ind w:left="-32767" w:firstLine="0"/>
      </w:pPr>
      <w:rPr>
        <w:rFonts w:hint="default"/>
      </w:rPr>
    </w:lvl>
    <w:lvl w:ilvl="7">
      <w:start w:val="1"/>
      <w:numFmt w:val="none"/>
      <w:lvlRestart w:val="0"/>
      <w:suff w:val="nothing"/>
      <w:lvlText w:val=""/>
      <w:lvlJc w:val="left"/>
      <w:pPr>
        <w:ind w:left="-32767" w:firstLine="0"/>
      </w:pPr>
      <w:rPr>
        <w:rFonts w:hint="default"/>
      </w:rPr>
    </w:lvl>
    <w:lvl w:ilvl="8">
      <w:start w:val="1"/>
      <w:numFmt w:val="none"/>
      <w:lvlRestart w:val="0"/>
      <w:suff w:val="nothing"/>
      <w:lvlText w:val="%9."/>
      <w:lvlJc w:val="left"/>
      <w:pPr>
        <w:ind w:left="-32767" w:firstLine="0"/>
      </w:pPr>
      <w:rPr>
        <w:rFonts w:hint="default"/>
      </w:rPr>
    </w:lvl>
  </w:abstractNum>
  <w:abstractNum w:abstractNumId="13" w15:restartNumberingAfterBreak="0">
    <w:nsid w:val="2A0705F2"/>
    <w:multiLevelType w:val="hybridMultilevel"/>
    <w:tmpl w:val="79262B4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4" w15:restartNumberingAfterBreak="0">
    <w:nsid w:val="2B9B240F"/>
    <w:multiLevelType w:val="multilevel"/>
    <w:tmpl w:val="094267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43D5378"/>
    <w:multiLevelType w:val="multilevel"/>
    <w:tmpl w:val="BBAAF4A4"/>
    <w:numStyleLink w:val="OCEBulletedList"/>
  </w:abstractNum>
  <w:abstractNum w:abstractNumId="16" w15:restartNumberingAfterBreak="0">
    <w:nsid w:val="3CA8400C"/>
    <w:multiLevelType w:val="singleLevel"/>
    <w:tmpl w:val="D42E603A"/>
    <w:lvl w:ilvl="0">
      <w:start w:val="1"/>
      <w:numFmt w:val="bullet"/>
      <w:pStyle w:val="Bullet2"/>
      <w:lvlText w:val=""/>
      <w:lvlJc w:val="left"/>
      <w:pPr>
        <w:tabs>
          <w:tab w:val="num" w:pos="1418"/>
        </w:tabs>
        <w:ind w:left="1418" w:hanging="709"/>
      </w:pPr>
      <w:rPr>
        <w:rFonts w:ascii="Symbol" w:hAnsi="Symbol" w:hint="default"/>
        <w:b w:val="0"/>
        <w:i w:val="0"/>
        <w:sz w:val="20"/>
      </w:rPr>
    </w:lvl>
  </w:abstractNum>
  <w:abstractNum w:abstractNumId="17" w15:restartNumberingAfterBreak="0">
    <w:nsid w:val="413C507C"/>
    <w:multiLevelType w:val="multilevel"/>
    <w:tmpl w:val="BBAAF4A4"/>
    <w:numStyleLink w:val="OCEBulletedList"/>
  </w:abstractNum>
  <w:abstractNum w:abstractNumId="18" w15:restartNumberingAfterBreak="0">
    <w:nsid w:val="427C52AC"/>
    <w:multiLevelType w:val="hybridMultilevel"/>
    <w:tmpl w:val="B33EFA24"/>
    <w:lvl w:ilvl="0" w:tplc="421473CC">
      <w:start w:val="1"/>
      <w:numFmt w:val="bullet"/>
      <w:pStyle w:val="Keypointsbullet"/>
      <w:lvlText w:val=""/>
      <w:lvlJc w:val="left"/>
      <w:pPr>
        <w:ind w:left="360" w:hanging="360"/>
      </w:pPr>
      <w:rPr>
        <w:rFonts w:ascii="Wingdings" w:hAnsi="Wingdings" w:hint="default"/>
        <w:color w:val="005CAF"/>
      </w:rPr>
    </w:lvl>
    <w:lvl w:ilvl="1" w:tplc="0C090003">
      <w:start w:val="1"/>
      <w:numFmt w:val="bullet"/>
      <w:lvlText w:val="o"/>
      <w:lvlJc w:val="left"/>
      <w:pPr>
        <w:ind w:left="3600" w:hanging="360"/>
      </w:pPr>
      <w:rPr>
        <w:rFonts w:ascii="Courier New" w:hAnsi="Courier New" w:cs="Courier New" w:hint="default"/>
      </w:rPr>
    </w:lvl>
    <w:lvl w:ilvl="2" w:tplc="0C090005" w:tentative="1">
      <w:start w:val="1"/>
      <w:numFmt w:val="bullet"/>
      <w:lvlText w:val=""/>
      <w:lvlJc w:val="left"/>
      <w:pPr>
        <w:ind w:left="4320" w:hanging="360"/>
      </w:pPr>
      <w:rPr>
        <w:rFonts w:ascii="Wingdings" w:hAnsi="Wingdings" w:hint="default"/>
      </w:rPr>
    </w:lvl>
    <w:lvl w:ilvl="3" w:tplc="0C090001" w:tentative="1">
      <w:start w:val="1"/>
      <w:numFmt w:val="bullet"/>
      <w:lvlText w:val=""/>
      <w:lvlJc w:val="left"/>
      <w:pPr>
        <w:ind w:left="5040" w:hanging="360"/>
      </w:pPr>
      <w:rPr>
        <w:rFonts w:ascii="Symbol" w:hAnsi="Symbol" w:hint="default"/>
      </w:rPr>
    </w:lvl>
    <w:lvl w:ilvl="4" w:tplc="0C090003" w:tentative="1">
      <w:start w:val="1"/>
      <w:numFmt w:val="bullet"/>
      <w:lvlText w:val="o"/>
      <w:lvlJc w:val="left"/>
      <w:pPr>
        <w:ind w:left="5760" w:hanging="360"/>
      </w:pPr>
      <w:rPr>
        <w:rFonts w:ascii="Courier New" w:hAnsi="Courier New" w:cs="Courier New" w:hint="default"/>
      </w:rPr>
    </w:lvl>
    <w:lvl w:ilvl="5" w:tplc="0C090005" w:tentative="1">
      <w:start w:val="1"/>
      <w:numFmt w:val="bullet"/>
      <w:lvlText w:val=""/>
      <w:lvlJc w:val="left"/>
      <w:pPr>
        <w:ind w:left="6480" w:hanging="360"/>
      </w:pPr>
      <w:rPr>
        <w:rFonts w:ascii="Wingdings" w:hAnsi="Wingdings" w:hint="default"/>
      </w:rPr>
    </w:lvl>
    <w:lvl w:ilvl="6" w:tplc="0C090001" w:tentative="1">
      <w:start w:val="1"/>
      <w:numFmt w:val="bullet"/>
      <w:lvlText w:val=""/>
      <w:lvlJc w:val="left"/>
      <w:pPr>
        <w:ind w:left="7200" w:hanging="360"/>
      </w:pPr>
      <w:rPr>
        <w:rFonts w:ascii="Symbol" w:hAnsi="Symbol" w:hint="default"/>
      </w:rPr>
    </w:lvl>
    <w:lvl w:ilvl="7" w:tplc="0C090003" w:tentative="1">
      <w:start w:val="1"/>
      <w:numFmt w:val="bullet"/>
      <w:lvlText w:val="o"/>
      <w:lvlJc w:val="left"/>
      <w:pPr>
        <w:ind w:left="7920" w:hanging="360"/>
      </w:pPr>
      <w:rPr>
        <w:rFonts w:ascii="Courier New" w:hAnsi="Courier New" w:cs="Courier New" w:hint="default"/>
      </w:rPr>
    </w:lvl>
    <w:lvl w:ilvl="8" w:tplc="0C090005" w:tentative="1">
      <w:start w:val="1"/>
      <w:numFmt w:val="bullet"/>
      <w:lvlText w:val=""/>
      <w:lvlJc w:val="left"/>
      <w:pPr>
        <w:ind w:left="8640" w:hanging="360"/>
      </w:pPr>
      <w:rPr>
        <w:rFonts w:ascii="Wingdings" w:hAnsi="Wingdings" w:hint="default"/>
      </w:rPr>
    </w:lvl>
  </w:abstractNum>
  <w:abstractNum w:abstractNumId="19" w15:restartNumberingAfterBreak="0">
    <w:nsid w:val="4B94390E"/>
    <w:multiLevelType w:val="multilevel"/>
    <w:tmpl w:val="BBAAF4A4"/>
    <w:styleLink w:val="OCEBulletedList"/>
    <w:lvl w:ilvl="0">
      <w:start w:val="1"/>
      <w:numFmt w:val="bullet"/>
      <w:lvlText w:val=""/>
      <w:lvlJc w:val="left"/>
      <w:pPr>
        <w:ind w:left="340" w:hanging="340"/>
      </w:pPr>
      <w:rPr>
        <w:rFonts w:ascii="Wingdings" w:hAnsi="Wingdings" w:hint="default"/>
        <w:color w:val="005CAF"/>
      </w:rPr>
    </w:lvl>
    <w:lvl w:ilvl="1">
      <w:start w:val="1"/>
      <w:numFmt w:val="bullet"/>
      <w:lvlText w:val=""/>
      <w:lvlJc w:val="left"/>
      <w:pPr>
        <w:ind w:left="1050" w:hanging="340"/>
      </w:pPr>
      <w:rPr>
        <w:rFonts w:ascii="Symbol" w:hAnsi="Symbol" w:hint="default"/>
        <w:b w:val="0"/>
        <w:i w:val="0"/>
        <w:color w:val="005CAF"/>
        <w:w w:val="100"/>
        <w:position w:val="0"/>
        <w:sz w:val="20"/>
        <w:vertAlign w:val="baseline"/>
      </w:rPr>
    </w:lvl>
    <w:lvl w:ilvl="2">
      <w:start w:val="1"/>
      <w:numFmt w:val="bullet"/>
      <w:lvlText w:val="-"/>
      <w:lvlJc w:val="left"/>
      <w:pPr>
        <w:ind w:left="964" w:hanging="255"/>
      </w:pPr>
      <w:rPr>
        <w:rFonts w:ascii="Courier New" w:hAnsi="Courier New" w:hint="default"/>
        <w:color w:val="005CAF"/>
      </w:rPr>
    </w:lvl>
    <w:lvl w:ilvl="3">
      <w:start w:val="1"/>
      <w:numFmt w:val="none"/>
      <w:suff w:val="nothing"/>
      <w:lvlText w:val=""/>
      <w:lvlJc w:val="left"/>
      <w:pPr>
        <w:ind w:left="1134"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20" w15:restartNumberingAfterBreak="0">
    <w:nsid w:val="53813CDC"/>
    <w:multiLevelType w:val="multilevel"/>
    <w:tmpl w:val="D5BAF582"/>
    <w:numStyleLink w:val="OCEHeadings"/>
  </w:abstractNum>
  <w:abstractNum w:abstractNumId="21" w15:restartNumberingAfterBreak="0">
    <w:nsid w:val="5C6E41C7"/>
    <w:multiLevelType w:val="multilevel"/>
    <w:tmpl w:val="56707342"/>
    <w:lvl w:ilvl="0">
      <w:start w:val="1"/>
      <w:numFmt w:val="bullet"/>
      <w:lvlText w:val=""/>
      <w:lvlJc w:val="left"/>
      <w:pPr>
        <w:ind w:left="340" w:hanging="340"/>
      </w:pPr>
      <w:rPr>
        <w:rFonts w:ascii="Symbol" w:hAnsi="Symbol" w:hint="default"/>
        <w:color w:val="005CAF"/>
      </w:rPr>
    </w:lvl>
    <w:lvl w:ilvl="1">
      <w:start w:val="1"/>
      <w:numFmt w:val="bullet"/>
      <w:lvlText w:val=""/>
      <w:lvlJc w:val="left"/>
      <w:pPr>
        <w:ind w:left="1050" w:hanging="340"/>
      </w:pPr>
      <w:rPr>
        <w:rFonts w:ascii="Symbol" w:hAnsi="Symbol" w:hint="default"/>
        <w:b w:val="0"/>
        <w:i w:val="0"/>
        <w:color w:val="005CAF"/>
        <w:w w:val="100"/>
        <w:position w:val="0"/>
        <w:sz w:val="20"/>
        <w:vertAlign w:val="baseline"/>
      </w:rPr>
    </w:lvl>
    <w:lvl w:ilvl="2">
      <w:start w:val="1"/>
      <w:numFmt w:val="bullet"/>
      <w:lvlText w:val="-"/>
      <w:lvlJc w:val="left"/>
      <w:pPr>
        <w:ind w:left="964" w:hanging="255"/>
      </w:pPr>
      <w:rPr>
        <w:rFonts w:ascii="Courier New" w:hAnsi="Courier New" w:hint="default"/>
        <w:color w:val="005CAF"/>
      </w:rPr>
    </w:lvl>
    <w:lvl w:ilvl="3">
      <w:start w:val="1"/>
      <w:numFmt w:val="none"/>
      <w:suff w:val="nothing"/>
      <w:lvlText w:val=""/>
      <w:lvlJc w:val="left"/>
      <w:pPr>
        <w:ind w:left="1134"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22" w15:restartNumberingAfterBreak="0">
    <w:nsid w:val="69925004"/>
    <w:multiLevelType w:val="multilevel"/>
    <w:tmpl w:val="BBAAF4A4"/>
    <w:numStyleLink w:val="OCEBulletedList"/>
  </w:abstractNum>
  <w:abstractNum w:abstractNumId="23" w15:restartNumberingAfterBreak="0">
    <w:nsid w:val="755C274A"/>
    <w:multiLevelType w:val="multilevel"/>
    <w:tmpl w:val="BBAAF4A4"/>
    <w:numStyleLink w:val="OCEBulletedList"/>
  </w:abstractNum>
  <w:abstractNum w:abstractNumId="24" w15:restartNumberingAfterBreak="0">
    <w:nsid w:val="768D4473"/>
    <w:multiLevelType w:val="multilevel"/>
    <w:tmpl w:val="BBAAF4A4"/>
    <w:numStyleLink w:val="OCEBulletedList"/>
  </w:abstractNum>
  <w:abstractNum w:abstractNumId="25" w15:restartNumberingAfterBreak="0">
    <w:nsid w:val="79E33B93"/>
    <w:multiLevelType w:val="hybridMultilevel"/>
    <w:tmpl w:val="5070580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7AAF61C4"/>
    <w:multiLevelType w:val="multilevel"/>
    <w:tmpl w:val="BBAAF4A4"/>
    <w:numStyleLink w:val="OCEBulletedList"/>
  </w:abstractNum>
  <w:abstractNum w:abstractNumId="27" w15:restartNumberingAfterBreak="0">
    <w:nsid w:val="7E1D7EF8"/>
    <w:multiLevelType w:val="hybridMultilevel"/>
    <w:tmpl w:val="752C7D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7E9912D9"/>
    <w:multiLevelType w:val="multilevel"/>
    <w:tmpl w:val="0C09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16"/>
  </w:num>
  <w:num w:numId="2">
    <w:abstractNumId w:val="28"/>
  </w:num>
  <w:num w:numId="3">
    <w:abstractNumId w:val="0"/>
  </w:num>
  <w:num w:numId="4">
    <w:abstractNumId w:val="19"/>
  </w:num>
  <w:num w:numId="5">
    <w:abstractNumId w:val="10"/>
  </w:num>
  <w:num w:numId="6">
    <w:abstractNumId w:val="9"/>
  </w:num>
  <w:num w:numId="7">
    <w:abstractNumId w:val="18"/>
  </w:num>
  <w:num w:numId="8">
    <w:abstractNumId w:val="8"/>
  </w:num>
  <w:num w:numId="9">
    <w:abstractNumId w:val="20"/>
  </w:num>
  <w:num w:numId="10">
    <w:abstractNumId w:val="20"/>
  </w:num>
  <w:num w:numId="11">
    <w:abstractNumId w:val="23"/>
  </w:num>
  <w:num w:numId="12">
    <w:abstractNumId w:val="6"/>
  </w:num>
  <w:num w:numId="13">
    <w:abstractNumId w:val="19"/>
  </w:num>
  <w:num w:numId="14">
    <w:abstractNumId w:val="18"/>
  </w:num>
  <w:num w:numId="15">
    <w:abstractNumId w:val="18"/>
  </w:num>
  <w:num w:numId="16">
    <w:abstractNumId w:val="6"/>
  </w:num>
  <w:num w:numId="17">
    <w:abstractNumId w:val="8"/>
  </w:num>
  <w:num w:numId="18">
    <w:abstractNumId w:val="20"/>
  </w:num>
  <w:num w:numId="19">
    <w:abstractNumId w:val="20"/>
  </w:num>
  <w:num w:numId="20">
    <w:abstractNumId w:val="20"/>
  </w:num>
  <w:num w:numId="21">
    <w:abstractNumId w:val="11"/>
  </w:num>
  <w:num w:numId="22">
    <w:abstractNumId w:val="2"/>
  </w:num>
  <w:num w:numId="23">
    <w:abstractNumId w:val="22"/>
  </w:num>
  <w:num w:numId="24">
    <w:abstractNumId w:val="1"/>
  </w:num>
  <w:num w:numId="25">
    <w:abstractNumId w:val="19"/>
  </w:num>
  <w:num w:numId="26">
    <w:abstractNumId w:val="19"/>
  </w:num>
  <w:num w:numId="27">
    <w:abstractNumId w:val="17"/>
  </w:num>
  <w:num w:numId="28">
    <w:abstractNumId w:val="15"/>
  </w:num>
  <w:num w:numId="29">
    <w:abstractNumId w:val="24"/>
  </w:num>
  <w:num w:numId="30">
    <w:abstractNumId w:val="26"/>
  </w:num>
  <w:num w:numId="31">
    <w:abstractNumId w:val="4"/>
  </w:num>
  <w:num w:numId="32">
    <w:abstractNumId w:val="18"/>
  </w:num>
  <w:num w:numId="33">
    <w:abstractNumId w:val="18"/>
  </w:num>
  <w:num w:numId="34">
    <w:abstractNumId w:val="19"/>
  </w:num>
  <w:num w:numId="35">
    <w:abstractNumId w:val="19"/>
  </w:num>
  <w:num w:numId="36">
    <w:abstractNumId w:val="25"/>
  </w:num>
  <w:num w:numId="37">
    <w:abstractNumId w:val="27"/>
  </w:num>
  <w:num w:numId="38">
    <w:abstractNumId w:val="19"/>
  </w:num>
  <w:num w:numId="39">
    <w:abstractNumId w:val="19"/>
  </w:num>
  <w:num w:numId="40">
    <w:abstractNumId w:val="20"/>
  </w:num>
  <w:num w:numId="41">
    <w:abstractNumId w:val="20"/>
  </w:num>
  <w:num w:numId="42">
    <w:abstractNumId w:val="14"/>
  </w:num>
  <w:num w:numId="43">
    <w:abstractNumId w:val="12"/>
  </w:num>
  <w:num w:numId="44">
    <w:abstractNumId w:val="3"/>
  </w:num>
  <w:num w:numId="45">
    <w:abstractNumId w:val="13"/>
  </w:num>
  <w:num w:numId="46">
    <w:abstractNumId w:val="7"/>
  </w:num>
  <w:num w:numId="47">
    <w:abstractNumId w:val="19"/>
  </w:num>
  <w:num w:numId="48">
    <w:abstractNumId w:val="19"/>
  </w:num>
  <w:num w:numId="49">
    <w:abstractNumId w:val="5"/>
  </w:num>
  <w:num w:numId="50">
    <w:abstractNumId w:val="21"/>
  </w:num>
  <w:num w:numId="51">
    <w:abstractNumId w:val="18"/>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68"/>
  <w:attachedTemplate r:id="rId1"/>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defaultTabStop w:val="720"/>
  <w:clickAndTypeStyle w:val="BodyText"/>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D0D73"/>
    <w:rsid w:val="00000A47"/>
    <w:rsid w:val="000014E9"/>
    <w:rsid w:val="0000176B"/>
    <w:rsid w:val="0000187A"/>
    <w:rsid w:val="00002DE5"/>
    <w:rsid w:val="00002F55"/>
    <w:rsid w:val="000032EB"/>
    <w:rsid w:val="000036F1"/>
    <w:rsid w:val="00003B81"/>
    <w:rsid w:val="00003E56"/>
    <w:rsid w:val="000040BA"/>
    <w:rsid w:val="00004197"/>
    <w:rsid w:val="00004365"/>
    <w:rsid w:val="000049D8"/>
    <w:rsid w:val="00004BF6"/>
    <w:rsid w:val="00005EDC"/>
    <w:rsid w:val="00007EBB"/>
    <w:rsid w:val="00007F73"/>
    <w:rsid w:val="00010899"/>
    <w:rsid w:val="00010903"/>
    <w:rsid w:val="00010FD7"/>
    <w:rsid w:val="0001161C"/>
    <w:rsid w:val="000118CE"/>
    <w:rsid w:val="00011BE7"/>
    <w:rsid w:val="00012094"/>
    <w:rsid w:val="000122D8"/>
    <w:rsid w:val="000123E0"/>
    <w:rsid w:val="00012EAF"/>
    <w:rsid w:val="00013859"/>
    <w:rsid w:val="00013F4A"/>
    <w:rsid w:val="00013F6C"/>
    <w:rsid w:val="00013F80"/>
    <w:rsid w:val="0001448D"/>
    <w:rsid w:val="000149B6"/>
    <w:rsid w:val="00016568"/>
    <w:rsid w:val="00017BB5"/>
    <w:rsid w:val="0002129C"/>
    <w:rsid w:val="00021CA5"/>
    <w:rsid w:val="00021D0C"/>
    <w:rsid w:val="000222A1"/>
    <w:rsid w:val="000225C2"/>
    <w:rsid w:val="000238B9"/>
    <w:rsid w:val="0002435C"/>
    <w:rsid w:val="00024DFE"/>
    <w:rsid w:val="00024FD8"/>
    <w:rsid w:val="00025B7F"/>
    <w:rsid w:val="000263A1"/>
    <w:rsid w:val="0002648C"/>
    <w:rsid w:val="00026B24"/>
    <w:rsid w:val="00026F6C"/>
    <w:rsid w:val="000302AA"/>
    <w:rsid w:val="000305D2"/>
    <w:rsid w:val="00030FED"/>
    <w:rsid w:val="00035325"/>
    <w:rsid w:val="000366E9"/>
    <w:rsid w:val="0003695F"/>
    <w:rsid w:val="00037B42"/>
    <w:rsid w:val="00040A68"/>
    <w:rsid w:val="000416B8"/>
    <w:rsid w:val="00041AC3"/>
    <w:rsid w:val="00041FE3"/>
    <w:rsid w:val="000429F2"/>
    <w:rsid w:val="00043051"/>
    <w:rsid w:val="000434AB"/>
    <w:rsid w:val="00044733"/>
    <w:rsid w:val="00044DAC"/>
    <w:rsid w:val="0004502B"/>
    <w:rsid w:val="000469D0"/>
    <w:rsid w:val="00047373"/>
    <w:rsid w:val="00047AE5"/>
    <w:rsid w:val="000513E4"/>
    <w:rsid w:val="00051691"/>
    <w:rsid w:val="00051AEF"/>
    <w:rsid w:val="00052146"/>
    <w:rsid w:val="000538E4"/>
    <w:rsid w:val="00053A70"/>
    <w:rsid w:val="000548E4"/>
    <w:rsid w:val="00054B91"/>
    <w:rsid w:val="00056E71"/>
    <w:rsid w:val="00057018"/>
    <w:rsid w:val="0005753A"/>
    <w:rsid w:val="00060184"/>
    <w:rsid w:val="00060761"/>
    <w:rsid w:val="00060B68"/>
    <w:rsid w:val="00060CE1"/>
    <w:rsid w:val="000614AF"/>
    <w:rsid w:val="000618FB"/>
    <w:rsid w:val="00061CB7"/>
    <w:rsid w:val="000620AD"/>
    <w:rsid w:val="00062335"/>
    <w:rsid w:val="00062FAB"/>
    <w:rsid w:val="000640F4"/>
    <w:rsid w:val="000641E0"/>
    <w:rsid w:val="0006492D"/>
    <w:rsid w:val="000659CA"/>
    <w:rsid w:val="00065EB0"/>
    <w:rsid w:val="00065F79"/>
    <w:rsid w:val="00066C8B"/>
    <w:rsid w:val="00066D23"/>
    <w:rsid w:val="00067812"/>
    <w:rsid w:val="000678B3"/>
    <w:rsid w:val="00067D9F"/>
    <w:rsid w:val="00070240"/>
    <w:rsid w:val="00070749"/>
    <w:rsid w:val="0007137D"/>
    <w:rsid w:val="00071D43"/>
    <w:rsid w:val="000728D2"/>
    <w:rsid w:val="00072F08"/>
    <w:rsid w:val="000749CE"/>
    <w:rsid w:val="00074A9F"/>
    <w:rsid w:val="0007649D"/>
    <w:rsid w:val="00076E42"/>
    <w:rsid w:val="000772AE"/>
    <w:rsid w:val="00082BF4"/>
    <w:rsid w:val="00083041"/>
    <w:rsid w:val="00083971"/>
    <w:rsid w:val="00084943"/>
    <w:rsid w:val="00084E81"/>
    <w:rsid w:val="000852A5"/>
    <w:rsid w:val="000860DC"/>
    <w:rsid w:val="00087D98"/>
    <w:rsid w:val="00090174"/>
    <w:rsid w:val="0009025D"/>
    <w:rsid w:val="000904D3"/>
    <w:rsid w:val="0009067B"/>
    <w:rsid w:val="00090B1F"/>
    <w:rsid w:val="000920D2"/>
    <w:rsid w:val="000920F1"/>
    <w:rsid w:val="000933C5"/>
    <w:rsid w:val="00095993"/>
    <w:rsid w:val="00095A71"/>
    <w:rsid w:val="00095C17"/>
    <w:rsid w:val="00095E8D"/>
    <w:rsid w:val="0009608F"/>
    <w:rsid w:val="00096FB1"/>
    <w:rsid w:val="000A00EA"/>
    <w:rsid w:val="000A011E"/>
    <w:rsid w:val="000A02FE"/>
    <w:rsid w:val="000A0313"/>
    <w:rsid w:val="000A04C3"/>
    <w:rsid w:val="000A0B6A"/>
    <w:rsid w:val="000A1E51"/>
    <w:rsid w:val="000A29BA"/>
    <w:rsid w:val="000A37E8"/>
    <w:rsid w:val="000A3D7F"/>
    <w:rsid w:val="000A3DB7"/>
    <w:rsid w:val="000A3E2B"/>
    <w:rsid w:val="000A4E45"/>
    <w:rsid w:val="000A4FAF"/>
    <w:rsid w:val="000A5452"/>
    <w:rsid w:val="000A5CFF"/>
    <w:rsid w:val="000A6370"/>
    <w:rsid w:val="000A63C0"/>
    <w:rsid w:val="000A6604"/>
    <w:rsid w:val="000A6F5B"/>
    <w:rsid w:val="000A7235"/>
    <w:rsid w:val="000A73C3"/>
    <w:rsid w:val="000A7492"/>
    <w:rsid w:val="000A7761"/>
    <w:rsid w:val="000A7D67"/>
    <w:rsid w:val="000B0DD1"/>
    <w:rsid w:val="000B1AE0"/>
    <w:rsid w:val="000B1B66"/>
    <w:rsid w:val="000B1EEA"/>
    <w:rsid w:val="000B247F"/>
    <w:rsid w:val="000B279E"/>
    <w:rsid w:val="000B2C1B"/>
    <w:rsid w:val="000B2DFC"/>
    <w:rsid w:val="000B4627"/>
    <w:rsid w:val="000B5108"/>
    <w:rsid w:val="000B574A"/>
    <w:rsid w:val="000B57E4"/>
    <w:rsid w:val="000B5BC7"/>
    <w:rsid w:val="000B7996"/>
    <w:rsid w:val="000B7F7A"/>
    <w:rsid w:val="000C03CF"/>
    <w:rsid w:val="000C098E"/>
    <w:rsid w:val="000C0DD7"/>
    <w:rsid w:val="000C12C1"/>
    <w:rsid w:val="000C19CB"/>
    <w:rsid w:val="000C28BE"/>
    <w:rsid w:val="000C2A9A"/>
    <w:rsid w:val="000C5C3C"/>
    <w:rsid w:val="000C6AD6"/>
    <w:rsid w:val="000C7370"/>
    <w:rsid w:val="000C73CC"/>
    <w:rsid w:val="000C75B2"/>
    <w:rsid w:val="000D0B1D"/>
    <w:rsid w:val="000D1BF7"/>
    <w:rsid w:val="000D27CB"/>
    <w:rsid w:val="000D33DA"/>
    <w:rsid w:val="000D3CF0"/>
    <w:rsid w:val="000D4DF0"/>
    <w:rsid w:val="000D5123"/>
    <w:rsid w:val="000D5C84"/>
    <w:rsid w:val="000D695C"/>
    <w:rsid w:val="000D6BAC"/>
    <w:rsid w:val="000E0B51"/>
    <w:rsid w:val="000E3365"/>
    <w:rsid w:val="000E406E"/>
    <w:rsid w:val="000E415F"/>
    <w:rsid w:val="000E538F"/>
    <w:rsid w:val="000E5D0A"/>
    <w:rsid w:val="000E61C5"/>
    <w:rsid w:val="000F0460"/>
    <w:rsid w:val="000F05C9"/>
    <w:rsid w:val="000F09FE"/>
    <w:rsid w:val="000F0E5C"/>
    <w:rsid w:val="000F187D"/>
    <w:rsid w:val="000F1BFB"/>
    <w:rsid w:val="000F2778"/>
    <w:rsid w:val="000F2EE9"/>
    <w:rsid w:val="000F310D"/>
    <w:rsid w:val="000F3DF4"/>
    <w:rsid w:val="000F4539"/>
    <w:rsid w:val="000F4982"/>
    <w:rsid w:val="000F4B63"/>
    <w:rsid w:val="000F4D17"/>
    <w:rsid w:val="000F50AF"/>
    <w:rsid w:val="000F5F71"/>
    <w:rsid w:val="000F6830"/>
    <w:rsid w:val="000F75C8"/>
    <w:rsid w:val="000F7698"/>
    <w:rsid w:val="00100B74"/>
    <w:rsid w:val="00101A29"/>
    <w:rsid w:val="00101F1E"/>
    <w:rsid w:val="001024E5"/>
    <w:rsid w:val="00104A68"/>
    <w:rsid w:val="00104E3C"/>
    <w:rsid w:val="0010607B"/>
    <w:rsid w:val="00107A3F"/>
    <w:rsid w:val="00107BA4"/>
    <w:rsid w:val="0011126F"/>
    <w:rsid w:val="00111A36"/>
    <w:rsid w:val="00112208"/>
    <w:rsid w:val="001122AA"/>
    <w:rsid w:val="00114AD4"/>
    <w:rsid w:val="00114BB1"/>
    <w:rsid w:val="00114DA2"/>
    <w:rsid w:val="00114EE9"/>
    <w:rsid w:val="001156BE"/>
    <w:rsid w:val="001160A6"/>
    <w:rsid w:val="0011640A"/>
    <w:rsid w:val="00116E58"/>
    <w:rsid w:val="001170A3"/>
    <w:rsid w:val="00117749"/>
    <w:rsid w:val="0012045F"/>
    <w:rsid w:val="00120D44"/>
    <w:rsid w:val="00120E94"/>
    <w:rsid w:val="001211FA"/>
    <w:rsid w:val="00121C25"/>
    <w:rsid w:val="00122879"/>
    <w:rsid w:val="001228C9"/>
    <w:rsid w:val="0012419F"/>
    <w:rsid w:val="001243D4"/>
    <w:rsid w:val="001246EC"/>
    <w:rsid w:val="00125270"/>
    <w:rsid w:val="00125971"/>
    <w:rsid w:val="0013066A"/>
    <w:rsid w:val="0013129F"/>
    <w:rsid w:val="00131DE9"/>
    <w:rsid w:val="0013410D"/>
    <w:rsid w:val="0013470A"/>
    <w:rsid w:val="00134B28"/>
    <w:rsid w:val="00134E54"/>
    <w:rsid w:val="00135C0A"/>
    <w:rsid w:val="00135E19"/>
    <w:rsid w:val="00135E6D"/>
    <w:rsid w:val="001377E6"/>
    <w:rsid w:val="00137BB1"/>
    <w:rsid w:val="001418A3"/>
    <w:rsid w:val="00143182"/>
    <w:rsid w:val="00143440"/>
    <w:rsid w:val="00144B14"/>
    <w:rsid w:val="001459C1"/>
    <w:rsid w:val="00145B96"/>
    <w:rsid w:val="0015000D"/>
    <w:rsid w:val="001507F3"/>
    <w:rsid w:val="001513D6"/>
    <w:rsid w:val="00151427"/>
    <w:rsid w:val="001517A1"/>
    <w:rsid w:val="00152418"/>
    <w:rsid w:val="001528A4"/>
    <w:rsid w:val="00153B18"/>
    <w:rsid w:val="001555E5"/>
    <w:rsid w:val="00155A49"/>
    <w:rsid w:val="001568F4"/>
    <w:rsid w:val="00156B5B"/>
    <w:rsid w:val="00163D6E"/>
    <w:rsid w:val="00163D71"/>
    <w:rsid w:val="00164661"/>
    <w:rsid w:val="00165866"/>
    <w:rsid w:val="001658D2"/>
    <w:rsid w:val="00165AD4"/>
    <w:rsid w:val="00166576"/>
    <w:rsid w:val="001667D2"/>
    <w:rsid w:val="00166996"/>
    <w:rsid w:val="0016787D"/>
    <w:rsid w:val="00167CD6"/>
    <w:rsid w:val="00170E12"/>
    <w:rsid w:val="00171D73"/>
    <w:rsid w:val="0017293E"/>
    <w:rsid w:val="001729C4"/>
    <w:rsid w:val="001732B4"/>
    <w:rsid w:val="001733B8"/>
    <w:rsid w:val="00173C3A"/>
    <w:rsid w:val="00174624"/>
    <w:rsid w:val="0017468E"/>
    <w:rsid w:val="00174AE9"/>
    <w:rsid w:val="00174B54"/>
    <w:rsid w:val="00175333"/>
    <w:rsid w:val="001760F5"/>
    <w:rsid w:val="00176221"/>
    <w:rsid w:val="001766F8"/>
    <w:rsid w:val="00177471"/>
    <w:rsid w:val="00180137"/>
    <w:rsid w:val="00180E4F"/>
    <w:rsid w:val="001814AA"/>
    <w:rsid w:val="00181690"/>
    <w:rsid w:val="00182B15"/>
    <w:rsid w:val="00183AA4"/>
    <w:rsid w:val="00183F8D"/>
    <w:rsid w:val="00184B4A"/>
    <w:rsid w:val="00184EBB"/>
    <w:rsid w:val="00185A26"/>
    <w:rsid w:val="00185E61"/>
    <w:rsid w:val="001862AC"/>
    <w:rsid w:val="00186716"/>
    <w:rsid w:val="00186D3D"/>
    <w:rsid w:val="0018753D"/>
    <w:rsid w:val="001900EE"/>
    <w:rsid w:val="00190B59"/>
    <w:rsid w:val="0019168F"/>
    <w:rsid w:val="00191C01"/>
    <w:rsid w:val="001923E6"/>
    <w:rsid w:val="00192DC3"/>
    <w:rsid w:val="00194E60"/>
    <w:rsid w:val="00195C83"/>
    <w:rsid w:val="00195FC7"/>
    <w:rsid w:val="00196C5A"/>
    <w:rsid w:val="00197027"/>
    <w:rsid w:val="00197E63"/>
    <w:rsid w:val="001A030C"/>
    <w:rsid w:val="001A05AE"/>
    <w:rsid w:val="001A2BBA"/>
    <w:rsid w:val="001A322A"/>
    <w:rsid w:val="001A3451"/>
    <w:rsid w:val="001A3F81"/>
    <w:rsid w:val="001A48B2"/>
    <w:rsid w:val="001A4E10"/>
    <w:rsid w:val="001A6352"/>
    <w:rsid w:val="001B0122"/>
    <w:rsid w:val="001B032F"/>
    <w:rsid w:val="001B05FF"/>
    <w:rsid w:val="001B0709"/>
    <w:rsid w:val="001B1164"/>
    <w:rsid w:val="001B14BB"/>
    <w:rsid w:val="001B32E3"/>
    <w:rsid w:val="001B345E"/>
    <w:rsid w:val="001B3F96"/>
    <w:rsid w:val="001B54B9"/>
    <w:rsid w:val="001B6316"/>
    <w:rsid w:val="001B6554"/>
    <w:rsid w:val="001B74EB"/>
    <w:rsid w:val="001C193B"/>
    <w:rsid w:val="001C3AD8"/>
    <w:rsid w:val="001C4733"/>
    <w:rsid w:val="001C4FFC"/>
    <w:rsid w:val="001C5291"/>
    <w:rsid w:val="001C5695"/>
    <w:rsid w:val="001C5F25"/>
    <w:rsid w:val="001C6106"/>
    <w:rsid w:val="001C68B8"/>
    <w:rsid w:val="001C7081"/>
    <w:rsid w:val="001D0427"/>
    <w:rsid w:val="001D07A5"/>
    <w:rsid w:val="001D1B60"/>
    <w:rsid w:val="001D204F"/>
    <w:rsid w:val="001D2E2D"/>
    <w:rsid w:val="001D4374"/>
    <w:rsid w:val="001D43E5"/>
    <w:rsid w:val="001D4A69"/>
    <w:rsid w:val="001D4CD0"/>
    <w:rsid w:val="001D4FAE"/>
    <w:rsid w:val="001D5733"/>
    <w:rsid w:val="001E1B2E"/>
    <w:rsid w:val="001E2136"/>
    <w:rsid w:val="001E2273"/>
    <w:rsid w:val="001E4120"/>
    <w:rsid w:val="001E42E5"/>
    <w:rsid w:val="001E4942"/>
    <w:rsid w:val="001E524A"/>
    <w:rsid w:val="001E5A94"/>
    <w:rsid w:val="001E5AD8"/>
    <w:rsid w:val="001E5B07"/>
    <w:rsid w:val="001E6561"/>
    <w:rsid w:val="001E68BB"/>
    <w:rsid w:val="001F044E"/>
    <w:rsid w:val="001F0720"/>
    <w:rsid w:val="001F107E"/>
    <w:rsid w:val="001F127E"/>
    <w:rsid w:val="001F1E5D"/>
    <w:rsid w:val="001F1F50"/>
    <w:rsid w:val="001F1F73"/>
    <w:rsid w:val="001F2070"/>
    <w:rsid w:val="001F29ED"/>
    <w:rsid w:val="001F551B"/>
    <w:rsid w:val="001F5ADA"/>
    <w:rsid w:val="001F5BC1"/>
    <w:rsid w:val="001F5F85"/>
    <w:rsid w:val="001F61C6"/>
    <w:rsid w:val="001F691C"/>
    <w:rsid w:val="001F6FAB"/>
    <w:rsid w:val="001F7477"/>
    <w:rsid w:val="001F74CA"/>
    <w:rsid w:val="001F7DDE"/>
    <w:rsid w:val="0020020E"/>
    <w:rsid w:val="00200CFC"/>
    <w:rsid w:val="00201BBB"/>
    <w:rsid w:val="002029E0"/>
    <w:rsid w:val="0020364F"/>
    <w:rsid w:val="00204801"/>
    <w:rsid w:val="002064C7"/>
    <w:rsid w:val="002076C8"/>
    <w:rsid w:val="00207D37"/>
    <w:rsid w:val="00207EFC"/>
    <w:rsid w:val="0021032F"/>
    <w:rsid w:val="00210D2F"/>
    <w:rsid w:val="00212DA2"/>
    <w:rsid w:val="00212E73"/>
    <w:rsid w:val="00212F09"/>
    <w:rsid w:val="00212F28"/>
    <w:rsid w:val="002132DE"/>
    <w:rsid w:val="00213577"/>
    <w:rsid w:val="00214241"/>
    <w:rsid w:val="00214714"/>
    <w:rsid w:val="00217238"/>
    <w:rsid w:val="00217C05"/>
    <w:rsid w:val="00220359"/>
    <w:rsid w:val="002208E3"/>
    <w:rsid w:val="00222923"/>
    <w:rsid w:val="0022378D"/>
    <w:rsid w:val="00223F88"/>
    <w:rsid w:val="00224A6E"/>
    <w:rsid w:val="00224D43"/>
    <w:rsid w:val="00224F6E"/>
    <w:rsid w:val="002253B3"/>
    <w:rsid w:val="00225842"/>
    <w:rsid w:val="0022587B"/>
    <w:rsid w:val="0023055D"/>
    <w:rsid w:val="002342F3"/>
    <w:rsid w:val="00234CEA"/>
    <w:rsid w:val="00234D0B"/>
    <w:rsid w:val="00235625"/>
    <w:rsid w:val="0023595B"/>
    <w:rsid w:val="0024003F"/>
    <w:rsid w:val="002400CF"/>
    <w:rsid w:val="00243451"/>
    <w:rsid w:val="00246496"/>
    <w:rsid w:val="00246C55"/>
    <w:rsid w:val="00246F21"/>
    <w:rsid w:val="00247B26"/>
    <w:rsid w:val="00247DA7"/>
    <w:rsid w:val="002505DF"/>
    <w:rsid w:val="00250FCD"/>
    <w:rsid w:val="00251254"/>
    <w:rsid w:val="00252C28"/>
    <w:rsid w:val="002548AC"/>
    <w:rsid w:val="00254B19"/>
    <w:rsid w:val="00254D4F"/>
    <w:rsid w:val="002554AF"/>
    <w:rsid w:val="00255773"/>
    <w:rsid w:val="0025618C"/>
    <w:rsid w:val="00256BD3"/>
    <w:rsid w:val="0026028A"/>
    <w:rsid w:val="002602AA"/>
    <w:rsid w:val="002610CA"/>
    <w:rsid w:val="00262168"/>
    <w:rsid w:val="002630DD"/>
    <w:rsid w:val="002638DC"/>
    <w:rsid w:val="002642AD"/>
    <w:rsid w:val="002647BB"/>
    <w:rsid w:val="0026576F"/>
    <w:rsid w:val="002663CD"/>
    <w:rsid w:val="0026658D"/>
    <w:rsid w:val="0026697D"/>
    <w:rsid w:val="00266A5B"/>
    <w:rsid w:val="00266DB2"/>
    <w:rsid w:val="00267026"/>
    <w:rsid w:val="00267507"/>
    <w:rsid w:val="002677D5"/>
    <w:rsid w:val="00270605"/>
    <w:rsid w:val="0027185A"/>
    <w:rsid w:val="00272952"/>
    <w:rsid w:val="00273A10"/>
    <w:rsid w:val="00273D22"/>
    <w:rsid w:val="002749FD"/>
    <w:rsid w:val="00275664"/>
    <w:rsid w:val="002757A5"/>
    <w:rsid w:val="002801EC"/>
    <w:rsid w:val="00280698"/>
    <w:rsid w:val="00280B50"/>
    <w:rsid w:val="00280EB9"/>
    <w:rsid w:val="00281481"/>
    <w:rsid w:val="00281946"/>
    <w:rsid w:val="00281B40"/>
    <w:rsid w:val="002830F6"/>
    <w:rsid w:val="002841A0"/>
    <w:rsid w:val="00284365"/>
    <w:rsid w:val="00285A2F"/>
    <w:rsid w:val="0028632B"/>
    <w:rsid w:val="002866DE"/>
    <w:rsid w:val="00287D52"/>
    <w:rsid w:val="002901D1"/>
    <w:rsid w:val="0029081E"/>
    <w:rsid w:val="00290CA6"/>
    <w:rsid w:val="00291BF9"/>
    <w:rsid w:val="0029234D"/>
    <w:rsid w:val="0029255D"/>
    <w:rsid w:val="00292AE8"/>
    <w:rsid w:val="00292BA4"/>
    <w:rsid w:val="00293310"/>
    <w:rsid w:val="002935A4"/>
    <w:rsid w:val="00295859"/>
    <w:rsid w:val="00295AF4"/>
    <w:rsid w:val="0029662C"/>
    <w:rsid w:val="002A032D"/>
    <w:rsid w:val="002A0A2D"/>
    <w:rsid w:val="002A194C"/>
    <w:rsid w:val="002A2BFE"/>
    <w:rsid w:val="002A2F1D"/>
    <w:rsid w:val="002A33CD"/>
    <w:rsid w:val="002A33E7"/>
    <w:rsid w:val="002A43B2"/>
    <w:rsid w:val="002A4D7D"/>
    <w:rsid w:val="002A4E35"/>
    <w:rsid w:val="002A5471"/>
    <w:rsid w:val="002A5D8C"/>
    <w:rsid w:val="002A68F0"/>
    <w:rsid w:val="002A6979"/>
    <w:rsid w:val="002A7F2D"/>
    <w:rsid w:val="002B0442"/>
    <w:rsid w:val="002B09F7"/>
    <w:rsid w:val="002B102A"/>
    <w:rsid w:val="002B1195"/>
    <w:rsid w:val="002B1DD2"/>
    <w:rsid w:val="002B1E7A"/>
    <w:rsid w:val="002B2840"/>
    <w:rsid w:val="002B2A15"/>
    <w:rsid w:val="002B3220"/>
    <w:rsid w:val="002B40D1"/>
    <w:rsid w:val="002B578F"/>
    <w:rsid w:val="002B653C"/>
    <w:rsid w:val="002B779D"/>
    <w:rsid w:val="002C00C6"/>
    <w:rsid w:val="002C04CF"/>
    <w:rsid w:val="002C1206"/>
    <w:rsid w:val="002C13E4"/>
    <w:rsid w:val="002C46C9"/>
    <w:rsid w:val="002C4908"/>
    <w:rsid w:val="002C6205"/>
    <w:rsid w:val="002C6B51"/>
    <w:rsid w:val="002C6FA4"/>
    <w:rsid w:val="002C7AA1"/>
    <w:rsid w:val="002C7B38"/>
    <w:rsid w:val="002C7DBE"/>
    <w:rsid w:val="002D0127"/>
    <w:rsid w:val="002D0FC1"/>
    <w:rsid w:val="002D1ED4"/>
    <w:rsid w:val="002D302D"/>
    <w:rsid w:val="002D322E"/>
    <w:rsid w:val="002D350D"/>
    <w:rsid w:val="002D391C"/>
    <w:rsid w:val="002D4188"/>
    <w:rsid w:val="002D4235"/>
    <w:rsid w:val="002D4DC6"/>
    <w:rsid w:val="002D56BA"/>
    <w:rsid w:val="002D58B9"/>
    <w:rsid w:val="002D5C65"/>
    <w:rsid w:val="002D6044"/>
    <w:rsid w:val="002D6637"/>
    <w:rsid w:val="002D6661"/>
    <w:rsid w:val="002D6D67"/>
    <w:rsid w:val="002E0FBE"/>
    <w:rsid w:val="002E1828"/>
    <w:rsid w:val="002E2410"/>
    <w:rsid w:val="002E25AB"/>
    <w:rsid w:val="002E3270"/>
    <w:rsid w:val="002E3EB9"/>
    <w:rsid w:val="002E43BD"/>
    <w:rsid w:val="002E48C2"/>
    <w:rsid w:val="002E5117"/>
    <w:rsid w:val="002E608D"/>
    <w:rsid w:val="002E6967"/>
    <w:rsid w:val="002F0EEF"/>
    <w:rsid w:val="002F2208"/>
    <w:rsid w:val="002F3687"/>
    <w:rsid w:val="002F487F"/>
    <w:rsid w:val="002F4A4F"/>
    <w:rsid w:val="002F56EE"/>
    <w:rsid w:val="002F6D7A"/>
    <w:rsid w:val="002F7ACC"/>
    <w:rsid w:val="002F7C59"/>
    <w:rsid w:val="002F7CEA"/>
    <w:rsid w:val="003003EB"/>
    <w:rsid w:val="00300738"/>
    <w:rsid w:val="00301516"/>
    <w:rsid w:val="003015F8"/>
    <w:rsid w:val="00301D88"/>
    <w:rsid w:val="00303FFF"/>
    <w:rsid w:val="0030433A"/>
    <w:rsid w:val="0030442F"/>
    <w:rsid w:val="0030560E"/>
    <w:rsid w:val="003059EE"/>
    <w:rsid w:val="00305A35"/>
    <w:rsid w:val="003072CA"/>
    <w:rsid w:val="003076BF"/>
    <w:rsid w:val="0030774E"/>
    <w:rsid w:val="0030798A"/>
    <w:rsid w:val="00307AD6"/>
    <w:rsid w:val="00311A07"/>
    <w:rsid w:val="00311B71"/>
    <w:rsid w:val="00312270"/>
    <w:rsid w:val="0031244E"/>
    <w:rsid w:val="00315AE5"/>
    <w:rsid w:val="00315B65"/>
    <w:rsid w:val="00315C5C"/>
    <w:rsid w:val="00316BF5"/>
    <w:rsid w:val="00321513"/>
    <w:rsid w:val="00321560"/>
    <w:rsid w:val="00321F69"/>
    <w:rsid w:val="003220CF"/>
    <w:rsid w:val="00322656"/>
    <w:rsid w:val="003234E2"/>
    <w:rsid w:val="0032426E"/>
    <w:rsid w:val="003250E3"/>
    <w:rsid w:val="003252A1"/>
    <w:rsid w:val="003255FE"/>
    <w:rsid w:val="00326704"/>
    <w:rsid w:val="00327EE8"/>
    <w:rsid w:val="003322B1"/>
    <w:rsid w:val="00332617"/>
    <w:rsid w:val="00333C71"/>
    <w:rsid w:val="00334A7E"/>
    <w:rsid w:val="00335F35"/>
    <w:rsid w:val="00336196"/>
    <w:rsid w:val="003364B7"/>
    <w:rsid w:val="00336623"/>
    <w:rsid w:val="00340696"/>
    <w:rsid w:val="00340E62"/>
    <w:rsid w:val="00342A5D"/>
    <w:rsid w:val="003436A3"/>
    <w:rsid w:val="00345516"/>
    <w:rsid w:val="00347A7F"/>
    <w:rsid w:val="00350436"/>
    <w:rsid w:val="00350A41"/>
    <w:rsid w:val="00350C19"/>
    <w:rsid w:val="00350D33"/>
    <w:rsid w:val="0035116D"/>
    <w:rsid w:val="0035191B"/>
    <w:rsid w:val="00352356"/>
    <w:rsid w:val="0035248B"/>
    <w:rsid w:val="003527A7"/>
    <w:rsid w:val="0035292E"/>
    <w:rsid w:val="00353034"/>
    <w:rsid w:val="00353948"/>
    <w:rsid w:val="00353A80"/>
    <w:rsid w:val="00353C38"/>
    <w:rsid w:val="003546E8"/>
    <w:rsid w:val="00354E7E"/>
    <w:rsid w:val="00354EA2"/>
    <w:rsid w:val="00356B79"/>
    <w:rsid w:val="00356CF3"/>
    <w:rsid w:val="003578A6"/>
    <w:rsid w:val="00360B0E"/>
    <w:rsid w:val="0036125E"/>
    <w:rsid w:val="00362195"/>
    <w:rsid w:val="003641D9"/>
    <w:rsid w:val="0036492F"/>
    <w:rsid w:val="00364A5D"/>
    <w:rsid w:val="00364BAD"/>
    <w:rsid w:val="0036746C"/>
    <w:rsid w:val="0036797C"/>
    <w:rsid w:val="003702D0"/>
    <w:rsid w:val="003708D3"/>
    <w:rsid w:val="00370CD0"/>
    <w:rsid w:val="003712D9"/>
    <w:rsid w:val="0037161D"/>
    <w:rsid w:val="00371A23"/>
    <w:rsid w:val="00371DB3"/>
    <w:rsid w:val="00371F36"/>
    <w:rsid w:val="003720FE"/>
    <w:rsid w:val="003734A5"/>
    <w:rsid w:val="0037468A"/>
    <w:rsid w:val="00374952"/>
    <w:rsid w:val="0037708E"/>
    <w:rsid w:val="003808B6"/>
    <w:rsid w:val="003812B6"/>
    <w:rsid w:val="003816DA"/>
    <w:rsid w:val="0038180A"/>
    <w:rsid w:val="003824C2"/>
    <w:rsid w:val="0038259A"/>
    <w:rsid w:val="00382BE7"/>
    <w:rsid w:val="00383C16"/>
    <w:rsid w:val="00383FDD"/>
    <w:rsid w:val="00385B72"/>
    <w:rsid w:val="00385BB6"/>
    <w:rsid w:val="00385E56"/>
    <w:rsid w:val="003863B0"/>
    <w:rsid w:val="00386B4C"/>
    <w:rsid w:val="003878A9"/>
    <w:rsid w:val="00387DDC"/>
    <w:rsid w:val="00387F73"/>
    <w:rsid w:val="00391345"/>
    <w:rsid w:val="00392A9D"/>
    <w:rsid w:val="00393336"/>
    <w:rsid w:val="0039338C"/>
    <w:rsid w:val="003949DB"/>
    <w:rsid w:val="00394B8A"/>
    <w:rsid w:val="003960C5"/>
    <w:rsid w:val="00396284"/>
    <w:rsid w:val="00396632"/>
    <w:rsid w:val="003967EE"/>
    <w:rsid w:val="0039681B"/>
    <w:rsid w:val="00396A94"/>
    <w:rsid w:val="00396AD2"/>
    <w:rsid w:val="00396E87"/>
    <w:rsid w:val="00397265"/>
    <w:rsid w:val="003A0362"/>
    <w:rsid w:val="003A03B0"/>
    <w:rsid w:val="003A1A22"/>
    <w:rsid w:val="003A253A"/>
    <w:rsid w:val="003A2AAA"/>
    <w:rsid w:val="003A33D9"/>
    <w:rsid w:val="003A382C"/>
    <w:rsid w:val="003A44AA"/>
    <w:rsid w:val="003A48C7"/>
    <w:rsid w:val="003A4A30"/>
    <w:rsid w:val="003A564E"/>
    <w:rsid w:val="003A5A88"/>
    <w:rsid w:val="003A64F0"/>
    <w:rsid w:val="003A6628"/>
    <w:rsid w:val="003A7A81"/>
    <w:rsid w:val="003A7FE7"/>
    <w:rsid w:val="003B12F3"/>
    <w:rsid w:val="003B141B"/>
    <w:rsid w:val="003B24DC"/>
    <w:rsid w:val="003B37D9"/>
    <w:rsid w:val="003B4362"/>
    <w:rsid w:val="003B7ABC"/>
    <w:rsid w:val="003B7C29"/>
    <w:rsid w:val="003B7C70"/>
    <w:rsid w:val="003B7F33"/>
    <w:rsid w:val="003C06FB"/>
    <w:rsid w:val="003C0AAE"/>
    <w:rsid w:val="003C0FAA"/>
    <w:rsid w:val="003C1BF6"/>
    <w:rsid w:val="003C2D90"/>
    <w:rsid w:val="003C32A8"/>
    <w:rsid w:val="003C5819"/>
    <w:rsid w:val="003C587D"/>
    <w:rsid w:val="003C6FBF"/>
    <w:rsid w:val="003C746C"/>
    <w:rsid w:val="003C75DA"/>
    <w:rsid w:val="003C77DB"/>
    <w:rsid w:val="003D04C7"/>
    <w:rsid w:val="003D0E4F"/>
    <w:rsid w:val="003D1CCE"/>
    <w:rsid w:val="003D2431"/>
    <w:rsid w:val="003D3812"/>
    <w:rsid w:val="003D6839"/>
    <w:rsid w:val="003D68B4"/>
    <w:rsid w:val="003D7074"/>
    <w:rsid w:val="003D72BF"/>
    <w:rsid w:val="003E04A7"/>
    <w:rsid w:val="003E16EC"/>
    <w:rsid w:val="003E246C"/>
    <w:rsid w:val="003E32D9"/>
    <w:rsid w:val="003E3689"/>
    <w:rsid w:val="003E46AA"/>
    <w:rsid w:val="003E50C4"/>
    <w:rsid w:val="003E5606"/>
    <w:rsid w:val="003E7351"/>
    <w:rsid w:val="003E7554"/>
    <w:rsid w:val="003E762C"/>
    <w:rsid w:val="003E762E"/>
    <w:rsid w:val="003F018F"/>
    <w:rsid w:val="003F037D"/>
    <w:rsid w:val="003F265D"/>
    <w:rsid w:val="003F3DBE"/>
    <w:rsid w:val="003F4577"/>
    <w:rsid w:val="003F4DD1"/>
    <w:rsid w:val="003F56FF"/>
    <w:rsid w:val="003F5B5C"/>
    <w:rsid w:val="003F5C2E"/>
    <w:rsid w:val="003F5C43"/>
    <w:rsid w:val="003F7E51"/>
    <w:rsid w:val="004000D1"/>
    <w:rsid w:val="00400AEE"/>
    <w:rsid w:val="00400DAC"/>
    <w:rsid w:val="00400E3D"/>
    <w:rsid w:val="0040204B"/>
    <w:rsid w:val="0040276C"/>
    <w:rsid w:val="004027D8"/>
    <w:rsid w:val="00402ECA"/>
    <w:rsid w:val="00403BB1"/>
    <w:rsid w:val="004046E9"/>
    <w:rsid w:val="00405025"/>
    <w:rsid w:val="00405F3C"/>
    <w:rsid w:val="00405FE9"/>
    <w:rsid w:val="00406BFC"/>
    <w:rsid w:val="00406C79"/>
    <w:rsid w:val="00406E45"/>
    <w:rsid w:val="00407BFB"/>
    <w:rsid w:val="004104AA"/>
    <w:rsid w:val="00410B42"/>
    <w:rsid w:val="004118F8"/>
    <w:rsid w:val="0041256E"/>
    <w:rsid w:val="004127A8"/>
    <w:rsid w:val="00412AFA"/>
    <w:rsid w:val="00412DE2"/>
    <w:rsid w:val="00416DAA"/>
    <w:rsid w:val="00416E91"/>
    <w:rsid w:val="00417278"/>
    <w:rsid w:val="0041790F"/>
    <w:rsid w:val="004211B9"/>
    <w:rsid w:val="004215B1"/>
    <w:rsid w:val="00421937"/>
    <w:rsid w:val="00421EDB"/>
    <w:rsid w:val="00424223"/>
    <w:rsid w:val="0042429E"/>
    <w:rsid w:val="004253A5"/>
    <w:rsid w:val="00425DE5"/>
    <w:rsid w:val="0042643D"/>
    <w:rsid w:val="00426883"/>
    <w:rsid w:val="00427066"/>
    <w:rsid w:val="00430DAD"/>
    <w:rsid w:val="00430E39"/>
    <w:rsid w:val="00430E9F"/>
    <w:rsid w:val="004316F4"/>
    <w:rsid w:val="004317DD"/>
    <w:rsid w:val="00431C6A"/>
    <w:rsid w:val="00431CD9"/>
    <w:rsid w:val="00432ABB"/>
    <w:rsid w:val="00433A8D"/>
    <w:rsid w:val="004340AB"/>
    <w:rsid w:val="004344D4"/>
    <w:rsid w:val="00434C78"/>
    <w:rsid w:val="00435680"/>
    <w:rsid w:val="00435FDB"/>
    <w:rsid w:val="0043672C"/>
    <w:rsid w:val="00437621"/>
    <w:rsid w:val="00437E50"/>
    <w:rsid w:val="00440A60"/>
    <w:rsid w:val="00440BD5"/>
    <w:rsid w:val="00441E04"/>
    <w:rsid w:val="004421C2"/>
    <w:rsid w:val="0044360D"/>
    <w:rsid w:val="00443685"/>
    <w:rsid w:val="00445768"/>
    <w:rsid w:val="004459B3"/>
    <w:rsid w:val="00445A9C"/>
    <w:rsid w:val="00445DE2"/>
    <w:rsid w:val="00446C1F"/>
    <w:rsid w:val="00446EF8"/>
    <w:rsid w:val="00447193"/>
    <w:rsid w:val="0044785D"/>
    <w:rsid w:val="00447972"/>
    <w:rsid w:val="00447B15"/>
    <w:rsid w:val="0045042E"/>
    <w:rsid w:val="0045145C"/>
    <w:rsid w:val="0045170A"/>
    <w:rsid w:val="00452F18"/>
    <w:rsid w:val="00452FAC"/>
    <w:rsid w:val="00453DB8"/>
    <w:rsid w:val="00453E4E"/>
    <w:rsid w:val="004550BB"/>
    <w:rsid w:val="0045597F"/>
    <w:rsid w:val="004561DA"/>
    <w:rsid w:val="0045635D"/>
    <w:rsid w:val="00456795"/>
    <w:rsid w:val="00457658"/>
    <w:rsid w:val="00457D05"/>
    <w:rsid w:val="00457F79"/>
    <w:rsid w:val="004612B2"/>
    <w:rsid w:val="00461C5E"/>
    <w:rsid w:val="00464036"/>
    <w:rsid w:val="0046406C"/>
    <w:rsid w:val="00464937"/>
    <w:rsid w:val="00464C8C"/>
    <w:rsid w:val="00464DAD"/>
    <w:rsid w:val="00464E09"/>
    <w:rsid w:val="00464F71"/>
    <w:rsid w:val="0046634A"/>
    <w:rsid w:val="004663D9"/>
    <w:rsid w:val="00466780"/>
    <w:rsid w:val="004669DD"/>
    <w:rsid w:val="00467C43"/>
    <w:rsid w:val="00471269"/>
    <w:rsid w:val="004714F6"/>
    <w:rsid w:val="0047180F"/>
    <w:rsid w:val="00472112"/>
    <w:rsid w:val="00474C4B"/>
    <w:rsid w:val="004750C5"/>
    <w:rsid w:val="0047563C"/>
    <w:rsid w:val="00475997"/>
    <w:rsid w:val="004763B3"/>
    <w:rsid w:val="004764E4"/>
    <w:rsid w:val="004770C2"/>
    <w:rsid w:val="004776B8"/>
    <w:rsid w:val="00477C01"/>
    <w:rsid w:val="00477C17"/>
    <w:rsid w:val="00477C9B"/>
    <w:rsid w:val="00477E8C"/>
    <w:rsid w:val="00480233"/>
    <w:rsid w:val="0048023B"/>
    <w:rsid w:val="00480CAF"/>
    <w:rsid w:val="00480CF6"/>
    <w:rsid w:val="004812C0"/>
    <w:rsid w:val="00483169"/>
    <w:rsid w:val="0048346D"/>
    <w:rsid w:val="00483AB0"/>
    <w:rsid w:val="00483F96"/>
    <w:rsid w:val="00487C2A"/>
    <w:rsid w:val="00490401"/>
    <w:rsid w:val="00490AFA"/>
    <w:rsid w:val="00490FBC"/>
    <w:rsid w:val="00491AF7"/>
    <w:rsid w:val="00492B50"/>
    <w:rsid w:val="004933DD"/>
    <w:rsid w:val="00493446"/>
    <w:rsid w:val="00493478"/>
    <w:rsid w:val="004939EA"/>
    <w:rsid w:val="004940AD"/>
    <w:rsid w:val="004942C4"/>
    <w:rsid w:val="00495C1B"/>
    <w:rsid w:val="00496236"/>
    <w:rsid w:val="0049645F"/>
    <w:rsid w:val="00496875"/>
    <w:rsid w:val="00496DA4"/>
    <w:rsid w:val="00497270"/>
    <w:rsid w:val="004A0270"/>
    <w:rsid w:val="004A2361"/>
    <w:rsid w:val="004A23D0"/>
    <w:rsid w:val="004A2961"/>
    <w:rsid w:val="004A46A2"/>
    <w:rsid w:val="004A46E3"/>
    <w:rsid w:val="004A4D7C"/>
    <w:rsid w:val="004A52F0"/>
    <w:rsid w:val="004A5598"/>
    <w:rsid w:val="004A5AA3"/>
    <w:rsid w:val="004A6042"/>
    <w:rsid w:val="004A6097"/>
    <w:rsid w:val="004A6BAE"/>
    <w:rsid w:val="004A6BEC"/>
    <w:rsid w:val="004A752B"/>
    <w:rsid w:val="004A756B"/>
    <w:rsid w:val="004B0402"/>
    <w:rsid w:val="004B0C95"/>
    <w:rsid w:val="004B0DB6"/>
    <w:rsid w:val="004B0DD6"/>
    <w:rsid w:val="004B0E4F"/>
    <w:rsid w:val="004B0EFC"/>
    <w:rsid w:val="004B1B4C"/>
    <w:rsid w:val="004B1F76"/>
    <w:rsid w:val="004B26E4"/>
    <w:rsid w:val="004B2BF0"/>
    <w:rsid w:val="004B2C98"/>
    <w:rsid w:val="004B2FEA"/>
    <w:rsid w:val="004B3DA9"/>
    <w:rsid w:val="004B4114"/>
    <w:rsid w:val="004B4E62"/>
    <w:rsid w:val="004B51BE"/>
    <w:rsid w:val="004B53E7"/>
    <w:rsid w:val="004B566B"/>
    <w:rsid w:val="004B5E46"/>
    <w:rsid w:val="004B62BD"/>
    <w:rsid w:val="004B6AE9"/>
    <w:rsid w:val="004B6CF3"/>
    <w:rsid w:val="004B70E3"/>
    <w:rsid w:val="004B7AEA"/>
    <w:rsid w:val="004C1119"/>
    <w:rsid w:val="004C1602"/>
    <w:rsid w:val="004C1DE2"/>
    <w:rsid w:val="004C1F3E"/>
    <w:rsid w:val="004C2722"/>
    <w:rsid w:val="004C2892"/>
    <w:rsid w:val="004C2B51"/>
    <w:rsid w:val="004C3A58"/>
    <w:rsid w:val="004C3B28"/>
    <w:rsid w:val="004C3FF9"/>
    <w:rsid w:val="004C49D6"/>
    <w:rsid w:val="004C57DA"/>
    <w:rsid w:val="004C698F"/>
    <w:rsid w:val="004C7123"/>
    <w:rsid w:val="004C7203"/>
    <w:rsid w:val="004D0C5F"/>
    <w:rsid w:val="004D0D73"/>
    <w:rsid w:val="004D142A"/>
    <w:rsid w:val="004D1495"/>
    <w:rsid w:val="004D2974"/>
    <w:rsid w:val="004D3D1A"/>
    <w:rsid w:val="004D611D"/>
    <w:rsid w:val="004D6F28"/>
    <w:rsid w:val="004D7201"/>
    <w:rsid w:val="004E0B4D"/>
    <w:rsid w:val="004E1CA5"/>
    <w:rsid w:val="004E2E6A"/>
    <w:rsid w:val="004E33DE"/>
    <w:rsid w:val="004E3777"/>
    <w:rsid w:val="004E3D67"/>
    <w:rsid w:val="004E4BBA"/>
    <w:rsid w:val="004E6453"/>
    <w:rsid w:val="004E744E"/>
    <w:rsid w:val="004E77B6"/>
    <w:rsid w:val="004F016A"/>
    <w:rsid w:val="004F0959"/>
    <w:rsid w:val="004F1E43"/>
    <w:rsid w:val="004F2073"/>
    <w:rsid w:val="004F2638"/>
    <w:rsid w:val="004F32C3"/>
    <w:rsid w:val="004F3AB0"/>
    <w:rsid w:val="004F3CD7"/>
    <w:rsid w:val="004F40CD"/>
    <w:rsid w:val="004F6935"/>
    <w:rsid w:val="004F7D5E"/>
    <w:rsid w:val="00500259"/>
    <w:rsid w:val="005005CB"/>
    <w:rsid w:val="00501511"/>
    <w:rsid w:val="00501EC8"/>
    <w:rsid w:val="0050263F"/>
    <w:rsid w:val="00502804"/>
    <w:rsid w:val="00503632"/>
    <w:rsid w:val="00503C02"/>
    <w:rsid w:val="00505701"/>
    <w:rsid w:val="0050793F"/>
    <w:rsid w:val="0051017B"/>
    <w:rsid w:val="0051079B"/>
    <w:rsid w:val="0051099B"/>
    <w:rsid w:val="00511756"/>
    <w:rsid w:val="0051225B"/>
    <w:rsid w:val="00512271"/>
    <w:rsid w:val="005126DB"/>
    <w:rsid w:val="0051393F"/>
    <w:rsid w:val="00513F90"/>
    <w:rsid w:val="005141A1"/>
    <w:rsid w:val="00514D96"/>
    <w:rsid w:val="005168B1"/>
    <w:rsid w:val="00516A09"/>
    <w:rsid w:val="00516D57"/>
    <w:rsid w:val="00516D9F"/>
    <w:rsid w:val="005175F2"/>
    <w:rsid w:val="00520555"/>
    <w:rsid w:val="00520DB4"/>
    <w:rsid w:val="00521151"/>
    <w:rsid w:val="005211B3"/>
    <w:rsid w:val="00522523"/>
    <w:rsid w:val="00522EBD"/>
    <w:rsid w:val="00523166"/>
    <w:rsid w:val="00523340"/>
    <w:rsid w:val="00523B54"/>
    <w:rsid w:val="005254E8"/>
    <w:rsid w:val="00525CAD"/>
    <w:rsid w:val="00527C8C"/>
    <w:rsid w:val="00527CD7"/>
    <w:rsid w:val="00530869"/>
    <w:rsid w:val="00532498"/>
    <w:rsid w:val="005325B5"/>
    <w:rsid w:val="00535939"/>
    <w:rsid w:val="005361E5"/>
    <w:rsid w:val="00537316"/>
    <w:rsid w:val="00537F29"/>
    <w:rsid w:val="0054352B"/>
    <w:rsid w:val="00543ABB"/>
    <w:rsid w:val="00543DD1"/>
    <w:rsid w:val="00543FCA"/>
    <w:rsid w:val="005453BC"/>
    <w:rsid w:val="005453E2"/>
    <w:rsid w:val="005466AC"/>
    <w:rsid w:val="00547A73"/>
    <w:rsid w:val="00550C82"/>
    <w:rsid w:val="00552388"/>
    <w:rsid w:val="00552856"/>
    <w:rsid w:val="00553956"/>
    <w:rsid w:val="00555084"/>
    <w:rsid w:val="00555DFB"/>
    <w:rsid w:val="00555FE8"/>
    <w:rsid w:val="00556CF7"/>
    <w:rsid w:val="005577F2"/>
    <w:rsid w:val="0056080D"/>
    <w:rsid w:val="005610C5"/>
    <w:rsid w:val="00562489"/>
    <w:rsid w:val="00563012"/>
    <w:rsid w:val="00563553"/>
    <w:rsid w:val="0056537D"/>
    <w:rsid w:val="005656B3"/>
    <w:rsid w:val="00566AF2"/>
    <w:rsid w:val="00567407"/>
    <w:rsid w:val="005700BE"/>
    <w:rsid w:val="00570759"/>
    <w:rsid w:val="00570C8E"/>
    <w:rsid w:val="0057169D"/>
    <w:rsid w:val="005728DC"/>
    <w:rsid w:val="00573A5F"/>
    <w:rsid w:val="00573A83"/>
    <w:rsid w:val="00573F05"/>
    <w:rsid w:val="00576110"/>
    <w:rsid w:val="00576504"/>
    <w:rsid w:val="00576B53"/>
    <w:rsid w:val="00580A71"/>
    <w:rsid w:val="00581632"/>
    <w:rsid w:val="00582BC8"/>
    <w:rsid w:val="00584542"/>
    <w:rsid w:val="00585B09"/>
    <w:rsid w:val="00585B60"/>
    <w:rsid w:val="00585BB3"/>
    <w:rsid w:val="005862E9"/>
    <w:rsid w:val="00586E5A"/>
    <w:rsid w:val="00587701"/>
    <w:rsid w:val="00587AD8"/>
    <w:rsid w:val="0059063C"/>
    <w:rsid w:val="0059265D"/>
    <w:rsid w:val="00593584"/>
    <w:rsid w:val="00595425"/>
    <w:rsid w:val="0059671C"/>
    <w:rsid w:val="005971FA"/>
    <w:rsid w:val="005A09DF"/>
    <w:rsid w:val="005A0DC5"/>
    <w:rsid w:val="005A0EB4"/>
    <w:rsid w:val="005A14A7"/>
    <w:rsid w:val="005A1741"/>
    <w:rsid w:val="005A1754"/>
    <w:rsid w:val="005A39A1"/>
    <w:rsid w:val="005A409E"/>
    <w:rsid w:val="005A4484"/>
    <w:rsid w:val="005A65AA"/>
    <w:rsid w:val="005A723A"/>
    <w:rsid w:val="005A793A"/>
    <w:rsid w:val="005A7A22"/>
    <w:rsid w:val="005B0DFE"/>
    <w:rsid w:val="005B3275"/>
    <w:rsid w:val="005B525D"/>
    <w:rsid w:val="005B629B"/>
    <w:rsid w:val="005B63D6"/>
    <w:rsid w:val="005C198E"/>
    <w:rsid w:val="005C21DA"/>
    <w:rsid w:val="005C2A8C"/>
    <w:rsid w:val="005C3ADC"/>
    <w:rsid w:val="005C4185"/>
    <w:rsid w:val="005C43C7"/>
    <w:rsid w:val="005C526F"/>
    <w:rsid w:val="005C5D37"/>
    <w:rsid w:val="005C6E90"/>
    <w:rsid w:val="005C6FB9"/>
    <w:rsid w:val="005D0BB0"/>
    <w:rsid w:val="005D0DE5"/>
    <w:rsid w:val="005D0EFB"/>
    <w:rsid w:val="005D1104"/>
    <w:rsid w:val="005D27A4"/>
    <w:rsid w:val="005D2D5D"/>
    <w:rsid w:val="005D2D68"/>
    <w:rsid w:val="005D327F"/>
    <w:rsid w:val="005D3502"/>
    <w:rsid w:val="005D5190"/>
    <w:rsid w:val="005D5592"/>
    <w:rsid w:val="005D6028"/>
    <w:rsid w:val="005D6102"/>
    <w:rsid w:val="005D7689"/>
    <w:rsid w:val="005D7981"/>
    <w:rsid w:val="005E06E3"/>
    <w:rsid w:val="005E0AED"/>
    <w:rsid w:val="005E0D53"/>
    <w:rsid w:val="005E121F"/>
    <w:rsid w:val="005E44D4"/>
    <w:rsid w:val="005E5AE3"/>
    <w:rsid w:val="005E6AC0"/>
    <w:rsid w:val="005E743F"/>
    <w:rsid w:val="005E77BA"/>
    <w:rsid w:val="005E7981"/>
    <w:rsid w:val="005F01A3"/>
    <w:rsid w:val="005F0694"/>
    <w:rsid w:val="005F11BE"/>
    <w:rsid w:val="005F19D5"/>
    <w:rsid w:val="005F2B48"/>
    <w:rsid w:val="005F30AF"/>
    <w:rsid w:val="005F32E7"/>
    <w:rsid w:val="005F4627"/>
    <w:rsid w:val="005F5226"/>
    <w:rsid w:val="005F5961"/>
    <w:rsid w:val="005F74B5"/>
    <w:rsid w:val="0060022A"/>
    <w:rsid w:val="0060166F"/>
    <w:rsid w:val="006016DD"/>
    <w:rsid w:val="00602F6C"/>
    <w:rsid w:val="00603035"/>
    <w:rsid w:val="00603ED5"/>
    <w:rsid w:val="00603F30"/>
    <w:rsid w:val="00603FE8"/>
    <w:rsid w:val="00604241"/>
    <w:rsid w:val="006043C0"/>
    <w:rsid w:val="00604DB8"/>
    <w:rsid w:val="00605146"/>
    <w:rsid w:val="006054A1"/>
    <w:rsid w:val="0061056F"/>
    <w:rsid w:val="006105C0"/>
    <w:rsid w:val="00610B63"/>
    <w:rsid w:val="00611312"/>
    <w:rsid w:val="0061140B"/>
    <w:rsid w:val="006117AC"/>
    <w:rsid w:val="006119D0"/>
    <w:rsid w:val="006128D9"/>
    <w:rsid w:val="00613B0A"/>
    <w:rsid w:val="00613F9D"/>
    <w:rsid w:val="006157B9"/>
    <w:rsid w:val="006158CC"/>
    <w:rsid w:val="00616692"/>
    <w:rsid w:val="006169F9"/>
    <w:rsid w:val="00616A03"/>
    <w:rsid w:val="00616D66"/>
    <w:rsid w:val="0062058C"/>
    <w:rsid w:val="00620717"/>
    <w:rsid w:val="00620945"/>
    <w:rsid w:val="00620FE5"/>
    <w:rsid w:val="00621C02"/>
    <w:rsid w:val="00621C8F"/>
    <w:rsid w:val="0062396F"/>
    <w:rsid w:val="00624CD1"/>
    <w:rsid w:val="00625C75"/>
    <w:rsid w:val="00625CDE"/>
    <w:rsid w:val="006269F5"/>
    <w:rsid w:val="00626C58"/>
    <w:rsid w:val="0062707B"/>
    <w:rsid w:val="00627F25"/>
    <w:rsid w:val="0063036B"/>
    <w:rsid w:val="006308B9"/>
    <w:rsid w:val="00630CCB"/>
    <w:rsid w:val="00630E3C"/>
    <w:rsid w:val="006314DD"/>
    <w:rsid w:val="00631A54"/>
    <w:rsid w:val="00631F9A"/>
    <w:rsid w:val="006321E5"/>
    <w:rsid w:val="00632C94"/>
    <w:rsid w:val="00634605"/>
    <w:rsid w:val="006346A5"/>
    <w:rsid w:val="0063547B"/>
    <w:rsid w:val="00635987"/>
    <w:rsid w:val="006359F2"/>
    <w:rsid w:val="00635ED4"/>
    <w:rsid w:val="006360E0"/>
    <w:rsid w:val="00636FF0"/>
    <w:rsid w:val="006370E6"/>
    <w:rsid w:val="00637D12"/>
    <w:rsid w:val="00640412"/>
    <w:rsid w:val="006404BE"/>
    <w:rsid w:val="0064081C"/>
    <w:rsid w:val="00640B00"/>
    <w:rsid w:val="00641BBD"/>
    <w:rsid w:val="00642BC0"/>
    <w:rsid w:val="00644241"/>
    <w:rsid w:val="006446EF"/>
    <w:rsid w:val="00644BCF"/>
    <w:rsid w:val="0064593E"/>
    <w:rsid w:val="00645F50"/>
    <w:rsid w:val="006465C8"/>
    <w:rsid w:val="00646834"/>
    <w:rsid w:val="00647B0A"/>
    <w:rsid w:val="0065093E"/>
    <w:rsid w:val="0065213F"/>
    <w:rsid w:val="00652811"/>
    <w:rsid w:val="0065358C"/>
    <w:rsid w:val="00653B45"/>
    <w:rsid w:val="00656279"/>
    <w:rsid w:val="0065677D"/>
    <w:rsid w:val="0065696F"/>
    <w:rsid w:val="00660132"/>
    <w:rsid w:val="006603AE"/>
    <w:rsid w:val="00661452"/>
    <w:rsid w:val="00662C16"/>
    <w:rsid w:val="00662ED9"/>
    <w:rsid w:val="00663D72"/>
    <w:rsid w:val="0066437C"/>
    <w:rsid w:val="006647A0"/>
    <w:rsid w:val="00664AB0"/>
    <w:rsid w:val="00664F3C"/>
    <w:rsid w:val="00665B3D"/>
    <w:rsid w:val="006665E0"/>
    <w:rsid w:val="00666D47"/>
    <w:rsid w:val="00670170"/>
    <w:rsid w:val="00670810"/>
    <w:rsid w:val="006709DA"/>
    <w:rsid w:val="00671B11"/>
    <w:rsid w:val="00672152"/>
    <w:rsid w:val="006721A2"/>
    <w:rsid w:val="00673150"/>
    <w:rsid w:val="006739D7"/>
    <w:rsid w:val="006742D5"/>
    <w:rsid w:val="0067523D"/>
    <w:rsid w:val="00675A10"/>
    <w:rsid w:val="0067794B"/>
    <w:rsid w:val="006809F8"/>
    <w:rsid w:val="00682C64"/>
    <w:rsid w:val="00682F69"/>
    <w:rsid w:val="006839B3"/>
    <w:rsid w:val="00684893"/>
    <w:rsid w:val="006859A3"/>
    <w:rsid w:val="00685F25"/>
    <w:rsid w:val="00685F6E"/>
    <w:rsid w:val="00686223"/>
    <w:rsid w:val="006901A6"/>
    <w:rsid w:val="00690EBF"/>
    <w:rsid w:val="006915ED"/>
    <w:rsid w:val="00692166"/>
    <w:rsid w:val="00692DF0"/>
    <w:rsid w:val="00694E4D"/>
    <w:rsid w:val="0069524B"/>
    <w:rsid w:val="0069575B"/>
    <w:rsid w:val="006964E5"/>
    <w:rsid w:val="00696627"/>
    <w:rsid w:val="00696766"/>
    <w:rsid w:val="006A12D8"/>
    <w:rsid w:val="006A1A21"/>
    <w:rsid w:val="006A2859"/>
    <w:rsid w:val="006A2F76"/>
    <w:rsid w:val="006A3983"/>
    <w:rsid w:val="006A45EC"/>
    <w:rsid w:val="006A553E"/>
    <w:rsid w:val="006A6769"/>
    <w:rsid w:val="006A6873"/>
    <w:rsid w:val="006B0644"/>
    <w:rsid w:val="006B0FA2"/>
    <w:rsid w:val="006B13D9"/>
    <w:rsid w:val="006B4343"/>
    <w:rsid w:val="006B51C7"/>
    <w:rsid w:val="006B75F9"/>
    <w:rsid w:val="006B78F7"/>
    <w:rsid w:val="006C0A8C"/>
    <w:rsid w:val="006C1C13"/>
    <w:rsid w:val="006C1D08"/>
    <w:rsid w:val="006C295D"/>
    <w:rsid w:val="006C330A"/>
    <w:rsid w:val="006C3400"/>
    <w:rsid w:val="006C456F"/>
    <w:rsid w:val="006C5E1A"/>
    <w:rsid w:val="006C604E"/>
    <w:rsid w:val="006D0043"/>
    <w:rsid w:val="006D1155"/>
    <w:rsid w:val="006D163C"/>
    <w:rsid w:val="006D1D2A"/>
    <w:rsid w:val="006D2FB1"/>
    <w:rsid w:val="006D3274"/>
    <w:rsid w:val="006D38FF"/>
    <w:rsid w:val="006D3DBC"/>
    <w:rsid w:val="006D5939"/>
    <w:rsid w:val="006D6A41"/>
    <w:rsid w:val="006D6C5F"/>
    <w:rsid w:val="006D6D68"/>
    <w:rsid w:val="006D7511"/>
    <w:rsid w:val="006D7B80"/>
    <w:rsid w:val="006E0111"/>
    <w:rsid w:val="006E1824"/>
    <w:rsid w:val="006E284E"/>
    <w:rsid w:val="006E34FE"/>
    <w:rsid w:val="006E4627"/>
    <w:rsid w:val="006E54DC"/>
    <w:rsid w:val="006E62DB"/>
    <w:rsid w:val="006E6405"/>
    <w:rsid w:val="006E6F69"/>
    <w:rsid w:val="006E75CC"/>
    <w:rsid w:val="006E7D77"/>
    <w:rsid w:val="006F07F9"/>
    <w:rsid w:val="006F15A9"/>
    <w:rsid w:val="006F15F3"/>
    <w:rsid w:val="006F176E"/>
    <w:rsid w:val="006F193B"/>
    <w:rsid w:val="006F1B70"/>
    <w:rsid w:val="006F1D34"/>
    <w:rsid w:val="006F1F8D"/>
    <w:rsid w:val="006F26C2"/>
    <w:rsid w:val="006F398D"/>
    <w:rsid w:val="006F5182"/>
    <w:rsid w:val="006F536E"/>
    <w:rsid w:val="006F5D6D"/>
    <w:rsid w:val="006F7097"/>
    <w:rsid w:val="006F7D9D"/>
    <w:rsid w:val="007006D5"/>
    <w:rsid w:val="0070077E"/>
    <w:rsid w:val="00702444"/>
    <w:rsid w:val="00703105"/>
    <w:rsid w:val="007052C6"/>
    <w:rsid w:val="00705328"/>
    <w:rsid w:val="0070688F"/>
    <w:rsid w:val="00710246"/>
    <w:rsid w:val="0071024B"/>
    <w:rsid w:val="007105AE"/>
    <w:rsid w:val="00711096"/>
    <w:rsid w:val="00711355"/>
    <w:rsid w:val="0071155F"/>
    <w:rsid w:val="00711BDF"/>
    <w:rsid w:val="00712467"/>
    <w:rsid w:val="00712F84"/>
    <w:rsid w:val="007153B0"/>
    <w:rsid w:val="007154B5"/>
    <w:rsid w:val="0071629F"/>
    <w:rsid w:val="007162D4"/>
    <w:rsid w:val="00716980"/>
    <w:rsid w:val="00716D9E"/>
    <w:rsid w:val="00717639"/>
    <w:rsid w:val="00717A15"/>
    <w:rsid w:val="007201EC"/>
    <w:rsid w:val="00720E8B"/>
    <w:rsid w:val="00721081"/>
    <w:rsid w:val="00721D72"/>
    <w:rsid w:val="00721E8F"/>
    <w:rsid w:val="00722986"/>
    <w:rsid w:val="00722C84"/>
    <w:rsid w:val="0072328B"/>
    <w:rsid w:val="00723B2F"/>
    <w:rsid w:val="00723F5B"/>
    <w:rsid w:val="0072493F"/>
    <w:rsid w:val="0072534A"/>
    <w:rsid w:val="00725B50"/>
    <w:rsid w:val="0072629F"/>
    <w:rsid w:val="00727D3D"/>
    <w:rsid w:val="00730048"/>
    <w:rsid w:val="00730ADA"/>
    <w:rsid w:val="00731343"/>
    <w:rsid w:val="00731448"/>
    <w:rsid w:val="00731E8B"/>
    <w:rsid w:val="00732A34"/>
    <w:rsid w:val="00732AE3"/>
    <w:rsid w:val="00732BB5"/>
    <w:rsid w:val="00732F16"/>
    <w:rsid w:val="0073384B"/>
    <w:rsid w:val="00734374"/>
    <w:rsid w:val="00734A89"/>
    <w:rsid w:val="00735531"/>
    <w:rsid w:val="00737C4D"/>
    <w:rsid w:val="00737E66"/>
    <w:rsid w:val="00741E0D"/>
    <w:rsid w:val="00741E3F"/>
    <w:rsid w:val="0074335A"/>
    <w:rsid w:val="00743368"/>
    <w:rsid w:val="00745CDE"/>
    <w:rsid w:val="00746272"/>
    <w:rsid w:val="00746291"/>
    <w:rsid w:val="00746DCC"/>
    <w:rsid w:val="007470CC"/>
    <w:rsid w:val="0075043D"/>
    <w:rsid w:val="00751128"/>
    <w:rsid w:val="00752049"/>
    <w:rsid w:val="007529B4"/>
    <w:rsid w:val="00754819"/>
    <w:rsid w:val="00755273"/>
    <w:rsid w:val="00755D3D"/>
    <w:rsid w:val="00756801"/>
    <w:rsid w:val="007569DC"/>
    <w:rsid w:val="00756C1E"/>
    <w:rsid w:val="007602FD"/>
    <w:rsid w:val="00760402"/>
    <w:rsid w:val="00760695"/>
    <w:rsid w:val="00760CF5"/>
    <w:rsid w:val="00761773"/>
    <w:rsid w:val="00764AAA"/>
    <w:rsid w:val="007650F4"/>
    <w:rsid w:val="00765582"/>
    <w:rsid w:val="007655DC"/>
    <w:rsid w:val="00765BAA"/>
    <w:rsid w:val="00766E58"/>
    <w:rsid w:val="00766EA2"/>
    <w:rsid w:val="00767248"/>
    <w:rsid w:val="00767CA8"/>
    <w:rsid w:val="007708F5"/>
    <w:rsid w:val="0077105A"/>
    <w:rsid w:val="007719E5"/>
    <w:rsid w:val="0077275D"/>
    <w:rsid w:val="007743AD"/>
    <w:rsid w:val="007744BF"/>
    <w:rsid w:val="00774759"/>
    <w:rsid w:val="007765E4"/>
    <w:rsid w:val="00781222"/>
    <w:rsid w:val="007812AE"/>
    <w:rsid w:val="007812EE"/>
    <w:rsid w:val="007813C6"/>
    <w:rsid w:val="00781FC4"/>
    <w:rsid w:val="00782B68"/>
    <w:rsid w:val="0078337D"/>
    <w:rsid w:val="00783AD4"/>
    <w:rsid w:val="00785D4F"/>
    <w:rsid w:val="00785F44"/>
    <w:rsid w:val="0078602B"/>
    <w:rsid w:val="0078742D"/>
    <w:rsid w:val="007900BF"/>
    <w:rsid w:val="0079046B"/>
    <w:rsid w:val="00790DB3"/>
    <w:rsid w:val="007911EF"/>
    <w:rsid w:val="00792D85"/>
    <w:rsid w:val="00793992"/>
    <w:rsid w:val="00794494"/>
    <w:rsid w:val="007949D7"/>
    <w:rsid w:val="00794FE6"/>
    <w:rsid w:val="0079519B"/>
    <w:rsid w:val="00795AF6"/>
    <w:rsid w:val="00795CA9"/>
    <w:rsid w:val="00796467"/>
    <w:rsid w:val="007969FB"/>
    <w:rsid w:val="00796A56"/>
    <w:rsid w:val="00796F97"/>
    <w:rsid w:val="007973E2"/>
    <w:rsid w:val="007A0441"/>
    <w:rsid w:val="007A139C"/>
    <w:rsid w:val="007A2A90"/>
    <w:rsid w:val="007A2D5F"/>
    <w:rsid w:val="007A32D5"/>
    <w:rsid w:val="007A59E6"/>
    <w:rsid w:val="007A5D0C"/>
    <w:rsid w:val="007A60EB"/>
    <w:rsid w:val="007A6224"/>
    <w:rsid w:val="007A6BA0"/>
    <w:rsid w:val="007A7202"/>
    <w:rsid w:val="007A7D5A"/>
    <w:rsid w:val="007A7F04"/>
    <w:rsid w:val="007B003A"/>
    <w:rsid w:val="007B0EA8"/>
    <w:rsid w:val="007B1AA1"/>
    <w:rsid w:val="007B315F"/>
    <w:rsid w:val="007B3AAC"/>
    <w:rsid w:val="007B4407"/>
    <w:rsid w:val="007B4FEE"/>
    <w:rsid w:val="007B7BDD"/>
    <w:rsid w:val="007C09DD"/>
    <w:rsid w:val="007C65CF"/>
    <w:rsid w:val="007C6D1C"/>
    <w:rsid w:val="007C6F2D"/>
    <w:rsid w:val="007C7375"/>
    <w:rsid w:val="007C7614"/>
    <w:rsid w:val="007D12EE"/>
    <w:rsid w:val="007D15C0"/>
    <w:rsid w:val="007D1B20"/>
    <w:rsid w:val="007D4973"/>
    <w:rsid w:val="007D5E09"/>
    <w:rsid w:val="007D5E78"/>
    <w:rsid w:val="007D6312"/>
    <w:rsid w:val="007D7031"/>
    <w:rsid w:val="007D7C0B"/>
    <w:rsid w:val="007D7D86"/>
    <w:rsid w:val="007E00B8"/>
    <w:rsid w:val="007E04A2"/>
    <w:rsid w:val="007E08AB"/>
    <w:rsid w:val="007E16D0"/>
    <w:rsid w:val="007E2046"/>
    <w:rsid w:val="007E38A5"/>
    <w:rsid w:val="007E3CCA"/>
    <w:rsid w:val="007E3EFD"/>
    <w:rsid w:val="007E42AC"/>
    <w:rsid w:val="007E6036"/>
    <w:rsid w:val="007E6235"/>
    <w:rsid w:val="007E65F5"/>
    <w:rsid w:val="007F0380"/>
    <w:rsid w:val="007F0CC7"/>
    <w:rsid w:val="007F13C4"/>
    <w:rsid w:val="007F194E"/>
    <w:rsid w:val="007F1A2A"/>
    <w:rsid w:val="007F2941"/>
    <w:rsid w:val="007F712B"/>
    <w:rsid w:val="007F7516"/>
    <w:rsid w:val="007F75D3"/>
    <w:rsid w:val="007F777C"/>
    <w:rsid w:val="0080065B"/>
    <w:rsid w:val="008006BA"/>
    <w:rsid w:val="008008D1"/>
    <w:rsid w:val="00802621"/>
    <w:rsid w:val="0080286A"/>
    <w:rsid w:val="008028CA"/>
    <w:rsid w:val="00803B89"/>
    <w:rsid w:val="0080546F"/>
    <w:rsid w:val="00805520"/>
    <w:rsid w:val="008055F8"/>
    <w:rsid w:val="008057E6"/>
    <w:rsid w:val="00805AEB"/>
    <w:rsid w:val="008063A9"/>
    <w:rsid w:val="00807273"/>
    <w:rsid w:val="0081090D"/>
    <w:rsid w:val="00810F3D"/>
    <w:rsid w:val="008110EA"/>
    <w:rsid w:val="00811315"/>
    <w:rsid w:val="00813CAA"/>
    <w:rsid w:val="0081518B"/>
    <w:rsid w:val="0081546E"/>
    <w:rsid w:val="008174F6"/>
    <w:rsid w:val="00817A47"/>
    <w:rsid w:val="00817A6A"/>
    <w:rsid w:val="00817C4C"/>
    <w:rsid w:val="008208B7"/>
    <w:rsid w:val="00820F49"/>
    <w:rsid w:val="008233B0"/>
    <w:rsid w:val="0082355B"/>
    <w:rsid w:val="0082369D"/>
    <w:rsid w:val="00823F43"/>
    <w:rsid w:val="008240FF"/>
    <w:rsid w:val="00825648"/>
    <w:rsid w:val="008259AD"/>
    <w:rsid w:val="0082647C"/>
    <w:rsid w:val="008269AF"/>
    <w:rsid w:val="00826F0A"/>
    <w:rsid w:val="00826F50"/>
    <w:rsid w:val="008272AE"/>
    <w:rsid w:val="008274C5"/>
    <w:rsid w:val="0083151C"/>
    <w:rsid w:val="00831A0A"/>
    <w:rsid w:val="00832101"/>
    <w:rsid w:val="00832C95"/>
    <w:rsid w:val="00832CAA"/>
    <w:rsid w:val="00832DC3"/>
    <w:rsid w:val="008338C6"/>
    <w:rsid w:val="00835C84"/>
    <w:rsid w:val="00836BF4"/>
    <w:rsid w:val="00837541"/>
    <w:rsid w:val="00840F47"/>
    <w:rsid w:val="00840F54"/>
    <w:rsid w:val="00841287"/>
    <w:rsid w:val="008412F1"/>
    <w:rsid w:val="00841BFA"/>
    <w:rsid w:val="00841DEE"/>
    <w:rsid w:val="00842797"/>
    <w:rsid w:val="008429E5"/>
    <w:rsid w:val="008451D1"/>
    <w:rsid w:val="00845969"/>
    <w:rsid w:val="00847122"/>
    <w:rsid w:val="00847EBC"/>
    <w:rsid w:val="0085006F"/>
    <w:rsid w:val="008503F0"/>
    <w:rsid w:val="00850AE5"/>
    <w:rsid w:val="00850C5D"/>
    <w:rsid w:val="008515B0"/>
    <w:rsid w:val="008535DE"/>
    <w:rsid w:val="00854FB5"/>
    <w:rsid w:val="00855182"/>
    <w:rsid w:val="008564D6"/>
    <w:rsid w:val="00856873"/>
    <w:rsid w:val="008568B8"/>
    <w:rsid w:val="00856C84"/>
    <w:rsid w:val="008578D1"/>
    <w:rsid w:val="00860088"/>
    <w:rsid w:val="008609B3"/>
    <w:rsid w:val="0086185D"/>
    <w:rsid w:val="00861B19"/>
    <w:rsid w:val="008620BF"/>
    <w:rsid w:val="0086353F"/>
    <w:rsid w:val="00863946"/>
    <w:rsid w:val="0086611B"/>
    <w:rsid w:val="00866B2F"/>
    <w:rsid w:val="00867EF9"/>
    <w:rsid w:val="0087267D"/>
    <w:rsid w:val="008729B5"/>
    <w:rsid w:val="00872BC8"/>
    <w:rsid w:val="008735F6"/>
    <w:rsid w:val="00874282"/>
    <w:rsid w:val="00874369"/>
    <w:rsid w:val="00875178"/>
    <w:rsid w:val="00875B8A"/>
    <w:rsid w:val="00876700"/>
    <w:rsid w:val="00876BAA"/>
    <w:rsid w:val="0087750B"/>
    <w:rsid w:val="00877744"/>
    <w:rsid w:val="00881106"/>
    <w:rsid w:val="00881BD6"/>
    <w:rsid w:val="00881C1C"/>
    <w:rsid w:val="00881F4D"/>
    <w:rsid w:val="008829D0"/>
    <w:rsid w:val="00882CE1"/>
    <w:rsid w:val="0088317C"/>
    <w:rsid w:val="008833DC"/>
    <w:rsid w:val="00883EE1"/>
    <w:rsid w:val="008841B0"/>
    <w:rsid w:val="00885150"/>
    <w:rsid w:val="00885809"/>
    <w:rsid w:val="008868E0"/>
    <w:rsid w:val="00886CB0"/>
    <w:rsid w:val="00887F54"/>
    <w:rsid w:val="00890653"/>
    <w:rsid w:val="00890866"/>
    <w:rsid w:val="00890F2D"/>
    <w:rsid w:val="008932BB"/>
    <w:rsid w:val="00893B58"/>
    <w:rsid w:val="00893E46"/>
    <w:rsid w:val="0089465B"/>
    <w:rsid w:val="00895006"/>
    <w:rsid w:val="00895030"/>
    <w:rsid w:val="0089642D"/>
    <w:rsid w:val="00897C02"/>
    <w:rsid w:val="00897D77"/>
    <w:rsid w:val="00897DC8"/>
    <w:rsid w:val="008A1989"/>
    <w:rsid w:val="008A1F4D"/>
    <w:rsid w:val="008A25C6"/>
    <w:rsid w:val="008A3D49"/>
    <w:rsid w:val="008A5A4F"/>
    <w:rsid w:val="008A668B"/>
    <w:rsid w:val="008A67FF"/>
    <w:rsid w:val="008A7D62"/>
    <w:rsid w:val="008B0B9E"/>
    <w:rsid w:val="008B104E"/>
    <w:rsid w:val="008B3B79"/>
    <w:rsid w:val="008B4FA8"/>
    <w:rsid w:val="008B4FB0"/>
    <w:rsid w:val="008B526E"/>
    <w:rsid w:val="008B5EA3"/>
    <w:rsid w:val="008B6083"/>
    <w:rsid w:val="008B61F2"/>
    <w:rsid w:val="008B681D"/>
    <w:rsid w:val="008B73EC"/>
    <w:rsid w:val="008B7462"/>
    <w:rsid w:val="008B7C84"/>
    <w:rsid w:val="008C116C"/>
    <w:rsid w:val="008C2249"/>
    <w:rsid w:val="008C2288"/>
    <w:rsid w:val="008C2602"/>
    <w:rsid w:val="008C3E24"/>
    <w:rsid w:val="008C4F27"/>
    <w:rsid w:val="008C6145"/>
    <w:rsid w:val="008C6487"/>
    <w:rsid w:val="008C6B67"/>
    <w:rsid w:val="008C7439"/>
    <w:rsid w:val="008D0685"/>
    <w:rsid w:val="008D1951"/>
    <w:rsid w:val="008D1DDB"/>
    <w:rsid w:val="008D1ECF"/>
    <w:rsid w:val="008D1F5D"/>
    <w:rsid w:val="008D27F8"/>
    <w:rsid w:val="008D2E53"/>
    <w:rsid w:val="008D3A09"/>
    <w:rsid w:val="008D46B2"/>
    <w:rsid w:val="008D4725"/>
    <w:rsid w:val="008D4A41"/>
    <w:rsid w:val="008D4B07"/>
    <w:rsid w:val="008D4E56"/>
    <w:rsid w:val="008D4FE8"/>
    <w:rsid w:val="008D5B59"/>
    <w:rsid w:val="008D5DA6"/>
    <w:rsid w:val="008D61FF"/>
    <w:rsid w:val="008D6B65"/>
    <w:rsid w:val="008E0BDA"/>
    <w:rsid w:val="008E1400"/>
    <w:rsid w:val="008E259B"/>
    <w:rsid w:val="008E27B6"/>
    <w:rsid w:val="008E4CFA"/>
    <w:rsid w:val="008E4D04"/>
    <w:rsid w:val="008E4E31"/>
    <w:rsid w:val="008E4F05"/>
    <w:rsid w:val="008F03FE"/>
    <w:rsid w:val="008F0971"/>
    <w:rsid w:val="008F09A3"/>
    <w:rsid w:val="008F0F61"/>
    <w:rsid w:val="008F2189"/>
    <w:rsid w:val="008F28CD"/>
    <w:rsid w:val="008F2E1C"/>
    <w:rsid w:val="008F3372"/>
    <w:rsid w:val="008F3619"/>
    <w:rsid w:val="008F3750"/>
    <w:rsid w:val="008F4093"/>
    <w:rsid w:val="008F4742"/>
    <w:rsid w:val="008F5022"/>
    <w:rsid w:val="008F55F3"/>
    <w:rsid w:val="008F5AC4"/>
    <w:rsid w:val="008F67F5"/>
    <w:rsid w:val="008F77E4"/>
    <w:rsid w:val="00900C52"/>
    <w:rsid w:val="0090240E"/>
    <w:rsid w:val="009039F5"/>
    <w:rsid w:val="00903E9B"/>
    <w:rsid w:val="00904661"/>
    <w:rsid w:val="009052E7"/>
    <w:rsid w:val="00906514"/>
    <w:rsid w:val="009070F5"/>
    <w:rsid w:val="0091210E"/>
    <w:rsid w:val="00912423"/>
    <w:rsid w:val="009137E3"/>
    <w:rsid w:val="00914A62"/>
    <w:rsid w:val="00915644"/>
    <w:rsid w:val="00915DAD"/>
    <w:rsid w:val="00916DBE"/>
    <w:rsid w:val="00916E7A"/>
    <w:rsid w:val="00917C8D"/>
    <w:rsid w:val="00917ECB"/>
    <w:rsid w:val="00917EDC"/>
    <w:rsid w:val="00917F97"/>
    <w:rsid w:val="00921365"/>
    <w:rsid w:val="00921942"/>
    <w:rsid w:val="00923094"/>
    <w:rsid w:val="009235FD"/>
    <w:rsid w:val="00923829"/>
    <w:rsid w:val="00924BE3"/>
    <w:rsid w:val="0092504F"/>
    <w:rsid w:val="009252A4"/>
    <w:rsid w:val="00926808"/>
    <w:rsid w:val="00927820"/>
    <w:rsid w:val="009300D4"/>
    <w:rsid w:val="009301C2"/>
    <w:rsid w:val="00931CE7"/>
    <w:rsid w:val="0093309C"/>
    <w:rsid w:val="0093425D"/>
    <w:rsid w:val="00935433"/>
    <w:rsid w:val="00935764"/>
    <w:rsid w:val="00936080"/>
    <w:rsid w:val="0093608A"/>
    <w:rsid w:val="009366BF"/>
    <w:rsid w:val="00937B55"/>
    <w:rsid w:val="00940098"/>
    <w:rsid w:val="009401BB"/>
    <w:rsid w:val="00940663"/>
    <w:rsid w:val="00940A3B"/>
    <w:rsid w:val="00942764"/>
    <w:rsid w:val="0094460E"/>
    <w:rsid w:val="009447C9"/>
    <w:rsid w:val="00944C03"/>
    <w:rsid w:val="00945119"/>
    <w:rsid w:val="00945BA1"/>
    <w:rsid w:val="00946125"/>
    <w:rsid w:val="00946D80"/>
    <w:rsid w:val="0094758A"/>
    <w:rsid w:val="00947AD1"/>
    <w:rsid w:val="009504E1"/>
    <w:rsid w:val="00950971"/>
    <w:rsid w:val="00950DFE"/>
    <w:rsid w:val="0095116A"/>
    <w:rsid w:val="00951561"/>
    <w:rsid w:val="00951E61"/>
    <w:rsid w:val="00953074"/>
    <w:rsid w:val="009533D6"/>
    <w:rsid w:val="00953793"/>
    <w:rsid w:val="009543F5"/>
    <w:rsid w:val="009547E5"/>
    <w:rsid w:val="00954C14"/>
    <w:rsid w:val="009554DA"/>
    <w:rsid w:val="00955A94"/>
    <w:rsid w:val="00956BD1"/>
    <w:rsid w:val="0095700B"/>
    <w:rsid w:val="00957446"/>
    <w:rsid w:val="009575EC"/>
    <w:rsid w:val="00960F04"/>
    <w:rsid w:val="00961B61"/>
    <w:rsid w:val="00961E3A"/>
    <w:rsid w:val="00963582"/>
    <w:rsid w:val="009635EF"/>
    <w:rsid w:val="00963F79"/>
    <w:rsid w:val="009656C0"/>
    <w:rsid w:val="009667DC"/>
    <w:rsid w:val="0096757F"/>
    <w:rsid w:val="009709FA"/>
    <w:rsid w:val="0097315B"/>
    <w:rsid w:val="00973B15"/>
    <w:rsid w:val="00973C7C"/>
    <w:rsid w:val="0097404C"/>
    <w:rsid w:val="009742BC"/>
    <w:rsid w:val="009749EF"/>
    <w:rsid w:val="00974DD8"/>
    <w:rsid w:val="00974FA6"/>
    <w:rsid w:val="009760F0"/>
    <w:rsid w:val="00976FE1"/>
    <w:rsid w:val="00977B45"/>
    <w:rsid w:val="009828CA"/>
    <w:rsid w:val="00984954"/>
    <w:rsid w:val="0098523B"/>
    <w:rsid w:val="009861EC"/>
    <w:rsid w:val="009866CC"/>
    <w:rsid w:val="009868AA"/>
    <w:rsid w:val="009879C6"/>
    <w:rsid w:val="00987D51"/>
    <w:rsid w:val="00987F9C"/>
    <w:rsid w:val="0099012D"/>
    <w:rsid w:val="009914A0"/>
    <w:rsid w:val="00991D1A"/>
    <w:rsid w:val="00991E19"/>
    <w:rsid w:val="00993695"/>
    <w:rsid w:val="009947A8"/>
    <w:rsid w:val="0099521E"/>
    <w:rsid w:val="009960E2"/>
    <w:rsid w:val="00996598"/>
    <w:rsid w:val="009971BD"/>
    <w:rsid w:val="00997A23"/>
    <w:rsid w:val="00997D41"/>
    <w:rsid w:val="009A24B7"/>
    <w:rsid w:val="009A3B62"/>
    <w:rsid w:val="009A4933"/>
    <w:rsid w:val="009A5B19"/>
    <w:rsid w:val="009A6904"/>
    <w:rsid w:val="009A69F0"/>
    <w:rsid w:val="009A6A4C"/>
    <w:rsid w:val="009A6FDF"/>
    <w:rsid w:val="009A7149"/>
    <w:rsid w:val="009A75A6"/>
    <w:rsid w:val="009A7CAD"/>
    <w:rsid w:val="009B1D55"/>
    <w:rsid w:val="009B2F60"/>
    <w:rsid w:val="009B3448"/>
    <w:rsid w:val="009B422F"/>
    <w:rsid w:val="009B4524"/>
    <w:rsid w:val="009B4FF2"/>
    <w:rsid w:val="009B5C1C"/>
    <w:rsid w:val="009B6884"/>
    <w:rsid w:val="009B6A55"/>
    <w:rsid w:val="009B74FA"/>
    <w:rsid w:val="009B7763"/>
    <w:rsid w:val="009B7FAD"/>
    <w:rsid w:val="009C0432"/>
    <w:rsid w:val="009C187E"/>
    <w:rsid w:val="009C1DC6"/>
    <w:rsid w:val="009C1EA5"/>
    <w:rsid w:val="009C210A"/>
    <w:rsid w:val="009C25FD"/>
    <w:rsid w:val="009C309F"/>
    <w:rsid w:val="009C30FD"/>
    <w:rsid w:val="009C39BD"/>
    <w:rsid w:val="009C39EB"/>
    <w:rsid w:val="009C3B91"/>
    <w:rsid w:val="009C3E30"/>
    <w:rsid w:val="009C473C"/>
    <w:rsid w:val="009C4D60"/>
    <w:rsid w:val="009C636D"/>
    <w:rsid w:val="009C659C"/>
    <w:rsid w:val="009C66E2"/>
    <w:rsid w:val="009C6CDC"/>
    <w:rsid w:val="009C72F2"/>
    <w:rsid w:val="009D0523"/>
    <w:rsid w:val="009D06DB"/>
    <w:rsid w:val="009D1323"/>
    <w:rsid w:val="009D1E95"/>
    <w:rsid w:val="009D2673"/>
    <w:rsid w:val="009D3A38"/>
    <w:rsid w:val="009D5732"/>
    <w:rsid w:val="009D5783"/>
    <w:rsid w:val="009D6B76"/>
    <w:rsid w:val="009D6D28"/>
    <w:rsid w:val="009D7D87"/>
    <w:rsid w:val="009E01B6"/>
    <w:rsid w:val="009E0F48"/>
    <w:rsid w:val="009E0FE0"/>
    <w:rsid w:val="009E16E5"/>
    <w:rsid w:val="009E1848"/>
    <w:rsid w:val="009E217D"/>
    <w:rsid w:val="009E29F9"/>
    <w:rsid w:val="009E3415"/>
    <w:rsid w:val="009E410B"/>
    <w:rsid w:val="009E4183"/>
    <w:rsid w:val="009E42B5"/>
    <w:rsid w:val="009E5690"/>
    <w:rsid w:val="009E5DBE"/>
    <w:rsid w:val="009E6130"/>
    <w:rsid w:val="009E68FF"/>
    <w:rsid w:val="009E691C"/>
    <w:rsid w:val="009E7442"/>
    <w:rsid w:val="009E7D1B"/>
    <w:rsid w:val="009F02A0"/>
    <w:rsid w:val="009F17CF"/>
    <w:rsid w:val="009F1EA1"/>
    <w:rsid w:val="009F204F"/>
    <w:rsid w:val="009F23C0"/>
    <w:rsid w:val="009F2590"/>
    <w:rsid w:val="009F2BC7"/>
    <w:rsid w:val="009F2D18"/>
    <w:rsid w:val="009F37E5"/>
    <w:rsid w:val="009F58A4"/>
    <w:rsid w:val="009F5FB3"/>
    <w:rsid w:val="009F60B1"/>
    <w:rsid w:val="009F69C2"/>
    <w:rsid w:val="009F7033"/>
    <w:rsid w:val="009F7389"/>
    <w:rsid w:val="009F78F1"/>
    <w:rsid w:val="009F79A5"/>
    <w:rsid w:val="00A001BA"/>
    <w:rsid w:val="00A001C7"/>
    <w:rsid w:val="00A00798"/>
    <w:rsid w:val="00A00C9F"/>
    <w:rsid w:val="00A01550"/>
    <w:rsid w:val="00A015E5"/>
    <w:rsid w:val="00A01741"/>
    <w:rsid w:val="00A01F8C"/>
    <w:rsid w:val="00A0206E"/>
    <w:rsid w:val="00A02B3E"/>
    <w:rsid w:val="00A03095"/>
    <w:rsid w:val="00A03212"/>
    <w:rsid w:val="00A03371"/>
    <w:rsid w:val="00A03C28"/>
    <w:rsid w:val="00A05049"/>
    <w:rsid w:val="00A05086"/>
    <w:rsid w:val="00A0545F"/>
    <w:rsid w:val="00A05E17"/>
    <w:rsid w:val="00A0712A"/>
    <w:rsid w:val="00A07FE5"/>
    <w:rsid w:val="00A10E5A"/>
    <w:rsid w:val="00A1204B"/>
    <w:rsid w:val="00A13119"/>
    <w:rsid w:val="00A14E4A"/>
    <w:rsid w:val="00A15233"/>
    <w:rsid w:val="00A155CD"/>
    <w:rsid w:val="00A15A6F"/>
    <w:rsid w:val="00A15B28"/>
    <w:rsid w:val="00A15F2C"/>
    <w:rsid w:val="00A17C92"/>
    <w:rsid w:val="00A2218D"/>
    <w:rsid w:val="00A22938"/>
    <w:rsid w:val="00A2331B"/>
    <w:rsid w:val="00A23BE8"/>
    <w:rsid w:val="00A23E11"/>
    <w:rsid w:val="00A24347"/>
    <w:rsid w:val="00A24350"/>
    <w:rsid w:val="00A25395"/>
    <w:rsid w:val="00A25D11"/>
    <w:rsid w:val="00A2689D"/>
    <w:rsid w:val="00A26B21"/>
    <w:rsid w:val="00A27C09"/>
    <w:rsid w:val="00A30089"/>
    <w:rsid w:val="00A321F5"/>
    <w:rsid w:val="00A32C6A"/>
    <w:rsid w:val="00A32EFE"/>
    <w:rsid w:val="00A33612"/>
    <w:rsid w:val="00A3389D"/>
    <w:rsid w:val="00A33F1D"/>
    <w:rsid w:val="00A3688D"/>
    <w:rsid w:val="00A3749F"/>
    <w:rsid w:val="00A374F9"/>
    <w:rsid w:val="00A379F1"/>
    <w:rsid w:val="00A40353"/>
    <w:rsid w:val="00A411DA"/>
    <w:rsid w:val="00A422AF"/>
    <w:rsid w:val="00A426CF"/>
    <w:rsid w:val="00A42B49"/>
    <w:rsid w:val="00A43EC9"/>
    <w:rsid w:val="00A441D1"/>
    <w:rsid w:val="00A44A86"/>
    <w:rsid w:val="00A45991"/>
    <w:rsid w:val="00A45C3D"/>
    <w:rsid w:val="00A45C92"/>
    <w:rsid w:val="00A46075"/>
    <w:rsid w:val="00A46192"/>
    <w:rsid w:val="00A46C7E"/>
    <w:rsid w:val="00A500A6"/>
    <w:rsid w:val="00A501CC"/>
    <w:rsid w:val="00A503BF"/>
    <w:rsid w:val="00A52302"/>
    <w:rsid w:val="00A527F7"/>
    <w:rsid w:val="00A528A2"/>
    <w:rsid w:val="00A52A79"/>
    <w:rsid w:val="00A52AFD"/>
    <w:rsid w:val="00A530CD"/>
    <w:rsid w:val="00A54C94"/>
    <w:rsid w:val="00A568B1"/>
    <w:rsid w:val="00A56D66"/>
    <w:rsid w:val="00A56FB2"/>
    <w:rsid w:val="00A5742D"/>
    <w:rsid w:val="00A61083"/>
    <w:rsid w:val="00A612B5"/>
    <w:rsid w:val="00A625B5"/>
    <w:rsid w:val="00A63358"/>
    <w:rsid w:val="00A63B5D"/>
    <w:rsid w:val="00A63E1B"/>
    <w:rsid w:val="00A64544"/>
    <w:rsid w:val="00A646CC"/>
    <w:rsid w:val="00A64DE3"/>
    <w:rsid w:val="00A64FBB"/>
    <w:rsid w:val="00A65155"/>
    <w:rsid w:val="00A6525D"/>
    <w:rsid w:val="00A65958"/>
    <w:rsid w:val="00A66390"/>
    <w:rsid w:val="00A67E97"/>
    <w:rsid w:val="00A67FEA"/>
    <w:rsid w:val="00A700FE"/>
    <w:rsid w:val="00A7049C"/>
    <w:rsid w:val="00A70ECE"/>
    <w:rsid w:val="00A7166B"/>
    <w:rsid w:val="00A71905"/>
    <w:rsid w:val="00A71A91"/>
    <w:rsid w:val="00A73681"/>
    <w:rsid w:val="00A73B81"/>
    <w:rsid w:val="00A74A1E"/>
    <w:rsid w:val="00A7507E"/>
    <w:rsid w:val="00A76128"/>
    <w:rsid w:val="00A77D7A"/>
    <w:rsid w:val="00A77FB2"/>
    <w:rsid w:val="00A83C33"/>
    <w:rsid w:val="00A8463B"/>
    <w:rsid w:val="00A84879"/>
    <w:rsid w:val="00A84D04"/>
    <w:rsid w:val="00A86379"/>
    <w:rsid w:val="00A8740B"/>
    <w:rsid w:val="00A87C5A"/>
    <w:rsid w:val="00A90D4B"/>
    <w:rsid w:val="00A91099"/>
    <w:rsid w:val="00A9133A"/>
    <w:rsid w:val="00A917D5"/>
    <w:rsid w:val="00A91D0C"/>
    <w:rsid w:val="00A927E2"/>
    <w:rsid w:val="00A92E94"/>
    <w:rsid w:val="00A94AAA"/>
    <w:rsid w:val="00A955B9"/>
    <w:rsid w:val="00A95F9C"/>
    <w:rsid w:val="00A96C61"/>
    <w:rsid w:val="00AA07E5"/>
    <w:rsid w:val="00AA258B"/>
    <w:rsid w:val="00AA37BC"/>
    <w:rsid w:val="00AA51F1"/>
    <w:rsid w:val="00AA64D0"/>
    <w:rsid w:val="00AA71B0"/>
    <w:rsid w:val="00AA7485"/>
    <w:rsid w:val="00AA785F"/>
    <w:rsid w:val="00AA7D92"/>
    <w:rsid w:val="00AB1855"/>
    <w:rsid w:val="00AB21AA"/>
    <w:rsid w:val="00AB25EA"/>
    <w:rsid w:val="00AB278B"/>
    <w:rsid w:val="00AB28E0"/>
    <w:rsid w:val="00AB3F23"/>
    <w:rsid w:val="00AB46B7"/>
    <w:rsid w:val="00AB4844"/>
    <w:rsid w:val="00AB4C03"/>
    <w:rsid w:val="00AB4D42"/>
    <w:rsid w:val="00AB7679"/>
    <w:rsid w:val="00AC0077"/>
    <w:rsid w:val="00AC0A27"/>
    <w:rsid w:val="00AC0CC0"/>
    <w:rsid w:val="00AC0EE4"/>
    <w:rsid w:val="00AC2348"/>
    <w:rsid w:val="00AC2CAD"/>
    <w:rsid w:val="00AC34F6"/>
    <w:rsid w:val="00AC41E3"/>
    <w:rsid w:val="00AC505D"/>
    <w:rsid w:val="00AC55CE"/>
    <w:rsid w:val="00AC6330"/>
    <w:rsid w:val="00AC7816"/>
    <w:rsid w:val="00AC78AA"/>
    <w:rsid w:val="00AD0224"/>
    <w:rsid w:val="00AD0CE4"/>
    <w:rsid w:val="00AD158A"/>
    <w:rsid w:val="00AD19C2"/>
    <w:rsid w:val="00AD25D8"/>
    <w:rsid w:val="00AD5F41"/>
    <w:rsid w:val="00AD6772"/>
    <w:rsid w:val="00AD6E41"/>
    <w:rsid w:val="00AD7D8E"/>
    <w:rsid w:val="00AE0DB2"/>
    <w:rsid w:val="00AE100E"/>
    <w:rsid w:val="00AE1BEF"/>
    <w:rsid w:val="00AE1DE1"/>
    <w:rsid w:val="00AE208F"/>
    <w:rsid w:val="00AE3154"/>
    <w:rsid w:val="00AE3349"/>
    <w:rsid w:val="00AE3C44"/>
    <w:rsid w:val="00AE3DFB"/>
    <w:rsid w:val="00AE46E9"/>
    <w:rsid w:val="00AE4C6A"/>
    <w:rsid w:val="00AF038F"/>
    <w:rsid w:val="00AF0526"/>
    <w:rsid w:val="00AF13DB"/>
    <w:rsid w:val="00AF1D6E"/>
    <w:rsid w:val="00AF1EEF"/>
    <w:rsid w:val="00AF28A6"/>
    <w:rsid w:val="00AF2F00"/>
    <w:rsid w:val="00AF370E"/>
    <w:rsid w:val="00AF460E"/>
    <w:rsid w:val="00AF4C6C"/>
    <w:rsid w:val="00AF4DAF"/>
    <w:rsid w:val="00AF6EB9"/>
    <w:rsid w:val="00AF7B5F"/>
    <w:rsid w:val="00B00C3B"/>
    <w:rsid w:val="00B0114B"/>
    <w:rsid w:val="00B0213C"/>
    <w:rsid w:val="00B0245B"/>
    <w:rsid w:val="00B0306F"/>
    <w:rsid w:val="00B0369C"/>
    <w:rsid w:val="00B0438B"/>
    <w:rsid w:val="00B05E8A"/>
    <w:rsid w:val="00B0602D"/>
    <w:rsid w:val="00B07A74"/>
    <w:rsid w:val="00B07C27"/>
    <w:rsid w:val="00B07D95"/>
    <w:rsid w:val="00B10113"/>
    <w:rsid w:val="00B1026D"/>
    <w:rsid w:val="00B11B73"/>
    <w:rsid w:val="00B121E3"/>
    <w:rsid w:val="00B124FA"/>
    <w:rsid w:val="00B126FB"/>
    <w:rsid w:val="00B13575"/>
    <w:rsid w:val="00B13E10"/>
    <w:rsid w:val="00B14DDE"/>
    <w:rsid w:val="00B15477"/>
    <w:rsid w:val="00B15516"/>
    <w:rsid w:val="00B16326"/>
    <w:rsid w:val="00B16A54"/>
    <w:rsid w:val="00B16F86"/>
    <w:rsid w:val="00B201A1"/>
    <w:rsid w:val="00B20783"/>
    <w:rsid w:val="00B21590"/>
    <w:rsid w:val="00B217A5"/>
    <w:rsid w:val="00B231AD"/>
    <w:rsid w:val="00B2365E"/>
    <w:rsid w:val="00B2367E"/>
    <w:rsid w:val="00B237B5"/>
    <w:rsid w:val="00B24909"/>
    <w:rsid w:val="00B27CBF"/>
    <w:rsid w:val="00B30C66"/>
    <w:rsid w:val="00B31763"/>
    <w:rsid w:val="00B32074"/>
    <w:rsid w:val="00B3291A"/>
    <w:rsid w:val="00B34045"/>
    <w:rsid w:val="00B343CA"/>
    <w:rsid w:val="00B34A07"/>
    <w:rsid w:val="00B34FC9"/>
    <w:rsid w:val="00B35D20"/>
    <w:rsid w:val="00B36CE6"/>
    <w:rsid w:val="00B36D67"/>
    <w:rsid w:val="00B3738B"/>
    <w:rsid w:val="00B3751A"/>
    <w:rsid w:val="00B375E5"/>
    <w:rsid w:val="00B40251"/>
    <w:rsid w:val="00B40432"/>
    <w:rsid w:val="00B413F5"/>
    <w:rsid w:val="00B41E53"/>
    <w:rsid w:val="00B42D88"/>
    <w:rsid w:val="00B42E64"/>
    <w:rsid w:val="00B433CF"/>
    <w:rsid w:val="00B438A3"/>
    <w:rsid w:val="00B44DF8"/>
    <w:rsid w:val="00B44F7B"/>
    <w:rsid w:val="00B45D7F"/>
    <w:rsid w:val="00B476F2"/>
    <w:rsid w:val="00B50AA9"/>
    <w:rsid w:val="00B50D04"/>
    <w:rsid w:val="00B51403"/>
    <w:rsid w:val="00B51675"/>
    <w:rsid w:val="00B51CF2"/>
    <w:rsid w:val="00B51DF8"/>
    <w:rsid w:val="00B522BA"/>
    <w:rsid w:val="00B52DBB"/>
    <w:rsid w:val="00B54F32"/>
    <w:rsid w:val="00B5752F"/>
    <w:rsid w:val="00B57A78"/>
    <w:rsid w:val="00B6022F"/>
    <w:rsid w:val="00B604CB"/>
    <w:rsid w:val="00B610EC"/>
    <w:rsid w:val="00B61B5A"/>
    <w:rsid w:val="00B63DCA"/>
    <w:rsid w:val="00B6445B"/>
    <w:rsid w:val="00B65255"/>
    <w:rsid w:val="00B65B0A"/>
    <w:rsid w:val="00B66649"/>
    <w:rsid w:val="00B66B28"/>
    <w:rsid w:val="00B67312"/>
    <w:rsid w:val="00B67641"/>
    <w:rsid w:val="00B67813"/>
    <w:rsid w:val="00B67BF2"/>
    <w:rsid w:val="00B67EB5"/>
    <w:rsid w:val="00B70979"/>
    <w:rsid w:val="00B70B08"/>
    <w:rsid w:val="00B70F34"/>
    <w:rsid w:val="00B712DC"/>
    <w:rsid w:val="00B71F5D"/>
    <w:rsid w:val="00B723EB"/>
    <w:rsid w:val="00B72B73"/>
    <w:rsid w:val="00B72E9A"/>
    <w:rsid w:val="00B7430A"/>
    <w:rsid w:val="00B74442"/>
    <w:rsid w:val="00B76076"/>
    <w:rsid w:val="00B762FC"/>
    <w:rsid w:val="00B766F7"/>
    <w:rsid w:val="00B76705"/>
    <w:rsid w:val="00B76E6A"/>
    <w:rsid w:val="00B77F31"/>
    <w:rsid w:val="00B8064E"/>
    <w:rsid w:val="00B80764"/>
    <w:rsid w:val="00B80788"/>
    <w:rsid w:val="00B80B54"/>
    <w:rsid w:val="00B81713"/>
    <w:rsid w:val="00B82EE0"/>
    <w:rsid w:val="00B83A03"/>
    <w:rsid w:val="00B84180"/>
    <w:rsid w:val="00B844BD"/>
    <w:rsid w:val="00B84959"/>
    <w:rsid w:val="00B84F40"/>
    <w:rsid w:val="00B857CA"/>
    <w:rsid w:val="00B85982"/>
    <w:rsid w:val="00B87135"/>
    <w:rsid w:val="00B87735"/>
    <w:rsid w:val="00B9061E"/>
    <w:rsid w:val="00B9127E"/>
    <w:rsid w:val="00B91328"/>
    <w:rsid w:val="00B92175"/>
    <w:rsid w:val="00B924F0"/>
    <w:rsid w:val="00B926DA"/>
    <w:rsid w:val="00B93F09"/>
    <w:rsid w:val="00B940DA"/>
    <w:rsid w:val="00B95257"/>
    <w:rsid w:val="00B9591C"/>
    <w:rsid w:val="00B96F46"/>
    <w:rsid w:val="00B974C7"/>
    <w:rsid w:val="00BA05AA"/>
    <w:rsid w:val="00BA0C1A"/>
    <w:rsid w:val="00BA31B0"/>
    <w:rsid w:val="00BA3262"/>
    <w:rsid w:val="00BA478A"/>
    <w:rsid w:val="00BA62DD"/>
    <w:rsid w:val="00BA6B5E"/>
    <w:rsid w:val="00BA7785"/>
    <w:rsid w:val="00BA7CD6"/>
    <w:rsid w:val="00BB04D0"/>
    <w:rsid w:val="00BB087B"/>
    <w:rsid w:val="00BB0F7C"/>
    <w:rsid w:val="00BB289D"/>
    <w:rsid w:val="00BB394D"/>
    <w:rsid w:val="00BB4E23"/>
    <w:rsid w:val="00BB5068"/>
    <w:rsid w:val="00BB625C"/>
    <w:rsid w:val="00BC05D4"/>
    <w:rsid w:val="00BC0904"/>
    <w:rsid w:val="00BC1EBA"/>
    <w:rsid w:val="00BC2241"/>
    <w:rsid w:val="00BC2440"/>
    <w:rsid w:val="00BC39A2"/>
    <w:rsid w:val="00BC3B9B"/>
    <w:rsid w:val="00BC40BA"/>
    <w:rsid w:val="00BC412E"/>
    <w:rsid w:val="00BC56E7"/>
    <w:rsid w:val="00BC72F4"/>
    <w:rsid w:val="00BD158D"/>
    <w:rsid w:val="00BD166C"/>
    <w:rsid w:val="00BD1765"/>
    <w:rsid w:val="00BD2EA1"/>
    <w:rsid w:val="00BD31F8"/>
    <w:rsid w:val="00BD3854"/>
    <w:rsid w:val="00BD4FAF"/>
    <w:rsid w:val="00BD6142"/>
    <w:rsid w:val="00BD7057"/>
    <w:rsid w:val="00BD771A"/>
    <w:rsid w:val="00BD7D60"/>
    <w:rsid w:val="00BE0215"/>
    <w:rsid w:val="00BE0CDF"/>
    <w:rsid w:val="00BE0EA3"/>
    <w:rsid w:val="00BE2597"/>
    <w:rsid w:val="00BE2D3E"/>
    <w:rsid w:val="00BE73BA"/>
    <w:rsid w:val="00BF06A4"/>
    <w:rsid w:val="00BF108B"/>
    <w:rsid w:val="00BF1491"/>
    <w:rsid w:val="00BF1923"/>
    <w:rsid w:val="00BF195E"/>
    <w:rsid w:val="00BF33B5"/>
    <w:rsid w:val="00BF4AD0"/>
    <w:rsid w:val="00BF7420"/>
    <w:rsid w:val="00C003CB"/>
    <w:rsid w:val="00C00493"/>
    <w:rsid w:val="00C005AE"/>
    <w:rsid w:val="00C0070E"/>
    <w:rsid w:val="00C007F7"/>
    <w:rsid w:val="00C0489D"/>
    <w:rsid w:val="00C04F52"/>
    <w:rsid w:val="00C050AA"/>
    <w:rsid w:val="00C05364"/>
    <w:rsid w:val="00C054E5"/>
    <w:rsid w:val="00C056A2"/>
    <w:rsid w:val="00C056CB"/>
    <w:rsid w:val="00C05DA9"/>
    <w:rsid w:val="00C06383"/>
    <w:rsid w:val="00C06A5C"/>
    <w:rsid w:val="00C119E6"/>
    <w:rsid w:val="00C12DD6"/>
    <w:rsid w:val="00C162C4"/>
    <w:rsid w:val="00C16EC7"/>
    <w:rsid w:val="00C17FE4"/>
    <w:rsid w:val="00C208C0"/>
    <w:rsid w:val="00C21AAD"/>
    <w:rsid w:val="00C2262E"/>
    <w:rsid w:val="00C238A8"/>
    <w:rsid w:val="00C23EA4"/>
    <w:rsid w:val="00C24B1F"/>
    <w:rsid w:val="00C2658E"/>
    <w:rsid w:val="00C3014C"/>
    <w:rsid w:val="00C32149"/>
    <w:rsid w:val="00C325FC"/>
    <w:rsid w:val="00C326AE"/>
    <w:rsid w:val="00C3373E"/>
    <w:rsid w:val="00C33A26"/>
    <w:rsid w:val="00C33A83"/>
    <w:rsid w:val="00C33BDE"/>
    <w:rsid w:val="00C347B5"/>
    <w:rsid w:val="00C351D0"/>
    <w:rsid w:val="00C36E29"/>
    <w:rsid w:val="00C36EE4"/>
    <w:rsid w:val="00C37145"/>
    <w:rsid w:val="00C40777"/>
    <w:rsid w:val="00C41645"/>
    <w:rsid w:val="00C4299F"/>
    <w:rsid w:val="00C43A60"/>
    <w:rsid w:val="00C43B0F"/>
    <w:rsid w:val="00C4445F"/>
    <w:rsid w:val="00C44A93"/>
    <w:rsid w:val="00C4589D"/>
    <w:rsid w:val="00C4598B"/>
    <w:rsid w:val="00C47246"/>
    <w:rsid w:val="00C476E0"/>
    <w:rsid w:val="00C50571"/>
    <w:rsid w:val="00C51D12"/>
    <w:rsid w:val="00C523EA"/>
    <w:rsid w:val="00C527E6"/>
    <w:rsid w:val="00C54023"/>
    <w:rsid w:val="00C55C83"/>
    <w:rsid w:val="00C56C70"/>
    <w:rsid w:val="00C56FF2"/>
    <w:rsid w:val="00C57069"/>
    <w:rsid w:val="00C57712"/>
    <w:rsid w:val="00C57913"/>
    <w:rsid w:val="00C5799E"/>
    <w:rsid w:val="00C57D0A"/>
    <w:rsid w:val="00C63832"/>
    <w:rsid w:val="00C648E0"/>
    <w:rsid w:val="00C65595"/>
    <w:rsid w:val="00C70012"/>
    <w:rsid w:val="00C70177"/>
    <w:rsid w:val="00C7053C"/>
    <w:rsid w:val="00C7083F"/>
    <w:rsid w:val="00C7104E"/>
    <w:rsid w:val="00C726CD"/>
    <w:rsid w:val="00C72C16"/>
    <w:rsid w:val="00C73580"/>
    <w:rsid w:val="00C74A1D"/>
    <w:rsid w:val="00C75801"/>
    <w:rsid w:val="00C75B7C"/>
    <w:rsid w:val="00C75BBD"/>
    <w:rsid w:val="00C76CC1"/>
    <w:rsid w:val="00C77E28"/>
    <w:rsid w:val="00C8039D"/>
    <w:rsid w:val="00C813A7"/>
    <w:rsid w:val="00C828F6"/>
    <w:rsid w:val="00C82B36"/>
    <w:rsid w:val="00C83035"/>
    <w:rsid w:val="00C83A6E"/>
    <w:rsid w:val="00C85406"/>
    <w:rsid w:val="00C8621D"/>
    <w:rsid w:val="00C86597"/>
    <w:rsid w:val="00C873C3"/>
    <w:rsid w:val="00C87D8D"/>
    <w:rsid w:val="00C91210"/>
    <w:rsid w:val="00C916CB"/>
    <w:rsid w:val="00C91823"/>
    <w:rsid w:val="00C92DE6"/>
    <w:rsid w:val="00C92FED"/>
    <w:rsid w:val="00C9326C"/>
    <w:rsid w:val="00C9502C"/>
    <w:rsid w:val="00C96205"/>
    <w:rsid w:val="00C967CA"/>
    <w:rsid w:val="00C96E50"/>
    <w:rsid w:val="00CA001F"/>
    <w:rsid w:val="00CA0F6C"/>
    <w:rsid w:val="00CA1216"/>
    <w:rsid w:val="00CA2909"/>
    <w:rsid w:val="00CA2ABF"/>
    <w:rsid w:val="00CA2DDF"/>
    <w:rsid w:val="00CA313B"/>
    <w:rsid w:val="00CA384F"/>
    <w:rsid w:val="00CA5003"/>
    <w:rsid w:val="00CA5C26"/>
    <w:rsid w:val="00CA6027"/>
    <w:rsid w:val="00CA6165"/>
    <w:rsid w:val="00CA693A"/>
    <w:rsid w:val="00CA6A59"/>
    <w:rsid w:val="00CA7886"/>
    <w:rsid w:val="00CB267B"/>
    <w:rsid w:val="00CB3998"/>
    <w:rsid w:val="00CB448F"/>
    <w:rsid w:val="00CB4D7B"/>
    <w:rsid w:val="00CB5386"/>
    <w:rsid w:val="00CB5559"/>
    <w:rsid w:val="00CC0E2B"/>
    <w:rsid w:val="00CC2136"/>
    <w:rsid w:val="00CC256E"/>
    <w:rsid w:val="00CC2CAB"/>
    <w:rsid w:val="00CC2F30"/>
    <w:rsid w:val="00CC38E3"/>
    <w:rsid w:val="00CC48EB"/>
    <w:rsid w:val="00CC4B47"/>
    <w:rsid w:val="00CC520B"/>
    <w:rsid w:val="00CC58D7"/>
    <w:rsid w:val="00CC5C76"/>
    <w:rsid w:val="00CC6410"/>
    <w:rsid w:val="00CC6865"/>
    <w:rsid w:val="00CC7BB6"/>
    <w:rsid w:val="00CD00E3"/>
    <w:rsid w:val="00CD083A"/>
    <w:rsid w:val="00CD1786"/>
    <w:rsid w:val="00CD2D36"/>
    <w:rsid w:val="00CD30B3"/>
    <w:rsid w:val="00CD3477"/>
    <w:rsid w:val="00CD3EEE"/>
    <w:rsid w:val="00CD488D"/>
    <w:rsid w:val="00CD595F"/>
    <w:rsid w:val="00CD5DA0"/>
    <w:rsid w:val="00CD5DD2"/>
    <w:rsid w:val="00CD6585"/>
    <w:rsid w:val="00CD68F9"/>
    <w:rsid w:val="00CD6A38"/>
    <w:rsid w:val="00CD6F9E"/>
    <w:rsid w:val="00CD7014"/>
    <w:rsid w:val="00CD76D2"/>
    <w:rsid w:val="00CE06C9"/>
    <w:rsid w:val="00CE2C82"/>
    <w:rsid w:val="00CE51A0"/>
    <w:rsid w:val="00CE626F"/>
    <w:rsid w:val="00CE69A5"/>
    <w:rsid w:val="00CF0D4F"/>
    <w:rsid w:val="00CF0D8C"/>
    <w:rsid w:val="00CF0FB2"/>
    <w:rsid w:val="00CF2354"/>
    <w:rsid w:val="00CF2E09"/>
    <w:rsid w:val="00CF30D8"/>
    <w:rsid w:val="00CF34D4"/>
    <w:rsid w:val="00CF357C"/>
    <w:rsid w:val="00CF4D53"/>
    <w:rsid w:val="00CF52CC"/>
    <w:rsid w:val="00CF6966"/>
    <w:rsid w:val="00CF6976"/>
    <w:rsid w:val="00CF7090"/>
    <w:rsid w:val="00CF798C"/>
    <w:rsid w:val="00D006FC"/>
    <w:rsid w:val="00D0076C"/>
    <w:rsid w:val="00D010F6"/>
    <w:rsid w:val="00D01A3C"/>
    <w:rsid w:val="00D01D0D"/>
    <w:rsid w:val="00D01D38"/>
    <w:rsid w:val="00D01EDB"/>
    <w:rsid w:val="00D01FAB"/>
    <w:rsid w:val="00D03244"/>
    <w:rsid w:val="00D03A33"/>
    <w:rsid w:val="00D04C35"/>
    <w:rsid w:val="00D056F4"/>
    <w:rsid w:val="00D0609A"/>
    <w:rsid w:val="00D06CD5"/>
    <w:rsid w:val="00D07367"/>
    <w:rsid w:val="00D078C6"/>
    <w:rsid w:val="00D07AF2"/>
    <w:rsid w:val="00D1050D"/>
    <w:rsid w:val="00D11204"/>
    <w:rsid w:val="00D12ADF"/>
    <w:rsid w:val="00D12B36"/>
    <w:rsid w:val="00D12CD4"/>
    <w:rsid w:val="00D13AB6"/>
    <w:rsid w:val="00D14C81"/>
    <w:rsid w:val="00D15415"/>
    <w:rsid w:val="00D1580C"/>
    <w:rsid w:val="00D15F7F"/>
    <w:rsid w:val="00D1663A"/>
    <w:rsid w:val="00D16DBB"/>
    <w:rsid w:val="00D1722D"/>
    <w:rsid w:val="00D206BC"/>
    <w:rsid w:val="00D2115A"/>
    <w:rsid w:val="00D218B9"/>
    <w:rsid w:val="00D22AD8"/>
    <w:rsid w:val="00D23360"/>
    <w:rsid w:val="00D253CE"/>
    <w:rsid w:val="00D2560F"/>
    <w:rsid w:val="00D2679B"/>
    <w:rsid w:val="00D30438"/>
    <w:rsid w:val="00D30A38"/>
    <w:rsid w:val="00D30E92"/>
    <w:rsid w:val="00D30F1D"/>
    <w:rsid w:val="00D3123D"/>
    <w:rsid w:val="00D32762"/>
    <w:rsid w:val="00D32ECA"/>
    <w:rsid w:val="00D347DB"/>
    <w:rsid w:val="00D34A94"/>
    <w:rsid w:val="00D34DCE"/>
    <w:rsid w:val="00D34F67"/>
    <w:rsid w:val="00D35098"/>
    <w:rsid w:val="00D35D6F"/>
    <w:rsid w:val="00D367B5"/>
    <w:rsid w:val="00D37E46"/>
    <w:rsid w:val="00D41334"/>
    <w:rsid w:val="00D41E31"/>
    <w:rsid w:val="00D41F43"/>
    <w:rsid w:val="00D42681"/>
    <w:rsid w:val="00D43764"/>
    <w:rsid w:val="00D437D7"/>
    <w:rsid w:val="00D4439E"/>
    <w:rsid w:val="00D44752"/>
    <w:rsid w:val="00D44930"/>
    <w:rsid w:val="00D45BAF"/>
    <w:rsid w:val="00D45F2A"/>
    <w:rsid w:val="00D50174"/>
    <w:rsid w:val="00D5121F"/>
    <w:rsid w:val="00D5131E"/>
    <w:rsid w:val="00D513E1"/>
    <w:rsid w:val="00D519D2"/>
    <w:rsid w:val="00D51FE6"/>
    <w:rsid w:val="00D5253B"/>
    <w:rsid w:val="00D52EB5"/>
    <w:rsid w:val="00D53B4E"/>
    <w:rsid w:val="00D53B84"/>
    <w:rsid w:val="00D53BE5"/>
    <w:rsid w:val="00D53F34"/>
    <w:rsid w:val="00D54985"/>
    <w:rsid w:val="00D54F3E"/>
    <w:rsid w:val="00D55A13"/>
    <w:rsid w:val="00D55F89"/>
    <w:rsid w:val="00D56EFB"/>
    <w:rsid w:val="00D601F5"/>
    <w:rsid w:val="00D611A6"/>
    <w:rsid w:val="00D613AD"/>
    <w:rsid w:val="00D620AE"/>
    <w:rsid w:val="00D624D4"/>
    <w:rsid w:val="00D64CF0"/>
    <w:rsid w:val="00D65264"/>
    <w:rsid w:val="00D65C05"/>
    <w:rsid w:val="00D65CF0"/>
    <w:rsid w:val="00D66B6D"/>
    <w:rsid w:val="00D676C5"/>
    <w:rsid w:val="00D67873"/>
    <w:rsid w:val="00D67EBF"/>
    <w:rsid w:val="00D707CD"/>
    <w:rsid w:val="00D70AF6"/>
    <w:rsid w:val="00D70FF9"/>
    <w:rsid w:val="00D71852"/>
    <w:rsid w:val="00D71A31"/>
    <w:rsid w:val="00D71AE9"/>
    <w:rsid w:val="00D71BBF"/>
    <w:rsid w:val="00D72D95"/>
    <w:rsid w:val="00D73954"/>
    <w:rsid w:val="00D74605"/>
    <w:rsid w:val="00D755C0"/>
    <w:rsid w:val="00D766DB"/>
    <w:rsid w:val="00D7677F"/>
    <w:rsid w:val="00D775BE"/>
    <w:rsid w:val="00D77D5B"/>
    <w:rsid w:val="00D81436"/>
    <w:rsid w:val="00D83548"/>
    <w:rsid w:val="00D84393"/>
    <w:rsid w:val="00D84418"/>
    <w:rsid w:val="00D84868"/>
    <w:rsid w:val="00D84AAE"/>
    <w:rsid w:val="00D84DA0"/>
    <w:rsid w:val="00D84F6A"/>
    <w:rsid w:val="00D8534F"/>
    <w:rsid w:val="00D8577D"/>
    <w:rsid w:val="00D85EDA"/>
    <w:rsid w:val="00D85F56"/>
    <w:rsid w:val="00D86837"/>
    <w:rsid w:val="00D869EB"/>
    <w:rsid w:val="00D87B20"/>
    <w:rsid w:val="00D90FD5"/>
    <w:rsid w:val="00D924A8"/>
    <w:rsid w:val="00D9288D"/>
    <w:rsid w:val="00D93345"/>
    <w:rsid w:val="00D933BB"/>
    <w:rsid w:val="00D93476"/>
    <w:rsid w:val="00D94555"/>
    <w:rsid w:val="00D947B0"/>
    <w:rsid w:val="00D94DE1"/>
    <w:rsid w:val="00D94E44"/>
    <w:rsid w:val="00D94E55"/>
    <w:rsid w:val="00D9505C"/>
    <w:rsid w:val="00D9537D"/>
    <w:rsid w:val="00D95A93"/>
    <w:rsid w:val="00D96258"/>
    <w:rsid w:val="00D9649E"/>
    <w:rsid w:val="00D96913"/>
    <w:rsid w:val="00D97B1E"/>
    <w:rsid w:val="00D97FE8"/>
    <w:rsid w:val="00DA046E"/>
    <w:rsid w:val="00DA04D0"/>
    <w:rsid w:val="00DA1543"/>
    <w:rsid w:val="00DA2E21"/>
    <w:rsid w:val="00DA3FDA"/>
    <w:rsid w:val="00DA4671"/>
    <w:rsid w:val="00DA6196"/>
    <w:rsid w:val="00DA6AD9"/>
    <w:rsid w:val="00DA7831"/>
    <w:rsid w:val="00DA7D21"/>
    <w:rsid w:val="00DB16AD"/>
    <w:rsid w:val="00DB16D5"/>
    <w:rsid w:val="00DB1A23"/>
    <w:rsid w:val="00DB1B75"/>
    <w:rsid w:val="00DB2638"/>
    <w:rsid w:val="00DB2B9A"/>
    <w:rsid w:val="00DB51F3"/>
    <w:rsid w:val="00DB6D06"/>
    <w:rsid w:val="00DC0E9F"/>
    <w:rsid w:val="00DC10F5"/>
    <w:rsid w:val="00DC3018"/>
    <w:rsid w:val="00DC353A"/>
    <w:rsid w:val="00DC3564"/>
    <w:rsid w:val="00DC4362"/>
    <w:rsid w:val="00DC498F"/>
    <w:rsid w:val="00DC5EFA"/>
    <w:rsid w:val="00DC5F66"/>
    <w:rsid w:val="00DC637E"/>
    <w:rsid w:val="00DD0D0D"/>
    <w:rsid w:val="00DD2175"/>
    <w:rsid w:val="00DD2763"/>
    <w:rsid w:val="00DD2CBF"/>
    <w:rsid w:val="00DD3F4A"/>
    <w:rsid w:val="00DD43BB"/>
    <w:rsid w:val="00DD4AAB"/>
    <w:rsid w:val="00DD50F8"/>
    <w:rsid w:val="00DD622E"/>
    <w:rsid w:val="00DD648A"/>
    <w:rsid w:val="00DD673B"/>
    <w:rsid w:val="00DD6F5B"/>
    <w:rsid w:val="00DD6F6E"/>
    <w:rsid w:val="00DD75FE"/>
    <w:rsid w:val="00DE00E5"/>
    <w:rsid w:val="00DE06F2"/>
    <w:rsid w:val="00DE1337"/>
    <w:rsid w:val="00DE40EE"/>
    <w:rsid w:val="00DE456F"/>
    <w:rsid w:val="00DE4703"/>
    <w:rsid w:val="00DE57F8"/>
    <w:rsid w:val="00DE6BBE"/>
    <w:rsid w:val="00DE7755"/>
    <w:rsid w:val="00DF007B"/>
    <w:rsid w:val="00DF12DF"/>
    <w:rsid w:val="00DF1852"/>
    <w:rsid w:val="00DF1A08"/>
    <w:rsid w:val="00DF1E20"/>
    <w:rsid w:val="00DF2AB5"/>
    <w:rsid w:val="00DF2D8D"/>
    <w:rsid w:val="00DF2EA6"/>
    <w:rsid w:val="00DF4203"/>
    <w:rsid w:val="00DF48C5"/>
    <w:rsid w:val="00DF4D27"/>
    <w:rsid w:val="00DF53F2"/>
    <w:rsid w:val="00DF5D56"/>
    <w:rsid w:val="00DF64BA"/>
    <w:rsid w:val="00DF77CE"/>
    <w:rsid w:val="00DF7987"/>
    <w:rsid w:val="00DF7BBA"/>
    <w:rsid w:val="00E002AB"/>
    <w:rsid w:val="00E02695"/>
    <w:rsid w:val="00E03969"/>
    <w:rsid w:val="00E05F3D"/>
    <w:rsid w:val="00E06EE2"/>
    <w:rsid w:val="00E07654"/>
    <w:rsid w:val="00E122F2"/>
    <w:rsid w:val="00E1238A"/>
    <w:rsid w:val="00E12B1D"/>
    <w:rsid w:val="00E13AD1"/>
    <w:rsid w:val="00E13ADA"/>
    <w:rsid w:val="00E146E1"/>
    <w:rsid w:val="00E15AE8"/>
    <w:rsid w:val="00E1621D"/>
    <w:rsid w:val="00E20575"/>
    <w:rsid w:val="00E20764"/>
    <w:rsid w:val="00E20805"/>
    <w:rsid w:val="00E2097B"/>
    <w:rsid w:val="00E21B06"/>
    <w:rsid w:val="00E22E1A"/>
    <w:rsid w:val="00E23837"/>
    <w:rsid w:val="00E24B0B"/>
    <w:rsid w:val="00E252C6"/>
    <w:rsid w:val="00E255C4"/>
    <w:rsid w:val="00E2597C"/>
    <w:rsid w:val="00E259BF"/>
    <w:rsid w:val="00E25D23"/>
    <w:rsid w:val="00E26A63"/>
    <w:rsid w:val="00E26BAF"/>
    <w:rsid w:val="00E26E73"/>
    <w:rsid w:val="00E27448"/>
    <w:rsid w:val="00E2785A"/>
    <w:rsid w:val="00E278C0"/>
    <w:rsid w:val="00E30826"/>
    <w:rsid w:val="00E30A5C"/>
    <w:rsid w:val="00E313CF"/>
    <w:rsid w:val="00E32AB6"/>
    <w:rsid w:val="00E32D2C"/>
    <w:rsid w:val="00E32EC3"/>
    <w:rsid w:val="00E3314E"/>
    <w:rsid w:val="00E35D45"/>
    <w:rsid w:val="00E35ECE"/>
    <w:rsid w:val="00E35ED1"/>
    <w:rsid w:val="00E37612"/>
    <w:rsid w:val="00E37666"/>
    <w:rsid w:val="00E379FD"/>
    <w:rsid w:val="00E37C47"/>
    <w:rsid w:val="00E4054D"/>
    <w:rsid w:val="00E4080F"/>
    <w:rsid w:val="00E40A2B"/>
    <w:rsid w:val="00E41510"/>
    <w:rsid w:val="00E41787"/>
    <w:rsid w:val="00E419A8"/>
    <w:rsid w:val="00E41DF4"/>
    <w:rsid w:val="00E42305"/>
    <w:rsid w:val="00E4257A"/>
    <w:rsid w:val="00E42758"/>
    <w:rsid w:val="00E42912"/>
    <w:rsid w:val="00E42914"/>
    <w:rsid w:val="00E429B4"/>
    <w:rsid w:val="00E43BE6"/>
    <w:rsid w:val="00E45C78"/>
    <w:rsid w:val="00E45F04"/>
    <w:rsid w:val="00E46010"/>
    <w:rsid w:val="00E46631"/>
    <w:rsid w:val="00E478A0"/>
    <w:rsid w:val="00E501EA"/>
    <w:rsid w:val="00E5034E"/>
    <w:rsid w:val="00E50704"/>
    <w:rsid w:val="00E5195B"/>
    <w:rsid w:val="00E52019"/>
    <w:rsid w:val="00E52C9F"/>
    <w:rsid w:val="00E530CD"/>
    <w:rsid w:val="00E539B5"/>
    <w:rsid w:val="00E540F3"/>
    <w:rsid w:val="00E56787"/>
    <w:rsid w:val="00E56FFA"/>
    <w:rsid w:val="00E57835"/>
    <w:rsid w:val="00E57DF0"/>
    <w:rsid w:val="00E608FE"/>
    <w:rsid w:val="00E609D5"/>
    <w:rsid w:val="00E60AF7"/>
    <w:rsid w:val="00E60E1C"/>
    <w:rsid w:val="00E611D7"/>
    <w:rsid w:val="00E6148B"/>
    <w:rsid w:val="00E614C0"/>
    <w:rsid w:val="00E62084"/>
    <w:rsid w:val="00E6385A"/>
    <w:rsid w:val="00E64624"/>
    <w:rsid w:val="00E646D3"/>
    <w:rsid w:val="00E65947"/>
    <w:rsid w:val="00E66DFD"/>
    <w:rsid w:val="00E702BF"/>
    <w:rsid w:val="00E70C38"/>
    <w:rsid w:val="00E719ED"/>
    <w:rsid w:val="00E72EA6"/>
    <w:rsid w:val="00E73E71"/>
    <w:rsid w:val="00E75212"/>
    <w:rsid w:val="00E754F5"/>
    <w:rsid w:val="00E7716D"/>
    <w:rsid w:val="00E7764D"/>
    <w:rsid w:val="00E77694"/>
    <w:rsid w:val="00E776DF"/>
    <w:rsid w:val="00E77B01"/>
    <w:rsid w:val="00E77C85"/>
    <w:rsid w:val="00E80CBC"/>
    <w:rsid w:val="00E8157A"/>
    <w:rsid w:val="00E81B24"/>
    <w:rsid w:val="00E81C89"/>
    <w:rsid w:val="00E8213D"/>
    <w:rsid w:val="00E8251C"/>
    <w:rsid w:val="00E827BF"/>
    <w:rsid w:val="00E82990"/>
    <w:rsid w:val="00E82DD6"/>
    <w:rsid w:val="00E830C8"/>
    <w:rsid w:val="00E83525"/>
    <w:rsid w:val="00E84238"/>
    <w:rsid w:val="00E84252"/>
    <w:rsid w:val="00E845F8"/>
    <w:rsid w:val="00E84DF0"/>
    <w:rsid w:val="00E84EB2"/>
    <w:rsid w:val="00E85332"/>
    <w:rsid w:val="00E85A86"/>
    <w:rsid w:val="00E85B3C"/>
    <w:rsid w:val="00E85B6D"/>
    <w:rsid w:val="00E87A65"/>
    <w:rsid w:val="00E914E0"/>
    <w:rsid w:val="00E9189C"/>
    <w:rsid w:val="00E92210"/>
    <w:rsid w:val="00E92498"/>
    <w:rsid w:val="00E9255E"/>
    <w:rsid w:val="00E92702"/>
    <w:rsid w:val="00E9314D"/>
    <w:rsid w:val="00E94CA5"/>
    <w:rsid w:val="00E9567E"/>
    <w:rsid w:val="00E96388"/>
    <w:rsid w:val="00E96AAE"/>
    <w:rsid w:val="00E97BE0"/>
    <w:rsid w:val="00EA017B"/>
    <w:rsid w:val="00EA12A1"/>
    <w:rsid w:val="00EA2FC7"/>
    <w:rsid w:val="00EA34B8"/>
    <w:rsid w:val="00EA3884"/>
    <w:rsid w:val="00EA4A29"/>
    <w:rsid w:val="00EA4DD9"/>
    <w:rsid w:val="00EA5EE0"/>
    <w:rsid w:val="00EA621E"/>
    <w:rsid w:val="00EB051C"/>
    <w:rsid w:val="00EB06E0"/>
    <w:rsid w:val="00EB0726"/>
    <w:rsid w:val="00EB0E32"/>
    <w:rsid w:val="00EB1009"/>
    <w:rsid w:val="00EB2152"/>
    <w:rsid w:val="00EB36B6"/>
    <w:rsid w:val="00EB37C0"/>
    <w:rsid w:val="00EB38F2"/>
    <w:rsid w:val="00EB4389"/>
    <w:rsid w:val="00EB5B05"/>
    <w:rsid w:val="00EB68CB"/>
    <w:rsid w:val="00EB6FA3"/>
    <w:rsid w:val="00EB71D4"/>
    <w:rsid w:val="00EB7347"/>
    <w:rsid w:val="00EB736A"/>
    <w:rsid w:val="00EC0098"/>
    <w:rsid w:val="00EC0548"/>
    <w:rsid w:val="00EC1F29"/>
    <w:rsid w:val="00EC2BF6"/>
    <w:rsid w:val="00EC31A6"/>
    <w:rsid w:val="00EC3441"/>
    <w:rsid w:val="00EC34F3"/>
    <w:rsid w:val="00EC3539"/>
    <w:rsid w:val="00EC41BA"/>
    <w:rsid w:val="00EC4D3E"/>
    <w:rsid w:val="00EC5946"/>
    <w:rsid w:val="00EC6086"/>
    <w:rsid w:val="00EC6408"/>
    <w:rsid w:val="00EC6743"/>
    <w:rsid w:val="00EC700F"/>
    <w:rsid w:val="00EC7280"/>
    <w:rsid w:val="00ED1389"/>
    <w:rsid w:val="00ED4E34"/>
    <w:rsid w:val="00ED56B3"/>
    <w:rsid w:val="00ED73E7"/>
    <w:rsid w:val="00ED794F"/>
    <w:rsid w:val="00EE0A8B"/>
    <w:rsid w:val="00EE152C"/>
    <w:rsid w:val="00EE15B1"/>
    <w:rsid w:val="00EE2650"/>
    <w:rsid w:val="00EE26B6"/>
    <w:rsid w:val="00EE27BA"/>
    <w:rsid w:val="00EE30D8"/>
    <w:rsid w:val="00EE43B2"/>
    <w:rsid w:val="00EE566B"/>
    <w:rsid w:val="00EE6220"/>
    <w:rsid w:val="00EE6FEF"/>
    <w:rsid w:val="00EF054B"/>
    <w:rsid w:val="00EF0AB2"/>
    <w:rsid w:val="00EF0C20"/>
    <w:rsid w:val="00EF25FE"/>
    <w:rsid w:val="00EF37CC"/>
    <w:rsid w:val="00EF3F0B"/>
    <w:rsid w:val="00EF4BA0"/>
    <w:rsid w:val="00EF54CB"/>
    <w:rsid w:val="00EF5617"/>
    <w:rsid w:val="00EF79A6"/>
    <w:rsid w:val="00EF7EC0"/>
    <w:rsid w:val="00F01E97"/>
    <w:rsid w:val="00F034A9"/>
    <w:rsid w:val="00F03837"/>
    <w:rsid w:val="00F0404D"/>
    <w:rsid w:val="00F04158"/>
    <w:rsid w:val="00F04CC2"/>
    <w:rsid w:val="00F050EF"/>
    <w:rsid w:val="00F05775"/>
    <w:rsid w:val="00F057A8"/>
    <w:rsid w:val="00F06EC8"/>
    <w:rsid w:val="00F07260"/>
    <w:rsid w:val="00F101F0"/>
    <w:rsid w:val="00F104F7"/>
    <w:rsid w:val="00F1195C"/>
    <w:rsid w:val="00F124CD"/>
    <w:rsid w:val="00F12897"/>
    <w:rsid w:val="00F12AAF"/>
    <w:rsid w:val="00F12C8C"/>
    <w:rsid w:val="00F12F5C"/>
    <w:rsid w:val="00F132F5"/>
    <w:rsid w:val="00F1495D"/>
    <w:rsid w:val="00F14DC5"/>
    <w:rsid w:val="00F153D2"/>
    <w:rsid w:val="00F158D1"/>
    <w:rsid w:val="00F17117"/>
    <w:rsid w:val="00F1782E"/>
    <w:rsid w:val="00F17F30"/>
    <w:rsid w:val="00F20A86"/>
    <w:rsid w:val="00F20F35"/>
    <w:rsid w:val="00F20F51"/>
    <w:rsid w:val="00F228DB"/>
    <w:rsid w:val="00F23454"/>
    <w:rsid w:val="00F234F1"/>
    <w:rsid w:val="00F24178"/>
    <w:rsid w:val="00F244EA"/>
    <w:rsid w:val="00F24591"/>
    <w:rsid w:val="00F25A48"/>
    <w:rsid w:val="00F26118"/>
    <w:rsid w:val="00F26232"/>
    <w:rsid w:val="00F26B75"/>
    <w:rsid w:val="00F27390"/>
    <w:rsid w:val="00F30053"/>
    <w:rsid w:val="00F30323"/>
    <w:rsid w:val="00F30FC5"/>
    <w:rsid w:val="00F317E0"/>
    <w:rsid w:val="00F32A6C"/>
    <w:rsid w:val="00F32D59"/>
    <w:rsid w:val="00F334D2"/>
    <w:rsid w:val="00F3359F"/>
    <w:rsid w:val="00F33AF6"/>
    <w:rsid w:val="00F34137"/>
    <w:rsid w:val="00F34F46"/>
    <w:rsid w:val="00F355B1"/>
    <w:rsid w:val="00F36D43"/>
    <w:rsid w:val="00F36D7C"/>
    <w:rsid w:val="00F37625"/>
    <w:rsid w:val="00F410B6"/>
    <w:rsid w:val="00F42EAF"/>
    <w:rsid w:val="00F432A8"/>
    <w:rsid w:val="00F45969"/>
    <w:rsid w:val="00F4671E"/>
    <w:rsid w:val="00F473F0"/>
    <w:rsid w:val="00F50476"/>
    <w:rsid w:val="00F50754"/>
    <w:rsid w:val="00F50A50"/>
    <w:rsid w:val="00F50D2F"/>
    <w:rsid w:val="00F5168A"/>
    <w:rsid w:val="00F51BC6"/>
    <w:rsid w:val="00F51D99"/>
    <w:rsid w:val="00F52C6A"/>
    <w:rsid w:val="00F541DC"/>
    <w:rsid w:val="00F558B0"/>
    <w:rsid w:val="00F5595A"/>
    <w:rsid w:val="00F56A1E"/>
    <w:rsid w:val="00F60D37"/>
    <w:rsid w:val="00F6150F"/>
    <w:rsid w:val="00F61ECB"/>
    <w:rsid w:val="00F62BB9"/>
    <w:rsid w:val="00F649D9"/>
    <w:rsid w:val="00F64F5D"/>
    <w:rsid w:val="00F660A8"/>
    <w:rsid w:val="00F66F02"/>
    <w:rsid w:val="00F67D7A"/>
    <w:rsid w:val="00F70904"/>
    <w:rsid w:val="00F72B64"/>
    <w:rsid w:val="00F72BC1"/>
    <w:rsid w:val="00F737AE"/>
    <w:rsid w:val="00F73CF2"/>
    <w:rsid w:val="00F74A98"/>
    <w:rsid w:val="00F75CB0"/>
    <w:rsid w:val="00F77646"/>
    <w:rsid w:val="00F77D85"/>
    <w:rsid w:val="00F80551"/>
    <w:rsid w:val="00F8169A"/>
    <w:rsid w:val="00F839AF"/>
    <w:rsid w:val="00F83B1E"/>
    <w:rsid w:val="00F843F6"/>
    <w:rsid w:val="00F84AE5"/>
    <w:rsid w:val="00F853A5"/>
    <w:rsid w:val="00F8578E"/>
    <w:rsid w:val="00F87674"/>
    <w:rsid w:val="00F87BD3"/>
    <w:rsid w:val="00F90724"/>
    <w:rsid w:val="00F90A56"/>
    <w:rsid w:val="00F9215D"/>
    <w:rsid w:val="00F9247B"/>
    <w:rsid w:val="00F92B19"/>
    <w:rsid w:val="00F92EAF"/>
    <w:rsid w:val="00F93FC9"/>
    <w:rsid w:val="00F94061"/>
    <w:rsid w:val="00F946CA"/>
    <w:rsid w:val="00F94DC2"/>
    <w:rsid w:val="00F95219"/>
    <w:rsid w:val="00FA0342"/>
    <w:rsid w:val="00FA06AA"/>
    <w:rsid w:val="00FA0B29"/>
    <w:rsid w:val="00FA20AA"/>
    <w:rsid w:val="00FA2A99"/>
    <w:rsid w:val="00FA2B38"/>
    <w:rsid w:val="00FA3110"/>
    <w:rsid w:val="00FA5043"/>
    <w:rsid w:val="00FA5787"/>
    <w:rsid w:val="00FA6DB8"/>
    <w:rsid w:val="00FB0580"/>
    <w:rsid w:val="00FB1138"/>
    <w:rsid w:val="00FB1482"/>
    <w:rsid w:val="00FB1D05"/>
    <w:rsid w:val="00FB28D2"/>
    <w:rsid w:val="00FB2996"/>
    <w:rsid w:val="00FB3219"/>
    <w:rsid w:val="00FB36AD"/>
    <w:rsid w:val="00FB3C88"/>
    <w:rsid w:val="00FB3DCF"/>
    <w:rsid w:val="00FB4023"/>
    <w:rsid w:val="00FB453D"/>
    <w:rsid w:val="00FB4F25"/>
    <w:rsid w:val="00FB61FB"/>
    <w:rsid w:val="00FB74FE"/>
    <w:rsid w:val="00FB77D6"/>
    <w:rsid w:val="00FC05A6"/>
    <w:rsid w:val="00FC1810"/>
    <w:rsid w:val="00FC25FF"/>
    <w:rsid w:val="00FC2D84"/>
    <w:rsid w:val="00FC33ED"/>
    <w:rsid w:val="00FC3574"/>
    <w:rsid w:val="00FC3D2E"/>
    <w:rsid w:val="00FC44D3"/>
    <w:rsid w:val="00FC4976"/>
    <w:rsid w:val="00FC4A43"/>
    <w:rsid w:val="00FC4D5C"/>
    <w:rsid w:val="00FC5137"/>
    <w:rsid w:val="00FC551A"/>
    <w:rsid w:val="00FC652A"/>
    <w:rsid w:val="00FC7732"/>
    <w:rsid w:val="00FC7FE9"/>
    <w:rsid w:val="00FD0B43"/>
    <w:rsid w:val="00FD13F9"/>
    <w:rsid w:val="00FD2C07"/>
    <w:rsid w:val="00FD3EBC"/>
    <w:rsid w:val="00FD476E"/>
    <w:rsid w:val="00FD4957"/>
    <w:rsid w:val="00FD62ED"/>
    <w:rsid w:val="00FD66D6"/>
    <w:rsid w:val="00FD6F22"/>
    <w:rsid w:val="00FE046E"/>
    <w:rsid w:val="00FE08FC"/>
    <w:rsid w:val="00FE1716"/>
    <w:rsid w:val="00FE40EE"/>
    <w:rsid w:val="00FE45B0"/>
    <w:rsid w:val="00FE4A3C"/>
    <w:rsid w:val="00FE517C"/>
    <w:rsid w:val="00FE5F17"/>
    <w:rsid w:val="00FE7093"/>
    <w:rsid w:val="00FF1599"/>
    <w:rsid w:val="00FF1BF3"/>
    <w:rsid w:val="00FF1E9F"/>
    <w:rsid w:val="00FF22DF"/>
    <w:rsid w:val="00FF3E5B"/>
    <w:rsid w:val="00FF3F08"/>
    <w:rsid w:val="00FF52AC"/>
    <w:rsid w:val="00FF5EDB"/>
    <w:rsid w:val="00FF5FD6"/>
    <w:rsid w:val="00FF6F14"/>
    <w:rsid w:val="00FF769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76926ED9"/>
  <w15:docId w15:val="{9386515D-83F9-4E5B-9560-70926B29F7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iPriority="9" w:unhideWhenUsed="1"/>
    <w:lsdException w:name="heading 5" w:semiHidden="1" w:uiPriority="9"/>
    <w:lsdException w:name="heading 6" w:semiHidden="1" w:uiPriority="1" w:unhideWhenUsed="1" w:qFormat="1"/>
    <w:lsdException w:name="heading 7" w:semiHidden="1" w:uiPriority="1" w:unhideWhenUsed="1" w:qFormat="1"/>
    <w:lsdException w:name="heading 8" w:semiHidden="1" w:uiPriority="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iPriority="39"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19" w:unhideWhenUsed="1"/>
    <w:lsdException w:name="annotation text" w:semiHidden="1" w:uiPriority="99" w:unhideWhenUsed="1"/>
    <w:lsdException w:name="header" w:semiHidden="1" w:unhideWhenUsed="1"/>
    <w:lsdException w:name="footer" w:semiHidden="1" w:uiPriority="9" w:unhideWhenUsed="1"/>
    <w:lsdException w:name="index heading" w:semiHidden="1" w:unhideWhenUsed="1"/>
    <w:lsdException w:name="caption" w:semiHidden="1" w:unhideWhenUsed="1"/>
    <w:lsdException w:name="table of figures" w:semiHidden="1" w:uiPriority="99" w:unhideWhenUsed="1"/>
    <w:lsdException w:name="envelope address" w:semiHidden="1" w:uiPriority="19" w:unhideWhenUsed="1"/>
    <w:lsdException w:name="envelope return" w:semiHidden="1" w:uiPriority="19" w:unhideWhenUsed="1"/>
    <w:lsdException w:name="footnote reference" w:semiHidden="1" w:uiPriority="19" w:unhideWhenUsed="1"/>
    <w:lsdException w:name="annotation reference" w:semiHidden="1" w:uiPriority="99" w:unhideWhenUsed="1"/>
    <w:lsdException w:name="line number" w:semiHidden="1" w:unhideWhenUsed="1"/>
    <w:lsdException w:name="page number" w:semiHidden="1" w:unhideWhenUsed="1"/>
    <w:lsdException w:name="endnote reference" w:semiHidden="1" w:uiPriority="19" w:unhideWhenUsed="1"/>
    <w:lsdException w:name="endnote text" w:semiHidden="1" w:uiPriority="19" w:unhideWhenUsed="1"/>
    <w:lsdException w:name="table of authorities" w:semiHidden="1" w:unhideWhenUsed="1"/>
    <w:lsdException w:name="macro" w:semiHidden="1" w:unhideWhenUsed="1"/>
    <w:lsdException w:name="toa heading" w:semiHidden="1" w:unhideWhenUsed="1"/>
    <w:lsdException w:name="List" w:semiHidden="1" w:uiPriority="29" w:unhideWhenUsed="1"/>
    <w:lsdException w:name="List Bullet" w:semiHidden="1" w:uiPriority="4" w:unhideWhenUsed="1" w:qFormat="1"/>
    <w:lsdException w:name="List Number" w:uiPriority="4" w:qFormat="1"/>
    <w:lsdException w:name="List 2" w:semiHidden="1" w:uiPriority="29" w:unhideWhenUsed="1"/>
    <w:lsdException w:name="List 3" w:semiHidden="1" w:uiPriority="29" w:unhideWhenUsed="1"/>
    <w:lsdException w:name="List 4" w:uiPriority="29"/>
    <w:lsdException w:name="List 5" w:uiPriority="29"/>
    <w:lsdException w:name="List Bullet 2" w:semiHidden="1" w:uiPriority="4" w:unhideWhenUsed="1" w:qFormat="1"/>
    <w:lsdException w:name="List Bullet 3" w:semiHidden="1" w:uiPriority="4" w:unhideWhenUsed="1" w:qFormat="1"/>
    <w:lsdException w:name="List Bullet 4" w:semiHidden="1" w:unhideWhenUsed="1"/>
    <w:lsdException w:name="List Bullet 5" w:semiHidden="1" w:unhideWhenUsed="1"/>
    <w:lsdException w:name="List Number 2" w:semiHidden="1" w:uiPriority="4" w:unhideWhenUsed="1" w:qFormat="1"/>
    <w:lsdException w:name="List Number 3" w:semiHidden="1" w:uiPriority="4" w:unhideWhenUsed="1" w:qFormat="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Date" w:uiPriority="9"/>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19" w:unhideWhenUsed="1"/>
    <w:lsdException w:name="Emphasis" w:uiPriority="19"/>
    <w:lsdException w:name="Document Map" w:semiHidden="1" w:uiPriority="19" w:unhideWhenUsed="1"/>
    <w:lsdException w:name="Plain Text" w:semiHidden="1" w:unhideWhenUsed="1"/>
    <w:lsdException w:name="E-mail Signature" w:semiHidden="1" w:uiPriority="19"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semiHidden="1" w:uiPriority="33" w:unhideWhenUsed="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C4B47"/>
    <w:pPr>
      <w:spacing w:after="160" w:line="259" w:lineRule="auto"/>
    </w:pPr>
  </w:style>
  <w:style w:type="paragraph" w:styleId="Heading1">
    <w:name w:val="heading 1"/>
    <w:basedOn w:val="Normal"/>
    <w:next w:val="BodyText"/>
    <w:link w:val="Heading1Char"/>
    <w:qFormat/>
    <w:rsid w:val="002C7B38"/>
    <w:pPr>
      <w:keepNext/>
      <w:spacing w:before="300" w:line="280" w:lineRule="atLeast"/>
      <w:ind w:left="709" w:hanging="709"/>
      <w:outlineLvl w:val="0"/>
    </w:pPr>
    <w:rPr>
      <w:rFonts w:asciiTheme="majorHAnsi" w:eastAsia="Times New Roman" w:hAnsiTheme="majorHAnsi" w:cs="Arial"/>
      <w:b/>
      <w:bCs/>
      <w:color w:val="005CAF"/>
      <w:kern w:val="32"/>
      <w:sz w:val="32"/>
      <w:szCs w:val="32"/>
    </w:rPr>
  </w:style>
  <w:style w:type="paragraph" w:styleId="Heading2">
    <w:name w:val="heading 2"/>
    <w:basedOn w:val="Heading1"/>
    <w:next w:val="BodyText"/>
    <w:link w:val="Heading2Char"/>
    <w:qFormat/>
    <w:rsid w:val="0051079B"/>
    <w:pPr>
      <w:outlineLvl w:val="1"/>
    </w:pPr>
    <w:rPr>
      <w:bCs w:val="0"/>
      <w:iCs/>
      <w:color w:val="56B4DF"/>
      <w:sz w:val="22"/>
      <w:szCs w:val="28"/>
    </w:rPr>
  </w:style>
  <w:style w:type="paragraph" w:styleId="Heading3">
    <w:name w:val="heading 3"/>
    <w:basedOn w:val="BodyText"/>
    <w:next w:val="BodyText"/>
    <w:link w:val="Heading3Char"/>
    <w:qFormat/>
    <w:rsid w:val="002C7B38"/>
    <w:pPr>
      <w:keepNext/>
      <w:spacing w:before="300" w:line="280" w:lineRule="atLeast"/>
      <w:jc w:val="left"/>
      <w:outlineLvl w:val="2"/>
    </w:pPr>
    <w:rPr>
      <w:rFonts w:asciiTheme="majorHAnsi" w:eastAsia="Times New Roman" w:hAnsiTheme="majorHAnsi" w:cs="Arial"/>
      <w:bCs/>
      <w:color w:val="005CAF"/>
      <w:sz w:val="22"/>
    </w:rPr>
  </w:style>
  <w:style w:type="paragraph" w:styleId="Heading4">
    <w:name w:val="heading 4"/>
    <w:basedOn w:val="BodyText"/>
    <w:next w:val="BodyText"/>
    <w:link w:val="Heading4Char"/>
    <w:uiPriority w:val="9"/>
    <w:unhideWhenUsed/>
    <w:rsid w:val="009F2590"/>
    <w:pPr>
      <w:keepNext/>
      <w:keepLines/>
      <w:spacing w:before="200" w:after="0"/>
      <w:outlineLvl w:val="3"/>
    </w:pPr>
    <w:rPr>
      <w:rFonts w:asciiTheme="majorHAnsi" w:eastAsiaTheme="majorEastAsia" w:hAnsiTheme="majorHAnsi" w:cstheme="majorBidi"/>
      <w:b/>
      <w:bCs/>
      <w:i/>
      <w:iCs/>
      <w:color w:val="auto"/>
    </w:rPr>
  </w:style>
  <w:style w:type="paragraph" w:styleId="Heading6">
    <w:name w:val="heading 6"/>
    <w:basedOn w:val="Normal"/>
    <w:next w:val="BodyText"/>
    <w:link w:val="Heading6Char"/>
    <w:uiPriority w:val="1"/>
    <w:qFormat/>
    <w:rsid w:val="002C7B38"/>
    <w:pPr>
      <w:keepNext/>
      <w:pageBreakBefore/>
      <w:spacing w:before="300" w:line="280" w:lineRule="atLeast"/>
      <w:ind w:left="2381" w:hanging="2381"/>
      <w:outlineLvl w:val="5"/>
    </w:pPr>
    <w:rPr>
      <w:rFonts w:asciiTheme="majorHAnsi" w:eastAsiaTheme="majorEastAsia" w:hAnsiTheme="majorHAnsi" w:cstheme="majorBidi"/>
      <w:b/>
      <w:iCs/>
      <w:color w:val="005CAF"/>
      <w:sz w:val="32"/>
    </w:rPr>
  </w:style>
  <w:style w:type="paragraph" w:styleId="Heading7">
    <w:name w:val="heading 7"/>
    <w:basedOn w:val="Normal"/>
    <w:next w:val="BodyText"/>
    <w:link w:val="Heading7Char"/>
    <w:uiPriority w:val="1"/>
    <w:qFormat/>
    <w:rsid w:val="002C7B38"/>
    <w:pPr>
      <w:keepNext/>
      <w:keepLines/>
      <w:spacing w:before="300" w:line="280" w:lineRule="atLeast"/>
      <w:ind w:left="709" w:hanging="709"/>
      <w:outlineLvl w:val="6"/>
    </w:pPr>
    <w:rPr>
      <w:rFonts w:asciiTheme="majorHAnsi" w:eastAsiaTheme="majorEastAsia" w:hAnsiTheme="majorHAnsi" w:cstheme="majorBidi"/>
      <w:b/>
      <w:iCs/>
      <w:color w:val="56B4DF"/>
    </w:rPr>
  </w:style>
  <w:style w:type="paragraph" w:styleId="Heading8">
    <w:name w:val="heading 8"/>
    <w:basedOn w:val="Normal"/>
    <w:next w:val="BodyText"/>
    <w:link w:val="Heading8Char"/>
    <w:uiPriority w:val="1"/>
    <w:qFormat/>
    <w:rsid w:val="002C7B38"/>
    <w:pPr>
      <w:keepNext/>
      <w:keepLines/>
      <w:spacing w:before="300"/>
      <w:outlineLvl w:val="7"/>
    </w:pPr>
    <w:rPr>
      <w:rFonts w:asciiTheme="majorHAnsi" w:eastAsiaTheme="majorEastAsia" w:hAnsiTheme="majorHAnsi" w:cstheme="majorBidi"/>
      <w:color w:val="005CAF"/>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Contemporary">
    <w:name w:val="Table Contemporary"/>
    <w:basedOn w:val="TableNormal"/>
    <w:rsid w:val="009F2590"/>
    <w:rPr>
      <w:rFonts w:eastAsia="Times New Roman"/>
      <w:lang w:eastAsia="en-A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customStyle="1" w:styleId="Bullet2">
    <w:name w:val="Bullet 2"/>
    <w:basedOn w:val="Normal"/>
    <w:semiHidden/>
    <w:rsid w:val="008F3372"/>
    <w:pPr>
      <w:numPr>
        <w:numId w:val="1"/>
      </w:numPr>
      <w:tabs>
        <w:tab w:val="clear" w:pos="1418"/>
        <w:tab w:val="num" w:pos="360"/>
      </w:tabs>
      <w:spacing w:before="100" w:line="312" w:lineRule="auto"/>
      <w:ind w:left="2160" w:firstLine="0"/>
    </w:pPr>
    <w:rPr>
      <w:rFonts w:eastAsia="Times New Roman"/>
      <w:lang w:eastAsia="en-AU"/>
    </w:rPr>
  </w:style>
  <w:style w:type="character" w:customStyle="1" w:styleId="Heading1Char">
    <w:name w:val="Heading 1 Char"/>
    <w:basedOn w:val="DefaultParagraphFont"/>
    <w:link w:val="Heading1"/>
    <w:rsid w:val="0051079B"/>
    <w:rPr>
      <w:rFonts w:asciiTheme="majorHAnsi" w:eastAsia="Times New Roman" w:hAnsiTheme="majorHAnsi" w:cs="Arial"/>
      <w:b/>
      <w:bCs/>
      <w:color w:val="005CAF"/>
      <w:kern w:val="32"/>
      <w:sz w:val="32"/>
      <w:szCs w:val="32"/>
    </w:rPr>
  </w:style>
  <w:style w:type="character" w:customStyle="1" w:styleId="Heading2Char">
    <w:name w:val="Heading 2 Char"/>
    <w:basedOn w:val="DefaultParagraphFont"/>
    <w:link w:val="Heading2"/>
    <w:rsid w:val="0051079B"/>
    <w:rPr>
      <w:rFonts w:asciiTheme="majorHAnsi" w:eastAsia="Times New Roman" w:hAnsiTheme="majorHAnsi" w:cs="Arial"/>
      <w:b/>
      <w:iCs/>
      <w:color w:val="56B4DF"/>
      <w:kern w:val="32"/>
      <w:szCs w:val="28"/>
    </w:rPr>
  </w:style>
  <w:style w:type="character" w:customStyle="1" w:styleId="Heading3Char">
    <w:name w:val="Heading 3 Char"/>
    <w:basedOn w:val="DefaultParagraphFont"/>
    <w:link w:val="Heading3"/>
    <w:rsid w:val="0051079B"/>
    <w:rPr>
      <w:rFonts w:asciiTheme="majorHAnsi" w:eastAsia="Times New Roman" w:hAnsiTheme="majorHAnsi" w:cs="Arial"/>
      <w:bCs/>
      <w:color w:val="005CAF"/>
    </w:rPr>
  </w:style>
  <w:style w:type="paragraph" w:styleId="TOC1">
    <w:name w:val="toc 1"/>
    <w:basedOn w:val="Normal"/>
    <w:next w:val="Normal"/>
    <w:autoRedefine/>
    <w:uiPriority w:val="39"/>
    <w:rsid w:val="009F2590"/>
    <w:pPr>
      <w:tabs>
        <w:tab w:val="right" w:pos="8931"/>
      </w:tabs>
      <w:spacing w:before="240" w:after="120"/>
      <w:ind w:left="1276" w:right="804" w:hanging="567"/>
    </w:pPr>
    <w:rPr>
      <w:rFonts w:eastAsia="Times New Roman"/>
      <w:b/>
      <w:noProof/>
      <w:szCs w:val="24"/>
    </w:rPr>
  </w:style>
  <w:style w:type="paragraph" w:styleId="FootnoteText">
    <w:name w:val="footnote text"/>
    <w:basedOn w:val="Normal"/>
    <w:link w:val="FootnoteTextChar"/>
    <w:uiPriority w:val="19"/>
    <w:rsid w:val="009F2590"/>
    <w:pPr>
      <w:ind w:left="2268" w:hanging="108"/>
    </w:pPr>
    <w:rPr>
      <w:rFonts w:eastAsia="Times New Roman"/>
      <w:sz w:val="16"/>
    </w:rPr>
  </w:style>
  <w:style w:type="character" w:customStyle="1" w:styleId="FootnoteTextChar">
    <w:name w:val="Footnote Text Char"/>
    <w:basedOn w:val="DefaultParagraphFont"/>
    <w:link w:val="FootnoteText"/>
    <w:uiPriority w:val="19"/>
    <w:rsid w:val="009F2590"/>
    <w:rPr>
      <w:rFonts w:ascii="Arial" w:eastAsia="Times New Roman" w:hAnsi="Arial"/>
      <w:color w:val="595A5B"/>
      <w:sz w:val="16"/>
    </w:rPr>
  </w:style>
  <w:style w:type="paragraph" w:styleId="Footer">
    <w:name w:val="footer"/>
    <w:basedOn w:val="Normal"/>
    <w:link w:val="FooterChar"/>
    <w:uiPriority w:val="9"/>
    <w:rsid w:val="00E35ECE"/>
    <w:pPr>
      <w:tabs>
        <w:tab w:val="right" w:pos="9680"/>
      </w:tabs>
    </w:pPr>
    <w:rPr>
      <w:rFonts w:eastAsia="Times New Roman"/>
      <w:sz w:val="16"/>
      <w:szCs w:val="16"/>
    </w:rPr>
  </w:style>
  <w:style w:type="character" w:customStyle="1" w:styleId="FooterChar">
    <w:name w:val="Footer Char"/>
    <w:basedOn w:val="DefaultParagraphFont"/>
    <w:link w:val="Footer"/>
    <w:uiPriority w:val="9"/>
    <w:rsid w:val="00E35ECE"/>
    <w:rPr>
      <w:rFonts w:ascii="Arial" w:eastAsia="Times New Roman" w:hAnsi="Arial"/>
      <w:color w:val="595A5B"/>
      <w:sz w:val="16"/>
      <w:szCs w:val="16"/>
    </w:rPr>
  </w:style>
  <w:style w:type="paragraph" w:styleId="TableofFigures">
    <w:name w:val="table of figures"/>
    <w:basedOn w:val="Normal"/>
    <w:next w:val="Normal"/>
    <w:uiPriority w:val="99"/>
    <w:rsid w:val="009F2590"/>
    <w:pPr>
      <w:tabs>
        <w:tab w:val="right" w:pos="8930"/>
      </w:tabs>
      <w:ind w:left="1134" w:right="804" w:hanging="440"/>
    </w:pPr>
    <w:rPr>
      <w:rFonts w:eastAsia="Times New Roman"/>
      <w:b/>
      <w:bCs/>
      <w:noProof/>
      <w:lang w:val="en-US"/>
    </w:rPr>
  </w:style>
  <w:style w:type="character" w:styleId="FootnoteReference">
    <w:name w:val="footnote reference"/>
    <w:basedOn w:val="DefaultParagraphFont"/>
    <w:uiPriority w:val="19"/>
    <w:rsid w:val="009F2590"/>
    <w:rPr>
      <w:vertAlign w:val="superscript"/>
    </w:rPr>
  </w:style>
  <w:style w:type="character" w:styleId="PageNumber">
    <w:name w:val="page number"/>
    <w:rsid w:val="009F2590"/>
    <w:rPr>
      <w:rFonts w:ascii="Arial" w:hAnsi="Arial"/>
      <w:sz w:val="18"/>
    </w:rPr>
  </w:style>
  <w:style w:type="paragraph" w:styleId="BodyText">
    <w:name w:val="Body Text"/>
    <w:link w:val="BodyTextChar"/>
    <w:qFormat/>
    <w:rsid w:val="0051079B"/>
    <w:pPr>
      <w:spacing w:after="180" w:line="270" w:lineRule="exact"/>
      <w:jc w:val="both"/>
    </w:pPr>
    <w:rPr>
      <w:color w:val="373737"/>
      <w:sz w:val="20"/>
    </w:rPr>
  </w:style>
  <w:style w:type="character" w:customStyle="1" w:styleId="BodyTextChar">
    <w:name w:val="Body Text Char"/>
    <w:basedOn w:val="DefaultParagraphFont"/>
    <w:link w:val="BodyText"/>
    <w:rsid w:val="0051079B"/>
    <w:rPr>
      <w:color w:val="373737"/>
      <w:sz w:val="20"/>
    </w:rPr>
  </w:style>
  <w:style w:type="paragraph" w:styleId="Subtitle">
    <w:name w:val="Subtitle"/>
    <w:basedOn w:val="Normal"/>
    <w:next w:val="Normal"/>
    <w:link w:val="SubtitleChar"/>
    <w:rsid w:val="009F2590"/>
    <w:pPr>
      <w:numPr>
        <w:ilvl w:val="1"/>
      </w:numPr>
      <w:ind w:left="2160"/>
    </w:pPr>
    <w:rPr>
      <w:rFonts w:asciiTheme="majorHAnsi" w:eastAsiaTheme="majorEastAsia" w:hAnsiTheme="majorHAnsi" w:cstheme="majorBidi"/>
      <w:i/>
      <w:iCs/>
      <w:color w:val="005CAF" w:themeColor="accent1"/>
      <w:spacing w:val="15"/>
      <w:sz w:val="24"/>
      <w:szCs w:val="24"/>
    </w:rPr>
  </w:style>
  <w:style w:type="character" w:customStyle="1" w:styleId="SubtitleChar">
    <w:name w:val="Subtitle Char"/>
    <w:basedOn w:val="DefaultParagraphFont"/>
    <w:link w:val="Subtitle"/>
    <w:rsid w:val="009F2590"/>
    <w:rPr>
      <w:rFonts w:asciiTheme="majorHAnsi" w:eastAsiaTheme="majorEastAsia" w:hAnsiTheme="majorHAnsi" w:cstheme="majorBidi"/>
      <w:i/>
      <w:iCs/>
      <w:color w:val="005CAF" w:themeColor="accent1"/>
      <w:spacing w:val="15"/>
      <w:sz w:val="24"/>
      <w:szCs w:val="24"/>
    </w:rPr>
  </w:style>
  <w:style w:type="character" w:styleId="Hyperlink">
    <w:name w:val="Hyperlink"/>
    <w:uiPriority w:val="99"/>
    <w:rsid w:val="00F07260"/>
    <w:rPr>
      <w:color w:val="005CAF"/>
      <w:u w:val="none"/>
    </w:rPr>
  </w:style>
  <w:style w:type="table" w:styleId="Table3Deffects1">
    <w:name w:val="Table 3D effects 1"/>
    <w:basedOn w:val="TableNormal"/>
    <w:rsid w:val="009F2590"/>
    <w:rPr>
      <w:rFonts w:eastAsia="Times New Roman"/>
      <w:lang w:eastAsia="en-AU"/>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paragraph" w:styleId="BalloonText">
    <w:name w:val="Balloon Text"/>
    <w:basedOn w:val="Normal"/>
    <w:link w:val="BalloonTextChar"/>
    <w:rsid w:val="009F2590"/>
    <w:rPr>
      <w:rFonts w:ascii="Tahoma" w:eastAsia="Times New Roman" w:hAnsi="Tahoma" w:cs="Tahoma"/>
      <w:sz w:val="16"/>
      <w:szCs w:val="16"/>
    </w:rPr>
  </w:style>
  <w:style w:type="character" w:customStyle="1" w:styleId="BalloonTextChar">
    <w:name w:val="Balloon Text Char"/>
    <w:basedOn w:val="DefaultParagraphFont"/>
    <w:link w:val="BalloonText"/>
    <w:rsid w:val="009F2590"/>
    <w:rPr>
      <w:rFonts w:ascii="Tahoma" w:eastAsia="Times New Roman" w:hAnsi="Tahoma" w:cs="Tahoma"/>
      <w:color w:val="595A5B"/>
      <w:sz w:val="16"/>
      <w:szCs w:val="16"/>
    </w:rPr>
  </w:style>
  <w:style w:type="table" w:styleId="TableGrid">
    <w:name w:val="Table Grid"/>
    <w:basedOn w:val="TableNormal"/>
    <w:uiPriority w:val="39"/>
    <w:rsid w:val="009F2590"/>
    <w:rPr>
      <w:rFonts w:eastAsia="Times New Roman"/>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8F3372"/>
    <w:rPr>
      <w:color w:val="808080"/>
    </w:rPr>
  </w:style>
  <w:style w:type="table" w:styleId="MediumGrid3-Accent1">
    <w:name w:val="Medium Grid 3 Accent 1"/>
    <w:basedOn w:val="TableNormal"/>
    <w:uiPriority w:val="69"/>
    <w:rsid w:val="009F2590"/>
    <w:rPr>
      <w:rFonts w:eastAsia="Times New Roman"/>
      <w:lang w:eastAsia="en-AU"/>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ACD7FF"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5CAF"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5CAF"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5CAF"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5CAF"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58AFFF"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58AFFF" w:themeFill="accent1" w:themeFillTint="7F"/>
      </w:tcPr>
    </w:tblStylePr>
  </w:style>
  <w:style w:type="table" w:styleId="ColorfulGrid-Accent1">
    <w:name w:val="Colorful Grid Accent 1"/>
    <w:basedOn w:val="TableNormal"/>
    <w:uiPriority w:val="73"/>
    <w:rsid w:val="009F2590"/>
    <w:rPr>
      <w:rFonts w:eastAsia="Times New Roman"/>
      <w:color w:val="373737" w:themeColor="text1"/>
      <w:lang w:eastAsia="en-AU"/>
    </w:rPr>
    <w:tblPr>
      <w:tblStyleRowBandSize w:val="1"/>
      <w:tblStyleColBandSize w:val="1"/>
      <w:tblBorders>
        <w:insideH w:val="single" w:sz="4" w:space="0" w:color="FFFFFF" w:themeColor="background1"/>
      </w:tblBorders>
    </w:tblPr>
    <w:tcPr>
      <w:shd w:val="clear" w:color="auto" w:fill="BCDFFF" w:themeFill="accent1" w:themeFillTint="33"/>
    </w:tcPr>
    <w:tblStylePr w:type="firstRow">
      <w:rPr>
        <w:b/>
        <w:bCs/>
      </w:rPr>
      <w:tblPr/>
      <w:tcPr>
        <w:shd w:val="clear" w:color="auto" w:fill="79BFFF" w:themeFill="accent1" w:themeFillTint="66"/>
      </w:tcPr>
    </w:tblStylePr>
    <w:tblStylePr w:type="lastRow">
      <w:rPr>
        <w:b/>
        <w:bCs/>
        <w:color w:val="373737" w:themeColor="text1"/>
      </w:rPr>
      <w:tblPr/>
      <w:tcPr>
        <w:shd w:val="clear" w:color="auto" w:fill="79BFFF" w:themeFill="accent1" w:themeFillTint="66"/>
      </w:tcPr>
    </w:tblStylePr>
    <w:tblStylePr w:type="firstCol">
      <w:rPr>
        <w:color w:val="FFFFFF" w:themeColor="background1"/>
      </w:rPr>
      <w:tblPr/>
      <w:tcPr>
        <w:shd w:val="clear" w:color="auto" w:fill="004483" w:themeFill="accent1" w:themeFillShade="BF"/>
      </w:tcPr>
    </w:tblStylePr>
    <w:tblStylePr w:type="lastCol">
      <w:rPr>
        <w:color w:val="FFFFFF" w:themeColor="background1"/>
      </w:rPr>
      <w:tblPr/>
      <w:tcPr>
        <w:shd w:val="clear" w:color="auto" w:fill="004483" w:themeFill="accent1" w:themeFillShade="BF"/>
      </w:tcPr>
    </w:tblStylePr>
    <w:tblStylePr w:type="band1Vert">
      <w:tblPr/>
      <w:tcPr>
        <w:shd w:val="clear" w:color="auto" w:fill="58AFFF" w:themeFill="accent1" w:themeFillTint="7F"/>
      </w:tcPr>
    </w:tblStylePr>
    <w:tblStylePr w:type="band1Horz">
      <w:tblPr/>
      <w:tcPr>
        <w:shd w:val="clear" w:color="auto" w:fill="58AFFF" w:themeFill="accent1" w:themeFillTint="7F"/>
      </w:tcPr>
    </w:tblStylePr>
  </w:style>
  <w:style w:type="character" w:styleId="IntenseEmphasis">
    <w:name w:val="Intense Emphasis"/>
    <w:basedOn w:val="DefaultParagraphFont"/>
    <w:uiPriority w:val="21"/>
    <w:rsid w:val="009F2590"/>
    <w:rPr>
      <w:b/>
      <w:bCs/>
      <w:i/>
      <w:iCs/>
      <w:color w:val="005CAF" w:themeColor="accent1"/>
    </w:rPr>
  </w:style>
  <w:style w:type="paragraph" w:styleId="Bibliography">
    <w:name w:val="Bibliography"/>
    <w:basedOn w:val="Normal"/>
    <w:next w:val="Normal"/>
    <w:uiPriority w:val="37"/>
    <w:unhideWhenUsed/>
    <w:rsid w:val="009F2590"/>
    <w:rPr>
      <w:rFonts w:eastAsia="Times New Roman"/>
    </w:rPr>
  </w:style>
  <w:style w:type="paragraph" w:styleId="TOCHeading">
    <w:name w:val="TOC Heading"/>
    <w:basedOn w:val="Heading1"/>
    <w:next w:val="Normal"/>
    <w:uiPriority w:val="39"/>
    <w:unhideWhenUsed/>
    <w:qFormat/>
    <w:rsid w:val="008F3372"/>
    <w:pPr>
      <w:keepLines/>
      <w:spacing w:before="480" w:after="0" w:line="276" w:lineRule="auto"/>
      <w:outlineLvl w:val="9"/>
    </w:pPr>
    <w:rPr>
      <w:rFonts w:eastAsiaTheme="majorEastAsia" w:cstheme="majorBidi"/>
      <w:color w:val="004483" w:themeColor="accent1" w:themeShade="BF"/>
      <w:kern w:val="0"/>
      <w:sz w:val="28"/>
      <w:szCs w:val="28"/>
      <w:lang w:eastAsia="ja-JP"/>
    </w:rPr>
  </w:style>
  <w:style w:type="table" w:styleId="Table3Deffects2">
    <w:name w:val="Table 3D effects 2"/>
    <w:basedOn w:val="TableNormal"/>
    <w:rsid w:val="009F2590"/>
    <w:rPr>
      <w:rFonts w:eastAsia="Times New Roman"/>
      <w:lang w:eastAsia="en-AU"/>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OCEHeadings">
    <w:name w:val="OCE Headings"/>
    <w:uiPriority w:val="99"/>
    <w:rsid w:val="0001161C"/>
    <w:pPr>
      <w:numPr>
        <w:numId w:val="3"/>
      </w:numPr>
    </w:pPr>
  </w:style>
  <w:style w:type="character" w:customStyle="1" w:styleId="Heading4Char">
    <w:name w:val="Heading 4 Char"/>
    <w:basedOn w:val="DefaultParagraphFont"/>
    <w:link w:val="Heading4"/>
    <w:uiPriority w:val="9"/>
    <w:rsid w:val="009F2590"/>
    <w:rPr>
      <w:rFonts w:asciiTheme="majorHAnsi" w:eastAsiaTheme="majorEastAsia" w:hAnsiTheme="majorHAnsi" w:cstheme="majorBidi"/>
      <w:b/>
      <w:bCs/>
      <w:i/>
      <w:iCs/>
      <w:sz w:val="20"/>
    </w:rPr>
  </w:style>
  <w:style w:type="character" w:customStyle="1" w:styleId="Heading6Char">
    <w:name w:val="Heading 6 Char"/>
    <w:basedOn w:val="DefaultParagraphFont"/>
    <w:link w:val="Heading6"/>
    <w:uiPriority w:val="1"/>
    <w:rsid w:val="002C7B38"/>
    <w:rPr>
      <w:rFonts w:asciiTheme="majorHAnsi" w:eastAsiaTheme="majorEastAsia" w:hAnsiTheme="majorHAnsi" w:cstheme="majorBidi"/>
      <w:b/>
      <w:iCs/>
      <w:color w:val="005CAF"/>
      <w:sz w:val="32"/>
    </w:rPr>
  </w:style>
  <w:style w:type="paragraph" w:styleId="ListParagraph">
    <w:name w:val="List Paragraph"/>
    <w:basedOn w:val="ListBullet"/>
    <w:link w:val="ListParagraphChar"/>
    <w:uiPriority w:val="34"/>
    <w:qFormat/>
    <w:rsid w:val="009F2590"/>
    <w:rPr>
      <w:lang w:val="en"/>
    </w:rPr>
  </w:style>
  <w:style w:type="character" w:customStyle="1" w:styleId="ListParagraphChar">
    <w:name w:val="List Paragraph Char"/>
    <w:basedOn w:val="DefaultParagraphFont"/>
    <w:link w:val="ListParagraph"/>
    <w:uiPriority w:val="34"/>
    <w:rsid w:val="009F2590"/>
    <w:rPr>
      <w:color w:val="373737"/>
      <w:sz w:val="20"/>
      <w:lang w:val="en"/>
    </w:rPr>
  </w:style>
  <w:style w:type="numbering" w:customStyle="1" w:styleId="OCEBulletedList">
    <w:name w:val="OCE Bulleted List"/>
    <w:uiPriority w:val="99"/>
    <w:rsid w:val="000B2DFC"/>
    <w:pPr>
      <w:numPr>
        <w:numId w:val="4"/>
      </w:numPr>
    </w:pPr>
  </w:style>
  <w:style w:type="paragraph" w:styleId="ListBullet">
    <w:name w:val="List Bullet"/>
    <w:basedOn w:val="BodyText"/>
    <w:uiPriority w:val="4"/>
    <w:qFormat/>
    <w:rsid w:val="000B2DFC"/>
    <w:pPr>
      <w:spacing w:after="120"/>
      <w:ind w:left="340" w:hanging="340"/>
    </w:pPr>
  </w:style>
  <w:style w:type="paragraph" w:styleId="ListContinue2">
    <w:name w:val="List Continue 2"/>
    <w:basedOn w:val="Normal"/>
    <w:rsid w:val="009F2590"/>
    <w:pPr>
      <w:spacing w:after="120"/>
      <w:ind w:left="566"/>
      <w:contextualSpacing/>
    </w:pPr>
  </w:style>
  <w:style w:type="paragraph" w:styleId="ListBullet2">
    <w:name w:val="List Bullet 2"/>
    <w:basedOn w:val="ListBullet"/>
    <w:uiPriority w:val="4"/>
    <w:qFormat/>
    <w:rsid w:val="00D77D5B"/>
    <w:pPr>
      <w:ind w:left="1050"/>
    </w:pPr>
  </w:style>
  <w:style w:type="paragraph" w:styleId="ListBullet4">
    <w:name w:val="List Bullet 4"/>
    <w:basedOn w:val="ListBullet3"/>
    <w:rsid w:val="00E12B1D"/>
    <w:pPr>
      <w:ind w:left="1134" w:firstLine="0"/>
    </w:pPr>
  </w:style>
  <w:style w:type="paragraph" w:styleId="ListBullet3">
    <w:name w:val="List Bullet 3"/>
    <w:basedOn w:val="ListBullet2"/>
    <w:uiPriority w:val="4"/>
    <w:qFormat/>
    <w:rsid w:val="00E2785A"/>
    <w:pPr>
      <w:ind w:left="964" w:hanging="255"/>
    </w:pPr>
  </w:style>
  <w:style w:type="paragraph" w:styleId="ListNumber">
    <w:name w:val="List Number"/>
    <w:basedOn w:val="Normal"/>
    <w:uiPriority w:val="4"/>
    <w:qFormat/>
    <w:rsid w:val="004C7203"/>
    <w:pPr>
      <w:numPr>
        <w:numId w:val="16"/>
      </w:numPr>
      <w:spacing w:after="120"/>
    </w:pPr>
  </w:style>
  <w:style w:type="paragraph" w:styleId="ListNumber2">
    <w:name w:val="List Number 2"/>
    <w:basedOn w:val="ListNumber"/>
    <w:uiPriority w:val="4"/>
    <w:qFormat/>
    <w:rsid w:val="00070749"/>
    <w:pPr>
      <w:numPr>
        <w:ilvl w:val="1"/>
      </w:numPr>
    </w:pPr>
  </w:style>
  <w:style w:type="paragraph" w:styleId="ListNumber3">
    <w:name w:val="List Number 3"/>
    <w:basedOn w:val="ListNumber2"/>
    <w:uiPriority w:val="4"/>
    <w:qFormat/>
    <w:rsid w:val="00070749"/>
    <w:pPr>
      <w:numPr>
        <w:ilvl w:val="2"/>
      </w:numPr>
    </w:pPr>
  </w:style>
  <w:style w:type="character" w:customStyle="1" w:styleId="Heading7Char">
    <w:name w:val="Heading 7 Char"/>
    <w:basedOn w:val="DefaultParagraphFont"/>
    <w:link w:val="Heading7"/>
    <w:uiPriority w:val="1"/>
    <w:rsid w:val="002C7B38"/>
    <w:rPr>
      <w:rFonts w:asciiTheme="majorHAnsi" w:eastAsiaTheme="majorEastAsia" w:hAnsiTheme="majorHAnsi" w:cstheme="majorBidi"/>
      <w:b/>
      <w:iCs/>
      <w:color w:val="56B4DF"/>
    </w:rPr>
  </w:style>
  <w:style w:type="paragraph" w:styleId="BodyTextFirstIndent">
    <w:name w:val="Body Text First Indent"/>
    <w:basedOn w:val="BodyText"/>
    <w:link w:val="BodyTextFirstIndentChar"/>
    <w:semiHidden/>
    <w:rsid w:val="008F3372"/>
    <w:pPr>
      <w:ind w:firstLine="360"/>
    </w:pPr>
    <w:rPr>
      <w:rFonts w:ascii="Arial" w:hAnsi="Arial"/>
    </w:rPr>
  </w:style>
  <w:style w:type="character" w:customStyle="1" w:styleId="BodyTextFirstIndentChar">
    <w:name w:val="Body Text First Indent Char"/>
    <w:basedOn w:val="BodyTextChar"/>
    <w:link w:val="BodyTextFirstIndent"/>
    <w:semiHidden/>
    <w:rsid w:val="008F3372"/>
    <w:rPr>
      <w:rFonts w:ascii="Arial" w:hAnsi="Arial"/>
      <w:color w:val="595A5B"/>
      <w:sz w:val="20"/>
    </w:rPr>
  </w:style>
  <w:style w:type="paragraph" w:styleId="BodyTextIndent">
    <w:name w:val="Body Text Indent"/>
    <w:basedOn w:val="Normal"/>
    <w:link w:val="BodyTextIndentChar"/>
    <w:semiHidden/>
    <w:unhideWhenUsed/>
    <w:rsid w:val="008F3372"/>
    <w:pPr>
      <w:spacing w:after="120"/>
      <w:ind w:left="283"/>
    </w:pPr>
  </w:style>
  <w:style w:type="character" w:customStyle="1" w:styleId="BodyTextIndentChar">
    <w:name w:val="Body Text Indent Char"/>
    <w:basedOn w:val="DefaultParagraphFont"/>
    <w:link w:val="BodyTextIndent"/>
    <w:semiHidden/>
    <w:rsid w:val="008F3372"/>
    <w:rPr>
      <w:rFonts w:ascii="Arial" w:hAnsi="Arial"/>
      <w:color w:val="595A5B"/>
      <w:sz w:val="20"/>
    </w:rPr>
  </w:style>
  <w:style w:type="paragraph" w:styleId="BodyTextFirstIndent2">
    <w:name w:val="Body Text First Indent 2"/>
    <w:basedOn w:val="BodyTextIndent"/>
    <w:link w:val="BodyTextFirstIndent2Char"/>
    <w:semiHidden/>
    <w:rsid w:val="008F3372"/>
    <w:pPr>
      <w:spacing w:after="180"/>
      <w:ind w:left="360" w:firstLine="360"/>
    </w:pPr>
  </w:style>
  <w:style w:type="character" w:customStyle="1" w:styleId="BodyTextFirstIndent2Char">
    <w:name w:val="Body Text First Indent 2 Char"/>
    <w:basedOn w:val="BodyTextIndentChar"/>
    <w:link w:val="BodyTextFirstIndent2"/>
    <w:semiHidden/>
    <w:rsid w:val="008F3372"/>
    <w:rPr>
      <w:rFonts w:ascii="Arial" w:hAnsi="Arial"/>
      <w:color w:val="595A5B"/>
      <w:sz w:val="20"/>
    </w:rPr>
  </w:style>
  <w:style w:type="character" w:customStyle="1" w:styleId="Heading8Char">
    <w:name w:val="Heading 8 Char"/>
    <w:basedOn w:val="DefaultParagraphFont"/>
    <w:link w:val="Heading8"/>
    <w:uiPriority w:val="1"/>
    <w:rsid w:val="002C7B38"/>
    <w:rPr>
      <w:rFonts w:asciiTheme="majorHAnsi" w:eastAsiaTheme="majorEastAsia" w:hAnsiTheme="majorHAnsi" w:cstheme="majorBidi"/>
      <w:color w:val="005CAF"/>
      <w:szCs w:val="20"/>
    </w:rPr>
  </w:style>
  <w:style w:type="paragraph" w:customStyle="1" w:styleId="Source">
    <w:name w:val="Source"/>
    <w:basedOn w:val="Normal"/>
    <w:next w:val="BodyText"/>
    <w:link w:val="SourceChar"/>
    <w:qFormat/>
    <w:rsid w:val="00F228DB"/>
    <w:pPr>
      <w:keepLines/>
      <w:pBdr>
        <w:bottom w:val="single" w:sz="4" w:space="1" w:color="595A5B"/>
      </w:pBdr>
      <w:spacing w:before="60" w:after="360" w:line="270" w:lineRule="exact"/>
    </w:pPr>
    <w:rPr>
      <w:rFonts w:eastAsia="Times New Roman" w:cs="Arial"/>
      <w:color w:val="005CAF"/>
      <w:sz w:val="16"/>
      <w:szCs w:val="20"/>
      <w:lang w:val="en"/>
    </w:rPr>
  </w:style>
  <w:style w:type="character" w:customStyle="1" w:styleId="SourceChar">
    <w:name w:val="Source Char"/>
    <w:basedOn w:val="DefaultParagraphFont"/>
    <w:link w:val="Source"/>
    <w:rsid w:val="00F228DB"/>
    <w:rPr>
      <w:rFonts w:ascii="Arial" w:eastAsia="Times New Roman" w:hAnsi="Arial" w:cs="Arial"/>
      <w:color w:val="005CAF"/>
      <w:sz w:val="16"/>
      <w:szCs w:val="20"/>
      <w:lang w:val="en"/>
    </w:rPr>
  </w:style>
  <w:style w:type="paragraph" w:customStyle="1" w:styleId="Tabletext">
    <w:name w:val="Table text"/>
    <w:basedOn w:val="Normal"/>
    <w:link w:val="TabletextChar"/>
    <w:qFormat/>
    <w:rsid w:val="00F228DB"/>
    <w:pPr>
      <w:keepNext/>
      <w:keepLines/>
      <w:spacing w:before="60" w:after="60" w:line="240" w:lineRule="auto"/>
    </w:pPr>
    <w:rPr>
      <w:rFonts w:cs="Arial"/>
      <w:sz w:val="18"/>
      <w:szCs w:val="18"/>
    </w:rPr>
  </w:style>
  <w:style w:type="character" w:customStyle="1" w:styleId="TabletextChar">
    <w:name w:val="Table text Char"/>
    <w:basedOn w:val="DefaultParagraphFont"/>
    <w:link w:val="Tabletext"/>
    <w:rsid w:val="00F228DB"/>
    <w:rPr>
      <w:rFonts w:ascii="Arial" w:hAnsi="Arial" w:cs="Arial"/>
      <w:color w:val="373737"/>
      <w:sz w:val="18"/>
      <w:szCs w:val="18"/>
    </w:rPr>
  </w:style>
  <w:style w:type="paragraph" w:customStyle="1" w:styleId="Tableheader">
    <w:name w:val="Table header"/>
    <w:basedOn w:val="Normal"/>
    <w:link w:val="TableheaderChar"/>
    <w:qFormat/>
    <w:rsid w:val="004812C0"/>
    <w:pPr>
      <w:keepNext/>
      <w:spacing w:before="120" w:after="120" w:line="240" w:lineRule="auto"/>
    </w:pPr>
    <w:rPr>
      <w:rFonts w:cs="Arial"/>
      <w:b/>
      <w:color w:val="FFFFFF"/>
      <w:sz w:val="18"/>
      <w:szCs w:val="18"/>
    </w:rPr>
  </w:style>
  <w:style w:type="character" w:customStyle="1" w:styleId="TableheaderChar">
    <w:name w:val="Table header Char"/>
    <w:basedOn w:val="DefaultParagraphFont"/>
    <w:link w:val="Tableheader"/>
    <w:rsid w:val="004812C0"/>
    <w:rPr>
      <w:rFonts w:ascii="Arial" w:hAnsi="Arial" w:cs="Arial"/>
      <w:b/>
      <w:color w:val="FFFFFF"/>
      <w:sz w:val="18"/>
      <w:szCs w:val="18"/>
    </w:rPr>
  </w:style>
  <w:style w:type="paragraph" w:styleId="Caption">
    <w:name w:val="caption"/>
    <w:basedOn w:val="Normal"/>
    <w:next w:val="Placeholder"/>
    <w:rsid w:val="004812C0"/>
    <w:pPr>
      <w:keepNext/>
      <w:keepLines/>
      <w:pBdr>
        <w:top w:val="single" w:sz="2" w:space="1" w:color="595A5B"/>
      </w:pBdr>
      <w:spacing w:before="360" w:after="240" w:line="240" w:lineRule="atLeast"/>
    </w:pPr>
    <w:rPr>
      <w:bCs/>
      <w:color w:val="005CAF"/>
      <w:sz w:val="18"/>
      <w:szCs w:val="18"/>
    </w:rPr>
  </w:style>
  <w:style w:type="paragraph" w:customStyle="1" w:styleId="Note">
    <w:name w:val="Note"/>
    <w:basedOn w:val="Source"/>
    <w:rsid w:val="00300738"/>
    <w:pPr>
      <w:keepNext/>
      <w:pBdr>
        <w:bottom w:val="none" w:sz="0" w:space="0" w:color="auto"/>
      </w:pBdr>
      <w:spacing w:after="60"/>
    </w:pPr>
  </w:style>
  <w:style w:type="table" w:customStyle="1" w:styleId="OCETable">
    <w:name w:val="OCE Table"/>
    <w:basedOn w:val="TableNormal"/>
    <w:uiPriority w:val="99"/>
    <w:rsid w:val="00FE4A3C"/>
    <w:pPr>
      <w:spacing w:after="0" w:line="240" w:lineRule="auto"/>
    </w:pPr>
    <w:rPr>
      <w:color w:val="373737"/>
      <w:sz w:val="18"/>
    </w:rPr>
    <w:tblPr>
      <w:tblStyleRowBandSize w:val="1"/>
    </w:tblPr>
    <w:tcPr>
      <w:shd w:val="clear" w:color="auto" w:fill="CAE7F3"/>
    </w:tcPr>
    <w:tblStylePr w:type="firstRow">
      <w:rPr>
        <w:rFonts w:asciiTheme="minorHAnsi" w:hAnsiTheme="minorHAnsi"/>
        <w:b w:val="0"/>
        <w:i w:val="0"/>
        <w:color w:val="FFFFFF"/>
        <w:sz w:val="18"/>
      </w:rPr>
      <w:tblPr/>
      <w:tcPr>
        <w:tcBorders>
          <w:top w:val="nil"/>
          <w:left w:val="nil"/>
          <w:bottom w:val="nil"/>
          <w:right w:val="nil"/>
          <w:insideH w:val="nil"/>
          <w:insideV w:val="nil"/>
          <w:tl2br w:val="nil"/>
          <w:tr2bl w:val="nil"/>
        </w:tcBorders>
        <w:shd w:val="clear" w:color="auto" w:fill="005CAF"/>
      </w:tcPr>
    </w:tblStylePr>
    <w:tblStylePr w:type="band1Horz">
      <w:tblPr/>
      <w:tcPr>
        <w:shd w:val="clear" w:color="auto" w:fill="DEE8F1"/>
      </w:tcPr>
    </w:tblStylePr>
    <w:tblStylePr w:type="band2Horz">
      <w:tblPr/>
      <w:tcPr>
        <w:shd w:val="clear" w:color="auto" w:fill="FFFFFF" w:themeFill="background1"/>
      </w:tcPr>
    </w:tblStylePr>
  </w:style>
  <w:style w:type="paragraph" w:customStyle="1" w:styleId="CaptionWide">
    <w:name w:val="Caption Wide"/>
    <w:basedOn w:val="Caption"/>
    <w:next w:val="PlaceholderWide"/>
    <w:rsid w:val="00382BE7"/>
    <w:pPr>
      <w:ind w:left="-1985"/>
    </w:pPr>
  </w:style>
  <w:style w:type="paragraph" w:customStyle="1" w:styleId="NoteWide">
    <w:name w:val="Note Wide"/>
    <w:basedOn w:val="Note"/>
    <w:rsid w:val="00114BB1"/>
    <w:pPr>
      <w:ind w:left="-1985"/>
    </w:pPr>
  </w:style>
  <w:style w:type="paragraph" w:customStyle="1" w:styleId="SourceWide">
    <w:name w:val="Source Wide"/>
    <w:basedOn w:val="Source"/>
    <w:next w:val="BodyText"/>
    <w:rsid w:val="00114BB1"/>
    <w:pPr>
      <w:ind w:left="-1985"/>
    </w:pPr>
  </w:style>
  <w:style w:type="paragraph" w:customStyle="1" w:styleId="Placeholder">
    <w:name w:val="Placeholder"/>
    <w:basedOn w:val="Normal"/>
    <w:rsid w:val="000C19CB"/>
    <w:pPr>
      <w:keepNext/>
      <w:keepLines/>
      <w:spacing w:after="0" w:line="240" w:lineRule="auto"/>
      <w:jc w:val="center"/>
    </w:pPr>
    <w:rPr>
      <w:sz w:val="18"/>
    </w:rPr>
  </w:style>
  <w:style w:type="paragraph" w:customStyle="1" w:styleId="PlaceholderWide">
    <w:name w:val="Placeholder Wide"/>
    <w:basedOn w:val="Placeholder"/>
    <w:rsid w:val="000C19CB"/>
  </w:style>
  <w:style w:type="paragraph" w:customStyle="1" w:styleId="Boxtext">
    <w:name w:val="Box text"/>
    <w:basedOn w:val="Placeholder"/>
    <w:rsid w:val="000C19CB"/>
    <w:pPr>
      <w:spacing w:before="120" w:after="120" w:line="260" w:lineRule="atLeast"/>
      <w:jc w:val="left"/>
    </w:pPr>
    <w:rPr>
      <w:rFonts w:eastAsia="Times New Roman" w:cs="Arial"/>
      <w:szCs w:val="18"/>
      <w:lang w:val="en"/>
    </w:rPr>
  </w:style>
  <w:style w:type="numbering" w:customStyle="1" w:styleId="OCENumberedList">
    <w:name w:val="OCE Numbered List"/>
    <w:uiPriority w:val="99"/>
    <w:rsid w:val="00070749"/>
    <w:pPr>
      <w:numPr>
        <w:numId w:val="5"/>
      </w:numPr>
    </w:pPr>
  </w:style>
  <w:style w:type="paragraph" w:customStyle="1" w:styleId="UnnumberedHeading">
    <w:name w:val="Unnumbered Heading"/>
    <w:next w:val="BodyText"/>
    <w:link w:val="UnnumberedHeadingChar"/>
    <w:rsid w:val="004F3AB0"/>
    <w:pPr>
      <w:keepNext/>
      <w:spacing w:before="300" w:after="180" w:line="280" w:lineRule="exact"/>
    </w:pPr>
    <w:rPr>
      <w:rFonts w:ascii="Arial" w:eastAsia="Times New Roman" w:hAnsi="Arial" w:cs="Times New Roman"/>
      <w:b/>
      <w:color w:val="005CAF"/>
      <w:kern w:val="32"/>
      <w:sz w:val="32"/>
      <w:szCs w:val="20"/>
    </w:rPr>
  </w:style>
  <w:style w:type="character" w:customStyle="1" w:styleId="UnnumberedHeadingChar">
    <w:name w:val="Unnumbered Heading Char"/>
    <w:basedOn w:val="Heading1Char"/>
    <w:link w:val="UnnumberedHeading"/>
    <w:rsid w:val="004F3AB0"/>
    <w:rPr>
      <w:rFonts w:ascii="Arial" w:eastAsia="Times New Roman" w:hAnsi="Arial" w:cs="Times New Roman"/>
      <w:b/>
      <w:bCs w:val="0"/>
      <w:color w:val="005CAF"/>
      <w:kern w:val="32"/>
      <w:sz w:val="32"/>
      <w:szCs w:val="20"/>
    </w:rPr>
  </w:style>
  <w:style w:type="paragraph" w:styleId="Title">
    <w:name w:val="Title"/>
    <w:basedOn w:val="ResearchPaper"/>
    <w:next w:val="Normal"/>
    <w:link w:val="TitleChar"/>
    <w:rsid w:val="009F2590"/>
    <w:pPr>
      <w:spacing w:before="600" w:after="600" w:line="240" w:lineRule="auto"/>
    </w:pPr>
    <w:rPr>
      <w:rFonts w:asciiTheme="majorHAnsi" w:hAnsiTheme="majorHAnsi"/>
      <w:b w:val="0"/>
      <w:color w:val="22789A"/>
      <w:sz w:val="72"/>
    </w:rPr>
  </w:style>
  <w:style w:type="character" w:customStyle="1" w:styleId="TitleChar">
    <w:name w:val="Title Char"/>
    <w:basedOn w:val="DefaultParagraphFont"/>
    <w:link w:val="Title"/>
    <w:rsid w:val="009F2590"/>
    <w:rPr>
      <w:rFonts w:asciiTheme="majorHAnsi" w:eastAsia="Times New Roman" w:hAnsiTheme="majorHAnsi" w:cs="Arial"/>
      <w:caps/>
      <w:color w:val="22789A"/>
      <w:sz w:val="72"/>
      <w:szCs w:val="20"/>
    </w:rPr>
  </w:style>
  <w:style w:type="paragraph" w:customStyle="1" w:styleId="ResearchPaper">
    <w:name w:val="Research Paper #"/>
    <w:basedOn w:val="CoverNormal"/>
    <w:next w:val="CoverNormal"/>
    <w:link w:val="ResearchPaperChar"/>
    <w:rsid w:val="009F2590"/>
    <w:pPr>
      <w:spacing w:before="240" w:line="270" w:lineRule="exact"/>
    </w:pPr>
    <w:rPr>
      <w:rFonts w:eastAsia="Times New Roman" w:cs="Arial"/>
      <w:b/>
      <w:caps/>
      <w:sz w:val="21"/>
      <w:szCs w:val="20"/>
    </w:rPr>
  </w:style>
  <w:style w:type="character" w:customStyle="1" w:styleId="ResearchPaperChar">
    <w:name w:val="Research Paper # Char"/>
    <w:link w:val="ResearchPaper"/>
    <w:rsid w:val="009F2590"/>
    <w:rPr>
      <w:rFonts w:eastAsia="Times New Roman" w:cs="Arial"/>
      <w:b/>
      <w:caps/>
      <w:color w:val="595A5B"/>
      <w:sz w:val="21"/>
      <w:szCs w:val="20"/>
    </w:rPr>
  </w:style>
  <w:style w:type="paragraph" w:customStyle="1" w:styleId="Author">
    <w:name w:val="Author"/>
    <w:basedOn w:val="Normal"/>
    <w:link w:val="AuthorChar"/>
    <w:rsid w:val="00F20A86"/>
    <w:pPr>
      <w:spacing w:before="180" w:line="270" w:lineRule="exact"/>
    </w:pPr>
    <w:rPr>
      <w:rFonts w:eastAsia="Times New Roman" w:cs="Arial"/>
      <w:b/>
      <w:color w:val="005CAF"/>
      <w:sz w:val="32"/>
      <w:szCs w:val="20"/>
    </w:rPr>
  </w:style>
  <w:style w:type="character" w:customStyle="1" w:styleId="AuthorChar">
    <w:name w:val="Author Char"/>
    <w:basedOn w:val="DefaultParagraphFont"/>
    <w:link w:val="Author"/>
    <w:rsid w:val="00F20A86"/>
    <w:rPr>
      <w:rFonts w:ascii="Arial" w:eastAsia="Times New Roman" w:hAnsi="Arial" w:cs="Arial"/>
      <w:b/>
      <w:color w:val="005CAF"/>
      <w:sz w:val="32"/>
      <w:szCs w:val="20"/>
    </w:rPr>
  </w:style>
  <w:style w:type="paragraph" w:customStyle="1" w:styleId="MonthYear">
    <w:name w:val="Month Year"/>
    <w:basedOn w:val="Normal"/>
    <w:link w:val="MonthYearChar"/>
    <w:qFormat/>
    <w:rsid w:val="00F20A86"/>
    <w:pPr>
      <w:spacing w:before="720" w:line="270" w:lineRule="exact"/>
    </w:pPr>
    <w:rPr>
      <w:rFonts w:eastAsia="Times New Roman" w:cs="Arial"/>
      <w:b/>
      <w:color w:val="56B4DF"/>
      <w:szCs w:val="20"/>
    </w:rPr>
  </w:style>
  <w:style w:type="character" w:customStyle="1" w:styleId="MonthYearChar">
    <w:name w:val="Month Year Char"/>
    <w:basedOn w:val="DefaultParagraphFont"/>
    <w:link w:val="MonthYear"/>
    <w:rsid w:val="00F20A86"/>
    <w:rPr>
      <w:rFonts w:eastAsia="Times New Roman" w:cs="Arial"/>
      <w:b/>
      <w:color w:val="56B4DF"/>
      <w:sz w:val="20"/>
      <w:szCs w:val="20"/>
    </w:rPr>
  </w:style>
  <w:style w:type="paragraph" w:customStyle="1" w:styleId="AbstractHeader">
    <w:name w:val="Abstract Header"/>
    <w:basedOn w:val="Normal"/>
    <w:link w:val="AbstractHeaderChar"/>
    <w:qFormat/>
    <w:rsid w:val="00F20A86"/>
    <w:pPr>
      <w:spacing w:before="360" w:line="270" w:lineRule="exact"/>
    </w:pPr>
    <w:rPr>
      <w:rFonts w:eastAsia="Times New Roman" w:cs="Arial"/>
      <w:color w:val="005CAF"/>
      <w:sz w:val="32"/>
      <w:szCs w:val="20"/>
    </w:rPr>
  </w:style>
  <w:style w:type="character" w:customStyle="1" w:styleId="AbstractHeaderChar">
    <w:name w:val="Abstract Header Char"/>
    <w:basedOn w:val="DefaultParagraphFont"/>
    <w:link w:val="AbstractHeader"/>
    <w:rsid w:val="00F20A86"/>
    <w:rPr>
      <w:rFonts w:ascii="Arial" w:eastAsia="Times New Roman" w:hAnsi="Arial" w:cs="Arial"/>
      <w:color w:val="005CAF"/>
      <w:sz w:val="32"/>
      <w:szCs w:val="20"/>
    </w:rPr>
  </w:style>
  <w:style w:type="numbering" w:customStyle="1" w:styleId="EASDMultilevelList">
    <w:name w:val="EASD Multilevel List"/>
    <w:uiPriority w:val="99"/>
    <w:rsid w:val="009F2590"/>
    <w:pPr>
      <w:numPr>
        <w:numId w:val="6"/>
      </w:numPr>
    </w:pPr>
  </w:style>
  <w:style w:type="numbering" w:styleId="111111">
    <w:name w:val="Outline List 2"/>
    <w:basedOn w:val="NoList"/>
    <w:rsid w:val="009F2590"/>
    <w:pPr>
      <w:numPr>
        <w:numId w:val="2"/>
      </w:numPr>
    </w:pPr>
  </w:style>
  <w:style w:type="paragraph" w:customStyle="1" w:styleId="Abstractbodytext">
    <w:name w:val="Abstract body text"/>
    <w:basedOn w:val="CoverNormal"/>
    <w:link w:val="AbstractbodytextChar"/>
    <w:uiPriority w:val="9"/>
    <w:semiHidden/>
    <w:rsid w:val="008F3372"/>
    <w:pPr>
      <w:spacing w:before="60" w:after="60" w:line="270" w:lineRule="exact"/>
      <w:jc w:val="both"/>
    </w:pPr>
    <w:rPr>
      <w:rFonts w:eastAsia="Times New Roman" w:cs="Arial"/>
      <w:szCs w:val="20"/>
      <w:lang w:val="en"/>
    </w:rPr>
  </w:style>
  <w:style w:type="character" w:customStyle="1" w:styleId="AbstractbodytextChar">
    <w:name w:val="Abstract body text Char"/>
    <w:basedOn w:val="DefaultParagraphFont"/>
    <w:link w:val="Abstractbodytext"/>
    <w:uiPriority w:val="9"/>
    <w:semiHidden/>
    <w:rsid w:val="008F3372"/>
    <w:rPr>
      <w:rFonts w:eastAsia="Times New Roman" w:cs="Arial"/>
      <w:color w:val="595A5B"/>
      <w:sz w:val="20"/>
      <w:szCs w:val="20"/>
      <w:lang w:val="en"/>
    </w:rPr>
  </w:style>
  <w:style w:type="paragraph" w:customStyle="1" w:styleId="CoverNormal">
    <w:name w:val="Cover Normal"/>
    <w:rsid w:val="00F20A86"/>
    <w:pPr>
      <w:spacing w:line="240" w:lineRule="auto"/>
    </w:pPr>
    <w:rPr>
      <w:color w:val="373737"/>
      <w:sz w:val="20"/>
    </w:rPr>
  </w:style>
  <w:style w:type="paragraph" w:customStyle="1" w:styleId="TitleHeading">
    <w:name w:val="Title Heading"/>
    <w:link w:val="TitleHeadingChar"/>
    <w:qFormat/>
    <w:rsid w:val="003B7C70"/>
    <w:pPr>
      <w:keepNext/>
      <w:spacing w:before="600" w:after="600" w:line="240" w:lineRule="auto"/>
      <w:ind w:right="57"/>
    </w:pPr>
    <w:rPr>
      <w:rFonts w:ascii="Arial" w:eastAsia="Times New Roman" w:hAnsi="Arial" w:cs="Times New Roman"/>
      <w:color w:val="005CAF"/>
      <w:kern w:val="32"/>
      <w:sz w:val="72"/>
      <w:szCs w:val="20"/>
    </w:rPr>
  </w:style>
  <w:style w:type="character" w:customStyle="1" w:styleId="TitleHeadingChar">
    <w:name w:val="Title Heading Char"/>
    <w:basedOn w:val="Heading2Char"/>
    <w:link w:val="TitleHeading"/>
    <w:rsid w:val="003B7C70"/>
    <w:rPr>
      <w:rFonts w:ascii="Arial" w:eastAsia="Times New Roman" w:hAnsi="Arial" w:cs="Times New Roman"/>
      <w:b w:val="0"/>
      <w:iCs w:val="0"/>
      <w:color w:val="005CAF"/>
      <w:kern w:val="32"/>
      <w:sz w:val="72"/>
      <w:szCs w:val="20"/>
    </w:rPr>
  </w:style>
  <w:style w:type="paragraph" w:customStyle="1" w:styleId="Keypointsbullet">
    <w:name w:val="Key points bullet"/>
    <w:basedOn w:val="BodyText"/>
    <w:link w:val="KeypointsbulletChar"/>
    <w:qFormat/>
    <w:rsid w:val="00B766F7"/>
    <w:pPr>
      <w:numPr>
        <w:numId w:val="7"/>
      </w:numPr>
      <w:ind w:right="153"/>
    </w:pPr>
    <w:rPr>
      <w:rFonts w:eastAsia="Times New Roman" w:cs="Arial"/>
      <w:b/>
      <w:szCs w:val="20"/>
      <w:lang w:val="en"/>
    </w:rPr>
  </w:style>
  <w:style w:type="character" w:customStyle="1" w:styleId="KeypointsbulletChar">
    <w:name w:val="Key points bullet Char"/>
    <w:basedOn w:val="ListParagraphChar"/>
    <w:link w:val="Keypointsbullet"/>
    <w:rsid w:val="00B766F7"/>
    <w:rPr>
      <w:rFonts w:eastAsia="Times New Roman" w:cs="Arial"/>
      <w:b/>
      <w:color w:val="373737"/>
      <w:sz w:val="20"/>
      <w:szCs w:val="20"/>
      <w:lang w:val="en"/>
    </w:rPr>
  </w:style>
  <w:style w:type="paragraph" w:styleId="Header">
    <w:name w:val="header"/>
    <w:aliases w:val="HeaderPort"/>
    <w:basedOn w:val="Normal"/>
    <w:link w:val="HeaderChar"/>
    <w:unhideWhenUsed/>
    <w:rsid w:val="00E35ECE"/>
    <w:pPr>
      <w:spacing w:after="0" w:line="240" w:lineRule="auto"/>
    </w:pPr>
  </w:style>
  <w:style w:type="character" w:customStyle="1" w:styleId="HeaderChar">
    <w:name w:val="Header Char"/>
    <w:aliases w:val="HeaderPort Char"/>
    <w:basedOn w:val="DefaultParagraphFont"/>
    <w:link w:val="Header"/>
    <w:rsid w:val="00E35ECE"/>
    <w:rPr>
      <w:rFonts w:ascii="Arial" w:hAnsi="Arial"/>
      <w:color w:val="595A5B"/>
      <w:sz w:val="20"/>
    </w:rPr>
  </w:style>
  <w:style w:type="paragraph" w:customStyle="1" w:styleId="CoverAbstract">
    <w:name w:val="Cover Abstract"/>
    <w:basedOn w:val="Normal"/>
    <w:uiPriority w:val="10"/>
    <w:rsid w:val="009F2590"/>
    <w:pPr>
      <w:spacing w:line="270" w:lineRule="exact"/>
    </w:pPr>
    <w:rPr>
      <w:lang w:val="en"/>
    </w:rPr>
  </w:style>
  <w:style w:type="paragraph" w:customStyle="1" w:styleId="ReportCoverContact">
    <w:name w:val="Report Cover Contact"/>
    <w:basedOn w:val="Normal"/>
    <w:rsid w:val="009F2590"/>
    <w:pPr>
      <w:spacing w:after="60" w:line="270" w:lineRule="exact"/>
    </w:pPr>
    <w:rPr>
      <w:rFonts w:eastAsia="Calibri" w:cs="Arial"/>
      <w:sz w:val="16"/>
      <w:szCs w:val="18"/>
      <w:lang w:val="en"/>
    </w:rPr>
  </w:style>
  <w:style w:type="paragraph" w:customStyle="1" w:styleId="ReportCoverInformation">
    <w:name w:val="Report Cover Information"/>
    <w:basedOn w:val="Normal"/>
    <w:rsid w:val="00F20A86"/>
    <w:pPr>
      <w:keepNext/>
      <w:pBdr>
        <w:top w:val="single" w:sz="4" w:space="1" w:color="595A5B"/>
      </w:pBdr>
      <w:spacing w:before="600" w:after="120" w:line="240" w:lineRule="atLeast"/>
      <w:ind w:right="57"/>
      <w:outlineLvl w:val="7"/>
    </w:pPr>
    <w:rPr>
      <w:rFonts w:eastAsia="Times New Roman" w:cs="Times New Roman"/>
      <w:color w:val="005CAF"/>
      <w:sz w:val="16"/>
      <w:szCs w:val="20"/>
      <w:lang w:val="en"/>
    </w:rPr>
  </w:style>
  <w:style w:type="paragraph" w:styleId="TOC2">
    <w:name w:val="toc 2"/>
    <w:basedOn w:val="Normal"/>
    <w:next w:val="Normal"/>
    <w:autoRedefine/>
    <w:uiPriority w:val="39"/>
    <w:rsid w:val="00E07654"/>
    <w:pPr>
      <w:tabs>
        <w:tab w:val="right" w:pos="8931"/>
      </w:tabs>
      <w:spacing w:after="100"/>
      <w:ind w:left="709" w:right="804"/>
    </w:pPr>
    <w:rPr>
      <w:noProof/>
    </w:rPr>
  </w:style>
  <w:style w:type="paragraph" w:styleId="TOC3">
    <w:name w:val="toc 3"/>
    <w:basedOn w:val="Normal"/>
    <w:next w:val="Normal"/>
    <w:autoRedefine/>
    <w:uiPriority w:val="39"/>
    <w:rsid w:val="009F2590"/>
    <w:pPr>
      <w:tabs>
        <w:tab w:val="right" w:pos="8931"/>
      </w:tabs>
      <w:spacing w:after="100"/>
      <w:ind w:left="1843" w:right="804"/>
    </w:pPr>
    <w:rPr>
      <w:noProof/>
    </w:rPr>
  </w:style>
  <w:style w:type="paragraph" w:styleId="TOC6">
    <w:name w:val="toc 6"/>
    <w:basedOn w:val="Normal"/>
    <w:next w:val="Normal"/>
    <w:autoRedefine/>
    <w:uiPriority w:val="39"/>
    <w:rsid w:val="009F2590"/>
    <w:pPr>
      <w:tabs>
        <w:tab w:val="right" w:pos="8931"/>
      </w:tabs>
      <w:spacing w:after="100"/>
      <w:ind w:left="2127" w:right="804" w:hanging="1418"/>
    </w:pPr>
    <w:rPr>
      <w:b/>
    </w:rPr>
  </w:style>
  <w:style w:type="paragraph" w:customStyle="1" w:styleId="Contents">
    <w:name w:val="Contents"/>
    <w:basedOn w:val="CoverNormal"/>
    <w:rsid w:val="007D5E09"/>
    <w:pPr>
      <w:pageBreakBefore/>
      <w:ind w:left="567"/>
      <w:jc w:val="center"/>
    </w:pPr>
    <w:rPr>
      <w:rFonts w:asciiTheme="majorHAnsi" w:hAnsiTheme="majorHAnsi" w:cstheme="majorHAnsi"/>
      <w:b/>
      <w:color w:val="005CAF"/>
      <w:sz w:val="52"/>
      <w:szCs w:val="52"/>
    </w:rPr>
  </w:style>
  <w:style w:type="paragraph" w:customStyle="1" w:styleId="CreativeCommonsLicence">
    <w:name w:val="Creative Commons Licence"/>
    <w:basedOn w:val="DisclaimerHeading"/>
    <w:next w:val="DisclaimerandAcknowledgement"/>
    <w:rsid w:val="009F2590"/>
    <w:pPr>
      <w:keepNext/>
      <w:outlineLvl w:val="7"/>
    </w:pPr>
  </w:style>
  <w:style w:type="paragraph" w:customStyle="1" w:styleId="Keypointsheader">
    <w:name w:val="Key points header"/>
    <w:basedOn w:val="BodyText"/>
    <w:link w:val="KeypointsheaderChar"/>
    <w:qFormat/>
    <w:rsid w:val="001732B4"/>
    <w:pPr>
      <w:keepNext/>
      <w:pageBreakBefore/>
      <w:spacing w:before="300" w:line="280" w:lineRule="atLeast"/>
      <w:ind w:left="34" w:right="57"/>
      <w:jc w:val="left"/>
    </w:pPr>
    <w:rPr>
      <w:rFonts w:eastAsia="Times New Roman" w:cs="Times New Roman"/>
      <w:b/>
      <w:color w:val="005CAF"/>
      <w:sz w:val="32"/>
      <w:szCs w:val="20"/>
    </w:rPr>
  </w:style>
  <w:style w:type="character" w:customStyle="1" w:styleId="KeypointsheaderChar">
    <w:name w:val="Key points header Char"/>
    <w:basedOn w:val="DefaultParagraphFont"/>
    <w:link w:val="Keypointsheader"/>
    <w:rsid w:val="001732B4"/>
    <w:rPr>
      <w:rFonts w:eastAsia="Times New Roman" w:cs="Times New Roman"/>
      <w:b/>
      <w:color w:val="005CAF"/>
      <w:sz w:val="32"/>
      <w:szCs w:val="20"/>
    </w:rPr>
  </w:style>
  <w:style w:type="paragraph" w:customStyle="1" w:styleId="AbstractText">
    <w:name w:val="Abstract Text"/>
    <w:basedOn w:val="CoverNormal"/>
    <w:rsid w:val="005A409E"/>
    <w:pPr>
      <w:spacing w:before="60" w:after="60" w:line="260" w:lineRule="exact"/>
    </w:pPr>
  </w:style>
  <w:style w:type="paragraph" w:customStyle="1" w:styleId="JELCodeheader">
    <w:name w:val="JEL Code header"/>
    <w:link w:val="JELCodeheaderChar"/>
    <w:qFormat/>
    <w:rsid w:val="003E50C4"/>
    <w:pPr>
      <w:spacing w:after="0" w:line="270" w:lineRule="exact"/>
      <w:jc w:val="both"/>
    </w:pPr>
    <w:rPr>
      <w:rFonts w:ascii="Arial" w:eastAsia="Times New Roman" w:hAnsi="Arial" w:cs="Arial"/>
      <w:b/>
      <w:color w:val="373737"/>
      <w:sz w:val="20"/>
      <w:szCs w:val="20"/>
      <w:lang w:val="en"/>
    </w:rPr>
  </w:style>
  <w:style w:type="character" w:customStyle="1" w:styleId="JELCodeheaderChar">
    <w:name w:val="JEL Code header Char"/>
    <w:basedOn w:val="DefaultParagraphFont"/>
    <w:link w:val="JELCodeheader"/>
    <w:rsid w:val="003E50C4"/>
    <w:rPr>
      <w:rFonts w:ascii="Arial" w:eastAsia="Times New Roman" w:hAnsi="Arial" w:cs="Arial"/>
      <w:b/>
      <w:color w:val="373737"/>
      <w:sz w:val="20"/>
      <w:szCs w:val="20"/>
      <w:lang w:val="en"/>
    </w:rPr>
  </w:style>
  <w:style w:type="paragraph" w:customStyle="1" w:styleId="DisclaimerandAcknowledgement">
    <w:name w:val="Disclaimer and Acknowledgement"/>
    <w:basedOn w:val="Normal"/>
    <w:link w:val="DisclaimerandAcknowledgementChar"/>
    <w:qFormat/>
    <w:rsid w:val="009F2590"/>
    <w:pPr>
      <w:spacing w:after="140" w:line="270" w:lineRule="exact"/>
    </w:pPr>
    <w:rPr>
      <w:rFonts w:eastAsia="Calibri" w:cs="Arial"/>
      <w:sz w:val="16"/>
      <w:szCs w:val="18"/>
      <w:lang w:val="en"/>
    </w:rPr>
  </w:style>
  <w:style w:type="character" w:customStyle="1" w:styleId="DisclaimerandAcknowledgementChar">
    <w:name w:val="Disclaimer and Acknowledgement Char"/>
    <w:link w:val="DisclaimerandAcknowledgement"/>
    <w:rsid w:val="009F2590"/>
    <w:rPr>
      <w:rFonts w:ascii="Arial" w:eastAsia="Calibri" w:hAnsi="Arial" w:cs="Arial"/>
      <w:color w:val="595A5B"/>
      <w:sz w:val="16"/>
      <w:szCs w:val="18"/>
      <w:lang w:val="en"/>
    </w:rPr>
  </w:style>
  <w:style w:type="paragraph" w:customStyle="1" w:styleId="HyperlinkStyle">
    <w:name w:val="Hyperlink Style"/>
    <w:basedOn w:val="Normal"/>
    <w:link w:val="HyperlinkStyleChar"/>
    <w:qFormat/>
    <w:rsid w:val="00B76E6A"/>
    <w:pPr>
      <w:spacing w:line="270" w:lineRule="exact"/>
    </w:pPr>
    <w:rPr>
      <w:rFonts w:eastAsia="Calibri" w:cs="Times New Roman"/>
      <w:color w:val="005CAF"/>
      <w:szCs w:val="20"/>
    </w:rPr>
  </w:style>
  <w:style w:type="character" w:customStyle="1" w:styleId="HyperlinkStyleChar">
    <w:name w:val="Hyperlink Style Char"/>
    <w:link w:val="HyperlinkStyle"/>
    <w:rsid w:val="00B76E6A"/>
    <w:rPr>
      <w:rFonts w:ascii="Arial" w:eastAsia="Calibri" w:hAnsi="Arial" w:cs="Times New Roman"/>
      <w:color w:val="005CAF"/>
      <w:sz w:val="20"/>
      <w:szCs w:val="20"/>
    </w:rPr>
  </w:style>
  <w:style w:type="paragraph" w:customStyle="1" w:styleId="DisclaimerHeading">
    <w:name w:val="Disclaimer Heading"/>
    <w:next w:val="DisclaimerandAcknowledgement"/>
    <w:link w:val="DisclaimerHeadingChar"/>
    <w:qFormat/>
    <w:rsid w:val="00F20A86"/>
    <w:pPr>
      <w:pBdr>
        <w:top w:val="single" w:sz="4" w:space="1" w:color="595A5B"/>
      </w:pBdr>
      <w:spacing w:before="360" w:after="120" w:line="240" w:lineRule="atLeast"/>
      <w:ind w:left="2160" w:right="57"/>
    </w:pPr>
    <w:rPr>
      <w:rFonts w:ascii="Arial" w:eastAsia="Times New Roman" w:hAnsi="Arial" w:cs="Times New Roman"/>
      <w:color w:val="005CAF"/>
      <w:sz w:val="16"/>
      <w:szCs w:val="20"/>
      <w:lang w:val="en"/>
    </w:rPr>
  </w:style>
  <w:style w:type="character" w:customStyle="1" w:styleId="DisclaimerHeadingChar">
    <w:name w:val="Disclaimer Heading Char"/>
    <w:basedOn w:val="DefaultParagraphFont"/>
    <w:link w:val="DisclaimerHeading"/>
    <w:rsid w:val="00F20A86"/>
    <w:rPr>
      <w:rFonts w:ascii="Arial" w:eastAsia="Times New Roman" w:hAnsi="Arial" w:cs="Times New Roman"/>
      <w:color w:val="005CAF"/>
      <w:sz w:val="16"/>
      <w:szCs w:val="20"/>
      <w:lang w:val="en"/>
    </w:rPr>
  </w:style>
  <w:style w:type="paragraph" w:styleId="Quote">
    <w:name w:val="Quote"/>
    <w:basedOn w:val="Normal"/>
    <w:next w:val="Normal"/>
    <w:link w:val="QuoteChar"/>
    <w:uiPriority w:val="29"/>
    <w:rsid w:val="005A09DF"/>
    <w:pPr>
      <w:ind w:left="284" w:right="522"/>
    </w:pPr>
    <w:rPr>
      <w:iCs/>
      <w:sz w:val="18"/>
    </w:rPr>
  </w:style>
  <w:style w:type="character" w:customStyle="1" w:styleId="QuoteChar">
    <w:name w:val="Quote Char"/>
    <w:basedOn w:val="DefaultParagraphFont"/>
    <w:link w:val="Quote"/>
    <w:uiPriority w:val="29"/>
    <w:rsid w:val="005A09DF"/>
    <w:rPr>
      <w:iCs/>
      <w:color w:val="373737"/>
      <w:sz w:val="18"/>
    </w:rPr>
  </w:style>
  <w:style w:type="paragraph" w:customStyle="1" w:styleId="TableListBullet">
    <w:name w:val="Table List Bullet"/>
    <w:basedOn w:val="Tabletext"/>
    <w:rsid w:val="00F228DB"/>
    <w:pPr>
      <w:numPr>
        <w:numId w:val="17"/>
      </w:numPr>
    </w:pPr>
    <w:rPr>
      <w:rFonts w:eastAsia="Times New Roman"/>
      <w:lang w:eastAsia="en-AU"/>
    </w:rPr>
  </w:style>
  <w:style w:type="numbering" w:customStyle="1" w:styleId="OCETableBullets">
    <w:name w:val="OCE Table Bullets"/>
    <w:uiPriority w:val="99"/>
    <w:rsid w:val="009F2590"/>
    <w:pPr>
      <w:numPr>
        <w:numId w:val="8"/>
      </w:numPr>
    </w:pPr>
  </w:style>
  <w:style w:type="paragraph" w:customStyle="1" w:styleId="Logo">
    <w:name w:val="Logo"/>
    <w:basedOn w:val="Normal"/>
    <w:next w:val="DisclaimerHeading"/>
    <w:rsid w:val="009F2590"/>
    <w:pPr>
      <w:spacing w:before="600"/>
    </w:pPr>
    <w:rPr>
      <w:noProof/>
      <w:lang w:eastAsia="en-AU"/>
    </w:rPr>
  </w:style>
  <w:style w:type="paragraph" w:customStyle="1" w:styleId="SideQuote">
    <w:name w:val="Side Quote"/>
    <w:basedOn w:val="Normal"/>
    <w:next w:val="SideQuoteSource"/>
    <w:link w:val="SideQuoteChar"/>
    <w:rsid w:val="00C325FC"/>
    <w:pPr>
      <w:keepNext/>
      <w:framePr w:w="1701" w:hSpace="113" w:vSpace="113" w:wrap="around" w:vAnchor="text" w:hAnchor="margin" w:x="-1984" w:y="1"/>
      <w:pBdr>
        <w:top w:val="single" w:sz="12" w:space="3" w:color="005CAF"/>
        <w:bottom w:val="single" w:sz="12" w:space="3" w:color="005CAF"/>
      </w:pBdr>
      <w:spacing w:before="60" w:after="40" w:line="220" w:lineRule="exact"/>
    </w:pPr>
    <w:rPr>
      <w:rFonts w:asciiTheme="majorHAnsi" w:eastAsia="Times New Roman" w:hAnsiTheme="majorHAnsi" w:cs="Times New Roman"/>
      <w:sz w:val="16"/>
      <w:lang w:eastAsia="en-AU"/>
    </w:rPr>
  </w:style>
  <w:style w:type="character" w:customStyle="1" w:styleId="SideQuoteChar">
    <w:name w:val="Side Quote Char"/>
    <w:basedOn w:val="DefaultParagraphFont"/>
    <w:link w:val="SideQuote"/>
    <w:rsid w:val="00C325FC"/>
    <w:rPr>
      <w:rFonts w:asciiTheme="majorHAnsi" w:eastAsia="Times New Roman" w:hAnsiTheme="majorHAnsi" w:cs="Times New Roman"/>
      <w:color w:val="373737"/>
      <w:sz w:val="16"/>
      <w:lang w:eastAsia="en-AU"/>
    </w:rPr>
  </w:style>
  <w:style w:type="paragraph" w:customStyle="1" w:styleId="SideQuoteSource">
    <w:name w:val="Side Quote Source"/>
    <w:basedOn w:val="SideQuote"/>
    <w:next w:val="BodyText"/>
    <w:rsid w:val="005A09DF"/>
    <w:pPr>
      <w:framePr w:wrap="around"/>
      <w:jc w:val="right"/>
    </w:pPr>
    <w:rPr>
      <w:i/>
      <w:color w:val="005CAF"/>
    </w:rPr>
  </w:style>
  <w:style w:type="paragraph" w:customStyle="1" w:styleId="LetterBody">
    <w:name w:val="Letter Body"/>
    <w:qFormat/>
    <w:rsid w:val="005A409E"/>
    <w:rPr>
      <w:rFonts w:ascii="Arial" w:eastAsia="Times New Roman" w:hAnsi="Arial" w:cs="Times New Roman"/>
      <w:color w:val="373737"/>
      <w:sz w:val="20"/>
      <w:szCs w:val="20"/>
      <w:lang w:eastAsia="en-AU"/>
    </w:rPr>
  </w:style>
  <w:style w:type="paragraph" w:customStyle="1" w:styleId="LetterAddress">
    <w:name w:val="Letter Address"/>
    <w:basedOn w:val="LetterNormal"/>
    <w:qFormat/>
    <w:rsid w:val="009F2590"/>
    <w:pPr>
      <w:spacing w:after="80"/>
      <w:ind w:left="1701"/>
    </w:pPr>
    <w:rPr>
      <w:sz w:val="16"/>
      <w:szCs w:val="16"/>
    </w:rPr>
  </w:style>
  <w:style w:type="paragraph" w:customStyle="1" w:styleId="Addressee">
    <w:name w:val="Addressee"/>
    <w:qFormat/>
    <w:rsid w:val="009F2590"/>
    <w:pPr>
      <w:spacing w:after="0"/>
    </w:pPr>
    <w:rPr>
      <w:rFonts w:ascii="Arial" w:eastAsia="Times New Roman" w:hAnsi="Arial" w:cs="Times New Roman"/>
      <w:sz w:val="20"/>
      <w:szCs w:val="20"/>
      <w:lang w:eastAsia="en-AU"/>
    </w:rPr>
  </w:style>
  <w:style w:type="paragraph" w:customStyle="1" w:styleId="LetterAddressee">
    <w:name w:val="Letter Addressee"/>
    <w:basedOn w:val="LetterNormal"/>
    <w:qFormat/>
    <w:rsid w:val="009F2590"/>
  </w:style>
  <w:style w:type="paragraph" w:customStyle="1" w:styleId="LetterSalutation">
    <w:name w:val="Letter Salutation"/>
    <w:basedOn w:val="LetterBody"/>
    <w:qFormat/>
    <w:rsid w:val="009F2590"/>
  </w:style>
  <w:style w:type="paragraph" w:customStyle="1" w:styleId="LetterSignature">
    <w:name w:val="Letter Signature"/>
    <w:basedOn w:val="LetterNormal"/>
    <w:qFormat/>
    <w:rsid w:val="009F2590"/>
    <w:pPr>
      <w:tabs>
        <w:tab w:val="left" w:pos="6200"/>
      </w:tabs>
    </w:pPr>
  </w:style>
  <w:style w:type="paragraph" w:customStyle="1" w:styleId="LetterNormal">
    <w:name w:val="Letter Normal"/>
    <w:basedOn w:val="Normal"/>
    <w:qFormat/>
    <w:rsid w:val="00CC6865"/>
    <w:pPr>
      <w:suppressAutoHyphens/>
      <w:spacing w:after="0" w:line="240" w:lineRule="auto"/>
    </w:pPr>
    <w:rPr>
      <w:rFonts w:eastAsia="Times New Roman" w:cs="Times New Roman"/>
      <w:szCs w:val="20"/>
      <w:lang w:eastAsia="en-AU"/>
    </w:rPr>
  </w:style>
  <w:style w:type="paragraph" w:customStyle="1" w:styleId="LetterAddressBlock">
    <w:name w:val="Letter Address Block"/>
    <w:basedOn w:val="LetterNormal"/>
    <w:qFormat/>
    <w:rsid w:val="00CC6865"/>
    <w:pPr>
      <w:spacing w:after="80"/>
    </w:pPr>
    <w:rPr>
      <w:sz w:val="16"/>
      <w:szCs w:val="16"/>
    </w:rPr>
  </w:style>
  <w:style w:type="paragraph" w:customStyle="1" w:styleId="AgendaBodyText">
    <w:name w:val="Agenda Body Text"/>
    <w:qFormat/>
    <w:rsid w:val="007E6036"/>
    <w:pPr>
      <w:spacing w:before="120" w:after="0" w:line="240" w:lineRule="auto"/>
    </w:pPr>
    <w:rPr>
      <w:rFonts w:ascii="Arial" w:hAnsi="Arial"/>
      <w:color w:val="373737"/>
      <w:sz w:val="18"/>
      <w:lang w:eastAsia="en-AU"/>
    </w:rPr>
  </w:style>
  <w:style w:type="paragraph" w:customStyle="1" w:styleId="AgendaTableColHeading">
    <w:name w:val="Agenda Table Co lHeading"/>
    <w:next w:val="AgendaBodyText"/>
    <w:qFormat/>
    <w:rsid w:val="00350C19"/>
    <w:pPr>
      <w:spacing w:before="200" w:after="0" w:line="240" w:lineRule="auto"/>
    </w:pPr>
    <w:rPr>
      <w:rFonts w:ascii="Arial" w:hAnsi="Arial"/>
      <w:b/>
      <w:color w:val="22789A"/>
    </w:rPr>
  </w:style>
  <w:style w:type="paragraph" w:customStyle="1" w:styleId="AgendaTableSubHeading">
    <w:name w:val="Agenda Table Sub Heading"/>
    <w:qFormat/>
    <w:rsid w:val="007E6036"/>
    <w:pPr>
      <w:spacing w:after="120" w:line="240" w:lineRule="auto"/>
    </w:pPr>
    <w:rPr>
      <w:rFonts w:ascii="Arial" w:hAnsi="Arial"/>
      <w:b/>
      <w:color w:val="373737"/>
      <w:sz w:val="18"/>
      <w:lang w:eastAsia="en-AU"/>
    </w:rPr>
  </w:style>
  <w:style w:type="paragraph" w:customStyle="1" w:styleId="AgendaTableColHeading0">
    <w:name w:val="Agenda Table Col Heading"/>
    <w:next w:val="AgendaBodyText"/>
    <w:qFormat/>
    <w:rsid w:val="007E6036"/>
    <w:pPr>
      <w:spacing w:before="200" w:after="0" w:line="240" w:lineRule="auto"/>
    </w:pPr>
    <w:rPr>
      <w:rFonts w:ascii="Arial" w:eastAsia="Times New Roman" w:hAnsi="Arial"/>
      <w:b/>
      <w:color w:val="005CAF"/>
      <w:lang w:eastAsia="en-AU"/>
    </w:rPr>
  </w:style>
  <w:style w:type="paragraph" w:customStyle="1" w:styleId="address">
    <w:name w:val="address"/>
    <w:basedOn w:val="Normal"/>
    <w:rsid w:val="00CC6865"/>
    <w:pPr>
      <w:widowControl w:val="0"/>
      <w:suppressAutoHyphens/>
      <w:spacing w:after="240" w:line="240" w:lineRule="auto"/>
    </w:pPr>
    <w:rPr>
      <w:rFonts w:eastAsia="Times New Roman" w:cs="Times New Roman"/>
      <w:sz w:val="16"/>
      <w:szCs w:val="16"/>
      <w:lang w:val="en-GB" w:eastAsia="en-AU"/>
    </w:rPr>
  </w:style>
  <w:style w:type="paragraph" w:styleId="ListNumber4">
    <w:name w:val="List Number 4"/>
    <w:basedOn w:val="Normal"/>
    <w:rsid w:val="004C7203"/>
    <w:pPr>
      <w:numPr>
        <w:ilvl w:val="3"/>
        <w:numId w:val="16"/>
      </w:numPr>
      <w:contextualSpacing/>
    </w:pPr>
  </w:style>
  <w:style w:type="paragraph" w:customStyle="1" w:styleId="BriefingTitle">
    <w:name w:val="Briefing Title"/>
    <w:basedOn w:val="BodyText"/>
    <w:rsid w:val="00A03095"/>
    <w:pPr>
      <w:spacing w:before="180" w:line="240" w:lineRule="auto"/>
    </w:pPr>
    <w:rPr>
      <w:color w:val="005CAF"/>
      <w:sz w:val="56"/>
    </w:rPr>
  </w:style>
  <w:style w:type="paragraph" w:customStyle="1" w:styleId="OnePagerLinks">
    <w:name w:val="OnePagerLinks"/>
    <w:basedOn w:val="Normal"/>
    <w:rsid w:val="00EF0AB2"/>
    <w:pPr>
      <w:spacing w:after="0" w:line="240" w:lineRule="auto"/>
      <w:ind w:left="114"/>
    </w:pPr>
    <w:rPr>
      <w:color w:val="005CAF"/>
    </w:rPr>
  </w:style>
  <w:style w:type="paragraph" w:customStyle="1" w:styleId="OnePagerLink">
    <w:name w:val="OnePagerLink"/>
    <w:basedOn w:val="Normal"/>
    <w:rsid w:val="0017468E"/>
    <w:pPr>
      <w:spacing w:after="0" w:line="240" w:lineRule="auto"/>
      <w:ind w:left="114"/>
    </w:pPr>
    <w:rPr>
      <w:color w:val="005CAF"/>
    </w:rPr>
  </w:style>
  <w:style w:type="character" w:customStyle="1" w:styleId="BriefingDate">
    <w:name w:val="Briefing Date"/>
    <w:basedOn w:val="DefaultParagraphFont"/>
    <w:uiPriority w:val="1"/>
    <w:rsid w:val="001B3F96"/>
    <w:rPr>
      <w:rFonts w:ascii="Arial" w:hAnsi="Arial"/>
      <w:color w:val="FFFFFF" w:themeColor="background1"/>
      <w:sz w:val="18"/>
    </w:rPr>
  </w:style>
  <w:style w:type="paragraph" w:customStyle="1" w:styleId="Tableheadertext">
    <w:name w:val="Table header text"/>
    <w:basedOn w:val="Normal"/>
    <w:link w:val="TableheadertextChar"/>
    <w:qFormat/>
    <w:rsid w:val="0057169D"/>
    <w:pPr>
      <w:keepNext/>
      <w:spacing w:before="120" w:after="120" w:line="240" w:lineRule="auto"/>
    </w:pPr>
    <w:rPr>
      <w:rFonts w:cs="Arial"/>
      <w:b/>
      <w:color w:val="FFFFFF"/>
      <w:sz w:val="18"/>
      <w:szCs w:val="18"/>
    </w:rPr>
  </w:style>
  <w:style w:type="character" w:customStyle="1" w:styleId="TableheadertextChar">
    <w:name w:val="Table header text Char"/>
    <w:basedOn w:val="DefaultParagraphFont"/>
    <w:link w:val="Tableheadertext"/>
    <w:rsid w:val="0057169D"/>
    <w:rPr>
      <w:rFonts w:ascii="Arial" w:hAnsi="Arial" w:cs="Arial"/>
      <w:b/>
      <w:color w:val="FFFFFF"/>
      <w:sz w:val="18"/>
      <w:szCs w:val="18"/>
    </w:rPr>
  </w:style>
  <w:style w:type="paragraph" w:customStyle="1" w:styleId="Tablebodytext">
    <w:name w:val="Table body text"/>
    <w:basedOn w:val="Normal"/>
    <w:link w:val="TablebodytextChar"/>
    <w:qFormat/>
    <w:rsid w:val="00765BAA"/>
    <w:pPr>
      <w:keepNext/>
      <w:keepLines/>
      <w:spacing w:before="60" w:after="60" w:line="240" w:lineRule="auto"/>
    </w:pPr>
    <w:rPr>
      <w:rFonts w:cs="Arial"/>
      <w:sz w:val="18"/>
      <w:szCs w:val="18"/>
    </w:rPr>
  </w:style>
  <w:style w:type="character" w:customStyle="1" w:styleId="TablebodytextChar">
    <w:name w:val="Table body text Char"/>
    <w:basedOn w:val="DefaultParagraphFont"/>
    <w:link w:val="Tablebodytext"/>
    <w:rsid w:val="00765BAA"/>
    <w:rPr>
      <w:rFonts w:ascii="Arial" w:hAnsi="Arial" w:cs="Arial"/>
      <w:color w:val="373737"/>
      <w:sz w:val="18"/>
      <w:szCs w:val="18"/>
    </w:rPr>
  </w:style>
  <w:style w:type="character" w:customStyle="1" w:styleId="Bold">
    <w:name w:val="Bold"/>
    <w:uiPriority w:val="99"/>
    <w:rsid w:val="00FF6F14"/>
    <w:rPr>
      <w:b/>
    </w:rPr>
  </w:style>
  <w:style w:type="character" w:customStyle="1" w:styleId="Italic">
    <w:name w:val="Italic"/>
    <w:uiPriority w:val="99"/>
    <w:rsid w:val="00FF6F14"/>
    <w:rPr>
      <w:i/>
    </w:rPr>
  </w:style>
  <w:style w:type="paragraph" w:customStyle="1" w:styleId="Pa21">
    <w:name w:val="Pa21"/>
    <w:basedOn w:val="Normal"/>
    <w:next w:val="Normal"/>
    <w:uiPriority w:val="99"/>
    <w:rsid w:val="00875178"/>
    <w:pPr>
      <w:autoSpaceDE w:val="0"/>
      <w:autoSpaceDN w:val="0"/>
      <w:adjustRightInd w:val="0"/>
      <w:spacing w:after="0" w:line="161" w:lineRule="atLeast"/>
    </w:pPr>
    <w:rPr>
      <w:rFonts w:ascii="NimbusSanNov" w:hAnsi="NimbusSanNov"/>
      <w:sz w:val="24"/>
      <w:szCs w:val="24"/>
    </w:rPr>
  </w:style>
  <w:style w:type="character" w:styleId="CommentReference">
    <w:name w:val="annotation reference"/>
    <w:basedOn w:val="DefaultParagraphFont"/>
    <w:uiPriority w:val="99"/>
    <w:semiHidden/>
    <w:unhideWhenUsed/>
    <w:rsid w:val="00977B45"/>
    <w:rPr>
      <w:sz w:val="16"/>
      <w:szCs w:val="16"/>
    </w:rPr>
  </w:style>
  <w:style w:type="paragraph" w:styleId="CommentText">
    <w:name w:val="annotation text"/>
    <w:basedOn w:val="Normal"/>
    <w:link w:val="CommentTextChar"/>
    <w:uiPriority w:val="99"/>
    <w:semiHidden/>
    <w:unhideWhenUsed/>
    <w:rsid w:val="00977B45"/>
    <w:pPr>
      <w:spacing w:line="240" w:lineRule="auto"/>
    </w:pPr>
    <w:rPr>
      <w:sz w:val="20"/>
      <w:szCs w:val="20"/>
    </w:rPr>
  </w:style>
  <w:style w:type="character" w:customStyle="1" w:styleId="CommentTextChar">
    <w:name w:val="Comment Text Char"/>
    <w:basedOn w:val="DefaultParagraphFont"/>
    <w:link w:val="CommentText"/>
    <w:uiPriority w:val="99"/>
    <w:semiHidden/>
    <w:rsid w:val="00977B45"/>
    <w:rPr>
      <w:sz w:val="20"/>
      <w:szCs w:val="20"/>
    </w:rPr>
  </w:style>
  <w:style w:type="paragraph" w:styleId="NormalWeb">
    <w:name w:val="Normal (Web)"/>
    <w:basedOn w:val="Normal"/>
    <w:uiPriority w:val="99"/>
    <w:semiHidden/>
    <w:unhideWhenUsed/>
    <w:rsid w:val="00E6148B"/>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OnePagerH1">
    <w:name w:val="One Pager H1"/>
    <w:next w:val="Normal"/>
    <w:rsid w:val="005A793A"/>
    <w:pPr>
      <w:ind w:left="709" w:hanging="709"/>
    </w:pPr>
    <w:rPr>
      <w:rFonts w:asciiTheme="majorHAnsi" w:eastAsia="Times New Roman" w:hAnsiTheme="majorHAnsi" w:cs="Arial"/>
      <w:b/>
      <w:bCs/>
      <w:color w:val="22789A"/>
      <w:kern w:val="32"/>
      <w:sz w:val="32"/>
      <w:szCs w:val="32"/>
    </w:rPr>
  </w:style>
  <w:style w:type="paragraph" w:customStyle="1" w:styleId="OnePagerH2">
    <w:name w:val="One Pager H2"/>
    <w:basedOn w:val="OnePagerH1"/>
    <w:rsid w:val="005A793A"/>
    <w:pPr>
      <w:ind w:left="0" w:firstLine="0"/>
    </w:pPr>
    <w:rPr>
      <w:color w:val="6CCCDE"/>
      <w:sz w:val="22"/>
      <w:szCs w:val="22"/>
    </w:rPr>
  </w:style>
  <w:style w:type="paragraph" w:customStyle="1" w:styleId="OnePagerH3">
    <w:name w:val="One Pager H3"/>
    <w:basedOn w:val="OnePagerH2"/>
    <w:next w:val="Normal"/>
    <w:rsid w:val="005A793A"/>
  </w:style>
  <w:style w:type="numbering" w:customStyle="1" w:styleId="OCEOnePagerHeadingStyles">
    <w:name w:val="OCE One Pager Heading Styles"/>
    <w:uiPriority w:val="99"/>
    <w:rsid w:val="005A793A"/>
    <w:pPr>
      <w:numPr>
        <w:numId w:val="43"/>
      </w:numPr>
    </w:pPr>
  </w:style>
  <w:style w:type="paragraph" w:styleId="Revision">
    <w:name w:val="Revision"/>
    <w:hidden/>
    <w:uiPriority w:val="99"/>
    <w:semiHidden/>
    <w:rsid w:val="00B413F5"/>
    <w:pPr>
      <w:spacing w:after="0" w:line="240" w:lineRule="auto"/>
    </w:pPr>
  </w:style>
  <w:style w:type="paragraph" w:styleId="CommentSubject">
    <w:name w:val="annotation subject"/>
    <w:basedOn w:val="CommentText"/>
    <w:next w:val="CommentText"/>
    <w:link w:val="CommentSubjectChar"/>
    <w:semiHidden/>
    <w:unhideWhenUsed/>
    <w:rsid w:val="0035116D"/>
    <w:rPr>
      <w:b/>
      <w:bCs/>
    </w:rPr>
  </w:style>
  <w:style w:type="character" w:customStyle="1" w:styleId="CommentSubjectChar">
    <w:name w:val="Comment Subject Char"/>
    <w:basedOn w:val="CommentTextChar"/>
    <w:link w:val="CommentSubject"/>
    <w:semiHidden/>
    <w:rsid w:val="0035116D"/>
    <w:rPr>
      <w:b/>
      <w:bCs/>
      <w:sz w:val="20"/>
      <w:szCs w:val="20"/>
    </w:rPr>
  </w:style>
  <w:style w:type="table" w:styleId="MediumList2-Accent1">
    <w:name w:val="Medium List 2 Accent 1"/>
    <w:basedOn w:val="TableNormal"/>
    <w:uiPriority w:val="66"/>
    <w:rsid w:val="006F15A9"/>
    <w:pPr>
      <w:spacing w:after="0" w:line="240" w:lineRule="auto"/>
    </w:pPr>
    <w:rPr>
      <w:rFonts w:asciiTheme="majorHAnsi" w:eastAsiaTheme="majorEastAsia" w:hAnsiTheme="majorHAnsi" w:cstheme="majorBidi"/>
      <w:color w:val="373737" w:themeColor="text1"/>
      <w:lang w:val="en-US"/>
    </w:rPr>
    <w:tblPr>
      <w:tblStyleRowBandSize w:val="1"/>
      <w:tblStyleColBandSize w:val="1"/>
      <w:tblBorders>
        <w:top w:val="single" w:sz="8" w:space="0" w:color="005CAF" w:themeColor="accent1"/>
        <w:left w:val="single" w:sz="8" w:space="0" w:color="005CAF" w:themeColor="accent1"/>
        <w:bottom w:val="single" w:sz="8" w:space="0" w:color="005CAF" w:themeColor="accent1"/>
        <w:right w:val="single" w:sz="8" w:space="0" w:color="005CAF" w:themeColor="accent1"/>
      </w:tblBorders>
    </w:tblPr>
    <w:tblStylePr w:type="firstRow">
      <w:rPr>
        <w:sz w:val="24"/>
        <w:szCs w:val="24"/>
      </w:rPr>
      <w:tblPr/>
      <w:tcPr>
        <w:tcBorders>
          <w:top w:val="nil"/>
          <w:left w:val="nil"/>
          <w:bottom w:val="single" w:sz="24" w:space="0" w:color="005CAF" w:themeColor="accent1"/>
          <w:right w:val="nil"/>
          <w:insideH w:val="nil"/>
          <w:insideV w:val="nil"/>
        </w:tcBorders>
        <w:shd w:val="clear" w:color="auto" w:fill="FFFFFF" w:themeFill="background1"/>
      </w:tcPr>
    </w:tblStylePr>
    <w:tblStylePr w:type="lastRow">
      <w:tblPr/>
      <w:tcPr>
        <w:tcBorders>
          <w:top w:val="single" w:sz="8" w:space="0" w:color="005CAF"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5CAF" w:themeColor="accent1"/>
          <w:insideH w:val="nil"/>
          <w:insideV w:val="nil"/>
        </w:tcBorders>
        <w:shd w:val="clear" w:color="auto" w:fill="FFFFFF" w:themeFill="background1"/>
      </w:tcPr>
    </w:tblStylePr>
    <w:tblStylePr w:type="lastCol">
      <w:tblPr/>
      <w:tcPr>
        <w:tcBorders>
          <w:top w:val="nil"/>
          <w:left w:val="single" w:sz="8" w:space="0" w:color="005CAF"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ACD7FF" w:themeFill="accent1" w:themeFillTint="3F"/>
      </w:tcPr>
    </w:tblStylePr>
    <w:tblStylePr w:type="band1Horz">
      <w:tblPr/>
      <w:tcPr>
        <w:tcBorders>
          <w:top w:val="nil"/>
          <w:bottom w:val="nil"/>
          <w:insideH w:val="nil"/>
          <w:insideV w:val="nil"/>
        </w:tcBorders>
        <w:shd w:val="clear" w:color="auto" w:fill="ACD7FF" w:themeFill="accent1" w:themeFillTint="3F"/>
      </w:tcPr>
    </w:tblStylePr>
    <w:tblStylePr w:type="nwCell">
      <w:tblPr/>
      <w:tcPr>
        <w:shd w:val="clear" w:color="auto" w:fill="FFFFFF" w:themeFill="background1"/>
      </w:tcPr>
    </w:tblStylePr>
    <w:tblStylePr w:type="swCell">
      <w:tblPr/>
      <w:tcPr>
        <w:tcBorders>
          <w:top w:val="nil"/>
        </w:tcBorders>
      </w:tcPr>
    </w:tblStylePr>
  </w:style>
  <w:style w:type="paragraph" w:customStyle="1" w:styleId="Pa2">
    <w:name w:val="Pa2"/>
    <w:basedOn w:val="Normal"/>
    <w:next w:val="Normal"/>
    <w:uiPriority w:val="99"/>
    <w:rsid w:val="002F7C59"/>
    <w:pPr>
      <w:autoSpaceDE w:val="0"/>
      <w:autoSpaceDN w:val="0"/>
      <w:adjustRightInd w:val="0"/>
      <w:spacing w:after="0" w:line="161" w:lineRule="atLeast"/>
    </w:pPr>
    <w:rPr>
      <w:rFonts w:ascii="Gotham Narrow Book" w:hAnsi="Gotham Narrow Book"/>
      <w:sz w:val="24"/>
      <w:szCs w:val="24"/>
    </w:rPr>
  </w:style>
  <w:style w:type="paragraph" w:customStyle="1" w:styleId="Footnote">
    <w:name w:val="Footnote"/>
    <w:basedOn w:val="Normal"/>
    <w:uiPriority w:val="99"/>
    <w:rsid w:val="00644241"/>
    <w:pPr>
      <w:widowControl w:val="0"/>
      <w:tabs>
        <w:tab w:val="left" w:pos="320"/>
        <w:tab w:val="left" w:pos="567"/>
      </w:tabs>
      <w:suppressAutoHyphens/>
      <w:autoSpaceDE w:val="0"/>
      <w:autoSpaceDN w:val="0"/>
      <w:adjustRightInd w:val="0"/>
      <w:spacing w:after="0" w:line="200" w:lineRule="atLeast"/>
      <w:ind w:left="318" w:hanging="318"/>
      <w:textAlignment w:val="center"/>
    </w:pPr>
    <w:rPr>
      <w:rFonts w:ascii="Arial" w:eastAsiaTheme="minorEastAsia" w:hAnsi="Arial" w:cs="Montserrat"/>
      <w:color w:val="000000"/>
      <w:sz w:val="16"/>
      <w:szCs w:val="16"/>
      <w:lang w:val="en-US"/>
    </w:rPr>
  </w:style>
  <w:style w:type="character" w:customStyle="1" w:styleId="Superscript">
    <w:name w:val="Superscript"/>
    <w:uiPriority w:val="99"/>
    <w:rsid w:val="00644241"/>
    <w:rPr>
      <w:vertAlign w:val="superscript"/>
    </w:rPr>
  </w:style>
  <w:style w:type="paragraph" w:customStyle="1" w:styleId="NoParagraphStyle">
    <w:name w:val="[No Paragraph Style]"/>
    <w:rsid w:val="00350436"/>
    <w:pPr>
      <w:widowControl w:val="0"/>
      <w:autoSpaceDE w:val="0"/>
      <w:autoSpaceDN w:val="0"/>
      <w:adjustRightInd w:val="0"/>
      <w:spacing w:after="0" w:line="288" w:lineRule="auto"/>
      <w:textAlignment w:val="center"/>
    </w:pPr>
    <w:rPr>
      <w:rFonts w:ascii="Minion Pro" w:eastAsiaTheme="minorEastAsia" w:hAnsi="Minion Pro" w:cs="Minion Pro"/>
      <w:color w:val="000000"/>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9186376">
      <w:bodyDiv w:val="1"/>
      <w:marLeft w:val="0"/>
      <w:marRight w:val="0"/>
      <w:marTop w:val="0"/>
      <w:marBottom w:val="0"/>
      <w:divBdr>
        <w:top w:val="none" w:sz="0" w:space="0" w:color="auto"/>
        <w:left w:val="none" w:sz="0" w:space="0" w:color="auto"/>
        <w:bottom w:val="none" w:sz="0" w:space="0" w:color="auto"/>
        <w:right w:val="none" w:sz="0" w:space="0" w:color="auto"/>
      </w:divBdr>
    </w:div>
    <w:div w:id="111823063">
      <w:bodyDiv w:val="1"/>
      <w:marLeft w:val="0"/>
      <w:marRight w:val="0"/>
      <w:marTop w:val="0"/>
      <w:marBottom w:val="0"/>
      <w:divBdr>
        <w:top w:val="none" w:sz="0" w:space="0" w:color="auto"/>
        <w:left w:val="none" w:sz="0" w:space="0" w:color="auto"/>
        <w:bottom w:val="none" w:sz="0" w:space="0" w:color="auto"/>
        <w:right w:val="none" w:sz="0" w:space="0" w:color="auto"/>
      </w:divBdr>
    </w:div>
    <w:div w:id="133106287">
      <w:bodyDiv w:val="1"/>
      <w:marLeft w:val="0"/>
      <w:marRight w:val="0"/>
      <w:marTop w:val="0"/>
      <w:marBottom w:val="0"/>
      <w:divBdr>
        <w:top w:val="none" w:sz="0" w:space="0" w:color="auto"/>
        <w:left w:val="none" w:sz="0" w:space="0" w:color="auto"/>
        <w:bottom w:val="none" w:sz="0" w:space="0" w:color="auto"/>
        <w:right w:val="none" w:sz="0" w:space="0" w:color="auto"/>
      </w:divBdr>
      <w:divsChild>
        <w:div w:id="1603218689">
          <w:marLeft w:val="0"/>
          <w:marRight w:val="0"/>
          <w:marTop w:val="0"/>
          <w:marBottom w:val="0"/>
          <w:divBdr>
            <w:top w:val="none" w:sz="0" w:space="0" w:color="auto"/>
            <w:left w:val="none" w:sz="0" w:space="0" w:color="auto"/>
            <w:bottom w:val="none" w:sz="0" w:space="0" w:color="auto"/>
            <w:right w:val="none" w:sz="0" w:space="0" w:color="auto"/>
          </w:divBdr>
          <w:divsChild>
            <w:div w:id="2135128138">
              <w:marLeft w:val="0"/>
              <w:marRight w:val="0"/>
              <w:marTop w:val="100"/>
              <w:marBottom w:val="100"/>
              <w:divBdr>
                <w:top w:val="none" w:sz="0" w:space="0" w:color="auto"/>
                <w:left w:val="none" w:sz="0" w:space="0" w:color="auto"/>
                <w:bottom w:val="none" w:sz="0" w:space="0" w:color="auto"/>
                <w:right w:val="none" w:sz="0" w:space="0" w:color="auto"/>
              </w:divBdr>
              <w:divsChild>
                <w:div w:id="444354479">
                  <w:marLeft w:val="0"/>
                  <w:marRight w:val="0"/>
                  <w:marTop w:val="0"/>
                  <w:marBottom w:val="0"/>
                  <w:divBdr>
                    <w:top w:val="none" w:sz="0" w:space="0" w:color="auto"/>
                    <w:left w:val="none" w:sz="0" w:space="0" w:color="auto"/>
                    <w:bottom w:val="none" w:sz="0" w:space="0" w:color="auto"/>
                    <w:right w:val="none" w:sz="0" w:space="0" w:color="auto"/>
                  </w:divBdr>
                  <w:divsChild>
                    <w:div w:id="1275673188">
                      <w:marLeft w:val="0"/>
                      <w:marRight w:val="0"/>
                      <w:marTop w:val="0"/>
                      <w:marBottom w:val="0"/>
                      <w:divBdr>
                        <w:top w:val="none" w:sz="0" w:space="0" w:color="auto"/>
                        <w:left w:val="none" w:sz="0" w:space="0" w:color="auto"/>
                        <w:bottom w:val="none" w:sz="0" w:space="0" w:color="auto"/>
                        <w:right w:val="none" w:sz="0" w:space="0" w:color="auto"/>
                      </w:divBdr>
                      <w:divsChild>
                        <w:div w:id="2145196686">
                          <w:marLeft w:val="0"/>
                          <w:marRight w:val="0"/>
                          <w:marTop w:val="0"/>
                          <w:marBottom w:val="0"/>
                          <w:divBdr>
                            <w:top w:val="none" w:sz="0" w:space="0" w:color="auto"/>
                            <w:left w:val="none" w:sz="0" w:space="0" w:color="auto"/>
                            <w:bottom w:val="none" w:sz="0" w:space="0" w:color="auto"/>
                            <w:right w:val="none" w:sz="0" w:space="0" w:color="auto"/>
                          </w:divBdr>
                          <w:divsChild>
                            <w:div w:id="1080055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5193221">
      <w:bodyDiv w:val="1"/>
      <w:marLeft w:val="0"/>
      <w:marRight w:val="0"/>
      <w:marTop w:val="0"/>
      <w:marBottom w:val="0"/>
      <w:divBdr>
        <w:top w:val="none" w:sz="0" w:space="0" w:color="auto"/>
        <w:left w:val="none" w:sz="0" w:space="0" w:color="auto"/>
        <w:bottom w:val="none" w:sz="0" w:space="0" w:color="auto"/>
        <w:right w:val="none" w:sz="0" w:space="0" w:color="auto"/>
      </w:divBdr>
    </w:div>
    <w:div w:id="210075037">
      <w:bodyDiv w:val="1"/>
      <w:marLeft w:val="0"/>
      <w:marRight w:val="0"/>
      <w:marTop w:val="0"/>
      <w:marBottom w:val="0"/>
      <w:divBdr>
        <w:top w:val="none" w:sz="0" w:space="0" w:color="auto"/>
        <w:left w:val="none" w:sz="0" w:space="0" w:color="auto"/>
        <w:bottom w:val="none" w:sz="0" w:space="0" w:color="auto"/>
        <w:right w:val="none" w:sz="0" w:space="0" w:color="auto"/>
      </w:divBdr>
    </w:div>
    <w:div w:id="232668688">
      <w:bodyDiv w:val="1"/>
      <w:marLeft w:val="0"/>
      <w:marRight w:val="0"/>
      <w:marTop w:val="0"/>
      <w:marBottom w:val="0"/>
      <w:divBdr>
        <w:top w:val="none" w:sz="0" w:space="0" w:color="auto"/>
        <w:left w:val="none" w:sz="0" w:space="0" w:color="auto"/>
        <w:bottom w:val="none" w:sz="0" w:space="0" w:color="auto"/>
        <w:right w:val="none" w:sz="0" w:space="0" w:color="auto"/>
      </w:divBdr>
    </w:div>
    <w:div w:id="284239865">
      <w:bodyDiv w:val="1"/>
      <w:marLeft w:val="0"/>
      <w:marRight w:val="0"/>
      <w:marTop w:val="0"/>
      <w:marBottom w:val="0"/>
      <w:divBdr>
        <w:top w:val="none" w:sz="0" w:space="0" w:color="auto"/>
        <w:left w:val="none" w:sz="0" w:space="0" w:color="auto"/>
        <w:bottom w:val="none" w:sz="0" w:space="0" w:color="auto"/>
        <w:right w:val="none" w:sz="0" w:space="0" w:color="auto"/>
      </w:divBdr>
    </w:div>
    <w:div w:id="310989785">
      <w:bodyDiv w:val="1"/>
      <w:marLeft w:val="0"/>
      <w:marRight w:val="0"/>
      <w:marTop w:val="0"/>
      <w:marBottom w:val="0"/>
      <w:divBdr>
        <w:top w:val="none" w:sz="0" w:space="0" w:color="auto"/>
        <w:left w:val="none" w:sz="0" w:space="0" w:color="auto"/>
        <w:bottom w:val="none" w:sz="0" w:space="0" w:color="auto"/>
        <w:right w:val="none" w:sz="0" w:space="0" w:color="auto"/>
      </w:divBdr>
    </w:div>
    <w:div w:id="385957278">
      <w:bodyDiv w:val="1"/>
      <w:marLeft w:val="0"/>
      <w:marRight w:val="0"/>
      <w:marTop w:val="0"/>
      <w:marBottom w:val="0"/>
      <w:divBdr>
        <w:top w:val="none" w:sz="0" w:space="0" w:color="auto"/>
        <w:left w:val="none" w:sz="0" w:space="0" w:color="auto"/>
        <w:bottom w:val="none" w:sz="0" w:space="0" w:color="auto"/>
        <w:right w:val="none" w:sz="0" w:space="0" w:color="auto"/>
      </w:divBdr>
      <w:divsChild>
        <w:div w:id="79067252">
          <w:marLeft w:val="0"/>
          <w:marRight w:val="0"/>
          <w:marTop w:val="0"/>
          <w:marBottom w:val="0"/>
          <w:divBdr>
            <w:top w:val="none" w:sz="0" w:space="0" w:color="auto"/>
            <w:left w:val="none" w:sz="0" w:space="0" w:color="auto"/>
            <w:bottom w:val="none" w:sz="0" w:space="0" w:color="auto"/>
            <w:right w:val="none" w:sz="0" w:space="0" w:color="auto"/>
          </w:divBdr>
          <w:divsChild>
            <w:div w:id="514929971">
              <w:marLeft w:val="0"/>
              <w:marRight w:val="0"/>
              <w:marTop w:val="0"/>
              <w:marBottom w:val="0"/>
              <w:divBdr>
                <w:top w:val="none" w:sz="0" w:space="0" w:color="auto"/>
                <w:left w:val="none" w:sz="0" w:space="0" w:color="auto"/>
                <w:bottom w:val="none" w:sz="0" w:space="0" w:color="auto"/>
                <w:right w:val="none" w:sz="0" w:space="0" w:color="auto"/>
              </w:divBdr>
              <w:divsChild>
                <w:div w:id="1754624692">
                  <w:marLeft w:val="0"/>
                  <w:marRight w:val="0"/>
                  <w:marTop w:val="0"/>
                  <w:marBottom w:val="0"/>
                  <w:divBdr>
                    <w:top w:val="none" w:sz="0" w:space="0" w:color="auto"/>
                    <w:left w:val="none" w:sz="0" w:space="0" w:color="auto"/>
                    <w:bottom w:val="none" w:sz="0" w:space="0" w:color="auto"/>
                    <w:right w:val="none" w:sz="0" w:space="0" w:color="auto"/>
                  </w:divBdr>
                  <w:divsChild>
                    <w:div w:id="230965449">
                      <w:marLeft w:val="0"/>
                      <w:marRight w:val="0"/>
                      <w:marTop w:val="0"/>
                      <w:marBottom w:val="0"/>
                      <w:divBdr>
                        <w:top w:val="none" w:sz="0" w:space="0" w:color="auto"/>
                        <w:left w:val="none" w:sz="0" w:space="0" w:color="auto"/>
                        <w:bottom w:val="none" w:sz="0" w:space="0" w:color="auto"/>
                        <w:right w:val="none" w:sz="0" w:space="0" w:color="auto"/>
                      </w:divBdr>
                      <w:divsChild>
                        <w:div w:id="1332445010">
                          <w:marLeft w:val="-225"/>
                          <w:marRight w:val="-225"/>
                          <w:marTop w:val="0"/>
                          <w:marBottom w:val="0"/>
                          <w:divBdr>
                            <w:top w:val="none" w:sz="0" w:space="0" w:color="auto"/>
                            <w:left w:val="none" w:sz="0" w:space="0" w:color="auto"/>
                            <w:bottom w:val="none" w:sz="0" w:space="0" w:color="auto"/>
                            <w:right w:val="none" w:sz="0" w:space="0" w:color="auto"/>
                          </w:divBdr>
                          <w:divsChild>
                            <w:div w:id="1277248218">
                              <w:marLeft w:val="0"/>
                              <w:marRight w:val="0"/>
                              <w:marTop w:val="0"/>
                              <w:marBottom w:val="0"/>
                              <w:divBdr>
                                <w:top w:val="none" w:sz="0" w:space="0" w:color="auto"/>
                                <w:left w:val="none" w:sz="0" w:space="0" w:color="auto"/>
                                <w:bottom w:val="none" w:sz="0" w:space="0" w:color="auto"/>
                                <w:right w:val="none" w:sz="0" w:space="0" w:color="auto"/>
                              </w:divBdr>
                              <w:divsChild>
                                <w:div w:id="912355628">
                                  <w:marLeft w:val="0"/>
                                  <w:marRight w:val="0"/>
                                  <w:marTop w:val="0"/>
                                  <w:marBottom w:val="0"/>
                                  <w:divBdr>
                                    <w:top w:val="none" w:sz="0" w:space="0" w:color="auto"/>
                                    <w:left w:val="none" w:sz="0" w:space="0" w:color="auto"/>
                                    <w:bottom w:val="none" w:sz="0" w:space="0" w:color="auto"/>
                                    <w:right w:val="none" w:sz="0" w:space="0" w:color="auto"/>
                                  </w:divBdr>
                                  <w:divsChild>
                                    <w:div w:id="1737974829">
                                      <w:marLeft w:val="0"/>
                                      <w:marRight w:val="0"/>
                                      <w:marTop w:val="0"/>
                                      <w:marBottom w:val="0"/>
                                      <w:divBdr>
                                        <w:top w:val="none" w:sz="0" w:space="0" w:color="auto"/>
                                        <w:left w:val="none" w:sz="0" w:space="0" w:color="auto"/>
                                        <w:bottom w:val="none" w:sz="0" w:space="0" w:color="auto"/>
                                        <w:right w:val="none" w:sz="0" w:space="0" w:color="auto"/>
                                      </w:divBdr>
                                      <w:divsChild>
                                        <w:div w:id="1428187306">
                                          <w:marLeft w:val="-225"/>
                                          <w:marRight w:val="-225"/>
                                          <w:marTop w:val="0"/>
                                          <w:marBottom w:val="0"/>
                                          <w:divBdr>
                                            <w:top w:val="none" w:sz="0" w:space="0" w:color="auto"/>
                                            <w:left w:val="none" w:sz="0" w:space="0" w:color="auto"/>
                                            <w:bottom w:val="none" w:sz="0" w:space="0" w:color="auto"/>
                                            <w:right w:val="none" w:sz="0" w:space="0" w:color="auto"/>
                                          </w:divBdr>
                                          <w:divsChild>
                                            <w:div w:id="265386258">
                                              <w:marLeft w:val="0"/>
                                              <w:marRight w:val="0"/>
                                              <w:marTop w:val="0"/>
                                              <w:marBottom w:val="0"/>
                                              <w:divBdr>
                                                <w:top w:val="none" w:sz="0" w:space="0" w:color="auto"/>
                                                <w:left w:val="none" w:sz="0" w:space="0" w:color="auto"/>
                                                <w:bottom w:val="none" w:sz="0" w:space="0" w:color="auto"/>
                                                <w:right w:val="none" w:sz="0" w:space="0" w:color="auto"/>
                                              </w:divBdr>
                                              <w:divsChild>
                                                <w:div w:id="1549493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387530352">
      <w:bodyDiv w:val="1"/>
      <w:marLeft w:val="0"/>
      <w:marRight w:val="0"/>
      <w:marTop w:val="0"/>
      <w:marBottom w:val="0"/>
      <w:divBdr>
        <w:top w:val="none" w:sz="0" w:space="0" w:color="auto"/>
        <w:left w:val="none" w:sz="0" w:space="0" w:color="auto"/>
        <w:bottom w:val="none" w:sz="0" w:space="0" w:color="auto"/>
        <w:right w:val="none" w:sz="0" w:space="0" w:color="auto"/>
      </w:divBdr>
      <w:divsChild>
        <w:div w:id="569190774">
          <w:marLeft w:val="0"/>
          <w:marRight w:val="0"/>
          <w:marTop w:val="0"/>
          <w:marBottom w:val="0"/>
          <w:divBdr>
            <w:top w:val="none" w:sz="0" w:space="0" w:color="auto"/>
            <w:left w:val="none" w:sz="0" w:space="0" w:color="auto"/>
            <w:bottom w:val="none" w:sz="0" w:space="0" w:color="auto"/>
            <w:right w:val="none" w:sz="0" w:space="0" w:color="auto"/>
          </w:divBdr>
          <w:divsChild>
            <w:div w:id="328556305">
              <w:marLeft w:val="0"/>
              <w:marRight w:val="0"/>
              <w:marTop w:val="100"/>
              <w:marBottom w:val="100"/>
              <w:divBdr>
                <w:top w:val="none" w:sz="0" w:space="0" w:color="auto"/>
                <w:left w:val="none" w:sz="0" w:space="0" w:color="auto"/>
                <w:bottom w:val="none" w:sz="0" w:space="0" w:color="auto"/>
                <w:right w:val="none" w:sz="0" w:space="0" w:color="auto"/>
              </w:divBdr>
              <w:divsChild>
                <w:div w:id="307514354">
                  <w:marLeft w:val="0"/>
                  <w:marRight w:val="0"/>
                  <w:marTop w:val="0"/>
                  <w:marBottom w:val="0"/>
                  <w:divBdr>
                    <w:top w:val="none" w:sz="0" w:space="0" w:color="auto"/>
                    <w:left w:val="none" w:sz="0" w:space="0" w:color="auto"/>
                    <w:bottom w:val="none" w:sz="0" w:space="0" w:color="auto"/>
                    <w:right w:val="none" w:sz="0" w:space="0" w:color="auto"/>
                  </w:divBdr>
                  <w:divsChild>
                    <w:div w:id="1051730143">
                      <w:marLeft w:val="0"/>
                      <w:marRight w:val="0"/>
                      <w:marTop w:val="0"/>
                      <w:marBottom w:val="0"/>
                      <w:divBdr>
                        <w:top w:val="none" w:sz="0" w:space="0" w:color="auto"/>
                        <w:left w:val="none" w:sz="0" w:space="0" w:color="auto"/>
                        <w:bottom w:val="none" w:sz="0" w:space="0" w:color="auto"/>
                        <w:right w:val="none" w:sz="0" w:space="0" w:color="auto"/>
                      </w:divBdr>
                      <w:divsChild>
                        <w:div w:id="920286721">
                          <w:marLeft w:val="0"/>
                          <w:marRight w:val="0"/>
                          <w:marTop w:val="0"/>
                          <w:marBottom w:val="0"/>
                          <w:divBdr>
                            <w:top w:val="none" w:sz="0" w:space="0" w:color="auto"/>
                            <w:left w:val="none" w:sz="0" w:space="0" w:color="auto"/>
                            <w:bottom w:val="none" w:sz="0" w:space="0" w:color="auto"/>
                            <w:right w:val="none" w:sz="0" w:space="0" w:color="auto"/>
                          </w:divBdr>
                          <w:divsChild>
                            <w:div w:id="773404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41001811">
      <w:bodyDiv w:val="1"/>
      <w:marLeft w:val="0"/>
      <w:marRight w:val="0"/>
      <w:marTop w:val="0"/>
      <w:marBottom w:val="0"/>
      <w:divBdr>
        <w:top w:val="none" w:sz="0" w:space="0" w:color="auto"/>
        <w:left w:val="none" w:sz="0" w:space="0" w:color="auto"/>
        <w:bottom w:val="none" w:sz="0" w:space="0" w:color="auto"/>
        <w:right w:val="none" w:sz="0" w:space="0" w:color="auto"/>
      </w:divBdr>
    </w:div>
    <w:div w:id="595477112">
      <w:bodyDiv w:val="1"/>
      <w:marLeft w:val="0"/>
      <w:marRight w:val="0"/>
      <w:marTop w:val="0"/>
      <w:marBottom w:val="0"/>
      <w:divBdr>
        <w:top w:val="none" w:sz="0" w:space="0" w:color="auto"/>
        <w:left w:val="none" w:sz="0" w:space="0" w:color="auto"/>
        <w:bottom w:val="none" w:sz="0" w:space="0" w:color="auto"/>
        <w:right w:val="none" w:sz="0" w:space="0" w:color="auto"/>
      </w:divBdr>
    </w:div>
    <w:div w:id="668951265">
      <w:bodyDiv w:val="1"/>
      <w:marLeft w:val="0"/>
      <w:marRight w:val="0"/>
      <w:marTop w:val="0"/>
      <w:marBottom w:val="0"/>
      <w:divBdr>
        <w:top w:val="none" w:sz="0" w:space="0" w:color="auto"/>
        <w:left w:val="none" w:sz="0" w:space="0" w:color="auto"/>
        <w:bottom w:val="none" w:sz="0" w:space="0" w:color="auto"/>
        <w:right w:val="none" w:sz="0" w:space="0" w:color="auto"/>
      </w:divBdr>
    </w:div>
    <w:div w:id="737243519">
      <w:bodyDiv w:val="1"/>
      <w:marLeft w:val="0"/>
      <w:marRight w:val="0"/>
      <w:marTop w:val="0"/>
      <w:marBottom w:val="0"/>
      <w:divBdr>
        <w:top w:val="none" w:sz="0" w:space="0" w:color="auto"/>
        <w:left w:val="none" w:sz="0" w:space="0" w:color="auto"/>
        <w:bottom w:val="none" w:sz="0" w:space="0" w:color="auto"/>
        <w:right w:val="none" w:sz="0" w:space="0" w:color="auto"/>
      </w:divBdr>
    </w:div>
    <w:div w:id="766465945">
      <w:bodyDiv w:val="1"/>
      <w:marLeft w:val="0"/>
      <w:marRight w:val="0"/>
      <w:marTop w:val="0"/>
      <w:marBottom w:val="0"/>
      <w:divBdr>
        <w:top w:val="none" w:sz="0" w:space="0" w:color="auto"/>
        <w:left w:val="none" w:sz="0" w:space="0" w:color="auto"/>
        <w:bottom w:val="none" w:sz="0" w:space="0" w:color="auto"/>
        <w:right w:val="none" w:sz="0" w:space="0" w:color="auto"/>
      </w:divBdr>
    </w:div>
    <w:div w:id="768505712">
      <w:bodyDiv w:val="1"/>
      <w:marLeft w:val="0"/>
      <w:marRight w:val="0"/>
      <w:marTop w:val="0"/>
      <w:marBottom w:val="0"/>
      <w:divBdr>
        <w:top w:val="none" w:sz="0" w:space="0" w:color="auto"/>
        <w:left w:val="none" w:sz="0" w:space="0" w:color="auto"/>
        <w:bottom w:val="none" w:sz="0" w:space="0" w:color="auto"/>
        <w:right w:val="none" w:sz="0" w:space="0" w:color="auto"/>
      </w:divBdr>
    </w:div>
    <w:div w:id="787743955">
      <w:bodyDiv w:val="1"/>
      <w:marLeft w:val="0"/>
      <w:marRight w:val="0"/>
      <w:marTop w:val="0"/>
      <w:marBottom w:val="0"/>
      <w:divBdr>
        <w:top w:val="none" w:sz="0" w:space="0" w:color="auto"/>
        <w:left w:val="none" w:sz="0" w:space="0" w:color="auto"/>
        <w:bottom w:val="none" w:sz="0" w:space="0" w:color="auto"/>
        <w:right w:val="none" w:sz="0" w:space="0" w:color="auto"/>
      </w:divBdr>
    </w:div>
    <w:div w:id="807018446">
      <w:bodyDiv w:val="1"/>
      <w:marLeft w:val="0"/>
      <w:marRight w:val="0"/>
      <w:marTop w:val="0"/>
      <w:marBottom w:val="0"/>
      <w:divBdr>
        <w:top w:val="none" w:sz="0" w:space="0" w:color="auto"/>
        <w:left w:val="none" w:sz="0" w:space="0" w:color="auto"/>
        <w:bottom w:val="none" w:sz="0" w:space="0" w:color="auto"/>
        <w:right w:val="none" w:sz="0" w:space="0" w:color="auto"/>
      </w:divBdr>
    </w:div>
    <w:div w:id="811798125">
      <w:bodyDiv w:val="1"/>
      <w:marLeft w:val="0"/>
      <w:marRight w:val="0"/>
      <w:marTop w:val="0"/>
      <w:marBottom w:val="0"/>
      <w:divBdr>
        <w:top w:val="none" w:sz="0" w:space="0" w:color="auto"/>
        <w:left w:val="none" w:sz="0" w:space="0" w:color="auto"/>
        <w:bottom w:val="none" w:sz="0" w:space="0" w:color="auto"/>
        <w:right w:val="none" w:sz="0" w:space="0" w:color="auto"/>
      </w:divBdr>
    </w:div>
    <w:div w:id="891306904">
      <w:bodyDiv w:val="1"/>
      <w:marLeft w:val="0"/>
      <w:marRight w:val="0"/>
      <w:marTop w:val="0"/>
      <w:marBottom w:val="0"/>
      <w:divBdr>
        <w:top w:val="none" w:sz="0" w:space="0" w:color="auto"/>
        <w:left w:val="none" w:sz="0" w:space="0" w:color="auto"/>
        <w:bottom w:val="none" w:sz="0" w:space="0" w:color="auto"/>
        <w:right w:val="none" w:sz="0" w:space="0" w:color="auto"/>
      </w:divBdr>
    </w:div>
    <w:div w:id="903879607">
      <w:bodyDiv w:val="1"/>
      <w:marLeft w:val="0"/>
      <w:marRight w:val="0"/>
      <w:marTop w:val="0"/>
      <w:marBottom w:val="0"/>
      <w:divBdr>
        <w:top w:val="none" w:sz="0" w:space="0" w:color="auto"/>
        <w:left w:val="none" w:sz="0" w:space="0" w:color="auto"/>
        <w:bottom w:val="none" w:sz="0" w:space="0" w:color="auto"/>
        <w:right w:val="none" w:sz="0" w:space="0" w:color="auto"/>
      </w:divBdr>
    </w:div>
    <w:div w:id="1005983552">
      <w:bodyDiv w:val="1"/>
      <w:marLeft w:val="0"/>
      <w:marRight w:val="0"/>
      <w:marTop w:val="0"/>
      <w:marBottom w:val="0"/>
      <w:divBdr>
        <w:top w:val="none" w:sz="0" w:space="0" w:color="auto"/>
        <w:left w:val="none" w:sz="0" w:space="0" w:color="auto"/>
        <w:bottom w:val="none" w:sz="0" w:space="0" w:color="auto"/>
        <w:right w:val="none" w:sz="0" w:space="0" w:color="auto"/>
      </w:divBdr>
    </w:div>
    <w:div w:id="1013994820">
      <w:bodyDiv w:val="1"/>
      <w:marLeft w:val="0"/>
      <w:marRight w:val="0"/>
      <w:marTop w:val="0"/>
      <w:marBottom w:val="0"/>
      <w:divBdr>
        <w:top w:val="none" w:sz="0" w:space="0" w:color="auto"/>
        <w:left w:val="none" w:sz="0" w:space="0" w:color="auto"/>
        <w:bottom w:val="none" w:sz="0" w:space="0" w:color="auto"/>
        <w:right w:val="none" w:sz="0" w:space="0" w:color="auto"/>
      </w:divBdr>
    </w:div>
    <w:div w:id="1060708552">
      <w:bodyDiv w:val="1"/>
      <w:marLeft w:val="0"/>
      <w:marRight w:val="0"/>
      <w:marTop w:val="0"/>
      <w:marBottom w:val="0"/>
      <w:divBdr>
        <w:top w:val="none" w:sz="0" w:space="0" w:color="auto"/>
        <w:left w:val="none" w:sz="0" w:space="0" w:color="auto"/>
        <w:bottom w:val="none" w:sz="0" w:space="0" w:color="auto"/>
        <w:right w:val="none" w:sz="0" w:space="0" w:color="auto"/>
      </w:divBdr>
    </w:div>
    <w:div w:id="1198011765">
      <w:bodyDiv w:val="1"/>
      <w:marLeft w:val="0"/>
      <w:marRight w:val="0"/>
      <w:marTop w:val="0"/>
      <w:marBottom w:val="0"/>
      <w:divBdr>
        <w:top w:val="none" w:sz="0" w:space="0" w:color="auto"/>
        <w:left w:val="none" w:sz="0" w:space="0" w:color="auto"/>
        <w:bottom w:val="none" w:sz="0" w:space="0" w:color="auto"/>
        <w:right w:val="none" w:sz="0" w:space="0" w:color="auto"/>
      </w:divBdr>
    </w:div>
    <w:div w:id="1213928194">
      <w:bodyDiv w:val="1"/>
      <w:marLeft w:val="0"/>
      <w:marRight w:val="0"/>
      <w:marTop w:val="0"/>
      <w:marBottom w:val="0"/>
      <w:divBdr>
        <w:top w:val="none" w:sz="0" w:space="0" w:color="auto"/>
        <w:left w:val="none" w:sz="0" w:space="0" w:color="auto"/>
        <w:bottom w:val="none" w:sz="0" w:space="0" w:color="auto"/>
        <w:right w:val="none" w:sz="0" w:space="0" w:color="auto"/>
      </w:divBdr>
    </w:div>
    <w:div w:id="1218392333">
      <w:bodyDiv w:val="1"/>
      <w:marLeft w:val="0"/>
      <w:marRight w:val="0"/>
      <w:marTop w:val="0"/>
      <w:marBottom w:val="0"/>
      <w:divBdr>
        <w:top w:val="none" w:sz="0" w:space="0" w:color="auto"/>
        <w:left w:val="none" w:sz="0" w:space="0" w:color="auto"/>
        <w:bottom w:val="none" w:sz="0" w:space="0" w:color="auto"/>
        <w:right w:val="none" w:sz="0" w:space="0" w:color="auto"/>
      </w:divBdr>
      <w:divsChild>
        <w:div w:id="1782258051">
          <w:marLeft w:val="0"/>
          <w:marRight w:val="0"/>
          <w:marTop w:val="0"/>
          <w:marBottom w:val="0"/>
          <w:divBdr>
            <w:top w:val="none" w:sz="0" w:space="0" w:color="auto"/>
            <w:left w:val="none" w:sz="0" w:space="0" w:color="auto"/>
            <w:bottom w:val="none" w:sz="0" w:space="0" w:color="auto"/>
            <w:right w:val="none" w:sz="0" w:space="0" w:color="auto"/>
          </w:divBdr>
          <w:divsChild>
            <w:div w:id="604923433">
              <w:marLeft w:val="0"/>
              <w:marRight w:val="0"/>
              <w:marTop w:val="0"/>
              <w:marBottom w:val="0"/>
              <w:divBdr>
                <w:top w:val="none" w:sz="0" w:space="0" w:color="auto"/>
                <w:left w:val="none" w:sz="0" w:space="0" w:color="auto"/>
                <w:bottom w:val="none" w:sz="0" w:space="0" w:color="auto"/>
                <w:right w:val="none" w:sz="0" w:space="0" w:color="auto"/>
              </w:divBdr>
              <w:divsChild>
                <w:div w:id="811605432">
                  <w:marLeft w:val="0"/>
                  <w:marRight w:val="0"/>
                  <w:marTop w:val="0"/>
                  <w:marBottom w:val="0"/>
                  <w:divBdr>
                    <w:top w:val="none" w:sz="0" w:space="0" w:color="auto"/>
                    <w:left w:val="none" w:sz="0" w:space="0" w:color="auto"/>
                    <w:bottom w:val="none" w:sz="0" w:space="0" w:color="auto"/>
                    <w:right w:val="none" w:sz="0" w:space="0" w:color="auto"/>
                  </w:divBdr>
                  <w:divsChild>
                    <w:div w:id="1384594881">
                      <w:marLeft w:val="0"/>
                      <w:marRight w:val="0"/>
                      <w:marTop w:val="0"/>
                      <w:marBottom w:val="0"/>
                      <w:divBdr>
                        <w:top w:val="none" w:sz="0" w:space="0" w:color="auto"/>
                        <w:left w:val="none" w:sz="0" w:space="0" w:color="auto"/>
                        <w:bottom w:val="none" w:sz="0" w:space="0" w:color="auto"/>
                        <w:right w:val="none" w:sz="0" w:space="0" w:color="auto"/>
                      </w:divBdr>
                      <w:divsChild>
                        <w:div w:id="1542667804">
                          <w:marLeft w:val="-225"/>
                          <w:marRight w:val="-225"/>
                          <w:marTop w:val="0"/>
                          <w:marBottom w:val="0"/>
                          <w:divBdr>
                            <w:top w:val="none" w:sz="0" w:space="0" w:color="auto"/>
                            <w:left w:val="none" w:sz="0" w:space="0" w:color="auto"/>
                            <w:bottom w:val="none" w:sz="0" w:space="0" w:color="auto"/>
                            <w:right w:val="none" w:sz="0" w:space="0" w:color="auto"/>
                          </w:divBdr>
                          <w:divsChild>
                            <w:div w:id="488330525">
                              <w:marLeft w:val="0"/>
                              <w:marRight w:val="0"/>
                              <w:marTop w:val="0"/>
                              <w:marBottom w:val="0"/>
                              <w:divBdr>
                                <w:top w:val="none" w:sz="0" w:space="0" w:color="auto"/>
                                <w:left w:val="none" w:sz="0" w:space="0" w:color="auto"/>
                                <w:bottom w:val="none" w:sz="0" w:space="0" w:color="auto"/>
                                <w:right w:val="none" w:sz="0" w:space="0" w:color="auto"/>
                              </w:divBdr>
                              <w:divsChild>
                                <w:div w:id="2086947105">
                                  <w:marLeft w:val="0"/>
                                  <w:marRight w:val="0"/>
                                  <w:marTop w:val="0"/>
                                  <w:marBottom w:val="0"/>
                                  <w:divBdr>
                                    <w:top w:val="none" w:sz="0" w:space="0" w:color="auto"/>
                                    <w:left w:val="none" w:sz="0" w:space="0" w:color="auto"/>
                                    <w:bottom w:val="none" w:sz="0" w:space="0" w:color="auto"/>
                                    <w:right w:val="none" w:sz="0" w:space="0" w:color="auto"/>
                                  </w:divBdr>
                                  <w:divsChild>
                                    <w:div w:id="1127309142">
                                      <w:marLeft w:val="0"/>
                                      <w:marRight w:val="0"/>
                                      <w:marTop w:val="0"/>
                                      <w:marBottom w:val="0"/>
                                      <w:divBdr>
                                        <w:top w:val="none" w:sz="0" w:space="0" w:color="auto"/>
                                        <w:left w:val="none" w:sz="0" w:space="0" w:color="auto"/>
                                        <w:bottom w:val="none" w:sz="0" w:space="0" w:color="auto"/>
                                        <w:right w:val="none" w:sz="0" w:space="0" w:color="auto"/>
                                      </w:divBdr>
                                      <w:divsChild>
                                        <w:div w:id="994454099">
                                          <w:marLeft w:val="-225"/>
                                          <w:marRight w:val="-225"/>
                                          <w:marTop w:val="0"/>
                                          <w:marBottom w:val="0"/>
                                          <w:divBdr>
                                            <w:top w:val="none" w:sz="0" w:space="0" w:color="auto"/>
                                            <w:left w:val="none" w:sz="0" w:space="0" w:color="auto"/>
                                            <w:bottom w:val="none" w:sz="0" w:space="0" w:color="auto"/>
                                            <w:right w:val="none" w:sz="0" w:space="0" w:color="auto"/>
                                          </w:divBdr>
                                          <w:divsChild>
                                            <w:div w:id="1058288041">
                                              <w:marLeft w:val="0"/>
                                              <w:marRight w:val="0"/>
                                              <w:marTop w:val="0"/>
                                              <w:marBottom w:val="0"/>
                                              <w:divBdr>
                                                <w:top w:val="none" w:sz="0" w:space="0" w:color="auto"/>
                                                <w:left w:val="none" w:sz="0" w:space="0" w:color="auto"/>
                                                <w:bottom w:val="none" w:sz="0" w:space="0" w:color="auto"/>
                                                <w:right w:val="none" w:sz="0" w:space="0" w:color="auto"/>
                                              </w:divBdr>
                                              <w:divsChild>
                                                <w:div w:id="1136486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247760357">
      <w:bodyDiv w:val="1"/>
      <w:marLeft w:val="0"/>
      <w:marRight w:val="0"/>
      <w:marTop w:val="0"/>
      <w:marBottom w:val="0"/>
      <w:divBdr>
        <w:top w:val="none" w:sz="0" w:space="0" w:color="auto"/>
        <w:left w:val="none" w:sz="0" w:space="0" w:color="auto"/>
        <w:bottom w:val="none" w:sz="0" w:space="0" w:color="auto"/>
        <w:right w:val="none" w:sz="0" w:space="0" w:color="auto"/>
      </w:divBdr>
    </w:div>
    <w:div w:id="1492745841">
      <w:bodyDiv w:val="1"/>
      <w:marLeft w:val="0"/>
      <w:marRight w:val="0"/>
      <w:marTop w:val="0"/>
      <w:marBottom w:val="0"/>
      <w:divBdr>
        <w:top w:val="none" w:sz="0" w:space="0" w:color="auto"/>
        <w:left w:val="none" w:sz="0" w:space="0" w:color="auto"/>
        <w:bottom w:val="none" w:sz="0" w:space="0" w:color="auto"/>
        <w:right w:val="none" w:sz="0" w:space="0" w:color="auto"/>
      </w:divBdr>
    </w:div>
    <w:div w:id="1733694329">
      <w:bodyDiv w:val="1"/>
      <w:marLeft w:val="0"/>
      <w:marRight w:val="0"/>
      <w:marTop w:val="0"/>
      <w:marBottom w:val="0"/>
      <w:divBdr>
        <w:top w:val="none" w:sz="0" w:space="0" w:color="auto"/>
        <w:left w:val="none" w:sz="0" w:space="0" w:color="auto"/>
        <w:bottom w:val="none" w:sz="0" w:space="0" w:color="auto"/>
        <w:right w:val="none" w:sz="0" w:space="0" w:color="auto"/>
      </w:divBdr>
    </w:div>
    <w:div w:id="1760323885">
      <w:bodyDiv w:val="1"/>
      <w:marLeft w:val="0"/>
      <w:marRight w:val="0"/>
      <w:marTop w:val="0"/>
      <w:marBottom w:val="0"/>
      <w:divBdr>
        <w:top w:val="none" w:sz="0" w:space="0" w:color="auto"/>
        <w:left w:val="none" w:sz="0" w:space="0" w:color="auto"/>
        <w:bottom w:val="none" w:sz="0" w:space="0" w:color="auto"/>
        <w:right w:val="none" w:sz="0" w:space="0" w:color="auto"/>
      </w:divBdr>
    </w:div>
    <w:div w:id="1900628012">
      <w:bodyDiv w:val="1"/>
      <w:marLeft w:val="0"/>
      <w:marRight w:val="0"/>
      <w:marTop w:val="0"/>
      <w:marBottom w:val="0"/>
      <w:divBdr>
        <w:top w:val="none" w:sz="0" w:space="0" w:color="auto"/>
        <w:left w:val="none" w:sz="0" w:space="0" w:color="auto"/>
        <w:bottom w:val="none" w:sz="0" w:space="0" w:color="auto"/>
        <w:right w:val="none" w:sz="0" w:space="0" w:color="auto"/>
      </w:divBdr>
    </w:div>
    <w:div w:id="1922133004">
      <w:bodyDiv w:val="1"/>
      <w:marLeft w:val="0"/>
      <w:marRight w:val="0"/>
      <w:marTop w:val="0"/>
      <w:marBottom w:val="0"/>
      <w:divBdr>
        <w:top w:val="none" w:sz="0" w:space="0" w:color="auto"/>
        <w:left w:val="none" w:sz="0" w:space="0" w:color="auto"/>
        <w:bottom w:val="none" w:sz="0" w:space="0" w:color="auto"/>
        <w:right w:val="none" w:sz="0" w:space="0" w:color="auto"/>
      </w:divBdr>
    </w:div>
    <w:div w:id="1958681744">
      <w:bodyDiv w:val="1"/>
      <w:marLeft w:val="0"/>
      <w:marRight w:val="0"/>
      <w:marTop w:val="0"/>
      <w:marBottom w:val="0"/>
      <w:divBdr>
        <w:top w:val="none" w:sz="0" w:space="0" w:color="auto"/>
        <w:left w:val="none" w:sz="0" w:space="0" w:color="auto"/>
        <w:bottom w:val="none" w:sz="0" w:space="0" w:color="auto"/>
        <w:right w:val="none" w:sz="0" w:space="0" w:color="auto"/>
      </w:divBdr>
    </w:div>
    <w:div w:id="2016298855">
      <w:bodyDiv w:val="1"/>
      <w:marLeft w:val="0"/>
      <w:marRight w:val="0"/>
      <w:marTop w:val="0"/>
      <w:marBottom w:val="0"/>
      <w:divBdr>
        <w:top w:val="none" w:sz="0" w:space="0" w:color="auto"/>
        <w:left w:val="none" w:sz="0" w:space="0" w:color="auto"/>
        <w:bottom w:val="none" w:sz="0" w:space="0" w:color="auto"/>
        <w:right w:val="none" w:sz="0" w:space="0" w:color="auto"/>
      </w:divBdr>
    </w:div>
    <w:div w:id="2078286957">
      <w:bodyDiv w:val="1"/>
      <w:marLeft w:val="0"/>
      <w:marRight w:val="0"/>
      <w:marTop w:val="0"/>
      <w:marBottom w:val="0"/>
      <w:divBdr>
        <w:top w:val="none" w:sz="0" w:space="0" w:color="auto"/>
        <w:left w:val="none" w:sz="0" w:space="0" w:color="auto"/>
        <w:bottom w:val="none" w:sz="0" w:space="0" w:color="auto"/>
        <w:right w:val="none" w:sz="0" w:space="0" w:color="auto"/>
      </w:divBdr>
    </w:div>
    <w:div w:id="2080593343">
      <w:bodyDiv w:val="1"/>
      <w:marLeft w:val="0"/>
      <w:marRight w:val="0"/>
      <w:marTop w:val="0"/>
      <w:marBottom w:val="0"/>
      <w:divBdr>
        <w:top w:val="none" w:sz="0" w:space="0" w:color="auto"/>
        <w:left w:val="none" w:sz="0" w:space="0" w:color="auto"/>
        <w:bottom w:val="none" w:sz="0" w:space="0" w:color="auto"/>
        <w:right w:val="none" w:sz="0" w:space="0" w:color="auto"/>
      </w:divBdr>
    </w:div>
    <w:div w:id="2103720859">
      <w:bodyDiv w:val="1"/>
      <w:marLeft w:val="0"/>
      <w:marRight w:val="0"/>
      <w:marTop w:val="0"/>
      <w:marBottom w:val="0"/>
      <w:divBdr>
        <w:top w:val="none" w:sz="0" w:space="0" w:color="auto"/>
        <w:left w:val="none" w:sz="0" w:space="0" w:color="auto"/>
        <w:bottom w:val="none" w:sz="0" w:space="0" w:color="auto"/>
        <w:right w:val="none" w:sz="0" w:space="0" w:color="auto"/>
      </w:divBdr>
    </w:div>
    <w:div w:id="2104035774">
      <w:bodyDiv w:val="1"/>
      <w:marLeft w:val="0"/>
      <w:marRight w:val="0"/>
      <w:marTop w:val="0"/>
      <w:marBottom w:val="0"/>
      <w:divBdr>
        <w:top w:val="none" w:sz="0" w:space="0" w:color="auto"/>
        <w:left w:val="none" w:sz="0" w:space="0" w:color="auto"/>
        <w:bottom w:val="none" w:sz="0" w:space="0" w:color="auto"/>
        <w:right w:val="none" w:sz="0" w:space="0" w:color="auto"/>
      </w:divBdr>
    </w:div>
    <w:div w:id="2140953692">
      <w:bodyDiv w:val="1"/>
      <w:marLeft w:val="0"/>
      <w:marRight w:val="0"/>
      <w:marTop w:val="0"/>
      <w:marBottom w:val="0"/>
      <w:divBdr>
        <w:top w:val="none" w:sz="0" w:space="0" w:color="auto"/>
        <w:left w:val="none" w:sz="0" w:space="0" w:color="auto"/>
        <w:bottom w:val="none" w:sz="0" w:space="0" w:color="auto"/>
        <w:right w:val="none" w:sz="0" w:space="0" w:color="auto"/>
      </w:divBdr>
      <w:divsChild>
        <w:div w:id="1252206107">
          <w:marLeft w:val="0"/>
          <w:marRight w:val="0"/>
          <w:marTop w:val="0"/>
          <w:marBottom w:val="0"/>
          <w:divBdr>
            <w:top w:val="none" w:sz="0" w:space="0" w:color="auto"/>
            <w:left w:val="none" w:sz="0" w:space="0" w:color="auto"/>
            <w:bottom w:val="none" w:sz="0" w:space="0" w:color="auto"/>
            <w:right w:val="none" w:sz="0" w:space="0" w:color="auto"/>
          </w:divBdr>
          <w:divsChild>
            <w:div w:id="428309067">
              <w:marLeft w:val="0"/>
              <w:marRight w:val="0"/>
              <w:marTop w:val="100"/>
              <w:marBottom w:val="100"/>
              <w:divBdr>
                <w:top w:val="none" w:sz="0" w:space="0" w:color="auto"/>
                <w:left w:val="none" w:sz="0" w:space="0" w:color="auto"/>
                <w:bottom w:val="none" w:sz="0" w:space="0" w:color="auto"/>
                <w:right w:val="none" w:sz="0" w:space="0" w:color="auto"/>
              </w:divBdr>
              <w:divsChild>
                <w:div w:id="1356082803">
                  <w:marLeft w:val="0"/>
                  <w:marRight w:val="0"/>
                  <w:marTop w:val="0"/>
                  <w:marBottom w:val="0"/>
                  <w:divBdr>
                    <w:top w:val="none" w:sz="0" w:space="0" w:color="auto"/>
                    <w:left w:val="none" w:sz="0" w:space="0" w:color="auto"/>
                    <w:bottom w:val="none" w:sz="0" w:space="0" w:color="auto"/>
                    <w:right w:val="none" w:sz="0" w:space="0" w:color="auto"/>
                  </w:divBdr>
                  <w:divsChild>
                    <w:div w:id="348482516">
                      <w:marLeft w:val="0"/>
                      <w:marRight w:val="0"/>
                      <w:marTop w:val="0"/>
                      <w:marBottom w:val="0"/>
                      <w:divBdr>
                        <w:top w:val="none" w:sz="0" w:space="0" w:color="auto"/>
                        <w:left w:val="none" w:sz="0" w:space="0" w:color="auto"/>
                        <w:bottom w:val="none" w:sz="0" w:space="0" w:color="auto"/>
                        <w:right w:val="none" w:sz="0" w:space="0" w:color="auto"/>
                      </w:divBdr>
                      <w:divsChild>
                        <w:div w:id="654188096">
                          <w:marLeft w:val="0"/>
                          <w:marRight w:val="0"/>
                          <w:marTop w:val="0"/>
                          <w:marBottom w:val="0"/>
                          <w:divBdr>
                            <w:top w:val="none" w:sz="0" w:space="0" w:color="auto"/>
                            <w:left w:val="none" w:sz="0" w:space="0" w:color="auto"/>
                            <w:bottom w:val="none" w:sz="0" w:space="0" w:color="auto"/>
                            <w:right w:val="none" w:sz="0" w:space="0" w:color="auto"/>
                          </w:divBdr>
                          <w:divsChild>
                            <w:div w:id="22899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hyperlink" Target="https://www.industry.gov.au/data-and-publications/australias-critical-minerals-strategy" TargetMode="External"/><Relationship Id="rId26" Type="http://schemas.openxmlformats.org/officeDocument/2006/relationships/image" Target="media/image9.png"/><Relationship Id="rId39" Type="http://schemas.openxmlformats.org/officeDocument/2006/relationships/chart" Target="charts/chart6.xml"/><Relationship Id="rId21" Type="http://schemas.openxmlformats.org/officeDocument/2006/relationships/image" Target="media/image6.jpeg"/><Relationship Id="rId34" Type="http://schemas.openxmlformats.org/officeDocument/2006/relationships/chart" Target="charts/chart4.xml"/><Relationship Id="rId42" Type="http://schemas.openxmlformats.org/officeDocument/2006/relationships/image" Target="media/image21.jpeg"/><Relationship Id="rId47" Type="http://schemas.openxmlformats.org/officeDocument/2006/relationships/chart" Target="charts/chart9.xml"/><Relationship Id="rId50" Type="http://schemas.openxmlformats.org/officeDocument/2006/relationships/header" Target="header3.xml"/><Relationship Id="rId55" Type="http://schemas.openxmlformats.org/officeDocument/2006/relationships/theme" Target="theme/theme1.xml"/><Relationship Id="rId7"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image" Target="media/image3.png"/><Relationship Id="rId25" Type="http://schemas.openxmlformats.org/officeDocument/2006/relationships/chart" Target="charts/chart2.xml"/><Relationship Id="rId33" Type="http://schemas.openxmlformats.org/officeDocument/2006/relationships/chart" Target="charts/chart3.xml"/><Relationship Id="rId38" Type="http://schemas.openxmlformats.org/officeDocument/2006/relationships/chart" Target="charts/chart5.xml"/><Relationship Id="rId46" Type="http://schemas.openxmlformats.org/officeDocument/2006/relationships/chart" Target="charts/chart8.xml"/><Relationship Id="rId2" Type="http://schemas.openxmlformats.org/officeDocument/2006/relationships/customXml" Target="../customXml/item2.xml"/><Relationship Id="rId16" Type="http://schemas.openxmlformats.org/officeDocument/2006/relationships/image" Target="media/image2.jpeg"/><Relationship Id="rId20" Type="http://schemas.openxmlformats.org/officeDocument/2006/relationships/image" Target="media/image5.png"/><Relationship Id="rId29" Type="http://schemas.openxmlformats.org/officeDocument/2006/relationships/image" Target="media/image12.png"/><Relationship Id="rId41" Type="http://schemas.openxmlformats.org/officeDocument/2006/relationships/image" Target="media/image20.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8.jpeg"/><Relationship Id="rId32" Type="http://schemas.openxmlformats.org/officeDocument/2006/relationships/image" Target="media/image15.png"/><Relationship Id="rId37" Type="http://schemas.openxmlformats.org/officeDocument/2006/relationships/image" Target="media/image18.jpeg"/><Relationship Id="rId40" Type="http://schemas.openxmlformats.org/officeDocument/2006/relationships/image" Target="media/image19.png"/><Relationship Id="rId45" Type="http://schemas.openxmlformats.org/officeDocument/2006/relationships/image" Target="media/image23.jpeg"/><Relationship Id="rId53" Type="http://schemas.openxmlformats.org/officeDocument/2006/relationships/footer" Target="footer4.xml"/><Relationship Id="rId5" Type="http://schemas.openxmlformats.org/officeDocument/2006/relationships/customXml" Target="../customXml/item5.xml"/><Relationship Id="rId15" Type="http://schemas.openxmlformats.org/officeDocument/2006/relationships/footer" Target="footer2.xml"/><Relationship Id="rId23" Type="http://schemas.openxmlformats.org/officeDocument/2006/relationships/image" Target="media/image7.png"/><Relationship Id="rId28" Type="http://schemas.openxmlformats.org/officeDocument/2006/relationships/image" Target="media/image11.png"/><Relationship Id="rId36" Type="http://schemas.openxmlformats.org/officeDocument/2006/relationships/image" Target="media/image17.jpg"/><Relationship Id="rId49" Type="http://schemas.openxmlformats.org/officeDocument/2006/relationships/header" Target="header2.xml"/><Relationship Id="rId10" Type="http://schemas.openxmlformats.org/officeDocument/2006/relationships/footnotes" Target="footnotes.xml"/><Relationship Id="rId19" Type="http://schemas.openxmlformats.org/officeDocument/2006/relationships/image" Target="media/image4.jpeg"/><Relationship Id="rId31" Type="http://schemas.openxmlformats.org/officeDocument/2006/relationships/image" Target="media/image14.jpeg"/><Relationship Id="rId44" Type="http://schemas.openxmlformats.org/officeDocument/2006/relationships/image" Target="media/image22.png"/><Relationship Id="rId52" Type="http://schemas.openxmlformats.org/officeDocument/2006/relationships/header" Target="header4.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footer" Target="footer1.xml"/><Relationship Id="rId22" Type="http://schemas.openxmlformats.org/officeDocument/2006/relationships/chart" Target="charts/chart1.xml"/><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image" Target="media/image16.png"/><Relationship Id="rId43" Type="http://schemas.openxmlformats.org/officeDocument/2006/relationships/chart" Target="charts/chart7.xml"/><Relationship Id="rId48" Type="http://schemas.openxmlformats.org/officeDocument/2006/relationships/image" Target="media/image24.png"/><Relationship Id="rId8" Type="http://schemas.openxmlformats.org/officeDocument/2006/relationships/settings" Target="settings.xml"/><Relationship Id="rId51" Type="http://schemas.openxmlformats.org/officeDocument/2006/relationships/footer" Target="footer3.xml"/><Relationship Id="rId3" Type="http://schemas.openxmlformats.org/officeDocument/2006/relationships/customXml" Target="../customXml/item3.xml"/></Relationships>
</file>

<file path=word/_rels/settings.xml.rels><?xml version="1.0" encoding="UTF-8" standalone="yes"?>
<Relationships xmlns="http://schemas.openxmlformats.org/package/2006/relationships"><Relationship Id="rId1" Type="http://schemas.openxmlformats.org/officeDocument/2006/relationships/attachedTemplate" Target="https://dochub/div/economicanalyticalservices/templates/OCE%20Portrait%20Template.dotm"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prod.protected.ind\user\User02\mgibbons\desktop\Niobium%20CM%20chart%20and%20calcs.xls" TargetMode="External"/></Relationships>
</file>

<file path=word/charts/_rels/chart2.xml.rels><?xml version="1.0" encoding="UTF-8" standalone="yes"?>
<Relationships xmlns="http://schemas.openxmlformats.org/package/2006/relationships"><Relationship Id="rId2" Type="http://schemas.openxmlformats.org/officeDocument/2006/relationships/oleObject" Target="file:///\\prod.protected.ind\user\user04\KMartin1\Critical%20minerals\Roskill%20data%20files\Roskill%20Rare%20Earths%20Global%20Industry,%20Markets-%20updated.xls" TargetMode="External"/><Relationship Id="rId1" Type="http://schemas.openxmlformats.org/officeDocument/2006/relationships/themeOverride" Target="../theme/themeOverride1.xm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https://dochub/div/economicanalyticalservices/businessfunctions/dataanalyticalservices/commodityanalysis/docs/Critical%20commodities%20workbook.xlsx" TargetMode="Externa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embeddings/oleObject1.bin"/></Relationships>
</file>

<file path=word/charts/_rels/chart5.xml.rels><?xml version="1.0" encoding="UTF-8" standalone="yes"?>
<Relationships xmlns="http://schemas.openxmlformats.org/package/2006/relationships"><Relationship Id="rId1" Type="http://schemas.openxmlformats.org/officeDocument/2006/relationships/oleObject" Target="file:///\\prod.protected.ind\user\User03\jc0206\desktop\Critical%20Minerals%202019\Roskill%20-%20Antimony%20-%20Tables.xls" TargetMode="External"/></Relationships>
</file>

<file path=word/charts/_rels/chart6.xml.rels><?xml version="1.0" encoding="UTF-8" standalone="yes"?>
<Relationships xmlns="http://schemas.openxmlformats.org/package/2006/relationships"><Relationship Id="rId3" Type="http://schemas.openxmlformats.org/officeDocument/2006/relationships/oleObject" Target="file:///\\prod.protected.ind\user\User03\jc0206\desktop\Critical%20Minerals%202019\Roskill%20-%20Antimony%20&amp;%20Tungsten%20-%20Tables.xls" TargetMode="External"/><Relationship Id="rId2" Type="http://schemas.microsoft.com/office/2011/relationships/chartColorStyle" Target="colors3.xml"/><Relationship Id="rId1" Type="http://schemas.microsoft.com/office/2011/relationships/chartStyle" Target="style3.xml"/></Relationships>
</file>

<file path=word/charts/_rels/chart7.xml.rels><?xml version="1.0" encoding="UTF-8" standalone="yes"?>
<Relationships xmlns="http://schemas.openxmlformats.org/package/2006/relationships"><Relationship Id="rId1" Type="http://schemas.openxmlformats.org/officeDocument/2006/relationships/oleObject" Target="file:///\\prod.protected.ind\user\User02\mgibbons\desktop\Magnesium%20CM%20chart%20and%20calcs.xls"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prod.protected.ind\user\User03\jc0206\desktop\Critical%20Minerals%202019\Roskill%20-%20Antimony%20&amp;%20Tungsten%20-%20Tables.xls" TargetMode="External"/></Relationships>
</file>

<file path=word/charts/_rels/chart9.xml.rels><?xml version="1.0" encoding="UTF-8" standalone="yes"?>
<Relationships xmlns="http://schemas.openxmlformats.org/package/2006/relationships"><Relationship Id="rId3" Type="http://schemas.openxmlformats.org/officeDocument/2006/relationships/oleObject" Target="file:///\\prod.protected.ind\user\User03\jc0206\desktop\Critical%20Minerals%202019\Roskill%20-%20Antimony%20&amp;%20Tungsten%20-%20Tables.xls" TargetMode="External"/><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v>Consumption</c:v>
          </c:tx>
          <c:spPr>
            <a:ln w="28575" cap="rnd" cmpd="sng" algn="ctr">
              <a:solidFill>
                <a:srgbClr val="005CAF"/>
              </a:solidFill>
              <a:prstDash val="solid"/>
              <a:round/>
              <a:headEnd type="none" w="med" len="med"/>
              <a:tailEnd type="none" w="med" len="med"/>
            </a:ln>
            <a:effectLst/>
          </c:spPr>
          <c:marker>
            <c:symbol val="none"/>
          </c:marker>
          <c:cat>
            <c:numRef>
              <c:f>'Chart and calcs'!$E$49:$Q$49</c:f>
              <c:numCache>
                <c:formatCode>General</c:formatCode>
                <c:ptCount val="13"/>
                <c:pt idx="0">
                  <c:v>2018</c:v>
                </c:pt>
                <c:pt idx="1">
                  <c:v>2019</c:v>
                </c:pt>
                <c:pt idx="2">
                  <c:v>2020</c:v>
                </c:pt>
                <c:pt idx="3">
                  <c:v>2021</c:v>
                </c:pt>
                <c:pt idx="4">
                  <c:v>2022</c:v>
                </c:pt>
                <c:pt idx="5">
                  <c:v>2023</c:v>
                </c:pt>
                <c:pt idx="6">
                  <c:v>2024</c:v>
                </c:pt>
                <c:pt idx="7">
                  <c:v>2025</c:v>
                </c:pt>
                <c:pt idx="8">
                  <c:v>2026</c:v>
                </c:pt>
                <c:pt idx="9">
                  <c:v>2027</c:v>
                </c:pt>
                <c:pt idx="10">
                  <c:v>2028</c:v>
                </c:pt>
                <c:pt idx="11">
                  <c:v>2029</c:v>
                </c:pt>
                <c:pt idx="12">
                  <c:v>2030</c:v>
                </c:pt>
              </c:numCache>
            </c:numRef>
          </c:cat>
          <c:val>
            <c:numRef>
              <c:f>'Chart and calcs'!$E$51:$Q$51</c:f>
              <c:numCache>
                <c:formatCode>0.0</c:formatCode>
                <c:ptCount val="13"/>
                <c:pt idx="0">
                  <c:v>58</c:v>
                </c:pt>
                <c:pt idx="1">
                  <c:v>61.19</c:v>
                </c:pt>
                <c:pt idx="2">
                  <c:v>61.495949999999993</c:v>
                </c:pt>
                <c:pt idx="3">
                  <c:v>62.418389249999983</c:v>
                </c:pt>
                <c:pt idx="4">
                  <c:v>63.978848981249982</c:v>
                </c:pt>
                <c:pt idx="5">
                  <c:v>64.938531715968736</c:v>
                </c:pt>
                <c:pt idx="6">
                  <c:v>65.58791703312842</c:v>
                </c:pt>
                <c:pt idx="7">
                  <c:v>68.539373299619186</c:v>
                </c:pt>
                <c:pt idx="8">
                  <c:v>72.514656950997107</c:v>
                </c:pt>
                <c:pt idx="9">
                  <c:v>75.270213915134988</c:v>
                </c:pt>
                <c:pt idx="10">
                  <c:v>75.458389449922819</c:v>
                </c:pt>
                <c:pt idx="11">
                  <c:v>75.647035423547621</c:v>
                </c:pt>
                <c:pt idx="12">
                  <c:v>75.836153012106479</c:v>
                </c:pt>
              </c:numCache>
            </c:numRef>
          </c:val>
          <c:smooth val="0"/>
        </c:ser>
        <c:ser>
          <c:idx val="1"/>
          <c:order val="1"/>
          <c:tx>
            <c:v>Production</c:v>
          </c:tx>
          <c:spPr>
            <a:ln w="28575" cap="rnd" cmpd="sng" algn="ctr">
              <a:solidFill>
                <a:srgbClr val="56B4DF"/>
              </a:solidFill>
              <a:prstDash val="solid"/>
              <a:round/>
              <a:headEnd type="none" w="med" len="med"/>
              <a:tailEnd type="none" w="med" len="med"/>
            </a:ln>
            <a:effectLst/>
          </c:spPr>
          <c:marker>
            <c:symbol val="none"/>
          </c:marker>
          <c:cat>
            <c:numRef>
              <c:f>'Chart and calcs'!$E$49:$Q$49</c:f>
              <c:numCache>
                <c:formatCode>General</c:formatCode>
                <c:ptCount val="13"/>
                <c:pt idx="0">
                  <c:v>2018</c:v>
                </c:pt>
                <c:pt idx="1">
                  <c:v>2019</c:v>
                </c:pt>
                <c:pt idx="2">
                  <c:v>2020</c:v>
                </c:pt>
                <c:pt idx="3">
                  <c:v>2021</c:v>
                </c:pt>
                <c:pt idx="4">
                  <c:v>2022</c:v>
                </c:pt>
                <c:pt idx="5">
                  <c:v>2023</c:v>
                </c:pt>
                <c:pt idx="6">
                  <c:v>2024</c:v>
                </c:pt>
                <c:pt idx="7">
                  <c:v>2025</c:v>
                </c:pt>
                <c:pt idx="8">
                  <c:v>2026</c:v>
                </c:pt>
                <c:pt idx="9">
                  <c:v>2027</c:v>
                </c:pt>
                <c:pt idx="10">
                  <c:v>2028</c:v>
                </c:pt>
                <c:pt idx="11">
                  <c:v>2029</c:v>
                </c:pt>
                <c:pt idx="12">
                  <c:v>2030</c:v>
                </c:pt>
              </c:numCache>
            </c:numRef>
          </c:cat>
          <c:val>
            <c:numRef>
              <c:f>'Chart and calcs'!$E$50:$Q$50</c:f>
              <c:numCache>
                <c:formatCode>0.0</c:formatCode>
                <c:ptCount val="13"/>
                <c:pt idx="0">
                  <c:v>63</c:v>
                </c:pt>
                <c:pt idx="1">
                  <c:v>63.440999999999995</c:v>
                </c:pt>
                <c:pt idx="2">
                  <c:v>63.885086999999992</c:v>
                </c:pt>
                <c:pt idx="3">
                  <c:v>64.332282608999975</c:v>
                </c:pt>
                <c:pt idx="4">
                  <c:v>68.835542391629986</c:v>
                </c:pt>
                <c:pt idx="5">
                  <c:v>70.212253239462584</c:v>
                </c:pt>
                <c:pt idx="6">
                  <c:v>70.247359366082307</c:v>
                </c:pt>
                <c:pt idx="7">
                  <c:v>70.282483045765332</c:v>
                </c:pt>
                <c:pt idx="8">
                  <c:v>70.338709032201947</c:v>
                </c:pt>
                <c:pt idx="9">
                  <c:v>72.308192885103608</c:v>
                </c:pt>
                <c:pt idx="10">
                  <c:v>74.838979636082229</c:v>
                </c:pt>
                <c:pt idx="11">
                  <c:v>75.96156433062346</c:v>
                </c:pt>
                <c:pt idx="12">
                  <c:v>75.96156433062346</c:v>
                </c:pt>
              </c:numCache>
            </c:numRef>
          </c:val>
          <c:smooth val="0"/>
        </c:ser>
        <c:dLbls>
          <c:showLegendKey val="0"/>
          <c:showVal val="0"/>
          <c:showCatName val="0"/>
          <c:showSerName val="0"/>
          <c:showPercent val="0"/>
          <c:showBubbleSize val="0"/>
        </c:dLbls>
        <c:marker val="1"/>
        <c:smooth val="0"/>
        <c:axId val="524050848"/>
        <c:axId val="524053592"/>
      </c:lineChart>
      <c:lineChart>
        <c:grouping val="standard"/>
        <c:varyColors val="0"/>
        <c:ser>
          <c:idx val="2"/>
          <c:order val="2"/>
          <c:tx>
            <c:v>Price (rhs)</c:v>
          </c:tx>
          <c:spPr>
            <a:ln w="28575" cap="rnd">
              <a:solidFill>
                <a:schemeClr val="accent3"/>
              </a:solidFill>
              <a:round/>
            </a:ln>
            <a:effectLst/>
          </c:spPr>
          <c:marker>
            <c:symbol val="none"/>
          </c:marker>
          <c:cat>
            <c:numRef>
              <c:f>'Chart and calcs'!$E$49:$Q$49</c:f>
              <c:numCache>
                <c:formatCode>General</c:formatCode>
                <c:ptCount val="13"/>
                <c:pt idx="0">
                  <c:v>2018</c:v>
                </c:pt>
                <c:pt idx="1">
                  <c:v>2019</c:v>
                </c:pt>
                <c:pt idx="2">
                  <c:v>2020</c:v>
                </c:pt>
                <c:pt idx="3">
                  <c:v>2021</c:v>
                </c:pt>
                <c:pt idx="4">
                  <c:v>2022</c:v>
                </c:pt>
                <c:pt idx="5">
                  <c:v>2023</c:v>
                </c:pt>
                <c:pt idx="6">
                  <c:v>2024</c:v>
                </c:pt>
                <c:pt idx="7">
                  <c:v>2025</c:v>
                </c:pt>
                <c:pt idx="8">
                  <c:v>2026</c:v>
                </c:pt>
                <c:pt idx="9">
                  <c:v>2027</c:v>
                </c:pt>
                <c:pt idx="10">
                  <c:v>2028</c:v>
                </c:pt>
                <c:pt idx="11">
                  <c:v>2029</c:v>
                </c:pt>
                <c:pt idx="12">
                  <c:v>2030</c:v>
                </c:pt>
              </c:numCache>
            </c:numRef>
          </c:cat>
          <c:val>
            <c:numRef>
              <c:f>'Chart and calcs'!$E$52:$Q$52</c:f>
              <c:numCache>
                <c:formatCode>0.0</c:formatCode>
                <c:ptCount val="13"/>
                <c:pt idx="0">
                  <c:v>33</c:v>
                </c:pt>
                <c:pt idx="1">
                  <c:v>31.49857819905213</c:v>
                </c:pt>
                <c:pt idx="2">
                  <c:v>31.561261936761685</c:v>
                </c:pt>
                <c:pt idx="3">
                  <c:v>31.312503221989182</c:v>
                </c:pt>
                <c:pt idx="4">
                  <c:v>34.321558409663261</c:v>
                </c:pt>
                <c:pt idx="5">
                  <c:v>35.47607670099466</c:v>
                </c:pt>
                <c:pt idx="6">
                  <c:v>37</c:v>
                </c:pt>
                <c:pt idx="7">
                  <c:v>37.384329640032234</c:v>
                </c:pt>
                <c:pt idx="8">
                  <c:v>37.72071793698224</c:v>
                </c:pt>
                <c:pt idx="9">
                  <c:v>39.400298314775981</c:v>
                </c:pt>
                <c:pt idx="10" formatCode="General">
                  <c:v>39</c:v>
                </c:pt>
                <c:pt idx="11" formatCode="General">
                  <c:v>38.5</c:v>
                </c:pt>
                <c:pt idx="12" formatCode="General">
                  <c:v>39</c:v>
                </c:pt>
              </c:numCache>
            </c:numRef>
          </c:val>
          <c:smooth val="0"/>
        </c:ser>
        <c:dLbls>
          <c:showLegendKey val="0"/>
          <c:showVal val="0"/>
          <c:showCatName val="0"/>
          <c:showSerName val="0"/>
          <c:showPercent val="0"/>
          <c:showBubbleSize val="0"/>
        </c:dLbls>
        <c:marker val="1"/>
        <c:smooth val="0"/>
        <c:axId val="271522216"/>
        <c:axId val="271519864"/>
      </c:lineChart>
      <c:catAx>
        <c:axId val="524050848"/>
        <c:scaling>
          <c:orientation val="minMax"/>
        </c:scaling>
        <c:delete val="0"/>
        <c:axPos val="b"/>
        <c:numFmt formatCode="General" sourceLinked="1"/>
        <c:majorTickMark val="out"/>
        <c:minorTickMark val="none"/>
        <c:tickLblPos val="nextTo"/>
        <c:spPr>
          <a:noFill/>
          <a:ln w="12700" cap="flat" cmpd="sng" algn="ctr">
            <a:solidFill>
              <a:srgbClr val="BCBFC1"/>
            </a:solidFill>
            <a:prstDash val="solid"/>
            <a:round/>
          </a:ln>
          <a:effectLst/>
        </c:spPr>
        <c:txPr>
          <a:bodyPr rot="-60000000" spcFirstLastPara="1" vertOverflow="ellipsis" vert="horz" wrap="square" anchor="ctr" anchorCtr="1"/>
          <a:lstStyle/>
          <a:p>
            <a:pPr>
              <a:defRPr sz="900" b="0" i="0" u="none" strike="noStrike" kern="1200" baseline="0">
                <a:solidFill>
                  <a:srgbClr val="373737"/>
                </a:solidFill>
                <a:latin typeface="Arial"/>
                <a:ea typeface="Arial"/>
                <a:cs typeface="Arial"/>
              </a:defRPr>
            </a:pPr>
            <a:endParaRPr lang="en-US"/>
          </a:p>
        </c:txPr>
        <c:crossAx val="524053592"/>
        <c:crosses val="autoZero"/>
        <c:auto val="1"/>
        <c:lblAlgn val="ctr"/>
        <c:lblOffset val="100"/>
        <c:tickLblSkip val="2"/>
        <c:noMultiLvlLbl val="0"/>
      </c:catAx>
      <c:valAx>
        <c:axId val="524053592"/>
        <c:scaling>
          <c:orientation val="minMax"/>
          <c:min val="50"/>
        </c:scaling>
        <c:delete val="0"/>
        <c:axPos val="l"/>
        <c:title>
          <c:tx>
            <c:rich>
              <a:bodyPr rot="-5400000" spcFirstLastPara="1" vertOverflow="ellipsis" vert="horz" wrap="square" anchor="ctr" anchorCtr="1"/>
              <a:lstStyle/>
              <a:p>
                <a:pPr algn="ctr" rtl="0">
                  <a:defRPr sz="900" b="0" i="0" u="none" strike="noStrike" kern="1200" baseline="0">
                    <a:solidFill>
                      <a:srgbClr val="373737"/>
                    </a:solidFill>
                    <a:latin typeface="Arial" panose="020B0604020202020204" pitchFamily="34" charset="0"/>
                    <a:ea typeface="Arial"/>
                    <a:cs typeface="Arial" panose="020B0604020202020204" pitchFamily="34" charset="0"/>
                  </a:defRPr>
                </a:pPr>
                <a:r>
                  <a:rPr lang="en-US" sz="900" b="0" i="0" u="none" strike="noStrike" kern="1200" baseline="0">
                    <a:solidFill>
                      <a:srgbClr val="373737"/>
                    </a:solidFill>
                    <a:latin typeface="Arial" panose="020B0604020202020204" pitchFamily="34" charset="0"/>
                    <a:cs typeface="Arial" panose="020B0604020202020204" pitchFamily="34" charset="0"/>
                  </a:rPr>
                  <a:t>Thousand tonnes</a:t>
                </a:r>
              </a:p>
            </c:rich>
          </c:tx>
          <c:layout/>
          <c:overlay val="0"/>
          <c:spPr>
            <a:noFill/>
            <a:ln w="25400">
              <a:noFill/>
            </a:ln>
          </c:spPr>
        </c:title>
        <c:numFmt formatCode="0" sourceLinked="0"/>
        <c:majorTickMark val="out"/>
        <c:minorTickMark val="none"/>
        <c:tickLblPos val="nextTo"/>
        <c:spPr>
          <a:noFill/>
          <a:ln w="12700">
            <a:solidFill>
              <a:srgbClr val="BCBFC1"/>
            </a:solidFill>
            <a:prstDash val="solid"/>
          </a:ln>
          <a:effectLst/>
        </c:spPr>
        <c:txPr>
          <a:bodyPr rot="-60000000" spcFirstLastPara="1" vertOverflow="ellipsis" vert="horz" wrap="square" anchor="ctr" anchorCtr="1"/>
          <a:lstStyle/>
          <a:p>
            <a:pPr>
              <a:defRPr sz="900" b="0" i="0" u="none" strike="noStrike" kern="1200" baseline="0">
                <a:solidFill>
                  <a:srgbClr val="373737"/>
                </a:solidFill>
                <a:latin typeface="Arial"/>
                <a:ea typeface="Arial"/>
                <a:cs typeface="Arial"/>
              </a:defRPr>
            </a:pPr>
            <a:endParaRPr lang="en-US"/>
          </a:p>
        </c:txPr>
        <c:crossAx val="524050848"/>
        <c:crosses val="autoZero"/>
        <c:crossBetween val="between"/>
        <c:majorUnit val="10"/>
      </c:valAx>
      <c:catAx>
        <c:axId val="271522216"/>
        <c:scaling>
          <c:orientation val="minMax"/>
        </c:scaling>
        <c:delete val="1"/>
        <c:axPos val="b"/>
        <c:numFmt formatCode="General" sourceLinked="1"/>
        <c:majorTickMark val="out"/>
        <c:minorTickMark val="none"/>
        <c:tickLblPos val="nextTo"/>
        <c:crossAx val="271519864"/>
        <c:crosses val="autoZero"/>
        <c:auto val="1"/>
        <c:lblAlgn val="ctr"/>
        <c:lblOffset val="100"/>
        <c:noMultiLvlLbl val="0"/>
      </c:catAx>
      <c:valAx>
        <c:axId val="271519864"/>
        <c:scaling>
          <c:orientation val="minMax"/>
          <c:max val="45"/>
          <c:min val="30"/>
        </c:scaling>
        <c:delete val="0"/>
        <c:axPos val="r"/>
        <c:title>
          <c:tx>
            <c:rich>
              <a:bodyPr rot="-5400000" spcFirstLastPara="1" vertOverflow="ellipsis" vert="horz" wrap="square" anchor="ctr" anchorCtr="1"/>
              <a:lstStyle/>
              <a:p>
                <a:pPr>
                  <a:defRPr sz="900" b="0" i="0" u="none" strike="noStrike" kern="1200" baseline="0">
                    <a:solidFill>
                      <a:srgbClr val="373737"/>
                    </a:solidFill>
                    <a:latin typeface="Arial"/>
                    <a:ea typeface="Arial"/>
                    <a:cs typeface="Arial"/>
                  </a:defRPr>
                </a:pPr>
                <a:r>
                  <a:rPr lang="en-US">
                    <a:solidFill>
                      <a:srgbClr val="373737"/>
                    </a:solidFill>
                  </a:rPr>
                  <a:t>US$ a kilo</a:t>
                </a:r>
              </a:p>
            </c:rich>
          </c:tx>
          <c:layout/>
          <c:overlay val="0"/>
          <c:spPr>
            <a:noFill/>
            <a:ln w="25400">
              <a:noFill/>
            </a:ln>
          </c:spPr>
        </c:title>
        <c:numFmt formatCode="0" sourceLinked="0"/>
        <c:majorTickMark val="out"/>
        <c:minorTickMark val="none"/>
        <c:tickLblPos val="nextTo"/>
        <c:spPr>
          <a:noFill/>
          <a:ln w="9525" cap="flat" cmpd="sng" algn="ctr">
            <a:solidFill>
              <a:srgbClr val="BCBFC1"/>
            </a:solidFill>
            <a:prstDash val="solid"/>
            <a:round/>
            <a:headEnd type="none" w="med" len="med"/>
            <a:tailEnd type="none" w="med" len="med"/>
          </a:ln>
          <a:effectLst/>
        </c:spPr>
        <c:txPr>
          <a:bodyPr rot="-60000000" spcFirstLastPara="1" vertOverflow="ellipsis" vert="horz" wrap="square" anchor="ctr" anchorCtr="1"/>
          <a:lstStyle/>
          <a:p>
            <a:pPr>
              <a:defRPr sz="900" b="0" i="0" u="none" strike="noStrike" kern="1200" baseline="0">
                <a:solidFill>
                  <a:srgbClr val="373737"/>
                </a:solidFill>
                <a:latin typeface="Arial"/>
                <a:ea typeface="Arial"/>
                <a:cs typeface="Arial"/>
              </a:defRPr>
            </a:pPr>
            <a:endParaRPr lang="en-US"/>
          </a:p>
        </c:txPr>
        <c:crossAx val="271522216"/>
        <c:crosses val="max"/>
        <c:crossBetween val="between"/>
        <c:majorUnit val="5"/>
      </c:valAx>
      <c:spPr>
        <a:noFill/>
        <a:ln w="25400">
          <a:noFill/>
        </a:ln>
      </c:spPr>
    </c:plotArea>
    <c:legend>
      <c:legendPos val="b"/>
      <c:layout/>
      <c:overlay val="0"/>
      <c:spPr>
        <a:noFill/>
        <a:ln w="25400">
          <a:noFill/>
        </a:ln>
      </c:spPr>
      <c:txPr>
        <a:bodyPr rot="0" spcFirstLastPara="1" vertOverflow="ellipsis" vert="horz" wrap="square" anchor="ctr" anchorCtr="1"/>
        <a:lstStyle/>
        <a:p>
          <a:pPr>
            <a:defRPr sz="900" b="0" i="0" u="none" strike="noStrike" kern="1200" baseline="0">
              <a:solidFill>
                <a:srgbClr val="373737"/>
              </a:solidFill>
              <a:latin typeface="Arial"/>
              <a:ea typeface="Arial"/>
              <a:cs typeface="Arial"/>
            </a:defRPr>
          </a:pPr>
          <a:endParaRPr lang="en-US"/>
        </a:p>
      </c:txPr>
    </c:legend>
    <c:plotVisOnly val="1"/>
    <c:dispBlanksAs val="gap"/>
    <c:showDLblsOverMax val="0"/>
  </c:chart>
  <c:spPr>
    <a:solidFill>
      <a:schemeClr val="bg1"/>
    </a:solidFill>
    <a:ln w="25400" cap="flat" cmpd="sng" algn="ctr">
      <a:noFill/>
      <a:round/>
    </a:ln>
    <a:effectLst/>
  </c:spPr>
  <c:txPr>
    <a:bodyPr/>
    <a:lstStyle/>
    <a:p>
      <a:pPr>
        <a:defRPr sz="900" b="0">
          <a:solidFill>
            <a:srgbClr val="595A5B"/>
          </a:solidFill>
          <a:latin typeface="Arial"/>
          <a:ea typeface="Arial"/>
          <a:cs typeface="Arial"/>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stacked"/>
        <c:varyColors val="0"/>
        <c:ser>
          <c:idx val="0"/>
          <c:order val="0"/>
          <c:tx>
            <c:strRef>
              <c:f>' Rare Earths Global Industry, M'!$C$79</c:f>
              <c:strCache>
                <c:ptCount val="1"/>
                <c:pt idx="0">
                  <c:v>Magnets  </c:v>
                </c:pt>
              </c:strCache>
            </c:strRef>
          </c:tx>
          <c:spPr>
            <a:solidFill>
              <a:srgbClr val="005CAF"/>
            </a:solidFill>
            <a:ln w="25400">
              <a:noFill/>
            </a:ln>
          </c:spPr>
          <c:invertIfNegative val="0"/>
          <c:cat>
            <c:strRef>
              <c:f>' Rare Earths Global Industry, M'!$D$78:$H$78</c:f>
              <c:strCache>
                <c:ptCount val="5"/>
                <c:pt idx="0">
                  <c:v>China  </c:v>
                </c:pt>
                <c:pt idx="1">
                  <c:v>Japan  &amp; other Asia  </c:v>
                </c:pt>
                <c:pt idx="2">
                  <c:v>US</c:v>
                </c:pt>
                <c:pt idx="3">
                  <c:v>Rest of world</c:v>
                </c:pt>
                <c:pt idx="4">
                  <c:v>Europe  </c:v>
                </c:pt>
              </c:strCache>
            </c:strRef>
          </c:cat>
          <c:val>
            <c:numRef>
              <c:f>' Rare Earths Global Industry, M'!$W$79:$AA$79</c:f>
              <c:numCache>
                <c:formatCode>0%</c:formatCode>
                <c:ptCount val="5"/>
                <c:pt idx="0">
                  <c:v>0.24759793052475979</c:v>
                </c:pt>
                <c:pt idx="1">
                  <c:v>2.4390243902439022E-2</c:v>
                </c:pt>
                <c:pt idx="2">
                  <c:v>2.2172949002217291E-3</c:v>
                </c:pt>
                <c:pt idx="3">
                  <c:v>3.6954915003696012E-3</c:v>
                </c:pt>
                <c:pt idx="4">
                  <c:v>1.4781966001478197E-3</c:v>
                </c:pt>
              </c:numCache>
            </c:numRef>
          </c:val>
        </c:ser>
        <c:ser>
          <c:idx val="1"/>
          <c:order val="1"/>
          <c:tx>
            <c:strRef>
              <c:f>' Rare Earths Global Industry, M'!$C$80</c:f>
              <c:strCache>
                <c:ptCount val="1"/>
                <c:pt idx="0">
                  <c:v>Catalysts  </c:v>
                </c:pt>
              </c:strCache>
            </c:strRef>
          </c:tx>
          <c:spPr>
            <a:solidFill>
              <a:srgbClr val="56B4DF"/>
            </a:solidFill>
            <a:ln w="25400">
              <a:noFill/>
            </a:ln>
          </c:spPr>
          <c:invertIfNegative val="0"/>
          <c:cat>
            <c:strRef>
              <c:f>' Rare Earths Global Industry, M'!$D$78:$H$78</c:f>
              <c:strCache>
                <c:ptCount val="5"/>
                <c:pt idx="0">
                  <c:v>China  </c:v>
                </c:pt>
                <c:pt idx="1">
                  <c:v>Japan  &amp; other Asia  </c:v>
                </c:pt>
                <c:pt idx="2">
                  <c:v>US</c:v>
                </c:pt>
                <c:pt idx="3">
                  <c:v>Rest of world</c:v>
                </c:pt>
                <c:pt idx="4">
                  <c:v>Europe  </c:v>
                </c:pt>
              </c:strCache>
            </c:strRef>
          </c:cat>
          <c:val>
            <c:numRef>
              <c:f>' Rare Earths Global Industry, M'!$W$80:$AA$80</c:f>
              <c:numCache>
                <c:formatCode>0%</c:formatCode>
                <c:ptCount val="5"/>
                <c:pt idx="0">
                  <c:v>0.11382113821138211</c:v>
                </c:pt>
                <c:pt idx="1">
                  <c:v>4.4345898004434586E-2</c:v>
                </c:pt>
                <c:pt idx="2">
                  <c:v>4.7302291204730229E-2</c:v>
                </c:pt>
                <c:pt idx="3">
                  <c:v>1.8477457501847771E-2</c:v>
                </c:pt>
                <c:pt idx="4">
                  <c:v>9.6082779009608269E-3</c:v>
                </c:pt>
              </c:numCache>
            </c:numRef>
          </c:val>
        </c:ser>
        <c:ser>
          <c:idx val="2"/>
          <c:order val="2"/>
          <c:tx>
            <c:strRef>
              <c:f>' Rare Earths Global Industry, M'!$C$81</c:f>
              <c:strCache>
                <c:ptCount val="1"/>
                <c:pt idx="0">
                  <c:v>Polishing  </c:v>
                </c:pt>
              </c:strCache>
            </c:strRef>
          </c:tx>
          <c:spPr>
            <a:solidFill>
              <a:srgbClr val="9ED9DF"/>
            </a:solidFill>
            <a:ln w="25400">
              <a:noFill/>
            </a:ln>
          </c:spPr>
          <c:invertIfNegative val="0"/>
          <c:cat>
            <c:strRef>
              <c:f>' Rare Earths Global Industry, M'!$D$78:$H$78</c:f>
              <c:strCache>
                <c:ptCount val="5"/>
                <c:pt idx="0">
                  <c:v>China  </c:v>
                </c:pt>
                <c:pt idx="1">
                  <c:v>Japan  &amp; other Asia  </c:v>
                </c:pt>
                <c:pt idx="2">
                  <c:v>US</c:v>
                </c:pt>
                <c:pt idx="3">
                  <c:v>Rest of world</c:v>
                </c:pt>
                <c:pt idx="4">
                  <c:v>Europe  </c:v>
                </c:pt>
              </c:strCache>
            </c:strRef>
          </c:cat>
          <c:val>
            <c:numRef>
              <c:f>' Rare Earths Global Industry, M'!$W$81:$AA$81</c:f>
              <c:numCache>
                <c:formatCode>0%</c:formatCode>
                <c:ptCount val="5"/>
                <c:pt idx="0">
                  <c:v>9.6082779009608266E-2</c:v>
                </c:pt>
                <c:pt idx="1">
                  <c:v>1.4781966001478195E-2</c:v>
                </c:pt>
                <c:pt idx="2">
                  <c:v>5.1736881005173679E-3</c:v>
                </c:pt>
                <c:pt idx="3">
                  <c:v>9.6082779009608321E-3</c:v>
                </c:pt>
                <c:pt idx="4">
                  <c:v>4.4345898004434581E-3</c:v>
                </c:pt>
              </c:numCache>
            </c:numRef>
          </c:val>
        </c:ser>
        <c:ser>
          <c:idx val="3"/>
          <c:order val="3"/>
          <c:tx>
            <c:strRef>
              <c:f>' Rare Earths Global Industry, M'!$C$82</c:f>
              <c:strCache>
                <c:ptCount val="1"/>
                <c:pt idx="0">
                  <c:v>Batteries  </c:v>
                </c:pt>
              </c:strCache>
            </c:strRef>
          </c:tx>
          <c:spPr>
            <a:solidFill>
              <a:srgbClr val="BCBFC1"/>
            </a:solidFill>
            <a:ln w="25400">
              <a:noFill/>
            </a:ln>
          </c:spPr>
          <c:invertIfNegative val="0"/>
          <c:cat>
            <c:strRef>
              <c:f>' Rare Earths Global Industry, M'!$D$78:$H$78</c:f>
              <c:strCache>
                <c:ptCount val="5"/>
                <c:pt idx="0">
                  <c:v>China  </c:v>
                </c:pt>
                <c:pt idx="1">
                  <c:v>Japan  &amp; other Asia  </c:v>
                </c:pt>
                <c:pt idx="2">
                  <c:v>US</c:v>
                </c:pt>
                <c:pt idx="3">
                  <c:v>Rest of world</c:v>
                </c:pt>
                <c:pt idx="4">
                  <c:v>Europe  </c:v>
                </c:pt>
              </c:strCache>
            </c:strRef>
          </c:cat>
          <c:val>
            <c:numRef>
              <c:f>' Rare Earths Global Industry, M'!$W$82:$AA$82</c:f>
              <c:numCache>
                <c:formatCode>0%</c:formatCode>
                <c:ptCount val="5"/>
                <c:pt idx="0">
                  <c:v>6.7257945306725783E-2</c:v>
                </c:pt>
                <c:pt idx="1">
                  <c:v>1.6999260901699922E-2</c:v>
                </c:pt>
                <c:pt idx="2">
                  <c:v>2.9563932002956393E-3</c:v>
                </c:pt>
                <c:pt idx="3">
                  <c:v>2.9563932002956415E-3</c:v>
                </c:pt>
                <c:pt idx="4">
                  <c:v>1.4781966001478197E-3</c:v>
                </c:pt>
              </c:numCache>
            </c:numRef>
          </c:val>
        </c:ser>
        <c:ser>
          <c:idx val="4"/>
          <c:order val="4"/>
          <c:tx>
            <c:strRef>
              <c:f>' Rare Earths Global Industry, M'!$C$83</c:f>
              <c:strCache>
                <c:ptCount val="1"/>
                <c:pt idx="0">
                  <c:v>Other uses</c:v>
                </c:pt>
              </c:strCache>
            </c:strRef>
          </c:tx>
          <c:spPr>
            <a:solidFill>
              <a:srgbClr val="51B7A4"/>
            </a:solidFill>
            <a:ln w="25400">
              <a:noFill/>
            </a:ln>
          </c:spPr>
          <c:invertIfNegative val="0"/>
          <c:cat>
            <c:strRef>
              <c:f>' Rare Earths Global Industry, M'!$D$78:$H$78</c:f>
              <c:strCache>
                <c:ptCount val="5"/>
                <c:pt idx="0">
                  <c:v>China  </c:v>
                </c:pt>
                <c:pt idx="1">
                  <c:v>Japan  &amp; other Asia  </c:v>
                </c:pt>
                <c:pt idx="2">
                  <c:v>US</c:v>
                </c:pt>
                <c:pt idx="3">
                  <c:v>Rest of world</c:v>
                </c:pt>
                <c:pt idx="4">
                  <c:v>Europe  </c:v>
                </c:pt>
              </c:strCache>
            </c:strRef>
          </c:cat>
          <c:val>
            <c:numRef>
              <c:f>' Rare Earths Global Industry, M'!$W$83:$AA$83</c:f>
              <c:numCache>
                <c:formatCode>0%</c:formatCode>
                <c:ptCount val="5"/>
                <c:pt idx="0">
                  <c:v>0.16777531411677754</c:v>
                </c:pt>
                <c:pt idx="1">
                  <c:v>4.878048780487803E-2</c:v>
                </c:pt>
                <c:pt idx="2">
                  <c:v>3.9911308203991115E-2</c:v>
                </c:pt>
                <c:pt idx="3">
                  <c:v>2.5868440502586777E-2</c:v>
                </c:pt>
                <c:pt idx="4">
                  <c:v>1.3303769401330372E-2</c:v>
                </c:pt>
              </c:numCache>
            </c:numRef>
          </c:val>
        </c:ser>
        <c:dLbls>
          <c:showLegendKey val="0"/>
          <c:showVal val="0"/>
          <c:showCatName val="0"/>
          <c:showSerName val="0"/>
          <c:showPercent val="0"/>
          <c:showBubbleSize val="0"/>
        </c:dLbls>
        <c:gapWidth val="150"/>
        <c:overlap val="100"/>
        <c:axId val="271521432"/>
        <c:axId val="271515160"/>
      </c:barChart>
      <c:catAx>
        <c:axId val="271521432"/>
        <c:scaling>
          <c:orientation val="minMax"/>
        </c:scaling>
        <c:delete val="0"/>
        <c:axPos val="b"/>
        <c:numFmt formatCode="General" sourceLinked="1"/>
        <c:majorTickMark val="out"/>
        <c:minorTickMark val="none"/>
        <c:tickLblPos val="nextTo"/>
        <c:spPr>
          <a:noFill/>
          <a:ln w="12700" cap="flat" cmpd="sng" algn="ctr">
            <a:solidFill>
              <a:srgbClr val="BCBFC1"/>
            </a:solidFill>
            <a:prstDash val="solid"/>
            <a:round/>
            <a:headEnd type="none" w="med" len="med"/>
            <a:tailEnd type="none" w="med" len="med"/>
          </a:ln>
          <a:effectLst/>
        </c:spPr>
        <c:txPr>
          <a:bodyPr rot="0" vert="horz"/>
          <a:lstStyle/>
          <a:p>
            <a:pPr>
              <a:defRPr sz="900" b="0" i="0" u="none" strike="noStrike" baseline="0">
                <a:solidFill>
                  <a:srgbClr val="373737"/>
                </a:solidFill>
                <a:latin typeface="Arial"/>
                <a:ea typeface="Arial"/>
                <a:cs typeface="Arial"/>
              </a:defRPr>
            </a:pPr>
            <a:endParaRPr lang="en-US"/>
          </a:p>
        </c:txPr>
        <c:crossAx val="271515160"/>
        <c:crosses val="autoZero"/>
        <c:auto val="1"/>
        <c:lblAlgn val="ctr"/>
        <c:lblOffset val="100"/>
        <c:noMultiLvlLbl val="0"/>
      </c:catAx>
      <c:valAx>
        <c:axId val="271515160"/>
        <c:scaling>
          <c:orientation val="minMax"/>
        </c:scaling>
        <c:delete val="0"/>
        <c:axPos val="l"/>
        <c:title>
          <c:tx>
            <c:rich>
              <a:bodyPr/>
              <a:lstStyle/>
              <a:p>
                <a:pPr>
                  <a:defRPr sz="900" b="0" i="0" u="none" strike="noStrike" baseline="0">
                    <a:solidFill>
                      <a:srgbClr val="373737"/>
                    </a:solidFill>
                    <a:latin typeface="Arial"/>
                    <a:ea typeface="Arial"/>
                    <a:cs typeface="Arial"/>
                  </a:defRPr>
                </a:pPr>
                <a:r>
                  <a:rPr lang="en-AU">
                    <a:solidFill>
                      <a:srgbClr val="373737"/>
                    </a:solidFill>
                  </a:rPr>
                  <a:t>Share of world total</a:t>
                </a:r>
              </a:p>
            </c:rich>
          </c:tx>
          <c:overlay val="0"/>
          <c:spPr>
            <a:noFill/>
            <a:ln w="25400">
              <a:noFill/>
            </a:ln>
          </c:spPr>
        </c:title>
        <c:numFmt formatCode="0%" sourceLinked="1"/>
        <c:majorTickMark val="out"/>
        <c:minorTickMark val="none"/>
        <c:tickLblPos val="nextTo"/>
        <c:spPr>
          <a:noFill/>
          <a:ln w="12700" cap="flat" cmpd="sng" algn="ctr">
            <a:solidFill>
              <a:srgbClr val="BCBFC1"/>
            </a:solidFill>
            <a:prstDash val="solid"/>
            <a:round/>
            <a:headEnd type="none" w="med" len="med"/>
            <a:tailEnd type="none" w="med" len="med"/>
          </a:ln>
          <a:effectLst/>
        </c:spPr>
        <c:txPr>
          <a:bodyPr rot="0" vert="horz"/>
          <a:lstStyle/>
          <a:p>
            <a:pPr>
              <a:defRPr sz="900" b="0" i="0" u="none" strike="noStrike" baseline="0">
                <a:solidFill>
                  <a:srgbClr val="373737"/>
                </a:solidFill>
                <a:latin typeface="Arial"/>
                <a:ea typeface="Arial"/>
                <a:cs typeface="Arial"/>
              </a:defRPr>
            </a:pPr>
            <a:endParaRPr lang="en-US"/>
          </a:p>
        </c:txPr>
        <c:crossAx val="271521432"/>
        <c:crosses val="autoZero"/>
        <c:crossBetween val="between"/>
        <c:majorUnit val="0.2"/>
      </c:valAx>
      <c:spPr>
        <a:noFill/>
        <a:ln w="25400">
          <a:noFill/>
        </a:ln>
      </c:spPr>
    </c:plotArea>
    <c:legend>
      <c:legendPos val="b"/>
      <c:overlay val="0"/>
      <c:spPr>
        <a:noFill/>
        <a:ln w="25400">
          <a:noFill/>
        </a:ln>
      </c:spPr>
      <c:txPr>
        <a:bodyPr/>
        <a:lstStyle/>
        <a:p>
          <a:pPr>
            <a:defRPr sz="900" b="0" i="0" u="none" strike="noStrike" baseline="0">
              <a:solidFill>
                <a:srgbClr val="373737"/>
              </a:solidFill>
              <a:latin typeface="Arial"/>
              <a:ea typeface="Arial"/>
              <a:cs typeface="Arial"/>
            </a:defRPr>
          </a:pPr>
          <a:endParaRPr lang="en-US"/>
        </a:p>
      </c:txPr>
    </c:legend>
    <c:plotVisOnly val="1"/>
    <c:dispBlanksAs val="gap"/>
    <c:showDLblsOverMax val="0"/>
  </c:chart>
  <c:spPr>
    <a:solidFill>
      <a:schemeClr val="bg1"/>
    </a:solidFill>
    <a:ln w="25400">
      <a:noFill/>
    </a:ln>
    <a:effectLst/>
  </c:spPr>
  <c:txPr>
    <a:bodyPr/>
    <a:lstStyle/>
    <a:p>
      <a:pPr>
        <a:defRPr sz="1000" b="0" i="0" u="none" strike="noStrike" baseline="0">
          <a:solidFill>
            <a:srgbClr val="000000"/>
          </a:solidFill>
          <a:latin typeface="Calibri"/>
          <a:ea typeface="Calibri"/>
          <a:cs typeface="Calibri"/>
        </a:defRPr>
      </a:pPr>
      <a:endParaRPr lang="en-US"/>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388932633420825"/>
          <c:y val="5.0925925925925923E-2"/>
          <c:w val="0.84555511811023609"/>
          <c:h val="0.78273366870807815"/>
        </c:manualLayout>
      </c:layout>
      <c:barChart>
        <c:barDir val="col"/>
        <c:grouping val="stacked"/>
        <c:varyColors val="0"/>
        <c:ser>
          <c:idx val="0"/>
          <c:order val="0"/>
          <c:tx>
            <c:strRef>
              <c:f>'World production'!$C$3</c:f>
              <c:strCache>
                <c:ptCount val="1"/>
                <c:pt idx="0">
                  <c:v>DRC</c:v>
                </c:pt>
              </c:strCache>
            </c:strRef>
          </c:tx>
          <c:spPr>
            <a:solidFill>
              <a:srgbClr val="005CAF"/>
            </a:solidFill>
            <a:ln>
              <a:noFill/>
            </a:ln>
            <a:effectLst/>
          </c:spPr>
          <c:invertIfNegative val="0"/>
          <c:cat>
            <c:numRef>
              <c:f>'World production'!$A$12:$A$24</c:f>
              <c:numCache>
                <c:formatCode>m/d/yyyy</c:formatCode>
                <c:ptCount val="13"/>
                <c:pt idx="0">
                  <c:v>39082</c:v>
                </c:pt>
                <c:pt idx="1">
                  <c:v>39447</c:v>
                </c:pt>
                <c:pt idx="2">
                  <c:v>39813</c:v>
                </c:pt>
                <c:pt idx="3">
                  <c:v>40178</c:v>
                </c:pt>
                <c:pt idx="4">
                  <c:v>40543</c:v>
                </c:pt>
                <c:pt idx="5">
                  <c:v>40908</c:v>
                </c:pt>
                <c:pt idx="6">
                  <c:v>41274</c:v>
                </c:pt>
                <c:pt idx="7">
                  <c:v>41639</c:v>
                </c:pt>
                <c:pt idx="8">
                  <c:v>42004</c:v>
                </c:pt>
                <c:pt idx="9">
                  <c:v>42369</c:v>
                </c:pt>
                <c:pt idx="10">
                  <c:v>42735</c:v>
                </c:pt>
                <c:pt idx="11">
                  <c:v>43100</c:v>
                </c:pt>
                <c:pt idx="12">
                  <c:v>43465</c:v>
                </c:pt>
              </c:numCache>
            </c:numRef>
          </c:cat>
          <c:val>
            <c:numRef>
              <c:f>'World production'!$C$12:$C$24</c:f>
              <c:numCache>
                <c:formatCode>General</c:formatCode>
                <c:ptCount val="13"/>
                <c:pt idx="0">
                  <c:v>28000</c:v>
                </c:pt>
                <c:pt idx="1">
                  <c:v>25300</c:v>
                </c:pt>
                <c:pt idx="2">
                  <c:v>31000</c:v>
                </c:pt>
                <c:pt idx="3">
                  <c:v>35500</c:v>
                </c:pt>
                <c:pt idx="4">
                  <c:v>45000</c:v>
                </c:pt>
                <c:pt idx="5">
                  <c:v>60000</c:v>
                </c:pt>
                <c:pt idx="6">
                  <c:v>60000</c:v>
                </c:pt>
                <c:pt idx="7">
                  <c:v>54000</c:v>
                </c:pt>
                <c:pt idx="8">
                  <c:v>56000</c:v>
                </c:pt>
                <c:pt idx="9">
                  <c:v>63000</c:v>
                </c:pt>
                <c:pt idx="10">
                  <c:v>64000</c:v>
                </c:pt>
                <c:pt idx="11">
                  <c:v>73000</c:v>
                </c:pt>
                <c:pt idx="12">
                  <c:v>90000</c:v>
                </c:pt>
              </c:numCache>
            </c:numRef>
          </c:val>
        </c:ser>
        <c:ser>
          <c:idx val="1"/>
          <c:order val="1"/>
          <c:tx>
            <c:strRef>
              <c:f>'World production'!$F$3</c:f>
              <c:strCache>
                <c:ptCount val="1"/>
                <c:pt idx="0">
                  <c:v>Rest of world</c:v>
                </c:pt>
              </c:strCache>
            </c:strRef>
          </c:tx>
          <c:spPr>
            <a:solidFill>
              <a:srgbClr val="56B4DF"/>
            </a:solidFill>
            <a:ln>
              <a:noFill/>
            </a:ln>
            <a:effectLst/>
          </c:spPr>
          <c:invertIfNegative val="0"/>
          <c:cat>
            <c:numRef>
              <c:f>'World production'!$A$12:$A$24</c:f>
              <c:numCache>
                <c:formatCode>m/d/yyyy</c:formatCode>
                <c:ptCount val="13"/>
                <c:pt idx="0">
                  <c:v>39082</c:v>
                </c:pt>
                <c:pt idx="1">
                  <c:v>39447</c:v>
                </c:pt>
                <c:pt idx="2">
                  <c:v>39813</c:v>
                </c:pt>
                <c:pt idx="3">
                  <c:v>40178</c:v>
                </c:pt>
                <c:pt idx="4">
                  <c:v>40543</c:v>
                </c:pt>
                <c:pt idx="5">
                  <c:v>40908</c:v>
                </c:pt>
                <c:pt idx="6">
                  <c:v>41274</c:v>
                </c:pt>
                <c:pt idx="7">
                  <c:v>41639</c:v>
                </c:pt>
                <c:pt idx="8">
                  <c:v>42004</c:v>
                </c:pt>
                <c:pt idx="9">
                  <c:v>42369</c:v>
                </c:pt>
                <c:pt idx="10">
                  <c:v>42735</c:v>
                </c:pt>
                <c:pt idx="11">
                  <c:v>43100</c:v>
                </c:pt>
                <c:pt idx="12">
                  <c:v>43465</c:v>
                </c:pt>
              </c:numCache>
            </c:numRef>
          </c:cat>
          <c:val>
            <c:numRef>
              <c:f>'World production'!$F$12:$F$24</c:f>
              <c:numCache>
                <c:formatCode>General</c:formatCode>
                <c:ptCount val="13"/>
                <c:pt idx="0">
                  <c:v>29800</c:v>
                </c:pt>
                <c:pt idx="1">
                  <c:v>32300</c:v>
                </c:pt>
                <c:pt idx="2">
                  <c:v>32800</c:v>
                </c:pt>
                <c:pt idx="3">
                  <c:v>26200</c:v>
                </c:pt>
                <c:pt idx="4">
                  <c:v>32200</c:v>
                </c:pt>
                <c:pt idx="5">
                  <c:v>38300</c:v>
                </c:pt>
                <c:pt idx="6">
                  <c:v>38500</c:v>
                </c:pt>
                <c:pt idx="7">
                  <c:v>42400</c:v>
                </c:pt>
                <c:pt idx="8">
                  <c:v>42300</c:v>
                </c:pt>
                <c:pt idx="9">
                  <c:v>47800</c:v>
                </c:pt>
                <c:pt idx="10">
                  <c:v>38400</c:v>
                </c:pt>
                <c:pt idx="11">
                  <c:v>38870</c:v>
                </c:pt>
                <c:pt idx="12">
                  <c:v>42200</c:v>
                </c:pt>
              </c:numCache>
            </c:numRef>
          </c:val>
        </c:ser>
        <c:ser>
          <c:idx val="2"/>
          <c:order val="2"/>
          <c:tx>
            <c:strRef>
              <c:f>'World production'!$D$3</c:f>
              <c:strCache>
                <c:ptCount val="1"/>
                <c:pt idx="0">
                  <c:v>Australia</c:v>
                </c:pt>
              </c:strCache>
            </c:strRef>
          </c:tx>
          <c:spPr>
            <a:solidFill>
              <a:srgbClr val="51B7A4"/>
            </a:solidFill>
            <a:ln>
              <a:noFill/>
            </a:ln>
            <a:effectLst/>
          </c:spPr>
          <c:invertIfNegative val="0"/>
          <c:cat>
            <c:numRef>
              <c:f>'World production'!$A$12:$A$24</c:f>
              <c:numCache>
                <c:formatCode>m/d/yyyy</c:formatCode>
                <c:ptCount val="13"/>
                <c:pt idx="0">
                  <c:v>39082</c:v>
                </c:pt>
                <c:pt idx="1">
                  <c:v>39447</c:v>
                </c:pt>
                <c:pt idx="2">
                  <c:v>39813</c:v>
                </c:pt>
                <c:pt idx="3">
                  <c:v>40178</c:v>
                </c:pt>
                <c:pt idx="4">
                  <c:v>40543</c:v>
                </c:pt>
                <c:pt idx="5">
                  <c:v>40908</c:v>
                </c:pt>
                <c:pt idx="6">
                  <c:v>41274</c:v>
                </c:pt>
                <c:pt idx="7">
                  <c:v>41639</c:v>
                </c:pt>
                <c:pt idx="8">
                  <c:v>42004</c:v>
                </c:pt>
                <c:pt idx="9">
                  <c:v>42369</c:v>
                </c:pt>
                <c:pt idx="10">
                  <c:v>42735</c:v>
                </c:pt>
                <c:pt idx="11">
                  <c:v>43100</c:v>
                </c:pt>
                <c:pt idx="12">
                  <c:v>43465</c:v>
                </c:pt>
              </c:numCache>
            </c:numRef>
          </c:cat>
          <c:val>
            <c:numRef>
              <c:f>'World production'!$D$12:$D$24</c:f>
              <c:numCache>
                <c:formatCode>General</c:formatCode>
                <c:ptCount val="13"/>
                <c:pt idx="0">
                  <c:v>7400</c:v>
                </c:pt>
                <c:pt idx="1">
                  <c:v>5900</c:v>
                </c:pt>
                <c:pt idx="2">
                  <c:v>6100</c:v>
                </c:pt>
                <c:pt idx="3">
                  <c:v>4600</c:v>
                </c:pt>
                <c:pt idx="4">
                  <c:v>4600</c:v>
                </c:pt>
                <c:pt idx="5">
                  <c:v>3900</c:v>
                </c:pt>
                <c:pt idx="6">
                  <c:v>4500</c:v>
                </c:pt>
                <c:pt idx="7">
                  <c:v>6400</c:v>
                </c:pt>
                <c:pt idx="8">
                  <c:v>6500</c:v>
                </c:pt>
                <c:pt idx="9">
                  <c:v>6000</c:v>
                </c:pt>
                <c:pt idx="10">
                  <c:v>5500</c:v>
                </c:pt>
                <c:pt idx="11">
                  <c:v>5030</c:v>
                </c:pt>
                <c:pt idx="12">
                  <c:v>4700</c:v>
                </c:pt>
              </c:numCache>
            </c:numRef>
          </c:val>
        </c:ser>
        <c:ser>
          <c:idx val="3"/>
          <c:order val="3"/>
          <c:tx>
            <c:strRef>
              <c:f>'World production'!$E$3</c:f>
              <c:strCache>
                <c:ptCount val="1"/>
                <c:pt idx="0">
                  <c:v>China</c:v>
                </c:pt>
              </c:strCache>
            </c:strRef>
          </c:tx>
          <c:spPr>
            <a:solidFill>
              <a:srgbClr val="BCBFC1"/>
            </a:solidFill>
            <a:ln>
              <a:noFill/>
            </a:ln>
            <a:effectLst/>
          </c:spPr>
          <c:invertIfNegative val="0"/>
          <c:cat>
            <c:numRef>
              <c:f>'World production'!$A$12:$A$24</c:f>
              <c:numCache>
                <c:formatCode>m/d/yyyy</c:formatCode>
                <c:ptCount val="13"/>
                <c:pt idx="0">
                  <c:v>39082</c:v>
                </c:pt>
                <c:pt idx="1">
                  <c:v>39447</c:v>
                </c:pt>
                <c:pt idx="2">
                  <c:v>39813</c:v>
                </c:pt>
                <c:pt idx="3">
                  <c:v>40178</c:v>
                </c:pt>
                <c:pt idx="4">
                  <c:v>40543</c:v>
                </c:pt>
                <c:pt idx="5">
                  <c:v>40908</c:v>
                </c:pt>
                <c:pt idx="6">
                  <c:v>41274</c:v>
                </c:pt>
                <c:pt idx="7">
                  <c:v>41639</c:v>
                </c:pt>
                <c:pt idx="8">
                  <c:v>42004</c:v>
                </c:pt>
                <c:pt idx="9">
                  <c:v>42369</c:v>
                </c:pt>
                <c:pt idx="10">
                  <c:v>42735</c:v>
                </c:pt>
                <c:pt idx="11">
                  <c:v>43100</c:v>
                </c:pt>
                <c:pt idx="12">
                  <c:v>43465</c:v>
                </c:pt>
              </c:numCache>
            </c:numRef>
          </c:cat>
          <c:val>
            <c:numRef>
              <c:f>'World production'!$E$12:$E$24</c:f>
              <c:numCache>
                <c:formatCode>General</c:formatCode>
                <c:ptCount val="13"/>
                <c:pt idx="0">
                  <c:v>2300</c:v>
                </c:pt>
                <c:pt idx="1">
                  <c:v>2000</c:v>
                </c:pt>
                <c:pt idx="2">
                  <c:v>6000</c:v>
                </c:pt>
                <c:pt idx="3">
                  <c:v>6000</c:v>
                </c:pt>
                <c:pt idx="4">
                  <c:v>6200</c:v>
                </c:pt>
                <c:pt idx="5">
                  <c:v>6800</c:v>
                </c:pt>
                <c:pt idx="6">
                  <c:v>7000</c:v>
                </c:pt>
                <c:pt idx="7">
                  <c:v>7200</c:v>
                </c:pt>
                <c:pt idx="8">
                  <c:v>7200</c:v>
                </c:pt>
                <c:pt idx="9">
                  <c:v>7200</c:v>
                </c:pt>
                <c:pt idx="10">
                  <c:v>3100</c:v>
                </c:pt>
                <c:pt idx="11">
                  <c:v>3100</c:v>
                </c:pt>
                <c:pt idx="12">
                  <c:v>3100</c:v>
                </c:pt>
              </c:numCache>
            </c:numRef>
          </c:val>
        </c:ser>
        <c:dLbls>
          <c:showLegendKey val="0"/>
          <c:showVal val="0"/>
          <c:showCatName val="0"/>
          <c:showSerName val="0"/>
          <c:showPercent val="0"/>
          <c:showBubbleSize val="0"/>
        </c:dLbls>
        <c:gapWidth val="150"/>
        <c:overlap val="100"/>
        <c:axId val="259302792"/>
        <c:axId val="269959488"/>
      </c:barChart>
      <c:dateAx>
        <c:axId val="259302792"/>
        <c:scaling>
          <c:orientation val="minMax"/>
        </c:scaling>
        <c:delete val="0"/>
        <c:axPos val="b"/>
        <c:numFmt formatCode="yyyy" sourceLinked="0"/>
        <c:majorTickMark val="out"/>
        <c:minorTickMark val="none"/>
        <c:tickLblPos val="nextTo"/>
        <c:spPr>
          <a:noFill/>
          <a:ln w="12700" cap="flat" cmpd="sng" algn="ctr">
            <a:solidFill>
              <a:srgbClr val="BCBFC1"/>
            </a:solidFill>
            <a:prstDash val="solid"/>
            <a:round/>
            <a:headEnd type="none" w="med" len="med"/>
            <a:tailEnd type="none" w="med" len="med"/>
          </a:ln>
          <a:effectLst/>
        </c:spPr>
        <c:txPr>
          <a:bodyPr rot="-60000000" spcFirstLastPara="1" vertOverflow="ellipsis" vert="horz" wrap="square" anchor="ctr" anchorCtr="1"/>
          <a:lstStyle/>
          <a:p>
            <a:pPr>
              <a:defRPr sz="900" b="0" i="0" u="none" strike="noStrike" kern="1200" baseline="0">
                <a:solidFill>
                  <a:srgbClr val="373737"/>
                </a:solidFill>
                <a:latin typeface="Arial"/>
                <a:ea typeface="Arial"/>
                <a:cs typeface="Arial"/>
              </a:defRPr>
            </a:pPr>
            <a:endParaRPr lang="en-US"/>
          </a:p>
        </c:txPr>
        <c:crossAx val="269959488"/>
        <c:crosses val="autoZero"/>
        <c:auto val="1"/>
        <c:lblOffset val="100"/>
        <c:baseTimeUnit val="years"/>
        <c:majorUnit val="2"/>
        <c:majorTimeUnit val="years"/>
      </c:dateAx>
      <c:valAx>
        <c:axId val="269959488"/>
        <c:scaling>
          <c:orientation val="minMax"/>
        </c:scaling>
        <c:delete val="0"/>
        <c:axPos val="l"/>
        <c:title>
          <c:tx>
            <c:rich>
              <a:bodyPr rot="-5400000" spcFirstLastPara="1" vertOverflow="ellipsis" vert="horz" wrap="square" anchor="ctr" anchorCtr="1"/>
              <a:lstStyle/>
              <a:p>
                <a:pPr algn="ctr">
                  <a:defRPr lang="en-AU" sz="900" b="0" i="0" u="none" strike="noStrike" kern="1200" baseline="0">
                    <a:solidFill>
                      <a:srgbClr val="373737"/>
                    </a:solidFill>
                    <a:latin typeface="Arial"/>
                    <a:ea typeface="Arial"/>
                    <a:cs typeface="Arial"/>
                  </a:defRPr>
                </a:pPr>
                <a:r>
                  <a:rPr lang="en-AU" sz="900" b="0" i="0" u="none" strike="noStrike" kern="1200" baseline="0">
                    <a:solidFill>
                      <a:srgbClr val="373737"/>
                    </a:solidFill>
                    <a:latin typeface="Arial"/>
                    <a:ea typeface="Arial"/>
                    <a:cs typeface="Arial"/>
                  </a:rPr>
                  <a:t>Thousand tonnes</a:t>
                </a:r>
              </a:p>
            </c:rich>
          </c:tx>
          <c:overlay val="0"/>
          <c:spPr>
            <a:noFill/>
            <a:ln>
              <a:noFill/>
            </a:ln>
            <a:effectLst/>
          </c:spPr>
          <c:txPr>
            <a:bodyPr rot="-5400000" spcFirstLastPara="1" vertOverflow="ellipsis" vert="horz" wrap="square" anchor="ctr" anchorCtr="1"/>
            <a:lstStyle/>
            <a:p>
              <a:pPr algn="ctr">
                <a:defRPr lang="en-AU" sz="900" b="0" i="0" u="none" strike="noStrike" kern="1200" baseline="0">
                  <a:solidFill>
                    <a:srgbClr val="373737"/>
                  </a:solidFill>
                  <a:latin typeface="Arial"/>
                  <a:ea typeface="Arial"/>
                  <a:cs typeface="Arial"/>
                </a:defRPr>
              </a:pPr>
              <a:endParaRPr lang="en-US"/>
            </a:p>
          </c:txPr>
        </c:title>
        <c:numFmt formatCode="General" sourceLinked="1"/>
        <c:majorTickMark val="out"/>
        <c:minorTickMark val="none"/>
        <c:tickLblPos val="nextTo"/>
        <c:spPr>
          <a:noFill/>
          <a:ln w="12700">
            <a:solidFill>
              <a:srgbClr val="BCBFC1"/>
            </a:solidFill>
            <a:prstDash val="solid"/>
          </a:ln>
          <a:effectLst/>
        </c:spPr>
        <c:txPr>
          <a:bodyPr rot="-60000000" spcFirstLastPara="1" vertOverflow="ellipsis" vert="horz" wrap="square" anchor="ctr" anchorCtr="1"/>
          <a:lstStyle/>
          <a:p>
            <a:pPr algn="ctr">
              <a:defRPr lang="en-AU" sz="900" b="0" i="0" u="none" strike="noStrike" kern="1200" baseline="0">
                <a:solidFill>
                  <a:srgbClr val="373737"/>
                </a:solidFill>
                <a:latin typeface="Arial"/>
                <a:ea typeface="Arial"/>
                <a:cs typeface="Arial"/>
              </a:defRPr>
            </a:pPr>
            <a:endParaRPr lang="en-US"/>
          </a:p>
        </c:txPr>
        <c:crossAx val="259302792"/>
        <c:crosses val="autoZero"/>
        <c:crossBetween val="between"/>
        <c:dispUnits>
          <c:builtInUnit val="thousands"/>
        </c:dispUnits>
      </c:valAx>
      <c:spPr>
        <a:noFill/>
        <a:ln>
          <a:noFill/>
        </a:ln>
        <a:effectLst/>
      </c:spPr>
    </c:plotArea>
    <c:legend>
      <c:legendPos val="b"/>
      <c:layout>
        <c:manualLayout>
          <c:xMode val="edge"/>
          <c:yMode val="edge"/>
          <c:x val="0.22490157480314957"/>
          <c:y val="0.92615959463400388"/>
          <c:w val="0.55575218722659669"/>
          <c:h val="7.3840405365995912E-2"/>
        </c:manualLayout>
      </c:layout>
      <c:overlay val="0"/>
      <c:spPr>
        <a:noFill/>
        <a:ln>
          <a:noFill/>
        </a:ln>
        <a:effectLst/>
      </c:spPr>
      <c:txPr>
        <a:bodyPr rot="0" spcFirstLastPara="1" vertOverflow="ellipsis" vert="horz" wrap="square" anchor="ctr" anchorCtr="1"/>
        <a:lstStyle/>
        <a:p>
          <a:pPr algn="ctr" rtl="0">
            <a:defRPr lang="en-AU" sz="900" b="0" i="0" u="none" strike="noStrike" kern="1200" baseline="0">
              <a:solidFill>
                <a:srgbClr val="373737"/>
              </a:solidFill>
              <a:latin typeface="Arial"/>
              <a:ea typeface="Arial"/>
              <a:cs typeface="Arial"/>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2"/>
          <c:order val="0"/>
          <c:tx>
            <c:strRef>
              <c:f>'World production'!$Q$3</c:f>
              <c:strCache>
                <c:ptCount val="1"/>
                <c:pt idx="0">
                  <c:v>China</c:v>
                </c:pt>
              </c:strCache>
            </c:strRef>
          </c:tx>
          <c:spPr>
            <a:solidFill>
              <a:srgbClr val="005CAF"/>
            </a:solidFill>
            <a:ln>
              <a:noFill/>
            </a:ln>
            <a:effectLst/>
          </c:spPr>
          <c:invertIfNegative val="0"/>
          <c:cat>
            <c:numRef>
              <c:f>'World production'!$A$10:$A$23</c:f>
              <c:numCache>
                <c:formatCode>m/d/yyyy</c:formatCode>
                <c:ptCount val="14"/>
                <c:pt idx="0">
                  <c:v>38352</c:v>
                </c:pt>
                <c:pt idx="1">
                  <c:v>38717</c:v>
                </c:pt>
                <c:pt idx="2">
                  <c:v>39082</c:v>
                </c:pt>
                <c:pt idx="3">
                  <c:v>39447</c:v>
                </c:pt>
                <c:pt idx="4">
                  <c:v>39813</c:v>
                </c:pt>
                <c:pt idx="5">
                  <c:v>40178</c:v>
                </c:pt>
                <c:pt idx="6">
                  <c:v>40543</c:v>
                </c:pt>
                <c:pt idx="7">
                  <c:v>40908</c:v>
                </c:pt>
                <c:pt idx="8">
                  <c:v>41274</c:v>
                </c:pt>
                <c:pt idx="9">
                  <c:v>41639</c:v>
                </c:pt>
                <c:pt idx="10">
                  <c:v>42004</c:v>
                </c:pt>
                <c:pt idx="11">
                  <c:v>42369</c:v>
                </c:pt>
                <c:pt idx="12">
                  <c:v>42735</c:v>
                </c:pt>
                <c:pt idx="13">
                  <c:v>43100</c:v>
                </c:pt>
              </c:numCache>
            </c:numRef>
          </c:cat>
          <c:val>
            <c:numRef>
              <c:f>'World production'!$Q$10:$Q$23</c:f>
              <c:numCache>
                <c:formatCode>General</c:formatCode>
                <c:ptCount val="14"/>
                <c:pt idx="0">
                  <c:v>8000</c:v>
                </c:pt>
                <c:pt idx="1">
                  <c:v>12700</c:v>
                </c:pt>
                <c:pt idx="2">
                  <c:v>12700</c:v>
                </c:pt>
                <c:pt idx="3">
                  <c:v>13245</c:v>
                </c:pt>
                <c:pt idx="4">
                  <c:v>18239</c:v>
                </c:pt>
                <c:pt idx="5">
                  <c:v>25544</c:v>
                </c:pt>
                <c:pt idx="6">
                  <c:v>35929</c:v>
                </c:pt>
                <c:pt idx="7">
                  <c:v>34969</c:v>
                </c:pt>
                <c:pt idx="8">
                  <c:v>29784</c:v>
                </c:pt>
                <c:pt idx="9">
                  <c:v>36062</c:v>
                </c:pt>
                <c:pt idx="10">
                  <c:v>39292</c:v>
                </c:pt>
                <c:pt idx="11">
                  <c:v>48719</c:v>
                </c:pt>
                <c:pt idx="12">
                  <c:v>45046</c:v>
                </c:pt>
                <c:pt idx="13">
                  <c:v>69600</c:v>
                </c:pt>
              </c:numCache>
            </c:numRef>
          </c:val>
        </c:ser>
        <c:ser>
          <c:idx val="3"/>
          <c:order val="1"/>
          <c:tx>
            <c:strRef>
              <c:f>'World production'!$R$3</c:f>
              <c:strCache>
                <c:ptCount val="1"/>
                <c:pt idx="0">
                  <c:v>Rest of world</c:v>
                </c:pt>
              </c:strCache>
            </c:strRef>
          </c:tx>
          <c:spPr>
            <a:solidFill>
              <a:srgbClr val="56B4DF"/>
            </a:solidFill>
            <a:ln>
              <a:noFill/>
            </a:ln>
            <a:effectLst/>
          </c:spPr>
          <c:invertIfNegative val="0"/>
          <c:cat>
            <c:numRef>
              <c:f>'World production'!$A$10:$A$23</c:f>
              <c:numCache>
                <c:formatCode>m/d/yyyy</c:formatCode>
                <c:ptCount val="14"/>
                <c:pt idx="0">
                  <c:v>38352</c:v>
                </c:pt>
                <c:pt idx="1">
                  <c:v>38717</c:v>
                </c:pt>
                <c:pt idx="2">
                  <c:v>39082</c:v>
                </c:pt>
                <c:pt idx="3">
                  <c:v>39447</c:v>
                </c:pt>
                <c:pt idx="4">
                  <c:v>39813</c:v>
                </c:pt>
                <c:pt idx="5">
                  <c:v>40178</c:v>
                </c:pt>
                <c:pt idx="6">
                  <c:v>40543</c:v>
                </c:pt>
                <c:pt idx="7">
                  <c:v>40908</c:v>
                </c:pt>
                <c:pt idx="8">
                  <c:v>41274</c:v>
                </c:pt>
                <c:pt idx="9">
                  <c:v>41639</c:v>
                </c:pt>
                <c:pt idx="10">
                  <c:v>42004</c:v>
                </c:pt>
                <c:pt idx="11">
                  <c:v>42369</c:v>
                </c:pt>
                <c:pt idx="12">
                  <c:v>42735</c:v>
                </c:pt>
                <c:pt idx="13">
                  <c:v>43100</c:v>
                </c:pt>
              </c:numCache>
            </c:numRef>
          </c:cat>
          <c:val>
            <c:numRef>
              <c:f>'World production'!$R$10:$R$23</c:f>
              <c:numCache>
                <c:formatCode>General</c:formatCode>
                <c:ptCount val="14"/>
                <c:pt idx="0">
                  <c:v>35290</c:v>
                </c:pt>
                <c:pt idx="1">
                  <c:v>37185</c:v>
                </c:pt>
                <c:pt idx="2">
                  <c:v>36392</c:v>
                </c:pt>
                <c:pt idx="3">
                  <c:v>35505</c:v>
                </c:pt>
                <c:pt idx="4">
                  <c:v>33712</c:v>
                </c:pt>
                <c:pt idx="5">
                  <c:v>29533</c:v>
                </c:pt>
                <c:pt idx="6">
                  <c:v>35042</c:v>
                </c:pt>
                <c:pt idx="7">
                  <c:v>39473</c:v>
                </c:pt>
                <c:pt idx="8">
                  <c:v>39637</c:v>
                </c:pt>
                <c:pt idx="9">
                  <c:v>41861</c:v>
                </c:pt>
                <c:pt idx="10">
                  <c:v>43743</c:v>
                </c:pt>
                <c:pt idx="11">
                  <c:v>40944</c:v>
                </c:pt>
                <c:pt idx="12">
                  <c:v>45243</c:v>
                </c:pt>
                <c:pt idx="13">
                  <c:v>43937</c:v>
                </c:pt>
              </c:numCache>
            </c:numRef>
          </c:val>
        </c:ser>
        <c:ser>
          <c:idx val="0"/>
          <c:order val="2"/>
          <c:tx>
            <c:strRef>
              <c:f>'World production'!$O$3</c:f>
              <c:strCache>
                <c:ptCount val="1"/>
                <c:pt idx="0">
                  <c:v>DRC</c:v>
                </c:pt>
              </c:strCache>
            </c:strRef>
          </c:tx>
          <c:spPr>
            <a:solidFill>
              <a:srgbClr val="9ED9DF"/>
            </a:solidFill>
            <a:ln>
              <a:noFill/>
            </a:ln>
            <a:effectLst/>
          </c:spPr>
          <c:invertIfNegative val="0"/>
          <c:cat>
            <c:numRef>
              <c:f>'World production'!$A$10:$A$23</c:f>
              <c:numCache>
                <c:formatCode>m/d/yyyy</c:formatCode>
                <c:ptCount val="14"/>
                <c:pt idx="0">
                  <c:v>38352</c:v>
                </c:pt>
                <c:pt idx="1">
                  <c:v>38717</c:v>
                </c:pt>
                <c:pt idx="2">
                  <c:v>39082</c:v>
                </c:pt>
                <c:pt idx="3">
                  <c:v>39447</c:v>
                </c:pt>
                <c:pt idx="4">
                  <c:v>39813</c:v>
                </c:pt>
                <c:pt idx="5">
                  <c:v>40178</c:v>
                </c:pt>
                <c:pt idx="6">
                  <c:v>40543</c:v>
                </c:pt>
                <c:pt idx="7">
                  <c:v>40908</c:v>
                </c:pt>
                <c:pt idx="8">
                  <c:v>41274</c:v>
                </c:pt>
                <c:pt idx="9">
                  <c:v>41639</c:v>
                </c:pt>
                <c:pt idx="10">
                  <c:v>42004</c:v>
                </c:pt>
                <c:pt idx="11">
                  <c:v>42369</c:v>
                </c:pt>
                <c:pt idx="12">
                  <c:v>42735</c:v>
                </c:pt>
                <c:pt idx="13">
                  <c:v>43100</c:v>
                </c:pt>
              </c:numCache>
            </c:numRef>
          </c:cat>
          <c:val>
            <c:numRef>
              <c:f>'World production'!$O$10:$O$23</c:f>
              <c:numCache>
                <c:formatCode>General</c:formatCode>
                <c:ptCount val="14"/>
                <c:pt idx="0">
                  <c:v>3879</c:v>
                </c:pt>
                <c:pt idx="1">
                  <c:v>3150</c:v>
                </c:pt>
                <c:pt idx="2">
                  <c:v>3696</c:v>
                </c:pt>
                <c:pt idx="3">
                  <c:v>3684</c:v>
                </c:pt>
                <c:pt idx="4">
                  <c:v>3618</c:v>
                </c:pt>
                <c:pt idx="5">
                  <c:v>4050</c:v>
                </c:pt>
                <c:pt idx="6">
                  <c:v>4117</c:v>
                </c:pt>
                <c:pt idx="7">
                  <c:v>4722</c:v>
                </c:pt>
                <c:pt idx="8">
                  <c:v>4769</c:v>
                </c:pt>
                <c:pt idx="9">
                  <c:v>4981</c:v>
                </c:pt>
                <c:pt idx="10">
                  <c:v>5419</c:v>
                </c:pt>
                <c:pt idx="11">
                  <c:v>5150</c:v>
                </c:pt>
                <c:pt idx="12">
                  <c:v>3200</c:v>
                </c:pt>
                <c:pt idx="13">
                  <c:v>3000</c:v>
                </c:pt>
              </c:numCache>
            </c:numRef>
          </c:val>
        </c:ser>
        <c:ser>
          <c:idx val="1"/>
          <c:order val="3"/>
          <c:tx>
            <c:strRef>
              <c:f>'World production'!$P$3</c:f>
              <c:strCache>
                <c:ptCount val="1"/>
                <c:pt idx="0">
                  <c:v>Australia</c:v>
                </c:pt>
              </c:strCache>
            </c:strRef>
          </c:tx>
          <c:spPr>
            <a:solidFill>
              <a:srgbClr val="51B7A4"/>
            </a:solidFill>
            <a:ln>
              <a:noFill/>
            </a:ln>
            <a:effectLst/>
          </c:spPr>
          <c:invertIfNegative val="0"/>
          <c:cat>
            <c:numRef>
              <c:f>'World production'!$A$10:$A$23</c:f>
              <c:numCache>
                <c:formatCode>m/d/yyyy</c:formatCode>
                <c:ptCount val="14"/>
                <c:pt idx="0">
                  <c:v>38352</c:v>
                </c:pt>
                <c:pt idx="1">
                  <c:v>38717</c:v>
                </c:pt>
                <c:pt idx="2">
                  <c:v>39082</c:v>
                </c:pt>
                <c:pt idx="3">
                  <c:v>39447</c:v>
                </c:pt>
                <c:pt idx="4">
                  <c:v>39813</c:v>
                </c:pt>
                <c:pt idx="5">
                  <c:v>40178</c:v>
                </c:pt>
                <c:pt idx="6">
                  <c:v>40543</c:v>
                </c:pt>
                <c:pt idx="7">
                  <c:v>40908</c:v>
                </c:pt>
                <c:pt idx="8">
                  <c:v>41274</c:v>
                </c:pt>
                <c:pt idx="9">
                  <c:v>41639</c:v>
                </c:pt>
                <c:pt idx="10">
                  <c:v>42004</c:v>
                </c:pt>
                <c:pt idx="11">
                  <c:v>42369</c:v>
                </c:pt>
                <c:pt idx="12">
                  <c:v>42735</c:v>
                </c:pt>
                <c:pt idx="13">
                  <c:v>43100</c:v>
                </c:pt>
              </c:numCache>
            </c:numRef>
          </c:cat>
          <c:val>
            <c:numRef>
              <c:f>'World production'!$P$10:$P$23</c:f>
              <c:numCache>
                <c:formatCode>General</c:formatCode>
                <c:ptCount val="14"/>
                <c:pt idx="0">
                  <c:v>735</c:v>
                </c:pt>
                <c:pt idx="1">
                  <c:v>600</c:v>
                </c:pt>
                <c:pt idx="2">
                  <c:v>550</c:v>
                </c:pt>
                <c:pt idx="3">
                  <c:v>606</c:v>
                </c:pt>
                <c:pt idx="4">
                  <c:v>1049</c:v>
                </c:pt>
                <c:pt idx="5">
                  <c:v>2950</c:v>
                </c:pt>
                <c:pt idx="6">
                  <c:v>4182</c:v>
                </c:pt>
                <c:pt idx="7">
                  <c:v>3083</c:v>
                </c:pt>
                <c:pt idx="8">
                  <c:v>2999</c:v>
                </c:pt>
                <c:pt idx="9">
                  <c:v>3000</c:v>
                </c:pt>
                <c:pt idx="10">
                  <c:v>3300</c:v>
                </c:pt>
                <c:pt idx="11">
                  <c:v>3300</c:v>
                </c:pt>
                <c:pt idx="12">
                  <c:v>400</c:v>
                </c:pt>
                <c:pt idx="13">
                  <c:v>400</c:v>
                </c:pt>
              </c:numCache>
            </c:numRef>
          </c:val>
        </c:ser>
        <c:dLbls>
          <c:showLegendKey val="0"/>
          <c:showVal val="0"/>
          <c:showCatName val="0"/>
          <c:showSerName val="0"/>
          <c:showPercent val="0"/>
          <c:showBubbleSize val="0"/>
        </c:dLbls>
        <c:gapWidth val="150"/>
        <c:overlap val="100"/>
        <c:axId val="529554616"/>
        <c:axId val="529553048"/>
      </c:barChart>
      <c:dateAx>
        <c:axId val="529554616"/>
        <c:scaling>
          <c:orientation val="minMax"/>
          <c:min val="38353"/>
        </c:scaling>
        <c:delete val="0"/>
        <c:axPos val="b"/>
        <c:numFmt formatCode="yyyy" sourceLinked="0"/>
        <c:majorTickMark val="out"/>
        <c:minorTickMark val="none"/>
        <c:tickLblPos val="nextTo"/>
        <c:spPr>
          <a:noFill/>
          <a:ln w="12700" cap="flat" cmpd="sng" algn="ctr">
            <a:solidFill>
              <a:srgbClr val="BCBFC1"/>
            </a:solidFill>
            <a:prstDash val="solid"/>
            <a:round/>
          </a:ln>
          <a:effectLst/>
        </c:spPr>
        <c:txPr>
          <a:bodyPr rot="-60000000" spcFirstLastPara="1" vertOverflow="ellipsis" vert="horz" wrap="square" anchor="ctr" anchorCtr="1"/>
          <a:lstStyle/>
          <a:p>
            <a:pPr algn="ctr" rtl="0">
              <a:defRPr lang="en-AU" sz="900" b="0" i="0" u="none" strike="noStrike" kern="1200" baseline="0">
                <a:solidFill>
                  <a:srgbClr val="373737"/>
                </a:solidFill>
                <a:latin typeface="Arial"/>
                <a:ea typeface="Arial"/>
                <a:cs typeface="Arial"/>
              </a:defRPr>
            </a:pPr>
            <a:endParaRPr lang="en-US"/>
          </a:p>
        </c:txPr>
        <c:crossAx val="529553048"/>
        <c:crosses val="autoZero"/>
        <c:auto val="1"/>
        <c:lblOffset val="100"/>
        <c:baseTimeUnit val="years"/>
        <c:majorUnit val="2"/>
        <c:majorTimeUnit val="years"/>
      </c:dateAx>
      <c:valAx>
        <c:axId val="529553048"/>
        <c:scaling>
          <c:orientation val="minMax"/>
        </c:scaling>
        <c:delete val="0"/>
        <c:axPos val="l"/>
        <c:title>
          <c:tx>
            <c:rich>
              <a:bodyPr rot="-5400000" spcFirstLastPara="1" vertOverflow="ellipsis" vert="horz" wrap="square" anchor="ctr" anchorCtr="1"/>
              <a:lstStyle/>
              <a:p>
                <a:pPr algn="ctr">
                  <a:defRPr lang="en-AU" sz="900" b="0" i="0" u="none" strike="noStrike" kern="1200" baseline="0">
                    <a:solidFill>
                      <a:srgbClr val="373737"/>
                    </a:solidFill>
                    <a:latin typeface="Arial"/>
                    <a:ea typeface="Arial"/>
                    <a:cs typeface="Arial"/>
                  </a:defRPr>
                </a:pPr>
                <a:r>
                  <a:rPr lang="en-AU" sz="900" b="0" i="0" u="none" strike="noStrike" kern="1200" baseline="0">
                    <a:solidFill>
                      <a:srgbClr val="373737"/>
                    </a:solidFill>
                    <a:latin typeface="Arial"/>
                    <a:ea typeface="Arial"/>
                    <a:cs typeface="Arial"/>
                  </a:rPr>
                  <a:t>Thousand tonnes</a:t>
                </a:r>
              </a:p>
            </c:rich>
          </c:tx>
          <c:overlay val="0"/>
          <c:spPr>
            <a:noFill/>
            <a:ln>
              <a:noFill/>
            </a:ln>
            <a:effectLst/>
          </c:spPr>
          <c:txPr>
            <a:bodyPr rot="-5400000" spcFirstLastPara="1" vertOverflow="ellipsis" vert="horz" wrap="square" anchor="ctr" anchorCtr="1"/>
            <a:lstStyle/>
            <a:p>
              <a:pPr algn="ctr">
                <a:defRPr lang="en-AU" sz="900" b="0" i="0" u="none" strike="noStrike" kern="1200" baseline="0">
                  <a:solidFill>
                    <a:srgbClr val="373737"/>
                  </a:solidFill>
                  <a:latin typeface="Arial"/>
                  <a:ea typeface="Arial"/>
                  <a:cs typeface="Arial"/>
                </a:defRPr>
              </a:pPr>
              <a:endParaRPr lang="en-US"/>
            </a:p>
          </c:txPr>
        </c:title>
        <c:numFmt formatCode="General" sourceLinked="1"/>
        <c:majorTickMark val="out"/>
        <c:minorTickMark val="none"/>
        <c:tickLblPos val="nextTo"/>
        <c:spPr>
          <a:noFill/>
          <a:ln w="12700">
            <a:solidFill>
              <a:srgbClr val="BCBFC1"/>
            </a:solidFill>
            <a:prstDash val="solid"/>
          </a:ln>
          <a:effectLst/>
        </c:spPr>
        <c:txPr>
          <a:bodyPr rot="-60000000" spcFirstLastPara="1" vertOverflow="ellipsis" vert="horz" wrap="square" anchor="ctr" anchorCtr="1"/>
          <a:lstStyle/>
          <a:p>
            <a:pPr algn="ctr">
              <a:defRPr lang="en-AU" sz="900" b="0" i="0" u="none" strike="noStrike" kern="1200" baseline="0">
                <a:solidFill>
                  <a:srgbClr val="373737"/>
                </a:solidFill>
                <a:latin typeface="Arial"/>
                <a:ea typeface="Arial"/>
                <a:cs typeface="Arial"/>
              </a:defRPr>
            </a:pPr>
            <a:endParaRPr lang="en-US"/>
          </a:p>
        </c:txPr>
        <c:crossAx val="529554616"/>
        <c:crosses val="autoZero"/>
        <c:crossBetween val="between"/>
        <c:dispUnits>
          <c:builtInUnit val="thousands"/>
        </c:dispUnits>
      </c:valAx>
      <c:spPr>
        <a:noFill/>
        <a:ln w="25400">
          <a:noFill/>
        </a:ln>
        <a:effectLst/>
      </c:spPr>
    </c:plotArea>
    <c:legend>
      <c:legendPos val="b"/>
      <c:overlay val="0"/>
      <c:spPr>
        <a:noFill/>
        <a:ln>
          <a:noFill/>
        </a:ln>
        <a:effectLst/>
      </c:spPr>
      <c:txPr>
        <a:bodyPr rot="0" spcFirstLastPara="1" vertOverflow="ellipsis" vert="horz" wrap="square" anchor="ctr" anchorCtr="1"/>
        <a:lstStyle/>
        <a:p>
          <a:pPr algn="ctr" rtl="0">
            <a:defRPr lang="en-AU" sz="900" b="0" i="0" u="none" strike="noStrike" kern="1200" baseline="0">
              <a:solidFill>
                <a:srgbClr val="373737"/>
              </a:solidFill>
              <a:latin typeface="Arial"/>
              <a:ea typeface="Arial"/>
              <a:cs typeface="Arial"/>
            </a:defRPr>
          </a:pPr>
          <a:endParaRPr lang="en-US"/>
        </a:p>
      </c:txPr>
    </c:legend>
    <c:plotVisOnly val="1"/>
    <c:dispBlanksAs val="gap"/>
    <c:showDLblsOverMax val="0"/>
  </c:chart>
  <c:spPr>
    <a:solidFill>
      <a:schemeClr val="bg1"/>
    </a:solidFill>
    <a:ln w="25400" cap="flat" cmpd="sng" algn="ctr">
      <a:noFill/>
      <a:round/>
    </a:ln>
    <a:effectLst/>
  </c:spPr>
  <c:txPr>
    <a:bodyPr/>
    <a:lstStyle/>
    <a:p>
      <a:pPr>
        <a:defRPr/>
      </a:pPr>
      <a:endParaRPr lang="en-US"/>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500043744531934"/>
          <c:y val="5.0925925925925923E-2"/>
          <c:w val="0.80663823272090984"/>
          <c:h val="0.67926800816564592"/>
        </c:manualLayout>
      </c:layout>
      <c:areaChart>
        <c:grouping val="stacked"/>
        <c:varyColors val="0"/>
        <c:ser>
          <c:idx val="0"/>
          <c:order val="0"/>
          <c:tx>
            <c:strRef>
              <c:f>Charts!$B$7</c:f>
              <c:strCache>
                <c:ptCount val="1"/>
                <c:pt idx="0">
                  <c:v> Flame retardants   </c:v>
                </c:pt>
              </c:strCache>
            </c:strRef>
          </c:tx>
          <c:spPr>
            <a:solidFill>
              <a:srgbClr val="005CAF"/>
            </a:solidFill>
            <a:ln>
              <a:noFill/>
            </a:ln>
            <a:effectLst/>
          </c:spPr>
          <c:cat>
            <c:numRef>
              <c:f>Charts!$C$6:$K$6</c:f>
              <c:numCache>
                <c:formatCode>General</c:formatCode>
                <c:ptCount val="9"/>
                <c:pt idx="0">
                  <c:v>2010</c:v>
                </c:pt>
                <c:pt idx="1">
                  <c:v>2011</c:v>
                </c:pt>
                <c:pt idx="2">
                  <c:v>2012</c:v>
                </c:pt>
                <c:pt idx="3">
                  <c:v>2013</c:v>
                </c:pt>
                <c:pt idx="4">
                  <c:v>2014</c:v>
                </c:pt>
                <c:pt idx="5">
                  <c:v>2015</c:v>
                </c:pt>
                <c:pt idx="6">
                  <c:v>2016</c:v>
                </c:pt>
                <c:pt idx="7">
                  <c:v>2017</c:v>
                </c:pt>
                <c:pt idx="8">
                  <c:v>2018</c:v>
                </c:pt>
              </c:numCache>
            </c:numRef>
          </c:cat>
          <c:val>
            <c:numRef>
              <c:f>Charts!$C$7:$K$7</c:f>
              <c:numCache>
                <c:formatCode>General</c:formatCode>
                <c:ptCount val="9"/>
                <c:pt idx="0">
                  <c:v>102</c:v>
                </c:pt>
                <c:pt idx="1">
                  <c:v>95.4</c:v>
                </c:pt>
                <c:pt idx="2">
                  <c:v>93.1</c:v>
                </c:pt>
                <c:pt idx="3">
                  <c:v>94</c:v>
                </c:pt>
                <c:pt idx="4">
                  <c:v>92.4</c:v>
                </c:pt>
                <c:pt idx="5">
                  <c:v>86.77</c:v>
                </c:pt>
                <c:pt idx="6">
                  <c:v>87.5</c:v>
                </c:pt>
                <c:pt idx="7">
                  <c:v>85.28</c:v>
                </c:pt>
                <c:pt idx="8">
                  <c:v>84.91</c:v>
                </c:pt>
              </c:numCache>
            </c:numRef>
          </c:val>
        </c:ser>
        <c:ser>
          <c:idx val="1"/>
          <c:order val="1"/>
          <c:tx>
            <c:strRef>
              <c:f>Charts!$B$8</c:f>
              <c:strCache>
                <c:ptCount val="1"/>
                <c:pt idx="0">
                  <c:v> Plastics   </c:v>
                </c:pt>
              </c:strCache>
            </c:strRef>
          </c:tx>
          <c:spPr>
            <a:solidFill>
              <a:srgbClr val="56B4DF"/>
            </a:solidFill>
            <a:ln>
              <a:noFill/>
            </a:ln>
            <a:effectLst/>
          </c:spPr>
          <c:cat>
            <c:numRef>
              <c:f>Charts!$C$6:$K$6</c:f>
              <c:numCache>
                <c:formatCode>General</c:formatCode>
                <c:ptCount val="9"/>
                <c:pt idx="0">
                  <c:v>2010</c:v>
                </c:pt>
                <c:pt idx="1">
                  <c:v>2011</c:v>
                </c:pt>
                <c:pt idx="2">
                  <c:v>2012</c:v>
                </c:pt>
                <c:pt idx="3">
                  <c:v>2013</c:v>
                </c:pt>
                <c:pt idx="4">
                  <c:v>2014</c:v>
                </c:pt>
                <c:pt idx="5">
                  <c:v>2015</c:v>
                </c:pt>
                <c:pt idx="6">
                  <c:v>2016</c:v>
                </c:pt>
                <c:pt idx="7">
                  <c:v>2017</c:v>
                </c:pt>
                <c:pt idx="8">
                  <c:v>2018</c:v>
                </c:pt>
              </c:numCache>
            </c:numRef>
          </c:cat>
          <c:val>
            <c:numRef>
              <c:f>Charts!$C$8:$K$8</c:f>
              <c:numCache>
                <c:formatCode>General</c:formatCode>
                <c:ptCount val="9"/>
                <c:pt idx="0">
                  <c:v>9.5299999999999994</c:v>
                </c:pt>
                <c:pt idx="1">
                  <c:v>9.4649999999999999</c:v>
                </c:pt>
                <c:pt idx="2">
                  <c:v>9.9700000000000006</c:v>
                </c:pt>
                <c:pt idx="3">
                  <c:v>10.46</c:v>
                </c:pt>
                <c:pt idx="4">
                  <c:v>10.994999999999999</c:v>
                </c:pt>
                <c:pt idx="5">
                  <c:v>11.56</c:v>
                </c:pt>
                <c:pt idx="6">
                  <c:v>11.91</c:v>
                </c:pt>
                <c:pt idx="7">
                  <c:v>13.664999999999999</c:v>
                </c:pt>
                <c:pt idx="8">
                  <c:v>13.914999999999999</c:v>
                </c:pt>
              </c:numCache>
            </c:numRef>
          </c:val>
        </c:ser>
        <c:ser>
          <c:idx val="2"/>
          <c:order val="2"/>
          <c:tx>
            <c:strRef>
              <c:f>Charts!$B$9</c:f>
              <c:strCache>
                <c:ptCount val="1"/>
                <c:pt idx="0">
                  <c:v> Ceramics   </c:v>
                </c:pt>
              </c:strCache>
            </c:strRef>
          </c:tx>
          <c:spPr>
            <a:solidFill>
              <a:srgbClr val="9ED9DF"/>
            </a:solidFill>
            <a:ln>
              <a:noFill/>
            </a:ln>
            <a:effectLst/>
          </c:spPr>
          <c:cat>
            <c:numRef>
              <c:f>Charts!$C$6:$K$6</c:f>
              <c:numCache>
                <c:formatCode>General</c:formatCode>
                <c:ptCount val="9"/>
                <c:pt idx="0">
                  <c:v>2010</c:v>
                </c:pt>
                <c:pt idx="1">
                  <c:v>2011</c:v>
                </c:pt>
                <c:pt idx="2">
                  <c:v>2012</c:v>
                </c:pt>
                <c:pt idx="3">
                  <c:v>2013</c:v>
                </c:pt>
                <c:pt idx="4">
                  <c:v>2014</c:v>
                </c:pt>
                <c:pt idx="5">
                  <c:v>2015</c:v>
                </c:pt>
                <c:pt idx="6">
                  <c:v>2016</c:v>
                </c:pt>
                <c:pt idx="7">
                  <c:v>2017</c:v>
                </c:pt>
                <c:pt idx="8">
                  <c:v>2018</c:v>
                </c:pt>
              </c:numCache>
            </c:numRef>
          </c:cat>
          <c:val>
            <c:numRef>
              <c:f>Charts!$C$9:$K$9</c:f>
              <c:numCache>
                <c:formatCode>General</c:formatCode>
                <c:ptCount val="9"/>
                <c:pt idx="0">
                  <c:v>1.4</c:v>
                </c:pt>
                <c:pt idx="1">
                  <c:v>1.42</c:v>
                </c:pt>
                <c:pt idx="2">
                  <c:v>1.5249999999999999</c:v>
                </c:pt>
                <c:pt idx="3">
                  <c:v>1.55</c:v>
                </c:pt>
                <c:pt idx="4">
                  <c:v>1.62</c:v>
                </c:pt>
                <c:pt idx="5">
                  <c:v>1.71</c:v>
                </c:pt>
                <c:pt idx="6">
                  <c:v>1.7849999999999999</c:v>
                </c:pt>
                <c:pt idx="7">
                  <c:v>1.8</c:v>
                </c:pt>
                <c:pt idx="8">
                  <c:v>1.865</c:v>
                </c:pt>
              </c:numCache>
            </c:numRef>
          </c:val>
        </c:ser>
        <c:ser>
          <c:idx val="3"/>
          <c:order val="3"/>
          <c:tx>
            <c:strRef>
              <c:f>Charts!$B$10</c:f>
              <c:strCache>
                <c:ptCount val="1"/>
                <c:pt idx="0">
                  <c:v> Glass   </c:v>
                </c:pt>
              </c:strCache>
            </c:strRef>
          </c:tx>
          <c:spPr>
            <a:solidFill>
              <a:srgbClr val="BCBFC1"/>
            </a:solidFill>
            <a:ln>
              <a:noFill/>
            </a:ln>
            <a:effectLst/>
          </c:spPr>
          <c:cat>
            <c:numRef>
              <c:f>Charts!$C$6:$K$6</c:f>
              <c:numCache>
                <c:formatCode>General</c:formatCode>
                <c:ptCount val="9"/>
                <c:pt idx="0">
                  <c:v>2010</c:v>
                </c:pt>
                <c:pt idx="1">
                  <c:v>2011</c:v>
                </c:pt>
                <c:pt idx="2">
                  <c:v>2012</c:v>
                </c:pt>
                <c:pt idx="3">
                  <c:v>2013</c:v>
                </c:pt>
                <c:pt idx="4">
                  <c:v>2014</c:v>
                </c:pt>
                <c:pt idx="5">
                  <c:v>2015</c:v>
                </c:pt>
                <c:pt idx="6">
                  <c:v>2016</c:v>
                </c:pt>
                <c:pt idx="7">
                  <c:v>2017</c:v>
                </c:pt>
                <c:pt idx="8">
                  <c:v>2018</c:v>
                </c:pt>
              </c:numCache>
            </c:numRef>
          </c:cat>
          <c:val>
            <c:numRef>
              <c:f>Charts!$C$10:$K$10</c:f>
              <c:numCache>
                <c:formatCode>General</c:formatCode>
                <c:ptCount val="9"/>
                <c:pt idx="0">
                  <c:v>2</c:v>
                </c:pt>
                <c:pt idx="1">
                  <c:v>2.02</c:v>
                </c:pt>
                <c:pt idx="2">
                  <c:v>2.04</c:v>
                </c:pt>
                <c:pt idx="3">
                  <c:v>2.06</c:v>
                </c:pt>
                <c:pt idx="4">
                  <c:v>2.08</c:v>
                </c:pt>
                <c:pt idx="5">
                  <c:v>2.0950000000000002</c:v>
                </c:pt>
                <c:pt idx="6">
                  <c:v>2.1150000000000002</c:v>
                </c:pt>
                <c:pt idx="7">
                  <c:v>2.1349999999999998</c:v>
                </c:pt>
                <c:pt idx="8">
                  <c:v>2.1549999999999998</c:v>
                </c:pt>
              </c:numCache>
            </c:numRef>
          </c:val>
        </c:ser>
        <c:ser>
          <c:idx val="4"/>
          <c:order val="4"/>
          <c:tx>
            <c:strRef>
              <c:f>Charts!$B$11</c:f>
              <c:strCache>
                <c:ptCount val="1"/>
                <c:pt idx="0">
                  <c:v> Other non-metallurgical   </c:v>
                </c:pt>
              </c:strCache>
            </c:strRef>
          </c:tx>
          <c:spPr>
            <a:solidFill>
              <a:schemeClr val="accent6"/>
            </a:solidFill>
            <a:ln>
              <a:noFill/>
            </a:ln>
            <a:effectLst/>
          </c:spPr>
          <c:cat>
            <c:numRef>
              <c:f>Charts!$C$6:$K$6</c:f>
              <c:numCache>
                <c:formatCode>General</c:formatCode>
                <c:ptCount val="9"/>
                <c:pt idx="0">
                  <c:v>2010</c:v>
                </c:pt>
                <c:pt idx="1">
                  <c:v>2011</c:v>
                </c:pt>
                <c:pt idx="2">
                  <c:v>2012</c:v>
                </c:pt>
                <c:pt idx="3">
                  <c:v>2013</c:v>
                </c:pt>
                <c:pt idx="4">
                  <c:v>2014</c:v>
                </c:pt>
                <c:pt idx="5">
                  <c:v>2015</c:v>
                </c:pt>
                <c:pt idx="6">
                  <c:v>2016</c:v>
                </c:pt>
                <c:pt idx="7">
                  <c:v>2017</c:v>
                </c:pt>
                <c:pt idx="8">
                  <c:v>2018</c:v>
                </c:pt>
              </c:numCache>
            </c:numRef>
          </c:cat>
          <c:val>
            <c:numRef>
              <c:f>Charts!$C$11:$K$11</c:f>
              <c:numCache>
                <c:formatCode>General</c:formatCode>
                <c:ptCount val="9"/>
                <c:pt idx="0">
                  <c:v>2.5</c:v>
                </c:pt>
                <c:pt idx="1">
                  <c:v>2</c:v>
                </c:pt>
                <c:pt idx="2">
                  <c:v>1.7</c:v>
                </c:pt>
                <c:pt idx="3">
                  <c:v>1.8</c:v>
                </c:pt>
                <c:pt idx="4">
                  <c:v>2.1</c:v>
                </c:pt>
                <c:pt idx="5">
                  <c:v>2</c:v>
                </c:pt>
                <c:pt idx="6">
                  <c:v>2.1</c:v>
                </c:pt>
                <c:pt idx="7">
                  <c:v>2</c:v>
                </c:pt>
                <c:pt idx="8">
                  <c:v>2.02</c:v>
                </c:pt>
              </c:numCache>
            </c:numRef>
          </c:val>
        </c:ser>
        <c:ser>
          <c:idx val="5"/>
          <c:order val="5"/>
          <c:tx>
            <c:strRef>
              <c:f>Charts!$B$12</c:f>
              <c:strCache>
                <c:ptCount val="1"/>
                <c:pt idx="0">
                  <c:v> Batteries   </c:v>
                </c:pt>
              </c:strCache>
            </c:strRef>
          </c:tx>
          <c:spPr>
            <a:solidFill>
              <a:schemeClr val="accent5"/>
            </a:solidFill>
            <a:ln>
              <a:noFill/>
            </a:ln>
            <a:effectLst/>
          </c:spPr>
          <c:cat>
            <c:numRef>
              <c:f>Charts!$C$6:$K$6</c:f>
              <c:numCache>
                <c:formatCode>General</c:formatCode>
                <c:ptCount val="9"/>
                <c:pt idx="0">
                  <c:v>2010</c:v>
                </c:pt>
                <c:pt idx="1">
                  <c:v>2011</c:v>
                </c:pt>
                <c:pt idx="2">
                  <c:v>2012</c:v>
                </c:pt>
                <c:pt idx="3">
                  <c:v>2013</c:v>
                </c:pt>
                <c:pt idx="4">
                  <c:v>2014</c:v>
                </c:pt>
                <c:pt idx="5">
                  <c:v>2015</c:v>
                </c:pt>
                <c:pt idx="6">
                  <c:v>2016</c:v>
                </c:pt>
                <c:pt idx="7">
                  <c:v>2017</c:v>
                </c:pt>
                <c:pt idx="8">
                  <c:v>2018</c:v>
                </c:pt>
              </c:numCache>
            </c:numRef>
          </c:cat>
          <c:val>
            <c:numRef>
              <c:f>Charts!$C$12:$K$12</c:f>
              <c:numCache>
                <c:formatCode>General</c:formatCode>
                <c:ptCount val="9"/>
                <c:pt idx="0">
                  <c:v>64.099999999999994</c:v>
                </c:pt>
                <c:pt idx="1">
                  <c:v>63.744999999999997</c:v>
                </c:pt>
                <c:pt idx="2">
                  <c:v>63.395000000000003</c:v>
                </c:pt>
                <c:pt idx="3">
                  <c:v>63.045000000000002</c:v>
                </c:pt>
                <c:pt idx="4">
                  <c:v>62.7</c:v>
                </c:pt>
                <c:pt idx="5">
                  <c:v>62.274999999999999</c:v>
                </c:pt>
                <c:pt idx="6">
                  <c:v>61.854999999999997</c:v>
                </c:pt>
                <c:pt idx="7">
                  <c:v>60.395000000000003</c:v>
                </c:pt>
                <c:pt idx="8">
                  <c:v>59.015000000000001</c:v>
                </c:pt>
              </c:numCache>
            </c:numRef>
          </c:val>
        </c:ser>
        <c:ser>
          <c:idx val="6"/>
          <c:order val="6"/>
          <c:tx>
            <c:strRef>
              <c:f>Charts!$B$13</c:f>
              <c:strCache>
                <c:ptCount val="1"/>
                <c:pt idx="0">
                  <c:v> Other metallurgical   </c:v>
                </c:pt>
              </c:strCache>
            </c:strRef>
          </c:tx>
          <c:spPr>
            <a:solidFill>
              <a:srgbClr val="60307F"/>
            </a:solidFill>
            <a:ln>
              <a:noFill/>
            </a:ln>
            <a:effectLst/>
          </c:spPr>
          <c:cat>
            <c:numRef>
              <c:f>Charts!$C$6:$K$6</c:f>
              <c:numCache>
                <c:formatCode>General</c:formatCode>
                <c:ptCount val="9"/>
                <c:pt idx="0">
                  <c:v>2010</c:v>
                </c:pt>
                <c:pt idx="1">
                  <c:v>2011</c:v>
                </c:pt>
                <c:pt idx="2">
                  <c:v>2012</c:v>
                </c:pt>
                <c:pt idx="3">
                  <c:v>2013</c:v>
                </c:pt>
                <c:pt idx="4">
                  <c:v>2014</c:v>
                </c:pt>
                <c:pt idx="5">
                  <c:v>2015</c:v>
                </c:pt>
                <c:pt idx="6">
                  <c:v>2016</c:v>
                </c:pt>
                <c:pt idx="7">
                  <c:v>2017</c:v>
                </c:pt>
                <c:pt idx="8">
                  <c:v>2018</c:v>
                </c:pt>
              </c:numCache>
            </c:numRef>
          </c:cat>
          <c:val>
            <c:numRef>
              <c:f>Charts!$C$13:$K$13</c:f>
              <c:numCache>
                <c:formatCode>General</c:formatCode>
                <c:ptCount val="9"/>
                <c:pt idx="0">
                  <c:v>10</c:v>
                </c:pt>
                <c:pt idx="1">
                  <c:v>10.4</c:v>
                </c:pt>
                <c:pt idx="2">
                  <c:v>10.8</c:v>
                </c:pt>
                <c:pt idx="3">
                  <c:v>10.199999999999999</c:v>
                </c:pt>
                <c:pt idx="4">
                  <c:v>10.1</c:v>
                </c:pt>
                <c:pt idx="5">
                  <c:v>10.4</c:v>
                </c:pt>
                <c:pt idx="6">
                  <c:v>11</c:v>
                </c:pt>
                <c:pt idx="7">
                  <c:v>11.3</c:v>
                </c:pt>
                <c:pt idx="8">
                  <c:v>11.615</c:v>
                </c:pt>
              </c:numCache>
            </c:numRef>
          </c:val>
        </c:ser>
        <c:dLbls>
          <c:showLegendKey val="0"/>
          <c:showVal val="0"/>
          <c:showCatName val="0"/>
          <c:showSerName val="0"/>
          <c:showPercent val="0"/>
          <c:showBubbleSize val="0"/>
        </c:dLbls>
        <c:axId val="529551088"/>
        <c:axId val="529549128"/>
      </c:areaChart>
      <c:catAx>
        <c:axId val="529551088"/>
        <c:scaling>
          <c:orientation val="minMax"/>
        </c:scaling>
        <c:delete val="0"/>
        <c:axPos val="b"/>
        <c:numFmt formatCode="General" sourceLinked="1"/>
        <c:majorTickMark val="out"/>
        <c:minorTickMark val="none"/>
        <c:tickLblPos val="nextTo"/>
        <c:spPr>
          <a:noFill/>
          <a:ln w="12700" cap="flat" cmpd="sng" algn="ctr">
            <a:solidFill>
              <a:srgbClr val="BCBFC1"/>
            </a:solidFill>
            <a:prstDash val="solid"/>
            <a:round/>
            <a:headEnd type="none" w="med" len="med"/>
            <a:tailEnd type="none" w="med" len="med"/>
          </a:ln>
          <a:effectLst/>
        </c:spPr>
        <c:txPr>
          <a:bodyPr rot="-60000000" vert="horz"/>
          <a:lstStyle/>
          <a:p>
            <a:pPr>
              <a:defRPr>
                <a:solidFill>
                  <a:srgbClr val="373737"/>
                </a:solidFill>
              </a:defRPr>
            </a:pPr>
            <a:endParaRPr lang="en-US"/>
          </a:p>
        </c:txPr>
        <c:crossAx val="529549128"/>
        <c:crosses val="autoZero"/>
        <c:auto val="1"/>
        <c:lblAlgn val="ctr"/>
        <c:lblOffset val="100"/>
        <c:noMultiLvlLbl val="0"/>
      </c:catAx>
      <c:valAx>
        <c:axId val="529549128"/>
        <c:scaling>
          <c:orientation val="minMax"/>
          <c:max val="200"/>
        </c:scaling>
        <c:delete val="0"/>
        <c:axPos val="l"/>
        <c:title>
          <c:tx>
            <c:rich>
              <a:bodyPr rot="-5400000" vert="horz"/>
              <a:lstStyle/>
              <a:p>
                <a:pPr algn="ctr" rtl="0">
                  <a:defRPr sz="900" b="0" i="0" u="none" strike="noStrike" kern="1200" baseline="0">
                    <a:solidFill>
                      <a:srgbClr val="373737"/>
                    </a:solidFill>
                    <a:latin typeface="Arial" panose="020B0604020202020204" pitchFamily="34" charset="0"/>
                    <a:cs typeface="Arial" panose="020B0604020202020204" pitchFamily="34" charset="0"/>
                  </a:defRPr>
                </a:pPr>
                <a:r>
                  <a:rPr lang="en-US" sz="900" b="0" i="0" u="none" strike="noStrike" kern="1200" baseline="0">
                    <a:solidFill>
                      <a:srgbClr val="373737"/>
                    </a:solidFill>
                    <a:latin typeface="Arial" panose="020B0604020202020204" pitchFamily="34" charset="0"/>
                    <a:cs typeface="Arial" panose="020B0604020202020204" pitchFamily="34" charset="0"/>
                  </a:rPr>
                  <a:t>Antimony thousand tonnes</a:t>
                </a:r>
              </a:p>
            </c:rich>
          </c:tx>
          <c:layout>
            <c:manualLayout>
              <c:xMode val="edge"/>
              <c:yMode val="edge"/>
              <c:x val="4.053113955469223E-2"/>
              <c:y val="0.21459442569678791"/>
            </c:manualLayout>
          </c:layout>
          <c:overlay val="0"/>
          <c:spPr>
            <a:noFill/>
            <a:ln>
              <a:noFill/>
            </a:ln>
            <a:effectLst/>
          </c:spPr>
        </c:title>
        <c:numFmt formatCode="General" sourceLinked="1"/>
        <c:majorTickMark val="out"/>
        <c:minorTickMark val="none"/>
        <c:tickLblPos val="nextTo"/>
        <c:spPr>
          <a:noFill/>
          <a:ln w="12700" cap="flat" cmpd="sng" algn="ctr">
            <a:solidFill>
              <a:srgbClr val="BCBFC1"/>
            </a:solidFill>
            <a:prstDash val="solid"/>
            <a:round/>
            <a:headEnd type="none" w="med" len="med"/>
            <a:tailEnd type="none" w="med" len="med"/>
          </a:ln>
          <a:effectLst/>
        </c:spPr>
        <c:txPr>
          <a:bodyPr rot="-60000000" vert="horz"/>
          <a:lstStyle/>
          <a:p>
            <a:pPr>
              <a:defRPr>
                <a:solidFill>
                  <a:srgbClr val="373737"/>
                </a:solidFill>
              </a:defRPr>
            </a:pPr>
            <a:endParaRPr lang="en-US"/>
          </a:p>
        </c:txPr>
        <c:crossAx val="529551088"/>
        <c:crosses val="autoZero"/>
        <c:crossBetween val="midCat"/>
        <c:majorUnit val="40"/>
      </c:valAx>
      <c:spPr>
        <a:noFill/>
        <a:ln w="25400">
          <a:noFill/>
        </a:ln>
      </c:spPr>
    </c:plotArea>
    <c:legend>
      <c:legendPos val="b"/>
      <c:layout>
        <c:manualLayout>
          <c:xMode val="edge"/>
          <c:yMode val="edge"/>
          <c:x val="0.13460597161037691"/>
          <c:y val="0.83658282298046083"/>
          <c:w val="0.86539402838962309"/>
          <c:h val="0.14026902887139109"/>
        </c:manualLayout>
      </c:layout>
      <c:overlay val="0"/>
      <c:spPr>
        <a:noFill/>
        <a:ln>
          <a:noFill/>
        </a:ln>
        <a:effectLst/>
      </c:spPr>
      <c:txPr>
        <a:bodyPr rot="0" vert="horz"/>
        <a:lstStyle/>
        <a:p>
          <a:pPr>
            <a:defRPr sz="900" b="0" u="none">
              <a:solidFill>
                <a:srgbClr val="595A5B"/>
              </a:solidFill>
              <a:latin typeface="Arial"/>
              <a:ea typeface="Arial"/>
              <a:cs typeface="Arial"/>
            </a:defRPr>
          </a:pPr>
          <a:endParaRPr lang="en-US"/>
        </a:p>
      </c:txPr>
    </c:legend>
    <c:plotVisOnly val="1"/>
    <c:dispBlanksAs val="zero"/>
    <c:showDLblsOverMax val="0"/>
  </c:chart>
  <c:spPr>
    <a:solidFill>
      <a:schemeClr val="bg1"/>
    </a:solidFill>
    <a:ln w="25400">
      <a:noFill/>
    </a:ln>
    <a:effectLst/>
  </c:spPr>
  <c:txPr>
    <a:bodyPr/>
    <a:lstStyle/>
    <a:p>
      <a:pPr>
        <a:defRPr sz="900" b="0">
          <a:solidFill>
            <a:srgbClr val="595A5B"/>
          </a:solidFill>
          <a:latin typeface="Arial"/>
          <a:ea typeface="Arial"/>
          <a:cs typeface="Arial"/>
        </a:defRPr>
      </a:pPr>
      <a:endParaRPr lang="en-U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'[Roskill - Antimony &amp; Tungsten - Tables.xls]Charts'!$B$105</c:f>
              <c:strCache>
                <c:ptCount val="1"/>
                <c:pt idx="0">
                  <c:v> China   </c:v>
                </c:pt>
              </c:strCache>
            </c:strRef>
          </c:tx>
          <c:spPr>
            <a:solidFill>
              <a:srgbClr val="005CAF"/>
            </a:solidFill>
            <a:ln>
              <a:noFill/>
            </a:ln>
            <a:effectLst/>
          </c:spPr>
          <c:invertIfNegative val="0"/>
          <c:cat>
            <c:numRef>
              <c:f>'[Roskill - Antimony &amp; Tungsten - Tables.xls]Charts'!$C$104:$K$104</c:f>
              <c:numCache>
                <c:formatCode>General</c:formatCode>
                <c:ptCount val="9"/>
                <c:pt idx="0">
                  <c:v>2010</c:v>
                </c:pt>
                <c:pt idx="1">
                  <c:v>2011</c:v>
                </c:pt>
                <c:pt idx="2">
                  <c:v>2012</c:v>
                </c:pt>
                <c:pt idx="3">
                  <c:v>2013</c:v>
                </c:pt>
                <c:pt idx="4">
                  <c:v>2014</c:v>
                </c:pt>
                <c:pt idx="5">
                  <c:v>2015</c:v>
                </c:pt>
                <c:pt idx="6">
                  <c:v>2016</c:v>
                </c:pt>
                <c:pt idx="7">
                  <c:v>2017</c:v>
                </c:pt>
                <c:pt idx="8">
                  <c:v>2018</c:v>
                </c:pt>
              </c:numCache>
            </c:numRef>
          </c:cat>
          <c:val>
            <c:numRef>
              <c:f>'[Roskill - Antimony &amp; Tungsten - Tables.xls]Charts'!$C$105:$K$105</c:f>
              <c:numCache>
                <c:formatCode>General</c:formatCode>
                <c:ptCount val="9"/>
                <c:pt idx="0">
                  <c:v>115.80200000000001</c:v>
                </c:pt>
                <c:pt idx="1">
                  <c:v>114.842</c:v>
                </c:pt>
                <c:pt idx="2">
                  <c:v>106.23</c:v>
                </c:pt>
                <c:pt idx="3">
                  <c:v>106.499</c:v>
                </c:pt>
                <c:pt idx="4">
                  <c:v>104.599</c:v>
                </c:pt>
                <c:pt idx="5">
                  <c:v>90.334000000000003</c:v>
                </c:pt>
                <c:pt idx="6">
                  <c:v>85.159000000000006</c:v>
                </c:pt>
                <c:pt idx="7">
                  <c:v>79.507999999999996</c:v>
                </c:pt>
                <c:pt idx="8">
                  <c:v>65.98</c:v>
                </c:pt>
              </c:numCache>
            </c:numRef>
          </c:val>
        </c:ser>
        <c:ser>
          <c:idx val="1"/>
          <c:order val="1"/>
          <c:tx>
            <c:strRef>
              <c:f>'[Roskill - Antimony &amp; Tungsten - Tables.xls]Charts'!$B$106</c:f>
              <c:strCache>
                <c:ptCount val="1"/>
                <c:pt idx="0">
                  <c:v> Russia   </c:v>
                </c:pt>
              </c:strCache>
            </c:strRef>
          </c:tx>
          <c:spPr>
            <a:solidFill>
              <a:srgbClr val="56B4DF"/>
            </a:solidFill>
            <a:ln>
              <a:noFill/>
            </a:ln>
            <a:effectLst/>
          </c:spPr>
          <c:invertIfNegative val="0"/>
          <c:cat>
            <c:numRef>
              <c:f>'[Roskill - Antimony &amp; Tungsten - Tables.xls]Charts'!$C$104:$K$104</c:f>
              <c:numCache>
                <c:formatCode>General</c:formatCode>
                <c:ptCount val="9"/>
                <c:pt idx="0">
                  <c:v>2010</c:v>
                </c:pt>
                <c:pt idx="1">
                  <c:v>2011</c:v>
                </c:pt>
                <c:pt idx="2">
                  <c:v>2012</c:v>
                </c:pt>
                <c:pt idx="3">
                  <c:v>2013</c:v>
                </c:pt>
                <c:pt idx="4">
                  <c:v>2014</c:v>
                </c:pt>
                <c:pt idx="5">
                  <c:v>2015</c:v>
                </c:pt>
                <c:pt idx="6">
                  <c:v>2016</c:v>
                </c:pt>
                <c:pt idx="7">
                  <c:v>2017</c:v>
                </c:pt>
                <c:pt idx="8">
                  <c:v>2018</c:v>
                </c:pt>
              </c:numCache>
            </c:numRef>
          </c:cat>
          <c:val>
            <c:numRef>
              <c:f>'[Roskill - Antimony &amp; Tungsten - Tables.xls]Charts'!$C$106:$K$106</c:f>
              <c:numCache>
                <c:formatCode>General</c:formatCode>
                <c:ptCount val="9"/>
                <c:pt idx="0">
                  <c:v>5.2</c:v>
                </c:pt>
                <c:pt idx="1">
                  <c:v>7.49</c:v>
                </c:pt>
                <c:pt idx="2">
                  <c:v>8.52</c:v>
                </c:pt>
                <c:pt idx="3">
                  <c:v>7.7</c:v>
                </c:pt>
                <c:pt idx="4">
                  <c:v>7.51</c:v>
                </c:pt>
                <c:pt idx="5">
                  <c:v>7.3250000000000002</c:v>
                </c:pt>
                <c:pt idx="6">
                  <c:v>9</c:v>
                </c:pt>
                <c:pt idx="7">
                  <c:v>10.99</c:v>
                </c:pt>
                <c:pt idx="8">
                  <c:v>39.659999999999997</c:v>
                </c:pt>
              </c:numCache>
            </c:numRef>
          </c:val>
        </c:ser>
        <c:ser>
          <c:idx val="2"/>
          <c:order val="2"/>
          <c:tx>
            <c:strRef>
              <c:f>'[Roskill - Antimony &amp; Tungsten - Tables.xls]Charts'!$B$107</c:f>
              <c:strCache>
                <c:ptCount val="1"/>
                <c:pt idx="0">
                  <c:v> Tajikistan   </c:v>
                </c:pt>
              </c:strCache>
            </c:strRef>
          </c:tx>
          <c:spPr>
            <a:solidFill>
              <a:srgbClr val="9ED9DF"/>
            </a:solidFill>
            <a:ln>
              <a:noFill/>
            </a:ln>
            <a:effectLst/>
          </c:spPr>
          <c:invertIfNegative val="0"/>
          <c:cat>
            <c:numRef>
              <c:f>'[Roskill - Antimony &amp; Tungsten - Tables.xls]Charts'!$C$104:$K$104</c:f>
              <c:numCache>
                <c:formatCode>General</c:formatCode>
                <c:ptCount val="9"/>
                <c:pt idx="0">
                  <c:v>2010</c:v>
                </c:pt>
                <c:pt idx="1">
                  <c:v>2011</c:v>
                </c:pt>
                <c:pt idx="2">
                  <c:v>2012</c:v>
                </c:pt>
                <c:pt idx="3">
                  <c:v>2013</c:v>
                </c:pt>
                <c:pt idx="4">
                  <c:v>2014</c:v>
                </c:pt>
                <c:pt idx="5">
                  <c:v>2015</c:v>
                </c:pt>
                <c:pt idx="6">
                  <c:v>2016</c:v>
                </c:pt>
                <c:pt idx="7">
                  <c:v>2017</c:v>
                </c:pt>
                <c:pt idx="8">
                  <c:v>2018</c:v>
                </c:pt>
              </c:numCache>
            </c:numRef>
          </c:cat>
          <c:val>
            <c:numRef>
              <c:f>'[Roskill - Antimony &amp; Tungsten - Tables.xls]Charts'!$C$107:$K$107</c:f>
              <c:numCache>
                <c:formatCode>General</c:formatCode>
                <c:ptCount val="9"/>
                <c:pt idx="0">
                  <c:v>3.9</c:v>
                </c:pt>
                <c:pt idx="1">
                  <c:v>6.6</c:v>
                </c:pt>
                <c:pt idx="2">
                  <c:v>6.9</c:v>
                </c:pt>
                <c:pt idx="3">
                  <c:v>4.9000000000000004</c:v>
                </c:pt>
                <c:pt idx="4">
                  <c:v>7.4</c:v>
                </c:pt>
                <c:pt idx="5">
                  <c:v>8.3000000000000007</c:v>
                </c:pt>
                <c:pt idx="6">
                  <c:v>13</c:v>
                </c:pt>
                <c:pt idx="7">
                  <c:v>13</c:v>
                </c:pt>
                <c:pt idx="8">
                  <c:v>13</c:v>
                </c:pt>
              </c:numCache>
            </c:numRef>
          </c:val>
        </c:ser>
        <c:ser>
          <c:idx val="3"/>
          <c:order val="3"/>
          <c:tx>
            <c:strRef>
              <c:f>'[Roskill - Antimony &amp; Tungsten - Tables.xls]Charts'!$B$108</c:f>
              <c:strCache>
                <c:ptCount val="1"/>
                <c:pt idx="0">
                  <c:v> Myanmar   </c:v>
                </c:pt>
              </c:strCache>
            </c:strRef>
          </c:tx>
          <c:spPr>
            <a:solidFill>
              <a:srgbClr val="BCBFC1"/>
            </a:solidFill>
            <a:ln>
              <a:noFill/>
            </a:ln>
            <a:effectLst/>
          </c:spPr>
          <c:invertIfNegative val="0"/>
          <c:cat>
            <c:numRef>
              <c:f>'[Roskill - Antimony &amp; Tungsten - Tables.xls]Charts'!$C$104:$K$104</c:f>
              <c:numCache>
                <c:formatCode>General</c:formatCode>
                <c:ptCount val="9"/>
                <c:pt idx="0">
                  <c:v>2010</c:v>
                </c:pt>
                <c:pt idx="1">
                  <c:v>2011</c:v>
                </c:pt>
                <c:pt idx="2">
                  <c:v>2012</c:v>
                </c:pt>
                <c:pt idx="3">
                  <c:v>2013</c:v>
                </c:pt>
                <c:pt idx="4">
                  <c:v>2014</c:v>
                </c:pt>
                <c:pt idx="5">
                  <c:v>2015</c:v>
                </c:pt>
                <c:pt idx="6">
                  <c:v>2016</c:v>
                </c:pt>
                <c:pt idx="7">
                  <c:v>2017</c:v>
                </c:pt>
                <c:pt idx="8">
                  <c:v>2018</c:v>
                </c:pt>
              </c:numCache>
            </c:numRef>
          </c:cat>
          <c:val>
            <c:numRef>
              <c:f>'[Roskill - Antimony &amp; Tungsten - Tables.xls]Charts'!$C$108:$K$108</c:f>
              <c:numCache>
                <c:formatCode>General</c:formatCode>
                <c:ptCount val="9"/>
                <c:pt idx="0">
                  <c:v>1.9219999999999999</c:v>
                </c:pt>
                <c:pt idx="1">
                  <c:v>2.5659999999999998</c:v>
                </c:pt>
                <c:pt idx="2">
                  <c:v>2.8540000000000001</c:v>
                </c:pt>
                <c:pt idx="3">
                  <c:v>5.1859999999999999</c:v>
                </c:pt>
                <c:pt idx="4">
                  <c:v>4.173</c:v>
                </c:pt>
                <c:pt idx="5">
                  <c:v>4.6520000000000001</c:v>
                </c:pt>
                <c:pt idx="6">
                  <c:v>3.5139999999999998</c:v>
                </c:pt>
                <c:pt idx="7">
                  <c:v>3.1709999999999998</c:v>
                </c:pt>
                <c:pt idx="8">
                  <c:v>3.4350000000000001</c:v>
                </c:pt>
              </c:numCache>
            </c:numRef>
          </c:val>
        </c:ser>
        <c:ser>
          <c:idx val="4"/>
          <c:order val="4"/>
          <c:tx>
            <c:strRef>
              <c:f>'[Roskill - Antimony &amp; Tungsten - Tables.xls]Charts'!$B$109</c:f>
              <c:strCache>
                <c:ptCount val="1"/>
                <c:pt idx="0">
                  <c:v> Bolivia   </c:v>
                </c:pt>
              </c:strCache>
            </c:strRef>
          </c:tx>
          <c:spPr>
            <a:solidFill>
              <a:srgbClr val="51B7A4"/>
            </a:solidFill>
            <a:ln>
              <a:noFill/>
            </a:ln>
            <a:effectLst/>
          </c:spPr>
          <c:invertIfNegative val="0"/>
          <c:cat>
            <c:numRef>
              <c:f>'[Roskill - Antimony &amp; Tungsten - Tables.xls]Charts'!$C$104:$K$104</c:f>
              <c:numCache>
                <c:formatCode>General</c:formatCode>
                <c:ptCount val="9"/>
                <c:pt idx="0">
                  <c:v>2010</c:v>
                </c:pt>
                <c:pt idx="1">
                  <c:v>2011</c:v>
                </c:pt>
                <c:pt idx="2">
                  <c:v>2012</c:v>
                </c:pt>
                <c:pt idx="3">
                  <c:v>2013</c:v>
                </c:pt>
                <c:pt idx="4">
                  <c:v>2014</c:v>
                </c:pt>
                <c:pt idx="5">
                  <c:v>2015</c:v>
                </c:pt>
                <c:pt idx="6">
                  <c:v>2016</c:v>
                </c:pt>
                <c:pt idx="7">
                  <c:v>2017</c:v>
                </c:pt>
                <c:pt idx="8">
                  <c:v>2018</c:v>
                </c:pt>
              </c:numCache>
            </c:numRef>
          </c:cat>
          <c:val>
            <c:numRef>
              <c:f>'[Roskill - Antimony &amp; Tungsten - Tables.xls]Charts'!$C$109:$K$109</c:f>
              <c:numCache>
                <c:formatCode>General</c:formatCode>
                <c:ptCount val="9"/>
                <c:pt idx="0">
                  <c:v>4.9800000000000004</c:v>
                </c:pt>
                <c:pt idx="1">
                  <c:v>3.9470000000000001</c:v>
                </c:pt>
                <c:pt idx="2">
                  <c:v>5.0810000000000004</c:v>
                </c:pt>
                <c:pt idx="3">
                  <c:v>5.0529999999999999</c:v>
                </c:pt>
                <c:pt idx="4">
                  <c:v>4.1859999999999999</c:v>
                </c:pt>
                <c:pt idx="5">
                  <c:v>3.843</c:v>
                </c:pt>
                <c:pt idx="6">
                  <c:v>2.669</c:v>
                </c:pt>
                <c:pt idx="7">
                  <c:v>2.843</c:v>
                </c:pt>
                <c:pt idx="8">
                  <c:v>2.992</c:v>
                </c:pt>
              </c:numCache>
            </c:numRef>
          </c:val>
        </c:ser>
        <c:ser>
          <c:idx val="5"/>
          <c:order val="5"/>
          <c:tx>
            <c:strRef>
              <c:f>'[Roskill - Antimony &amp; Tungsten - Tables.xls]Charts'!$B$110</c:f>
              <c:strCache>
                <c:ptCount val="1"/>
                <c:pt idx="0">
                  <c:v> Australia   </c:v>
                </c:pt>
              </c:strCache>
            </c:strRef>
          </c:tx>
          <c:spPr>
            <a:solidFill>
              <a:srgbClr val="0A7568"/>
            </a:solidFill>
            <a:ln>
              <a:noFill/>
            </a:ln>
            <a:effectLst/>
          </c:spPr>
          <c:invertIfNegative val="0"/>
          <c:cat>
            <c:numRef>
              <c:f>'[Roskill - Antimony &amp; Tungsten - Tables.xls]Charts'!$C$104:$K$104</c:f>
              <c:numCache>
                <c:formatCode>General</c:formatCode>
                <c:ptCount val="9"/>
                <c:pt idx="0">
                  <c:v>2010</c:v>
                </c:pt>
                <c:pt idx="1">
                  <c:v>2011</c:v>
                </c:pt>
                <c:pt idx="2">
                  <c:v>2012</c:v>
                </c:pt>
                <c:pt idx="3">
                  <c:v>2013</c:v>
                </c:pt>
                <c:pt idx="4">
                  <c:v>2014</c:v>
                </c:pt>
                <c:pt idx="5">
                  <c:v>2015</c:v>
                </c:pt>
                <c:pt idx="6">
                  <c:v>2016</c:v>
                </c:pt>
                <c:pt idx="7">
                  <c:v>2017</c:v>
                </c:pt>
                <c:pt idx="8">
                  <c:v>2018</c:v>
                </c:pt>
              </c:numCache>
            </c:numRef>
          </c:cat>
          <c:val>
            <c:numRef>
              <c:f>'[Roskill - Antimony &amp; Tungsten - Tables.xls]Charts'!$C$110:$K$110</c:f>
              <c:numCache>
                <c:formatCode>General</c:formatCode>
                <c:ptCount val="9"/>
                <c:pt idx="0">
                  <c:v>1.1060000000000001</c:v>
                </c:pt>
                <c:pt idx="1">
                  <c:v>1.571</c:v>
                </c:pt>
                <c:pt idx="2">
                  <c:v>2.4809999999999999</c:v>
                </c:pt>
                <c:pt idx="3">
                  <c:v>3.2749999999999999</c:v>
                </c:pt>
                <c:pt idx="4">
                  <c:v>4.5389999999999997</c:v>
                </c:pt>
                <c:pt idx="5">
                  <c:v>7.0389999999999997</c:v>
                </c:pt>
                <c:pt idx="6">
                  <c:v>3.5979999999999999</c:v>
                </c:pt>
                <c:pt idx="7">
                  <c:v>3.1150000000000002</c:v>
                </c:pt>
                <c:pt idx="8">
                  <c:v>2.9790000000000001</c:v>
                </c:pt>
              </c:numCache>
            </c:numRef>
          </c:val>
        </c:ser>
        <c:ser>
          <c:idx val="6"/>
          <c:order val="6"/>
          <c:tx>
            <c:strRef>
              <c:f>'[Roskill - Antimony &amp; Tungsten - Tables.xls]Charts'!$B$128</c:f>
              <c:strCache>
                <c:ptCount val="1"/>
                <c:pt idx="0">
                  <c:v>Rest of World</c:v>
                </c:pt>
              </c:strCache>
            </c:strRef>
          </c:tx>
          <c:spPr>
            <a:solidFill>
              <a:srgbClr val="60307F"/>
            </a:solidFill>
            <a:ln>
              <a:noFill/>
            </a:ln>
            <a:effectLst/>
          </c:spPr>
          <c:invertIfNegative val="0"/>
          <c:val>
            <c:numRef>
              <c:f>'[Roskill - Antimony &amp; Tungsten - Tables.xls]Charts'!$C$128:$K$128</c:f>
              <c:numCache>
                <c:formatCode>General</c:formatCode>
                <c:ptCount val="9"/>
                <c:pt idx="0">
                  <c:v>11.662000000000006</c:v>
                </c:pt>
                <c:pt idx="1">
                  <c:v>11.938000000000017</c:v>
                </c:pt>
                <c:pt idx="2">
                  <c:v>11.579999999999984</c:v>
                </c:pt>
                <c:pt idx="3">
                  <c:v>9.6779999999999973</c:v>
                </c:pt>
                <c:pt idx="4">
                  <c:v>8.5309999999999775</c:v>
                </c:pt>
                <c:pt idx="5">
                  <c:v>6.1779999999999973</c:v>
                </c:pt>
                <c:pt idx="6">
                  <c:v>7.8769999999999953</c:v>
                </c:pt>
                <c:pt idx="7">
                  <c:v>8.6890000000000072</c:v>
                </c:pt>
                <c:pt idx="8">
                  <c:v>9.839999999999975</c:v>
                </c:pt>
              </c:numCache>
            </c:numRef>
          </c:val>
        </c:ser>
        <c:dLbls>
          <c:showLegendKey val="0"/>
          <c:showVal val="0"/>
          <c:showCatName val="0"/>
          <c:showSerName val="0"/>
          <c:showPercent val="0"/>
          <c:showBubbleSize val="0"/>
        </c:dLbls>
        <c:gapWidth val="150"/>
        <c:overlap val="100"/>
        <c:axId val="529551872"/>
        <c:axId val="529553832"/>
      </c:barChart>
      <c:catAx>
        <c:axId val="529551872"/>
        <c:scaling>
          <c:orientation val="minMax"/>
        </c:scaling>
        <c:delete val="0"/>
        <c:axPos val="b"/>
        <c:numFmt formatCode="General" sourceLinked="1"/>
        <c:majorTickMark val="out"/>
        <c:minorTickMark val="none"/>
        <c:tickLblPos val="nextTo"/>
        <c:spPr>
          <a:noFill/>
          <a:ln w="12700" cap="flat" cmpd="sng" algn="ctr">
            <a:solidFill>
              <a:srgbClr val="BCBFC1"/>
            </a:solidFill>
            <a:prstDash val="solid"/>
            <a:round/>
          </a:ln>
          <a:effectLst/>
        </c:spPr>
        <c:txPr>
          <a:bodyPr rot="-60000000" spcFirstLastPara="1" vertOverflow="ellipsis" vert="horz" wrap="square" anchor="ctr" anchorCtr="1"/>
          <a:lstStyle/>
          <a:p>
            <a:pPr>
              <a:defRPr sz="900" b="0" i="0" u="none" strike="noStrike" kern="1200" baseline="0">
                <a:solidFill>
                  <a:srgbClr val="373737"/>
                </a:solidFill>
                <a:latin typeface="Arial"/>
                <a:ea typeface="Arial"/>
                <a:cs typeface="Arial"/>
              </a:defRPr>
            </a:pPr>
            <a:endParaRPr lang="en-US"/>
          </a:p>
        </c:txPr>
        <c:crossAx val="529553832"/>
        <c:crosses val="autoZero"/>
        <c:auto val="1"/>
        <c:lblAlgn val="ctr"/>
        <c:lblOffset val="100"/>
        <c:noMultiLvlLbl val="0"/>
      </c:catAx>
      <c:valAx>
        <c:axId val="529553832"/>
        <c:scaling>
          <c:orientation val="minMax"/>
        </c:scaling>
        <c:delete val="0"/>
        <c:axPos val="l"/>
        <c:title>
          <c:tx>
            <c:rich>
              <a:bodyPr rot="-5400000" spcFirstLastPara="1" vertOverflow="ellipsis" vert="horz" wrap="square" anchor="ctr" anchorCtr="1"/>
              <a:lstStyle/>
              <a:p>
                <a:pPr algn="ctr" rtl="0">
                  <a:defRPr sz="900" b="0" i="0" u="none" strike="noStrike" kern="1200" baseline="0">
                    <a:solidFill>
                      <a:srgbClr val="373737"/>
                    </a:solidFill>
                    <a:latin typeface="Arial" panose="020B0604020202020204" pitchFamily="34" charset="0"/>
                    <a:ea typeface="Arial"/>
                    <a:cs typeface="Arial" panose="020B0604020202020204" pitchFamily="34" charset="0"/>
                  </a:defRPr>
                </a:pPr>
                <a:r>
                  <a:rPr lang="en-US" sz="900" b="0" i="0" u="none" strike="noStrike" kern="1200" baseline="0">
                    <a:solidFill>
                      <a:srgbClr val="373737"/>
                    </a:solidFill>
                    <a:latin typeface="Arial" panose="020B0604020202020204" pitchFamily="34" charset="0"/>
                    <a:cs typeface="Arial" panose="020B0604020202020204" pitchFamily="34" charset="0"/>
                  </a:rPr>
                  <a:t>Antimony thousand tonnes</a:t>
                </a:r>
              </a:p>
            </c:rich>
          </c:tx>
          <c:overlay val="0"/>
          <c:spPr>
            <a:noFill/>
            <a:ln>
              <a:noFill/>
            </a:ln>
            <a:effectLst/>
          </c:spPr>
          <c:txPr>
            <a:bodyPr rot="-5400000" spcFirstLastPara="1" vertOverflow="ellipsis" vert="horz" wrap="square" anchor="ctr" anchorCtr="1"/>
            <a:lstStyle/>
            <a:p>
              <a:pPr algn="ctr" rtl="0">
                <a:defRPr sz="900" b="0" i="0" u="none" strike="noStrike" kern="1200" baseline="0">
                  <a:solidFill>
                    <a:srgbClr val="373737"/>
                  </a:solidFill>
                  <a:latin typeface="Arial" panose="020B0604020202020204" pitchFamily="34" charset="0"/>
                  <a:ea typeface="Arial"/>
                  <a:cs typeface="Arial" panose="020B0604020202020204" pitchFamily="34" charset="0"/>
                </a:defRPr>
              </a:pPr>
              <a:endParaRPr lang="en-US"/>
            </a:p>
          </c:txPr>
        </c:title>
        <c:numFmt formatCode="General" sourceLinked="1"/>
        <c:majorTickMark val="out"/>
        <c:minorTickMark val="none"/>
        <c:tickLblPos val="nextTo"/>
        <c:spPr>
          <a:noFill/>
          <a:ln w="12700">
            <a:solidFill>
              <a:srgbClr val="BCBFC1"/>
            </a:solidFill>
            <a:prstDash val="solid"/>
          </a:ln>
          <a:effectLst/>
        </c:spPr>
        <c:txPr>
          <a:bodyPr rot="-60000000" spcFirstLastPara="1" vertOverflow="ellipsis" vert="horz" wrap="square" anchor="ctr" anchorCtr="1"/>
          <a:lstStyle/>
          <a:p>
            <a:pPr>
              <a:defRPr sz="900" b="0" i="0" u="none" strike="noStrike" kern="1200" baseline="0">
                <a:solidFill>
                  <a:srgbClr val="373737"/>
                </a:solidFill>
                <a:latin typeface="Arial"/>
                <a:ea typeface="Arial"/>
                <a:cs typeface="Arial"/>
              </a:defRPr>
            </a:pPr>
            <a:endParaRPr lang="en-US"/>
          </a:p>
        </c:txPr>
        <c:crossAx val="529551872"/>
        <c:crosses val="autoZero"/>
        <c:crossBetween val="between"/>
      </c:valAx>
      <c:spPr>
        <a:noFill/>
        <a:ln w="25400">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rgbClr val="595A5B"/>
              </a:solidFill>
              <a:latin typeface="Arial"/>
              <a:ea typeface="Arial"/>
              <a:cs typeface="Arial"/>
            </a:defRPr>
          </a:pPr>
          <a:endParaRPr lang="en-US"/>
        </a:p>
      </c:txPr>
    </c:legend>
    <c:plotVisOnly val="1"/>
    <c:dispBlanksAs val="gap"/>
    <c:showDLblsOverMax val="0"/>
  </c:chart>
  <c:spPr>
    <a:solidFill>
      <a:schemeClr val="bg1"/>
    </a:solidFill>
    <a:ln w="25400" cap="flat" cmpd="sng" algn="ctr">
      <a:noFill/>
      <a:round/>
    </a:ln>
    <a:effectLst/>
  </c:spPr>
  <c:txPr>
    <a:bodyPr/>
    <a:lstStyle/>
    <a:p>
      <a:pPr>
        <a:defRPr sz="900" b="0">
          <a:solidFill>
            <a:srgbClr val="595A5B"/>
          </a:solidFill>
          <a:latin typeface="Arial"/>
          <a:ea typeface="Arial"/>
          <a:cs typeface="Arial"/>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lineChart>
        <c:grouping val="standard"/>
        <c:varyColors val="0"/>
        <c:ser>
          <c:idx val="0"/>
          <c:order val="0"/>
          <c:tx>
            <c:strRef>
              <c:f>Sheet1!$S$35</c:f>
              <c:strCache>
                <c:ptCount val="1"/>
              </c:strCache>
            </c:strRef>
          </c:tx>
          <c:spPr>
            <a:ln w="28575" cap="rnd">
              <a:solidFill>
                <a:srgbClr val="005CAF"/>
              </a:solidFill>
              <a:prstDash val="solid"/>
              <a:round/>
            </a:ln>
            <a:effectLst/>
          </c:spPr>
          <c:marker>
            <c:symbol val="none"/>
          </c:marker>
          <c:cat>
            <c:numRef>
              <c:f>Sheet1!$S$24:$Y$24</c:f>
              <c:numCache>
                <c:formatCode>General</c:formatCode>
                <c:ptCount val="7"/>
                <c:pt idx="0">
                  <c:v>2010</c:v>
                </c:pt>
                <c:pt idx="1">
                  <c:v>2011</c:v>
                </c:pt>
                <c:pt idx="2">
                  <c:v>2012</c:v>
                </c:pt>
                <c:pt idx="3">
                  <c:v>2013</c:v>
                </c:pt>
                <c:pt idx="4">
                  <c:v>2014</c:v>
                </c:pt>
                <c:pt idx="5">
                  <c:v>2015</c:v>
                </c:pt>
                <c:pt idx="6">
                  <c:v>2016</c:v>
                </c:pt>
              </c:numCache>
            </c:numRef>
          </c:cat>
          <c:val>
            <c:numRef>
              <c:f>Sheet1!$S$25:$Y$25</c:f>
              <c:numCache>
                <c:formatCode>General</c:formatCode>
                <c:ptCount val="7"/>
                <c:pt idx="0">
                  <c:v>1.2023076615961992</c:v>
                </c:pt>
                <c:pt idx="1">
                  <c:v>2.3028482207199477</c:v>
                </c:pt>
                <c:pt idx="2">
                  <c:v>2.3022154745838956</c:v>
                </c:pt>
                <c:pt idx="3">
                  <c:v>1.7756027066544255</c:v>
                </c:pt>
                <c:pt idx="4">
                  <c:v>2.1394731318219984</c:v>
                </c:pt>
                <c:pt idx="5">
                  <c:v>2.415718897442265</c:v>
                </c:pt>
                <c:pt idx="6">
                  <c:v>1.8559240986717267</c:v>
                </c:pt>
              </c:numCache>
            </c:numRef>
          </c:val>
          <c:smooth val="0"/>
        </c:ser>
        <c:dLbls>
          <c:showLegendKey val="0"/>
          <c:showVal val="0"/>
          <c:showCatName val="0"/>
          <c:showSerName val="0"/>
          <c:showPercent val="0"/>
          <c:showBubbleSize val="0"/>
        </c:dLbls>
        <c:smooth val="0"/>
        <c:axId val="529552656"/>
        <c:axId val="529548344"/>
      </c:lineChart>
      <c:catAx>
        <c:axId val="529552656"/>
        <c:scaling>
          <c:orientation val="minMax"/>
        </c:scaling>
        <c:delete val="0"/>
        <c:axPos val="b"/>
        <c:numFmt formatCode="General" sourceLinked="1"/>
        <c:majorTickMark val="out"/>
        <c:minorTickMark val="none"/>
        <c:tickLblPos val="nextTo"/>
        <c:spPr>
          <a:noFill/>
          <a:ln w="12700" cap="flat" cmpd="sng" algn="ctr">
            <a:solidFill>
              <a:srgbClr val="BCBFC1"/>
            </a:solidFill>
            <a:prstDash val="solid"/>
            <a:round/>
          </a:ln>
          <a:effectLst/>
        </c:spPr>
        <c:txPr>
          <a:bodyPr rot="-60000000" spcFirstLastPara="1" vertOverflow="ellipsis" vert="horz" wrap="square" anchor="ctr" anchorCtr="1"/>
          <a:lstStyle/>
          <a:p>
            <a:pPr>
              <a:defRPr sz="900" b="0" i="0" u="none" strike="noStrike" kern="1200" baseline="0">
                <a:solidFill>
                  <a:srgbClr val="373737"/>
                </a:solidFill>
                <a:latin typeface="Arial"/>
                <a:ea typeface="Arial"/>
                <a:cs typeface="Arial"/>
              </a:defRPr>
            </a:pPr>
            <a:endParaRPr lang="en-US"/>
          </a:p>
        </c:txPr>
        <c:crossAx val="529548344"/>
        <c:crosses val="autoZero"/>
        <c:auto val="1"/>
        <c:lblAlgn val="ctr"/>
        <c:lblOffset val="100"/>
        <c:noMultiLvlLbl val="0"/>
      </c:catAx>
      <c:valAx>
        <c:axId val="529548344"/>
        <c:scaling>
          <c:orientation val="minMax"/>
        </c:scaling>
        <c:delete val="0"/>
        <c:axPos val="l"/>
        <c:title>
          <c:tx>
            <c:rich>
              <a:bodyPr rot="-5400000" spcFirstLastPara="1" vertOverflow="ellipsis" vert="horz" wrap="square" anchor="ctr" anchorCtr="1"/>
              <a:lstStyle/>
              <a:p>
                <a:pPr>
                  <a:defRPr sz="900" b="0" i="0" u="none" strike="noStrike" kern="1200" baseline="0">
                    <a:solidFill>
                      <a:srgbClr val="373737"/>
                    </a:solidFill>
                    <a:latin typeface="Arial"/>
                    <a:ea typeface="Arial"/>
                    <a:cs typeface="Arial"/>
                  </a:defRPr>
                </a:pPr>
                <a:r>
                  <a:rPr lang="en-US">
                    <a:solidFill>
                      <a:srgbClr val="373737"/>
                    </a:solidFill>
                  </a:rPr>
                  <a:t>Percentage share of global output</a:t>
                </a:r>
              </a:p>
            </c:rich>
          </c:tx>
          <c:overlay val="0"/>
          <c:spPr>
            <a:noFill/>
            <a:ln w="25400">
              <a:noFill/>
            </a:ln>
          </c:spPr>
        </c:title>
        <c:numFmt formatCode="General" sourceLinked="1"/>
        <c:majorTickMark val="out"/>
        <c:minorTickMark val="none"/>
        <c:tickLblPos val="nextTo"/>
        <c:spPr>
          <a:noFill/>
          <a:ln w="12700">
            <a:solidFill>
              <a:srgbClr val="BCBFC1"/>
            </a:solidFill>
            <a:prstDash val="solid"/>
          </a:ln>
          <a:effectLst/>
        </c:spPr>
        <c:txPr>
          <a:bodyPr rot="-60000000" spcFirstLastPara="1" vertOverflow="ellipsis" vert="horz" wrap="square" anchor="ctr" anchorCtr="1"/>
          <a:lstStyle/>
          <a:p>
            <a:pPr>
              <a:defRPr sz="900" b="0" i="0" u="none" strike="noStrike" kern="1200" baseline="0">
                <a:solidFill>
                  <a:srgbClr val="373737"/>
                </a:solidFill>
                <a:latin typeface="Arial"/>
                <a:ea typeface="Arial"/>
                <a:cs typeface="Arial"/>
              </a:defRPr>
            </a:pPr>
            <a:endParaRPr lang="en-US"/>
          </a:p>
        </c:txPr>
        <c:crossAx val="529552656"/>
        <c:crosses val="autoZero"/>
        <c:crossBetween val="between"/>
      </c:valAx>
      <c:spPr>
        <a:noFill/>
        <a:ln w="25400">
          <a:noFill/>
        </a:ln>
      </c:spPr>
    </c:plotArea>
    <c:plotVisOnly val="1"/>
    <c:dispBlanksAs val="gap"/>
    <c:showDLblsOverMax val="0"/>
  </c:chart>
  <c:spPr>
    <a:solidFill>
      <a:schemeClr val="bg1"/>
    </a:solidFill>
    <a:ln w="25400" cap="flat" cmpd="sng" algn="ctr">
      <a:noFill/>
      <a:round/>
    </a:ln>
    <a:effectLst/>
  </c:spPr>
  <c:txPr>
    <a:bodyPr/>
    <a:lstStyle/>
    <a:p>
      <a:pPr>
        <a:defRPr sz="900" b="0">
          <a:solidFill>
            <a:srgbClr val="595A5B"/>
          </a:solidFill>
          <a:latin typeface="Arial"/>
          <a:ea typeface="Arial"/>
          <a:cs typeface="Arial"/>
        </a:defRPr>
      </a:pPr>
      <a:endParaRPr lang="en-US"/>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stacked"/>
        <c:varyColors val="0"/>
        <c:ser>
          <c:idx val="0"/>
          <c:order val="0"/>
          <c:tx>
            <c:strRef>
              <c:f>Charts!$B$173</c:f>
              <c:strCache>
                <c:ptCount val="1"/>
                <c:pt idx="0">
                  <c:v> Cemented carbides   </c:v>
                </c:pt>
              </c:strCache>
            </c:strRef>
          </c:tx>
          <c:spPr>
            <a:solidFill>
              <a:srgbClr val="005CAF"/>
            </a:solidFill>
            <a:ln w="25400">
              <a:noFill/>
            </a:ln>
          </c:spPr>
          <c:invertIfNegative val="0"/>
          <c:cat>
            <c:numRef>
              <c:f>Charts!$C$172:$J$172</c:f>
              <c:numCache>
                <c:formatCode>General</c:formatCode>
                <c:ptCount val="8"/>
                <c:pt idx="0">
                  <c:v>2011</c:v>
                </c:pt>
                <c:pt idx="1">
                  <c:v>2012</c:v>
                </c:pt>
                <c:pt idx="2">
                  <c:v>2013</c:v>
                </c:pt>
                <c:pt idx="3">
                  <c:v>2014</c:v>
                </c:pt>
                <c:pt idx="4">
                  <c:v>2015</c:v>
                </c:pt>
                <c:pt idx="5">
                  <c:v>2016</c:v>
                </c:pt>
                <c:pt idx="6">
                  <c:v>2017</c:v>
                </c:pt>
                <c:pt idx="7">
                  <c:v>2018</c:v>
                </c:pt>
              </c:numCache>
            </c:numRef>
          </c:cat>
          <c:val>
            <c:numRef>
              <c:f>Charts!$C$173:$J$173</c:f>
              <c:numCache>
                <c:formatCode>General</c:formatCode>
                <c:ptCount val="8"/>
                <c:pt idx="0">
                  <c:v>51.319000000000003</c:v>
                </c:pt>
                <c:pt idx="1">
                  <c:v>47.664999999999999</c:v>
                </c:pt>
                <c:pt idx="2">
                  <c:v>48.526000000000003</c:v>
                </c:pt>
                <c:pt idx="3">
                  <c:v>51.887</c:v>
                </c:pt>
                <c:pt idx="4">
                  <c:v>53.61</c:v>
                </c:pt>
                <c:pt idx="5">
                  <c:v>55</c:v>
                </c:pt>
                <c:pt idx="6">
                  <c:v>58.47</c:v>
                </c:pt>
                <c:pt idx="7">
                  <c:v>61.6</c:v>
                </c:pt>
              </c:numCache>
            </c:numRef>
          </c:val>
        </c:ser>
        <c:ser>
          <c:idx val="1"/>
          <c:order val="1"/>
          <c:tx>
            <c:strRef>
              <c:f>Charts!$B$174</c:f>
              <c:strCache>
                <c:ptCount val="1"/>
                <c:pt idx="0">
                  <c:v> Steel and alloys   </c:v>
                </c:pt>
              </c:strCache>
            </c:strRef>
          </c:tx>
          <c:spPr>
            <a:solidFill>
              <a:srgbClr val="56B4DF"/>
            </a:solidFill>
            <a:ln w="25400">
              <a:noFill/>
            </a:ln>
          </c:spPr>
          <c:invertIfNegative val="0"/>
          <c:cat>
            <c:numRef>
              <c:f>Charts!$C$172:$J$172</c:f>
              <c:numCache>
                <c:formatCode>General</c:formatCode>
                <c:ptCount val="8"/>
                <c:pt idx="0">
                  <c:v>2011</c:v>
                </c:pt>
                <c:pt idx="1">
                  <c:v>2012</c:v>
                </c:pt>
                <c:pt idx="2">
                  <c:v>2013</c:v>
                </c:pt>
                <c:pt idx="3">
                  <c:v>2014</c:v>
                </c:pt>
                <c:pt idx="4">
                  <c:v>2015</c:v>
                </c:pt>
                <c:pt idx="5">
                  <c:v>2016</c:v>
                </c:pt>
                <c:pt idx="6">
                  <c:v>2017</c:v>
                </c:pt>
                <c:pt idx="7">
                  <c:v>2018</c:v>
                </c:pt>
              </c:numCache>
            </c:numRef>
          </c:cat>
          <c:val>
            <c:numRef>
              <c:f>Charts!$C$174:$J$174</c:f>
              <c:numCache>
                <c:formatCode>General</c:formatCode>
                <c:ptCount val="8"/>
                <c:pt idx="0">
                  <c:v>19.95</c:v>
                </c:pt>
                <c:pt idx="1">
                  <c:v>21.1</c:v>
                </c:pt>
                <c:pt idx="2">
                  <c:v>20.25</c:v>
                </c:pt>
                <c:pt idx="3">
                  <c:v>20.95</c:v>
                </c:pt>
                <c:pt idx="4">
                  <c:v>20.704999999999998</c:v>
                </c:pt>
                <c:pt idx="5">
                  <c:v>20.5</c:v>
                </c:pt>
                <c:pt idx="6">
                  <c:v>20.475000000000001</c:v>
                </c:pt>
                <c:pt idx="7">
                  <c:v>20.399999999999999</c:v>
                </c:pt>
              </c:numCache>
            </c:numRef>
          </c:val>
        </c:ser>
        <c:ser>
          <c:idx val="2"/>
          <c:order val="2"/>
          <c:tx>
            <c:strRef>
              <c:f>Charts!$B$175</c:f>
              <c:strCache>
                <c:ptCount val="1"/>
                <c:pt idx="0">
                  <c:v> Mill products   </c:v>
                </c:pt>
              </c:strCache>
            </c:strRef>
          </c:tx>
          <c:spPr>
            <a:solidFill>
              <a:srgbClr val="9ED9DF"/>
            </a:solidFill>
            <a:ln w="25400">
              <a:noFill/>
            </a:ln>
          </c:spPr>
          <c:invertIfNegative val="0"/>
          <c:cat>
            <c:numRef>
              <c:f>Charts!$C$172:$J$172</c:f>
              <c:numCache>
                <c:formatCode>General</c:formatCode>
                <c:ptCount val="8"/>
                <c:pt idx="0">
                  <c:v>2011</c:v>
                </c:pt>
                <c:pt idx="1">
                  <c:v>2012</c:v>
                </c:pt>
                <c:pt idx="2">
                  <c:v>2013</c:v>
                </c:pt>
                <c:pt idx="3">
                  <c:v>2014</c:v>
                </c:pt>
                <c:pt idx="4">
                  <c:v>2015</c:v>
                </c:pt>
                <c:pt idx="5">
                  <c:v>2016</c:v>
                </c:pt>
                <c:pt idx="6">
                  <c:v>2017</c:v>
                </c:pt>
                <c:pt idx="7">
                  <c:v>2018</c:v>
                </c:pt>
              </c:numCache>
            </c:numRef>
          </c:cat>
          <c:val>
            <c:numRef>
              <c:f>Charts!$C$175:$J$175</c:f>
              <c:numCache>
                <c:formatCode>General</c:formatCode>
                <c:ptCount val="8"/>
                <c:pt idx="0">
                  <c:v>11.305</c:v>
                </c:pt>
                <c:pt idx="1">
                  <c:v>15.2</c:v>
                </c:pt>
                <c:pt idx="2">
                  <c:v>14</c:v>
                </c:pt>
                <c:pt idx="3">
                  <c:v>13.7</c:v>
                </c:pt>
                <c:pt idx="4">
                  <c:v>13.3</c:v>
                </c:pt>
                <c:pt idx="5">
                  <c:v>13.1</c:v>
                </c:pt>
                <c:pt idx="6">
                  <c:v>13</c:v>
                </c:pt>
                <c:pt idx="7">
                  <c:v>13.4</c:v>
                </c:pt>
              </c:numCache>
            </c:numRef>
          </c:val>
        </c:ser>
        <c:ser>
          <c:idx val="3"/>
          <c:order val="3"/>
          <c:tx>
            <c:strRef>
              <c:f>Charts!$B$176</c:f>
              <c:strCache>
                <c:ptCount val="1"/>
                <c:pt idx="0">
                  <c:v> Chemicals and others   </c:v>
                </c:pt>
              </c:strCache>
            </c:strRef>
          </c:tx>
          <c:spPr>
            <a:solidFill>
              <a:srgbClr val="BCBFC1"/>
            </a:solidFill>
            <a:ln w="25400">
              <a:noFill/>
            </a:ln>
          </c:spPr>
          <c:invertIfNegative val="0"/>
          <c:cat>
            <c:numRef>
              <c:f>Charts!$C$172:$J$172</c:f>
              <c:numCache>
                <c:formatCode>General</c:formatCode>
                <c:ptCount val="8"/>
                <c:pt idx="0">
                  <c:v>2011</c:v>
                </c:pt>
                <c:pt idx="1">
                  <c:v>2012</c:v>
                </c:pt>
                <c:pt idx="2">
                  <c:v>2013</c:v>
                </c:pt>
                <c:pt idx="3">
                  <c:v>2014</c:v>
                </c:pt>
                <c:pt idx="4">
                  <c:v>2015</c:v>
                </c:pt>
                <c:pt idx="5">
                  <c:v>2016</c:v>
                </c:pt>
                <c:pt idx="6">
                  <c:v>2017</c:v>
                </c:pt>
                <c:pt idx="7">
                  <c:v>2018</c:v>
                </c:pt>
              </c:numCache>
            </c:numRef>
          </c:cat>
          <c:val>
            <c:numRef>
              <c:f>Charts!$C$176:$J$176</c:f>
              <c:numCache>
                <c:formatCode>General</c:formatCode>
                <c:ptCount val="8"/>
                <c:pt idx="0">
                  <c:v>5.9749999999999996</c:v>
                </c:pt>
                <c:pt idx="1">
                  <c:v>6.1749999999999998</c:v>
                </c:pt>
                <c:pt idx="2">
                  <c:v>6.375</c:v>
                </c:pt>
                <c:pt idx="3">
                  <c:v>6.5750000000000002</c:v>
                </c:pt>
                <c:pt idx="4">
                  <c:v>7</c:v>
                </c:pt>
                <c:pt idx="5">
                  <c:v>7.5</c:v>
                </c:pt>
                <c:pt idx="6">
                  <c:v>8</c:v>
                </c:pt>
                <c:pt idx="7">
                  <c:v>9</c:v>
                </c:pt>
              </c:numCache>
            </c:numRef>
          </c:val>
        </c:ser>
        <c:dLbls>
          <c:showLegendKey val="0"/>
          <c:showVal val="0"/>
          <c:showCatName val="0"/>
          <c:showSerName val="0"/>
          <c:showPercent val="0"/>
          <c:showBubbleSize val="0"/>
        </c:dLbls>
        <c:gapWidth val="219"/>
        <c:overlap val="100"/>
        <c:axId val="529554224"/>
        <c:axId val="529547952"/>
      </c:barChart>
      <c:catAx>
        <c:axId val="529554224"/>
        <c:scaling>
          <c:orientation val="minMax"/>
        </c:scaling>
        <c:delete val="0"/>
        <c:axPos val="b"/>
        <c:numFmt formatCode="General" sourceLinked="1"/>
        <c:majorTickMark val="out"/>
        <c:minorTickMark val="none"/>
        <c:tickLblPos val="nextTo"/>
        <c:spPr>
          <a:noFill/>
          <a:ln w="12700" cap="flat" cmpd="sng" algn="ctr">
            <a:solidFill>
              <a:srgbClr val="BCBFC1"/>
            </a:solidFill>
            <a:prstDash val="solid"/>
            <a:round/>
            <a:headEnd type="none" w="med" len="med"/>
            <a:tailEnd type="none" w="med" len="med"/>
          </a:ln>
          <a:effectLst/>
        </c:spPr>
        <c:txPr>
          <a:bodyPr rot="0" vert="horz"/>
          <a:lstStyle/>
          <a:p>
            <a:pPr>
              <a:defRPr sz="900" b="0" i="0" u="none" strike="noStrike" baseline="0">
                <a:solidFill>
                  <a:srgbClr val="373737"/>
                </a:solidFill>
                <a:latin typeface="Arial"/>
                <a:ea typeface="Arial"/>
                <a:cs typeface="Arial"/>
              </a:defRPr>
            </a:pPr>
            <a:endParaRPr lang="en-US"/>
          </a:p>
        </c:txPr>
        <c:crossAx val="529547952"/>
        <c:crosses val="autoZero"/>
        <c:auto val="1"/>
        <c:lblAlgn val="ctr"/>
        <c:lblOffset val="100"/>
        <c:noMultiLvlLbl val="0"/>
      </c:catAx>
      <c:valAx>
        <c:axId val="529547952"/>
        <c:scaling>
          <c:orientation val="minMax"/>
        </c:scaling>
        <c:delete val="0"/>
        <c:axPos val="l"/>
        <c:title>
          <c:tx>
            <c:rich>
              <a:bodyPr/>
              <a:lstStyle/>
              <a:p>
                <a:pPr>
                  <a:defRPr sz="900" b="0" i="0" u="none" strike="noStrike" baseline="0">
                    <a:solidFill>
                      <a:srgbClr val="373737"/>
                    </a:solidFill>
                    <a:latin typeface="Arial"/>
                    <a:ea typeface="Arial"/>
                    <a:cs typeface="Arial"/>
                  </a:defRPr>
                </a:pPr>
                <a:r>
                  <a:rPr lang="en-AU">
                    <a:solidFill>
                      <a:srgbClr val="373737"/>
                    </a:solidFill>
                  </a:rPr>
                  <a:t>Tungsten thousand</a:t>
                </a:r>
                <a:r>
                  <a:rPr lang="en-AU" baseline="0">
                    <a:solidFill>
                      <a:srgbClr val="373737"/>
                    </a:solidFill>
                  </a:rPr>
                  <a:t> tonnes</a:t>
                </a:r>
                <a:endParaRPr lang="en-AU">
                  <a:solidFill>
                    <a:srgbClr val="373737"/>
                  </a:solidFill>
                </a:endParaRPr>
              </a:p>
            </c:rich>
          </c:tx>
          <c:overlay val="0"/>
          <c:spPr>
            <a:noFill/>
            <a:ln w="25400">
              <a:noFill/>
            </a:ln>
          </c:spPr>
        </c:title>
        <c:numFmt formatCode="General" sourceLinked="1"/>
        <c:majorTickMark val="out"/>
        <c:minorTickMark val="none"/>
        <c:tickLblPos val="nextTo"/>
        <c:spPr>
          <a:noFill/>
          <a:ln w="12700" cap="flat" cmpd="sng" algn="ctr">
            <a:solidFill>
              <a:srgbClr val="BCBFC1"/>
            </a:solidFill>
            <a:prstDash val="solid"/>
            <a:round/>
            <a:headEnd type="none" w="med" len="med"/>
            <a:tailEnd type="none" w="med" len="med"/>
          </a:ln>
          <a:effectLst/>
        </c:spPr>
        <c:txPr>
          <a:bodyPr rot="0" vert="horz"/>
          <a:lstStyle/>
          <a:p>
            <a:pPr>
              <a:defRPr sz="900" b="0" i="0" u="none" strike="noStrike" baseline="0">
                <a:solidFill>
                  <a:srgbClr val="373737"/>
                </a:solidFill>
                <a:latin typeface="Arial"/>
                <a:ea typeface="Arial"/>
                <a:cs typeface="Arial"/>
              </a:defRPr>
            </a:pPr>
            <a:endParaRPr lang="en-US"/>
          </a:p>
        </c:txPr>
        <c:crossAx val="529554224"/>
        <c:crosses val="autoZero"/>
        <c:crossBetween val="between"/>
      </c:valAx>
      <c:spPr>
        <a:noFill/>
        <a:ln w="25400">
          <a:noFill/>
        </a:ln>
      </c:spPr>
    </c:plotArea>
    <c:legend>
      <c:legendPos val="b"/>
      <c:overlay val="0"/>
      <c:spPr>
        <a:noFill/>
        <a:ln w="25400">
          <a:noFill/>
        </a:ln>
      </c:spPr>
      <c:txPr>
        <a:bodyPr/>
        <a:lstStyle/>
        <a:p>
          <a:pPr>
            <a:defRPr sz="900" b="0" i="0" u="none" strike="noStrike" baseline="0">
              <a:solidFill>
                <a:srgbClr val="373737"/>
              </a:solidFill>
              <a:latin typeface="Arial"/>
              <a:ea typeface="Arial"/>
              <a:cs typeface="Arial"/>
            </a:defRPr>
          </a:pPr>
          <a:endParaRPr lang="en-US"/>
        </a:p>
      </c:txPr>
    </c:legend>
    <c:plotVisOnly val="1"/>
    <c:dispBlanksAs val="gap"/>
    <c:showDLblsOverMax val="0"/>
  </c:chart>
  <c:spPr>
    <a:solidFill>
      <a:schemeClr val="bg1"/>
    </a:solidFill>
    <a:ln w="25400" cap="flat" cmpd="sng" algn="ctr">
      <a:noFill/>
      <a:round/>
    </a:ln>
    <a:effectLst/>
  </c:spPr>
  <c:txPr>
    <a:bodyPr/>
    <a:lstStyle/>
    <a:p>
      <a:pPr>
        <a:defRPr sz="900" b="0" i="0" u="none" strike="noStrike" baseline="0">
          <a:solidFill>
            <a:srgbClr val="666699"/>
          </a:solidFill>
          <a:latin typeface="Arial"/>
          <a:ea typeface="Arial"/>
          <a:cs typeface="Arial"/>
        </a:defRPr>
      </a:pPr>
      <a:endParaRPr lang="en-US"/>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Charts!$B$163</c:f>
              <c:strCache>
                <c:ptCount val="1"/>
                <c:pt idx="0">
                  <c:v>China  </c:v>
                </c:pt>
              </c:strCache>
            </c:strRef>
          </c:tx>
          <c:spPr>
            <a:solidFill>
              <a:srgbClr val="005CAF"/>
            </a:solidFill>
            <a:ln>
              <a:noFill/>
            </a:ln>
            <a:effectLst/>
          </c:spPr>
          <c:invertIfNegative val="0"/>
          <c:cat>
            <c:numRef>
              <c:f>Charts!$C$135:$J$135</c:f>
              <c:numCache>
                <c:formatCode>General</c:formatCode>
                <c:ptCount val="8"/>
                <c:pt idx="0">
                  <c:v>2011</c:v>
                </c:pt>
                <c:pt idx="1">
                  <c:v>2012</c:v>
                </c:pt>
                <c:pt idx="2">
                  <c:v>2013</c:v>
                </c:pt>
                <c:pt idx="3">
                  <c:v>2014</c:v>
                </c:pt>
                <c:pt idx="4">
                  <c:v>2015</c:v>
                </c:pt>
                <c:pt idx="5">
                  <c:v>2016</c:v>
                </c:pt>
                <c:pt idx="6">
                  <c:v>2017</c:v>
                </c:pt>
                <c:pt idx="7">
                  <c:v>2018</c:v>
                </c:pt>
              </c:numCache>
            </c:numRef>
          </c:cat>
          <c:val>
            <c:numRef>
              <c:f>Charts!$C$163:$J$163</c:f>
              <c:numCache>
                <c:formatCode>General</c:formatCode>
                <c:ptCount val="8"/>
                <c:pt idx="0">
                  <c:v>54.12</c:v>
                </c:pt>
                <c:pt idx="1">
                  <c:v>56.779000000000003</c:v>
                </c:pt>
                <c:pt idx="2">
                  <c:v>66</c:v>
                </c:pt>
                <c:pt idx="3">
                  <c:v>64</c:v>
                </c:pt>
                <c:pt idx="4">
                  <c:v>65</c:v>
                </c:pt>
                <c:pt idx="5">
                  <c:v>63.3</c:v>
                </c:pt>
                <c:pt idx="6">
                  <c:v>65.5</c:v>
                </c:pt>
                <c:pt idx="7">
                  <c:v>61</c:v>
                </c:pt>
              </c:numCache>
            </c:numRef>
          </c:val>
        </c:ser>
        <c:ser>
          <c:idx val="1"/>
          <c:order val="1"/>
          <c:tx>
            <c:strRef>
              <c:f>Charts!$B$164</c:f>
              <c:strCache>
                <c:ptCount val="1"/>
                <c:pt idx="0">
                  <c:v>Vietnam  </c:v>
                </c:pt>
              </c:strCache>
            </c:strRef>
          </c:tx>
          <c:spPr>
            <a:solidFill>
              <a:srgbClr val="56B4DF"/>
            </a:solidFill>
            <a:ln>
              <a:noFill/>
            </a:ln>
            <a:effectLst/>
          </c:spPr>
          <c:invertIfNegative val="0"/>
          <c:cat>
            <c:numRef>
              <c:f>Charts!$C$135:$J$135</c:f>
              <c:numCache>
                <c:formatCode>General</c:formatCode>
                <c:ptCount val="8"/>
                <c:pt idx="0">
                  <c:v>2011</c:v>
                </c:pt>
                <c:pt idx="1">
                  <c:v>2012</c:v>
                </c:pt>
                <c:pt idx="2">
                  <c:v>2013</c:v>
                </c:pt>
                <c:pt idx="3">
                  <c:v>2014</c:v>
                </c:pt>
                <c:pt idx="4">
                  <c:v>2015</c:v>
                </c:pt>
                <c:pt idx="5">
                  <c:v>2016</c:v>
                </c:pt>
                <c:pt idx="6">
                  <c:v>2017</c:v>
                </c:pt>
                <c:pt idx="7">
                  <c:v>2018</c:v>
                </c:pt>
              </c:numCache>
            </c:numRef>
          </c:cat>
          <c:val>
            <c:numRef>
              <c:f>Charts!$C$164:$J$164</c:f>
              <c:numCache>
                <c:formatCode>General</c:formatCode>
                <c:ptCount val="8"/>
                <c:pt idx="0">
                  <c:v>1.635</c:v>
                </c:pt>
                <c:pt idx="1">
                  <c:v>1.05</c:v>
                </c:pt>
                <c:pt idx="2">
                  <c:v>1.66</c:v>
                </c:pt>
                <c:pt idx="3">
                  <c:v>4.266</c:v>
                </c:pt>
                <c:pt idx="4">
                  <c:v>5.0469999999999997</c:v>
                </c:pt>
                <c:pt idx="5">
                  <c:v>6.0220000000000002</c:v>
                </c:pt>
                <c:pt idx="6">
                  <c:v>6.1219999999999999</c:v>
                </c:pt>
                <c:pt idx="7">
                  <c:v>6.1</c:v>
                </c:pt>
              </c:numCache>
            </c:numRef>
          </c:val>
        </c:ser>
        <c:ser>
          <c:idx val="2"/>
          <c:order val="2"/>
          <c:tx>
            <c:strRef>
              <c:f>Charts!$B$165</c:f>
              <c:strCache>
                <c:ptCount val="1"/>
                <c:pt idx="0">
                  <c:v>Russia  </c:v>
                </c:pt>
              </c:strCache>
            </c:strRef>
          </c:tx>
          <c:spPr>
            <a:solidFill>
              <a:srgbClr val="9ED9DF"/>
            </a:solidFill>
            <a:ln>
              <a:noFill/>
            </a:ln>
            <a:effectLst/>
          </c:spPr>
          <c:invertIfNegative val="0"/>
          <c:cat>
            <c:numRef>
              <c:f>Charts!$C$135:$J$135</c:f>
              <c:numCache>
                <c:formatCode>General</c:formatCode>
                <c:ptCount val="8"/>
                <c:pt idx="0">
                  <c:v>2011</c:v>
                </c:pt>
                <c:pt idx="1">
                  <c:v>2012</c:v>
                </c:pt>
                <c:pt idx="2">
                  <c:v>2013</c:v>
                </c:pt>
                <c:pt idx="3">
                  <c:v>2014</c:v>
                </c:pt>
                <c:pt idx="4">
                  <c:v>2015</c:v>
                </c:pt>
                <c:pt idx="5">
                  <c:v>2016</c:v>
                </c:pt>
                <c:pt idx="6">
                  <c:v>2017</c:v>
                </c:pt>
                <c:pt idx="7">
                  <c:v>2018</c:v>
                </c:pt>
              </c:numCache>
            </c:numRef>
          </c:cat>
          <c:val>
            <c:numRef>
              <c:f>Charts!$C$165:$J$165</c:f>
              <c:numCache>
                <c:formatCode>General</c:formatCode>
                <c:ptCount val="8"/>
                <c:pt idx="0">
                  <c:v>3.6280000000000001</c:v>
                </c:pt>
                <c:pt idx="1">
                  <c:v>3.5659999999999998</c:v>
                </c:pt>
                <c:pt idx="2">
                  <c:v>3.488</c:v>
                </c:pt>
                <c:pt idx="3">
                  <c:v>3.25</c:v>
                </c:pt>
                <c:pt idx="4">
                  <c:v>3.25</c:v>
                </c:pt>
                <c:pt idx="5">
                  <c:v>2.4340000000000002</c:v>
                </c:pt>
                <c:pt idx="6">
                  <c:v>2.0510000000000002</c:v>
                </c:pt>
                <c:pt idx="7">
                  <c:v>2.59</c:v>
                </c:pt>
              </c:numCache>
            </c:numRef>
          </c:val>
        </c:ser>
        <c:ser>
          <c:idx val="3"/>
          <c:order val="3"/>
          <c:tx>
            <c:strRef>
              <c:f>Charts!$B$166</c:f>
              <c:strCache>
                <c:ptCount val="1"/>
                <c:pt idx="0">
                  <c:v>Australia  </c:v>
                </c:pt>
              </c:strCache>
            </c:strRef>
          </c:tx>
          <c:spPr>
            <a:solidFill>
              <a:srgbClr val="BCBFC1"/>
            </a:solidFill>
            <a:ln>
              <a:noFill/>
            </a:ln>
            <a:effectLst/>
          </c:spPr>
          <c:invertIfNegative val="0"/>
          <c:cat>
            <c:numRef>
              <c:f>Charts!$C$135:$J$135</c:f>
              <c:numCache>
                <c:formatCode>General</c:formatCode>
                <c:ptCount val="8"/>
                <c:pt idx="0">
                  <c:v>2011</c:v>
                </c:pt>
                <c:pt idx="1">
                  <c:v>2012</c:v>
                </c:pt>
                <c:pt idx="2">
                  <c:v>2013</c:v>
                </c:pt>
                <c:pt idx="3">
                  <c:v>2014</c:v>
                </c:pt>
                <c:pt idx="4">
                  <c:v>2015</c:v>
                </c:pt>
                <c:pt idx="5">
                  <c:v>2016</c:v>
                </c:pt>
                <c:pt idx="6">
                  <c:v>2017</c:v>
                </c:pt>
                <c:pt idx="7">
                  <c:v>2018</c:v>
                </c:pt>
              </c:numCache>
            </c:numRef>
          </c:cat>
          <c:val>
            <c:numRef>
              <c:f>Charts!$C$166:$J$166</c:f>
              <c:numCache>
                <c:formatCode>General</c:formatCode>
                <c:ptCount val="8"/>
                <c:pt idx="0">
                  <c:v>1.6E-2</c:v>
                </c:pt>
                <c:pt idx="1">
                  <c:v>0.193</c:v>
                </c:pt>
                <c:pt idx="2">
                  <c:v>0.37</c:v>
                </c:pt>
                <c:pt idx="3">
                  <c:v>0.38300000000000001</c:v>
                </c:pt>
                <c:pt idx="4">
                  <c:v>0.31</c:v>
                </c:pt>
                <c:pt idx="5">
                  <c:v>7.0000000000000007E-2</c:v>
                </c:pt>
                <c:pt idx="6">
                  <c:v>5.0000000000000001E-3</c:v>
                </c:pt>
                <c:pt idx="7">
                  <c:v>5.0000000000000001E-3</c:v>
                </c:pt>
              </c:numCache>
            </c:numRef>
          </c:val>
        </c:ser>
        <c:ser>
          <c:idx val="4"/>
          <c:order val="4"/>
          <c:tx>
            <c:strRef>
              <c:f>Charts!$B$167</c:f>
              <c:strCache>
                <c:ptCount val="1"/>
                <c:pt idx="0">
                  <c:v>Rest of world</c:v>
                </c:pt>
              </c:strCache>
            </c:strRef>
          </c:tx>
          <c:spPr>
            <a:solidFill>
              <a:srgbClr val="51B7A4"/>
            </a:solidFill>
            <a:ln>
              <a:noFill/>
            </a:ln>
            <a:effectLst/>
          </c:spPr>
          <c:invertIfNegative val="0"/>
          <c:cat>
            <c:numRef>
              <c:f>Charts!$C$135:$J$135</c:f>
              <c:numCache>
                <c:formatCode>General</c:formatCode>
                <c:ptCount val="8"/>
                <c:pt idx="0">
                  <c:v>2011</c:v>
                </c:pt>
                <c:pt idx="1">
                  <c:v>2012</c:v>
                </c:pt>
                <c:pt idx="2">
                  <c:v>2013</c:v>
                </c:pt>
                <c:pt idx="3">
                  <c:v>2014</c:v>
                </c:pt>
                <c:pt idx="4">
                  <c:v>2015</c:v>
                </c:pt>
                <c:pt idx="5">
                  <c:v>2016</c:v>
                </c:pt>
                <c:pt idx="6">
                  <c:v>2017</c:v>
                </c:pt>
                <c:pt idx="7">
                  <c:v>2018</c:v>
                </c:pt>
              </c:numCache>
            </c:numRef>
          </c:cat>
          <c:val>
            <c:numRef>
              <c:f>Charts!$C$167:$J$167</c:f>
              <c:numCache>
                <c:formatCode>General</c:formatCode>
                <c:ptCount val="8"/>
                <c:pt idx="0">
                  <c:v>8.1250000000000036</c:v>
                </c:pt>
                <c:pt idx="1">
                  <c:v>8.24</c:v>
                </c:pt>
                <c:pt idx="2">
                  <c:v>7.7099999999999946</c:v>
                </c:pt>
                <c:pt idx="3">
                  <c:v>8.4809999999999945</c:v>
                </c:pt>
                <c:pt idx="4">
                  <c:v>7.7090000000000023</c:v>
                </c:pt>
                <c:pt idx="5">
                  <c:v>6.258999999999995</c:v>
                </c:pt>
                <c:pt idx="6">
                  <c:v>6.3039999999999994</c:v>
                </c:pt>
                <c:pt idx="7">
                  <c:v>7.8920000000000039</c:v>
                </c:pt>
              </c:numCache>
            </c:numRef>
          </c:val>
        </c:ser>
        <c:dLbls>
          <c:showLegendKey val="0"/>
          <c:showVal val="0"/>
          <c:showCatName val="0"/>
          <c:showSerName val="0"/>
          <c:showPercent val="0"/>
          <c:showBubbleSize val="0"/>
        </c:dLbls>
        <c:gapWidth val="150"/>
        <c:overlap val="100"/>
        <c:axId val="529549520"/>
        <c:axId val="529549912"/>
      </c:barChart>
      <c:catAx>
        <c:axId val="529549520"/>
        <c:scaling>
          <c:orientation val="minMax"/>
        </c:scaling>
        <c:delete val="0"/>
        <c:axPos val="b"/>
        <c:numFmt formatCode="General" sourceLinked="1"/>
        <c:majorTickMark val="out"/>
        <c:minorTickMark val="none"/>
        <c:tickLblPos val="nextTo"/>
        <c:spPr>
          <a:noFill/>
          <a:ln w="12700" cap="flat" cmpd="sng" algn="ctr">
            <a:solidFill>
              <a:srgbClr val="BCBFC1"/>
            </a:solidFill>
            <a:prstDash val="solid"/>
            <a:round/>
            <a:headEnd type="none" w="med" len="med"/>
            <a:tailEnd type="none" w="med" len="med"/>
          </a:ln>
          <a:effectLst/>
        </c:spPr>
        <c:txPr>
          <a:bodyPr rot="-60000000" spcFirstLastPara="1" vertOverflow="ellipsis" vert="horz" wrap="square" anchor="ctr" anchorCtr="1"/>
          <a:lstStyle/>
          <a:p>
            <a:pPr>
              <a:defRPr sz="900" b="0" i="0" u="none" strike="noStrike" kern="1200" baseline="0">
                <a:solidFill>
                  <a:srgbClr val="373737"/>
                </a:solidFill>
                <a:latin typeface="Arial"/>
                <a:ea typeface="Arial"/>
                <a:cs typeface="Arial"/>
              </a:defRPr>
            </a:pPr>
            <a:endParaRPr lang="en-US"/>
          </a:p>
        </c:txPr>
        <c:crossAx val="529549912"/>
        <c:crosses val="autoZero"/>
        <c:auto val="1"/>
        <c:lblAlgn val="ctr"/>
        <c:lblOffset val="100"/>
        <c:noMultiLvlLbl val="0"/>
      </c:catAx>
      <c:valAx>
        <c:axId val="529549912"/>
        <c:scaling>
          <c:orientation val="minMax"/>
        </c:scaling>
        <c:delete val="0"/>
        <c:axPos val="l"/>
        <c:title>
          <c:tx>
            <c:rich>
              <a:bodyPr rot="-5400000" spcFirstLastPara="1" vertOverflow="ellipsis" vert="horz" wrap="square" anchor="ctr" anchorCtr="1"/>
              <a:lstStyle/>
              <a:p>
                <a:pPr algn="ctr" rtl="0">
                  <a:defRPr sz="900" b="0" i="0" u="none" strike="noStrike" kern="1200" baseline="0">
                    <a:solidFill>
                      <a:srgbClr val="373737"/>
                    </a:solidFill>
                    <a:latin typeface="Arial" panose="020B0604020202020204" pitchFamily="34" charset="0"/>
                    <a:ea typeface="Arial"/>
                    <a:cs typeface="Arial" panose="020B0604020202020204" pitchFamily="34" charset="0"/>
                  </a:defRPr>
                </a:pPr>
                <a:r>
                  <a:rPr lang="en-US" sz="900" b="0" i="0" u="none" strike="noStrike" kern="1200" baseline="0">
                    <a:solidFill>
                      <a:srgbClr val="373737"/>
                    </a:solidFill>
                    <a:latin typeface="Arial" panose="020B0604020202020204" pitchFamily="34" charset="0"/>
                    <a:cs typeface="Arial" panose="020B0604020202020204" pitchFamily="34" charset="0"/>
                  </a:rPr>
                  <a:t>Tungsten thousand tonnes</a:t>
                </a:r>
              </a:p>
            </c:rich>
          </c:tx>
          <c:layout>
            <c:manualLayout>
              <c:xMode val="edge"/>
              <c:yMode val="edge"/>
              <c:x val="1.9905449116695697E-2"/>
              <c:y val="9.8374358610579082E-2"/>
            </c:manualLayout>
          </c:layout>
          <c:overlay val="0"/>
          <c:spPr>
            <a:noFill/>
            <a:ln>
              <a:noFill/>
            </a:ln>
            <a:effectLst/>
          </c:spPr>
          <c:txPr>
            <a:bodyPr rot="-5400000" spcFirstLastPara="1" vertOverflow="ellipsis" vert="horz" wrap="square" anchor="ctr" anchorCtr="1"/>
            <a:lstStyle/>
            <a:p>
              <a:pPr algn="ctr" rtl="0">
                <a:defRPr sz="900" b="0" i="0" u="none" strike="noStrike" kern="1200" baseline="0">
                  <a:solidFill>
                    <a:srgbClr val="373737"/>
                  </a:solidFill>
                  <a:latin typeface="Arial" panose="020B0604020202020204" pitchFamily="34" charset="0"/>
                  <a:ea typeface="Arial"/>
                  <a:cs typeface="Arial" panose="020B0604020202020204" pitchFamily="34" charset="0"/>
                </a:defRPr>
              </a:pPr>
              <a:endParaRPr lang="en-US"/>
            </a:p>
          </c:txPr>
        </c:title>
        <c:numFmt formatCode="General" sourceLinked="1"/>
        <c:majorTickMark val="out"/>
        <c:minorTickMark val="none"/>
        <c:tickLblPos val="nextTo"/>
        <c:spPr>
          <a:noFill/>
          <a:ln w="12700" cap="flat" cmpd="sng" algn="ctr">
            <a:solidFill>
              <a:srgbClr val="BCBFC1"/>
            </a:solidFill>
            <a:prstDash val="solid"/>
            <a:round/>
            <a:headEnd type="none" w="med" len="med"/>
            <a:tailEnd type="none" w="med" len="med"/>
          </a:ln>
          <a:effectLst/>
        </c:spPr>
        <c:txPr>
          <a:bodyPr rot="-60000000" spcFirstLastPara="1" vertOverflow="ellipsis" vert="horz" wrap="square" anchor="ctr" anchorCtr="1"/>
          <a:lstStyle/>
          <a:p>
            <a:pPr>
              <a:defRPr sz="900" b="0" i="0" u="none" strike="noStrike" kern="1200" baseline="0">
                <a:solidFill>
                  <a:srgbClr val="373737"/>
                </a:solidFill>
                <a:latin typeface="Arial"/>
                <a:ea typeface="Arial"/>
                <a:cs typeface="Arial"/>
              </a:defRPr>
            </a:pPr>
            <a:endParaRPr lang="en-US"/>
          </a:p>
        </c:txPr>
        <c:crossAx val="529549520"/>
        <c:crosses val="autoZero"/>
        <c:crossBetween val="between"/>
        <c:majorUnit val="20"/>
      </c:valAx>
      <c:spPr>
        <a:noFill/>
        <a:ln w="25400">
          <a:noFill/>
        </a:ln>
        <a:effectLst/>
      </c:spPr>
    </c:plotArea>
    <c:legend>
      <c:legendPos val="b"/>
      <c:layout>
        <c:manualLayout>
          <c:xMode val="edge"/>
          <c:yMode val="edge"/>
          <c:x val="0.20677039965674857"/>
          <c:y val="0.87523350121775323"/>
          <c:w val="0.66988713061775462"/>
          <c:h val="7.3840405365995912E-2"/>
        </c:manualLayout>
      </c:layout>
      <c:overlay val="0"/>
      <c:spPr>
        <a:noFill/>
        <a:ln>
          <a:noFill/>
        </a:ln>
        <a:effectLst/>
      </c:spPr>
      <c:txPr>
        <a:bodyPr rot="0" spcFirstLastPara="1" vertOverflow="ellipsis" vert="horz" wrap="square" anchor="ctr" anchorCtr="1"/>
        <a:lstStyle/>
        <a:p>
          <a:pPr>
            <a:defRPr sz="900" b="0" i="0" u="none" strike="noStrike" kern="1200" baseline="0">
              <a:solidFill>
                <a:srgbClr val="373737"/>
              </a:solidFill>
              <a:latin typeface="Arial"/>
              <a:ea typeface="Arial"/>
              <a:cs typeface="Arial"/>
            </a:defRPr>
          </a:pPr>
          <a:endParaRPr lang="en-US"/>
        </a:p>
      </c:txPr>
    </c:legend>
    <c:plotVisOnly val="1"/>
    <c:dispBlanksAs val="gap"/>
    <c:showDLblsOverMax val="0"/>
  </c:chart>
  <c:spPr>
    <a:solidFill>
      <a:schemeClr val="bg1"/>
    </a:solidFill>
    <a:ln w="25400" cap="flat" cmpd="sng" algn="ctr">
      <a:noFill/>
      <a:round/>
    </a:ln>
    <a:effectLst/>
  </c:spPr>
  <c:txPr>
    <a:bodyPr/>
    <a:lstStyle/>
    <a:p>
      <a:pPr>
        <a:defRPr sz="900" b="0">
          <a:solidFill>
            <a:srgbClr val="595A5B"/>
          </a:solidFill>
          <a:latin typeface="Arial"/>
          <a:ea typeface="Arial"/>
          <a:cs typeface="Arial"/>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CE">
  <a:themeElements>
    <a:clrScheme name="OCE May 2017">
      <a:dk1>
        <a:srgbClr val="373737"/>
      </a:dk1>
      <a:lt1>
        <a:srgbClr val="FFFFFF"/>
      </a:lt1>
      <a:dk2>
        <a:srgbClr val="373737"/>
      </a:dk2>
      <a:lt2>
        <a:srgbClr val="FFFFFF"/>
      </a:lt2>
      <a:accent1>
        <a:srgbClr val="005CAF"/>
      </a:accent1>
      <a:accent2>
        <a:srgbClr val="56B4DF"/>
      </a:accent2>
      <a:accent3>
        <a:srgbClr val="9ED9DF"/>
      </a:accent3>
      <a:accent4>
        <a:srgbClr val="BCBFC1"/>
      </a:accent4>
      <a:accent5>
        <a:srgbClr val="51B7A4"/>
      </a:accent5>
      <a:accent6>
        <a:srgbClr val="0A7568"/>
      </a:accent6>
      <a:hlink>
        <a:srgbClr val="005CAF"/>
      </a:hlink>
      <a:folHlink>
        <a:srgbClr val="56B4E9"/>
      </a:folHlink>
    </a:clrScheme>
    <a:fontScheme name="OCE">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2.xml><?xml version="1.0" encoding="utf-8"?>
<p:properties xmlns:p="http://schemas.microsoft.com/office/2006/metadata/properties" xmlns:xsi="http://www.w3.org/2001/XMLSchema-instance" xmlns:pc="http://schemas.microsoft.com/office/infopath/2007/PartnerControls">
  <documentManagement>
    <n99e4c9942c6404eb103464a00e6097b xmlns="e47d1c65-9f6c-49e5-a774-2c92ccb46d02">
      <Terms xmlns="http://schemas.microsoft.com/office/infopath/2007/PartnerControls">
        <TermInfo xmlns="http://schemas.microsoft.com/office/infopath/2007/PartnerControls">
          <TermName>2019</TermName>
          <TermId>7e451fe0-4dc6-437a-a849-bab7965a9aee</TermId>
        </TermInfo>
      </Terms>
    </n99e4c9942c6404eb103464a00e6097b>
    <adb9bed2e36e4a93af574aeb444da63e xmlns="e47d1c65-9f6c-49e5-a774-2c92ccb46d02">
      <Terms xmlns="http://schemas.microsoft.com/office/infopath/2007/PartnerControls">
        <TermInfo xmlns="http://schemas.microsoft.com/office/infopath/2007/PartnerControls">
          <TermName>commodities</TermName>
          <TermId>f38d2dcc-a1ba-4b52-a0c9-93d5cf4e9069</TermId>
        </TermInfo>
      </Terms>
    </adb9bed2e36e4a93af574aeb444da63e>
    <pe2555c81638466f9eb614edb9ecde52 xmlns="e47d1c65-9f6c-49e5-a774-2c92ccb46d02">
      <Terms xmlns="http://schemas.microsoft.com/office/infopath/2007/PartnerControls">
        <TermInfo xmlns="http://schemas.microsoft.com/office/infopath/2007/PartnerControls">
          <TermName>Report</TermName>
          <TermId>116a9244-cef6-47ce-a9a5-088c9cf21292</TermId>
        </TermInfo>
      </Terms>
    </pe2555c81638466f9eb614edb9ecde52>
    <TaxCatchAll xmlns="e47d1c65-9f6c-49e5-a774-2c92ccb46d02">
      <Value>2380</Value>
      <Value>39</Value>
      <Value>3</Value>
      <Value>352</Value>
      <Value>45</Value>
    </TaxCatchAll>
    <aa25a1a23adf4c92a153145de6afe324 xmlns="e47d1c65-9f6c-49e5-a774-2c92ccb46d02">
      <Terms xmlns="http://schemas.microsoft.com/office/infopath/2007/PartnerControls">
        <TermInfo xmlns="http://schemas.microsoft.com/office/infopath/2007/PartnerControls">
          <TermName xmlns="http://schemas.microsoft.com/office/infopath/2007/PartnerControls">UNCLASSIFIED</TermName>
          <TermId xmlns="http://schemas.microsoft.com/office/infopath/2007/PartnerControls">6106d03b-a1a0-4e30-9d91-d5e9fb4314f9</TermId>
        </TermInfo>
      </Terms>
    </aa25a1a23adf4c92a153145de6afe324>
    <g7bcb40ba23249a78edca7d43a67c1c9 xmlns="e47d1c65-9f6c-49e5-a774-2c92ccb46d02">
      <Terms xmlns="http://schemas.microsoft.com/office/infopath/2007/PartnerControls">
        <TermInfo xmlns="http://schemas.microsoft.com/office/infopath/2007/PartnerControls">
          <TermName>Drafting</TermName>
          <TermId>5fe11d9d-5f5a-4301-b7b3-0d2ee8e5c31c</TermId>
        </TermInfo>
      </Terms>
    </g7bcb40ba23249a78edca7d43a67c1c9>
    <Comments xmlns="http://schemas.microsoft.com/sharepoint/v3" xsi:nil="true"/>
    <_dlc_DocId xmlns="e47d1c65-9f6c-49e5-a774-2c92ccb46d02">EUCW2WRC2PUD-8043042-143</_dlc_DocId>
    <_dlc_DocIdUrl xmlns="e47d1c65-9f6c-49e5-a774-2c92ccb46d02">
      <Url>https://dochub/div/economicanalyticalservices/businessfunctions/projectmgmt/projects/_layouts/15/DocIdRedir.aspx?ID=EUCW2WRC2PUD-8043042-143</Url>
      <Description>EUCW2WRC2PUD-8043042-143</Description>
    </_dlc_DocIdUrl>
    <IconOverlay xmlns="http://schemas.microsoft.com/sharepoint/v4"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99454E742749F74B848F0F72A205BE29" ma:contentTypeVersion="15" ma:contentTypeDescription="Create a new document." ma:contentTypeScope="" ma:versionID="135124e3009b0eeb405970fd8a960229">
  <xsd:schema xmlns:xsd="http://www.w3.org/2001/XMLSchema" xmlns:xs="http://www.w3.org/2001/XMLSchema" xmlns:p="http://schemas.microsoft.com/office/2006/metadata/properties" xmlns:ns1="http://schemas.microsoft.com/sharepoint/v3" xmlns:ns2="e47d1c65-9f6c-49e5-a774-2c92ccb46d02" xmlns:ns3="http://schemas.microsoft.com/sharepoint/v4" targetNamespace="http://schemas.microsoft.com/office/2006/metadata/properties" ma:root="true" ma:fieldsID="12bdfa802420b049bb8483c010236e2e" ns1:_="" ns2:_="" ns3:_="">
    <xsd:import namespace="http://schemas.microsoft.com/sharepoint/v3"/>
    <xsd:import namespace="e47d1c65-9f6c-49e5-a774-2c92ccb46d02"/>
    <xsd:import namespace="http://schemas.microsoft.com/sharepoint/v4"/>
    <xsd:element name="properties">
      <xsd:complexType>
        <xsd:sequence>
          <xsd:element name="documentManagement">
            <xsd:complexType>
              <xsd:all>
                <xsd:element ref="ns2:_dlc_DocId" minOccurs="0"/>
                <xsd:element ref="ns2:_dlc_DocIdUrl" minOccurs="0"/>
                <xsd:element ref="ns2:_dlc_DocIdPersistId" minOccurs="0"/>
                <xsd:element ref="ns2:aa25a1a23adf4c92a153145de6afe324" minOccurs="0"/>
                <xsd:element ref="ns2:TaxCatchAll" minOccurs="0"/>
                <xsd:element ref="ns2:pe2555c81638466f9eb614edb9ecde52" minOccurs="0"/>
                <xsd:element ref="ns2:g7bcb40ba23249a78edca7d43a67c1c9" minOccurs="0"/>
                <xsd:element ref="ns2:adb9bed2e36e4a93af574aeb444da63e" minOccurs="0"/>
                <xsd:element ref="ns2:n99e4c9942c6404eb103464a00e6097b" minOccurs="0"/>
                <xsd:element ref="ns1:Comments" minOccurs="0"/>
                <xsd:element ref="ns2:SharedWithUsers" minOccurs="0"/>
                <xsd:element ref="ns3:IconOverla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Comments" ma:index="22" nillable="true" ma:displayName="Comments" ma:internalName="Comments">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47d1c65-9f6c-49e5-a774-2c92ccb46d02"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aa25a1a23adf4c92a153145de6afe324" ma:index="12" ma:taxonomy="true" ma:internalName="aa25a1a23adf4c92a153145de6afe324" ma:taxonomyFieldName="DocHub_SecurityClassification" ma:displayName="Security Classification" ma:fieldId="{aa25a1a2-3adf-4c92-a153-145de6afe324}" ma:sspId="fb0313f7-9433-48c0-866e-9e0bbee59a50" ma:termSetId="f68a6a0b-bd85-4d9d-9c73-c45af096016b" ma:anchorId="00000000-0000-0000-0000-000000000000" ma:open="false" ma:isKeyword="false">
      <xsd:complexType>
        <xsd:sequence>
          <xsd:element ref="pc:Terms" minOccurs="0" maxOccurs="1"/>
        </xsd:sequence>
      </xsd:complexType>
    </xsd:element>
    <xsd:element name="TaxCatchAll" ma:index="13" nillable="true" ma:displayName="Taxonomy Catch All Column" ma:hidden="true" ma:list="{835f851f-72f6-498a-a802-dc52b0f6bebd}" ma:internalName="TaxCatchAll" ma:showField="CatchAllData" ma:web="e47d1c65-9f6c-49e5-a774-2c92ccb46d02">
      <xsd:complexType>
        <xsd:complexContent>
          <xsd:extension base="dms:MultiChoiceLookup">
            <xsd:sequence>
              <xsd:element name="Value" type="dms:Lookup" maxOccurs="unbounded" minOccurs="0" nillable="true"/>
            </xsd:sequence>
          </xsd:extension>
        </xsd:complexContent>
      </xsd:complexType>
    </xsd:element>
    <xsd:element name="pe2555c81638466f9eb614edb9ecde52" ma:index="15" ma:taxonomy="true" ma:internalName="pe2555c81638466f9eb614edb9ecde52" ma:taxonomyFieldName="DocHub_DocumentType" ma:displayName="Document Type" ma:indexed="true" ma:fieldId="{9e2555c8-1638-466f-9eb6-14edb9ecde52}" ma:sspId="fb0313f7-9433-48c0-866e-9e0bbee59a50" ma:termSetId="0e4c18c5-28eb-4f9e-8056-b3cddd4b5d9b" ma:anchorId="00000000-0000-0000-0000-000000000000" ma:open="false" ma:isKeyword="false">
      <xsd:complexType>
        <xsd:sequence>
          <xsd:element ref="pc:Terms" minOccurs="0" maxOccurs="1"/>
        </xsd:sequence>
      </xsd:complexType>
    </xsd:element>
    <xsd:element name="g7bcb40ba23249a78edca7d43a67c1c9" ma:index="17" nillable="true" ma:taxonomy="true" ma:internalName="g7bcb40ba23249a78edca7d43a67c1c9" ma:taxonomyFieldName="DocHub_WorkActivity" ma:displayName="Work Activity" ma:indexed="true" ma:fieldId="{07bcb40b-a232-49a7-8edc-a7d43a67c1c9}" ma:sspId="fb0313f7-9433-48c0-866e-9e0bbee59a50" ma:termSetId="6713ebbd-194a-499f-ab84-a4d70e145fb7" ma:anchorId="00000000-0000-0000-0000-000000000000" ma:open="false" ma:isKeyword="false">
      <xsd:complexType>
        <xsd:sequence>
          <xsd:element ref="pc:Terms" minOccurs="0" maxOccurs="1"/>
        </xsd:sequence>
      </xsd:complexType>
    </xsd:element>
    <xsd:element name="adb9bed2e36e4a93af574aeb444da63e" ma:index="19" nillable="true" ma:taxonomy="true" ma:internalName="adb9bed2e36e4a93af574aeb444da63e" ma:taxonomyFieldName="DocHub_Keywords" ma:displayName="Division Keywords" ma:fieldId="{adb9bed2-e36e-4a93-af57-4aeb444da63e}" ma:taxonomyMulti="true" ma:sspId="fb0313f7-9433-48c0-866e-9e0bbee59a50" ma:termSetId="3990c95c-aaef-4b88-979c-1afb69c61976" ma:anchorId="00000000-0000-0000-0000-000000000000" ma:open="true" ma:isKeyword="false">
      <xsd:complexType>
        <xsd:sequence>
          <xsd:element ref="pc:Terms" minOccurs="0" maxOccurs="1"/>
        </xsd:sequence>
      </xsd:complexType>
    </xsd:element>
    <xsd:element name="n99e4c9942c6404eb103464a00e6097b" ma:index="21" nillable="true" ma:taxonomy="true" ma:internalName="n99e4c9942c6404eb103464a00e6097b" ma:taxonomyFieldName="DocHub_Year" ma:displayName="Year" ma:indexed="true" ma:fieldId="{799e4c99-42c6-404e-b103-464a00e6097b}" ma:sspId="fb0313f7-9433-48c0-866e-9e0bbee59a50" ma:termSetId="07e1743d-d980-4fe7-a67d-b87ecf7f18f6" ma:anchorId="00000000-0000-0000-0000-000000000000" ma:open="false" ma:isKeyword="false">
      <xsd:complexType>
        <xsd:sequence>
          <xsd:element ref="pc:Terms" minOccurs="0" maxOccurs="1"/>
        </xsd:sequence>
      </xsd:complexType>
    </xsd:element>
    <xsd:element name="SharedWithUsers" ma:index="24"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25" nillable="true" ma:displayName="IconOverlay" ma:hidden="true" ma:internalName="IconOverlay">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93EDBD2-23D7-4E56-9CFC-97C6144F6BD8}">
  <ds:schemaRefs>
    <ds:schemaRef ds:uri="http://schemas.microsoft.com/sharepoint/events"/>
  </ds:schemaRefs>
</ds:datastoreItem>
</file>

<file path=customXml/itemProps2.xml><?xml version="1.0" encoding="utf-8"?>
<ds:datastoreItem xmlns:ds="http://schemas.openxmlformats.org/officeDocument/2006/customXml" ds:itemID="{7C82E28D-6947-480F-BBF1-3DFDF858D2EF}">
  <ds:schemaRefs>
    <ds:schemaRef ds:uri="http://schemas.openxmlformats.org/package/2006/metadata/core-properties"/>
    <ds:schemaRef ds:uri="http://schemas.microsoft.com/office/2006/documentManagement/types"/>
    <ds:schemaRef ds:uri="http://schemas.microsoft.com/office/infopath/2007/PartnerControls"/>
    <ds:schemaRef ds:uri="http://purl.org/dc/elements/1.1/"/>
    <ds:schemaRef ds:uri="http://schemas.microsoft.com/office/2006/metadata/properties"/>
    <ds:schemaRef ds:uri="http://schemas.microsoft.com/sharepoint/v3"/>
    <ds:schemaRef ds:uri="http://schemas.microsoft.com/sharepoint/v4"/>
    <ds:schemaRef ds:uri="http://purl.org/dc/terms/"/>
    <ds:schemaRef ds:uri="e47d1c65-9f6c-49e5-a774-2c92ccb46d02"/>
    <ds:schemaRef ds:uri="http://www.w3.org/XML/1998/namespace"/>
    <ds:schemaRef ds:uri="http://purl.org/dc/dcmitype/"/>
  </ds:schemaRefs>
</ds:datastoreItem>
</file>

<file path=customXml/itemProps3.xml><?xml version="1.0" encoding="utf-8"?>
<ds:datastoreItem xmlns:ds="http://schemas.openxmlformats.org/officeDocument/2006/customXml" ds:itemID="{3F4FFA84-570B-401B-BC8A-1BE80BEBC4B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e47d1c65-9f6c-49e5-a774-2c92ccb46d02"/>
    <ds:schemaRef ds:uri="http://schemas.microsoft.com/sharepoint/v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BA902024-C005-4DC0-B358-BDFF341AD36E}">
  <ds:schemaRefs>
    <ds:schemaRef ds:uri="http://schemas.microsoft.com/sharepoint/v3/contenttype/forms"/>
  </ds:schemaRefs>
</ds:datastoreItem>
</file>

<file path=customXml/itemProps5.xml><?xml version="1.0" encoding="utf-8"?>
<ds:datastoreItem xmlns:ds="http://schemas.openxmlformats.org/officeDocument/2006/customXml" ds:itemID="{A6A322BA-DC25-4D31-98B8-52E07D0F19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OCE%20Portrait%20Template.dotm</Template>
  <TotalTime>0</TotalTime>
  <Pages>38</Pages>
  <Words>8715</Words>
  <Characters>49676</Characters>
  <Application>Microsoft Office Word</Application>
  <DocSecurity>0</DocSecurity>
  <Lines>413</Lines>
  <Paragraphs>116</Paragraphs>
  <ScaleCrop>false</ScaleCrop>
  <HeadingPairs>
    <vt:vector size="2" baseType="variant">
      <vt:variant>
        <vt:lpstr>Title</vt:lpstr>
      </vt:variant>
      <vt:variant>
        <vt:i4>1</vt:i4>
      </vt:variant>
    </vt:vector>
  </HeadingPairs>
  <TitlesOfParts>
    <vt:vector size="1" baseType="lpstr">
      <vt:lpstr>OCE Report Template</vt:lpstr>
    </vt:vector>
  </TitlesOfParts>
  <Company>INDUSTRY</Company>
  <LinksUpToDate>false</LinksUpToDate>
  <CharactersWithSpaces>58275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OCE Report Template</dc:title>
  <dc:creator>Martin, Kate</dc:creator>
  <cp:lastModifiedBy>Francis, Sophie</cp:lastModifiedBy>
  <cp:revision>2</cp:revision>
  <cp:lastPrinted>2019-10-02T07:47:00Z</cp:lastPrinted>
  <dcterms:created xsi:type="dcterms:W3CDTF">2019-10-18T03:55:00Z</dcterms:created>
  <dcterms:modified xsi:type="dcterms:W3CDTF">2019-10-18T03:55:00Z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0x01010099454E742749F74B848F0F72A205BE29</vt:lpwstr>
  </property>
  <property fmtid="{D5CDD505-2E9C-101B-9397-08002B2CF9AE}" pid="3" name="VersionNumber">
    <vt:i4>0</vt:i4>
  </property>
  <property fmtid="{D5CDD505-2E9C-101B-9397-08002B2CF9AE}" pid="4" name="ClassificationPty">
    <vt:lpwstr/>
  </property>
  <property fmtid="{D5CDD505-2E9C-101B-9397-08002B2CF9AE}" pid="5" name="FileNumberPty">
    <vt:lpwstr/>
  </property>
  <property fmtid="{D5CDD505-2E9C-101B-9397-08002B2CF9AE}" pid="6" name="CorporateTmplBased">
    <vt:lpwstr>No</vt:lpwstr>
  </property>
  <property fmtid="{D5CDD505-2E9C-101B-9397-08002B2CF9AE}" pid="7" name="_dlc_DocIdItemGuid">
    <vt:lpwstr>eaa21f82-50cd-408b-9cb3-e7107e74ebcf</vt:lpwstr>
  </property>
  <property fmtid="{D5CDD505-2E9C-101B-9397-08002B2CF9AE}" pid="8" name="DocHub_Year">
    <vt:lpwstr>2380;#2019|7e451fe0-4dc6-437a-a849-bab7965a9aee</vt:lpwstr>
  </property>
  <property fmtid="{D5CDD505-2E9C-101B-9397-08002B2CF9AE}" pid="9" name="DocHub_DocumentType">
    <vt:lpwstr>45;#Report|116a9244-cef6-47ce-a9a5-088c9cf21292</vt:lpwstr>
  </property>
  <property fmtid="{D5CDD505-2E9C-101B-9397-08002B2CF9AE}" pid="10" name="DocHub_SecurityClassification">
    <vt:lpwstr>3;#UNCLASSIFIED|6106d03b-a1a0-4e30-9d91-d5e9fb4314f9</vt:lpwstr>
  </property>
  <property fmtid="{D5CDD505-2E9C-101B-9397-08002B2CF9AE}" pid="11" name="DocHub_Keywords">
    <vt:lpwstr>352;#commodities|f38d2dcc-a1ba-4b52-a0c9-93d5cf4e9069</vt:lpwstr>
  </property>
  <property fmtid="{D5CDD505-2E9C-101B-9397-08002B2CF9AE}" pid="12" name="DocHub_WorkActivity">
    <vt:lpwstr>39;#Drafting|5fe11d9d-5f5a-4301-b7b3-0d2ee8e5c31c</vt:lpwstr>
  </property>
  <property fmtid="{D5CDD505-2E9C-101B-9397-08002B2CF9AE}" pid="13" name="IconOverlay">
    <vt:lpwstr/>
  </property>
  <property fmtid="{D5CDD505-2E9C-101B-9397-08002B2CF9AE}" pid="14" name="DocHub_CommodityType">
    <vt:lpwstr/>
  </property>
</Properties>
</file>