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112A" w14:textId="77777777" w:rsidR="001360E6" w:rsidRDefault="009C60CA">
      <w:r>
        <w:rPr>
          <w:noProof/>
          <w:lang w:eastAsia="en-AU"/>
        </w:rPr>
        <w:drawing>
          <wp:inline distT="0" distB="0" distL="0" distR="0" wp14:anchorId="753571CF" wp14:editId="3B542FD7">
            <wp:extent cx="5362575" cy="1076325"/>
            <wp:effectExtent l="0" t="0" r="9525" b="9525"/>
            <wp:docPr id="2" name="Picture 2" descr="Australian Industry Participation Authority, 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THristovski\Local Settings\Temporary Internet Files\Content.Word\DeptIndustry_AIPA_BW_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1076325"/>
                    </a:xfrm>
                    <a:prstGeom prst="rect">
                      <a:avLst/>
                    </a:prstGeom>
                    <a:noFill/>
                    <a:ln>
                      <a:noFill/>
                    </a:ln>
                  </pic:spPr>
                </pic:pic>
              </a:graphicData>
            </a:graphic>
          </wp:inline>
        </w:drawing>
      </w:r>
    </w:p>
    <w:p w14:paraId="3B10E0B2" w14:textId="48455F79" w:rsidR="00F11EBB" w:rsidRDefault="00F11EBB" w:rsidP="00FA2DE0">
      <w:pPr>
        <w:pStyle w:val="Title"/>
      </w:pPr>
      <w:r w:rsidRPr="0074458D">
        <w:t>AUSTRALIAN JOBS ACT 2013</w:t>
      </w:r>
    </w:p>
    <w:p w14:paraId="190F5579" w14:textId="50020209" w:rsidR="009C60CA" w:rsidRPr="00FA2DE0" w:rsidRDefault="00FA2DE0" w:rsidP="00FA2DE0">
      <w:pPr>
        <w:pStyle w:val="Heading1"/>
      </w:pPr>
      <w:r>
        <w:t>Guideline for Australian Industry Participation P</w:t>
      </w:r>
      <w:r w:rsidRPr="00FA2DE0">
        <w:t>lan trigger dates</w:t>
      </w:r>
    </w:p>
    <w:p w14:paraId="7C4EB4EE" w14:textId="6C793698" w:rsidR="009C60CA" w:rsidRPr="009C60CA" w:rsidRDefault="009C60CA" w:rsidP="00FA2DE0">
      <w:pPr>
        <w:pStyle w:val="Heading2"/>
        <w:rPr>
          <w:b w:val="0"/>
        </w:rPr>
      </w:pPr>
      <w:r w:rsidRPr="009C60CA">
        <w:t xml:space="preserve">1. </w:t>
      </w:r>
      <w:r w:rsidR="0074458D">
        <w:t>P</w:t>
      </w:r>
      <w:r w:rsidR="005227DB">
        <w:t>urpose</w:t>
      </w:r>
    </w:p>
    <w:p w14:paraId="1CD82E04" w14:textId="213FBD31" w:rsidR="007820FF" w:rsidRDefault="009C60CA">
      <w:r>
        <w:t>The</w:t>
      </w:r>
      <w:r w:rsidR="005755F6">
        <w:t xml:space="preserve"> objective of the</w:t>
      </w:r>
      <w:r>
        <w:t xml:space="preserve"> </w:t>
      </w:r>
      <w:r w:rsidRPr="009C60CA">
        <w:rPr>
          <w:i/>
        </w:rPr>
        <w:t>Australian Jobs Act 2013</w:t>
      </w:r>
      <w:r>
        <w:t xml:space="preserve"> (the Act)</w:t>
      </w:r>
      <w:r w:rsidR="005755F6">
        <w:t xml:space="preserve"> is to support the creation and retention of Australian jobs by requiring</w:t>
      </w:r>
      <w:r>
        <w:t xml:space="preserve"> proponents of major projects </w:t>
      </w:r>
      <w:r w:rsidR="008F43CA">
        <w:t xml:space="preserve">($500 million and above) </w:t>
      </w:r>
      <w:r>
        <w:t xml:space="preserve">in Australia to develop and implement an Australian Industry Participation (AIP) plan. </w:t>
      </w:r>
      <w:r w:rsidR="007820FF">
        <w:t xml:space="preserve">The Act aims to ensure that proponents develop AIP plans early in their project’s timeline to enable them to consider and include Australian industry </w:t>
      </w:r>
      <w:r w:rsidR="007B2AA8">
        <w:t xml:space="preserve">in the design and procurement. </w:t>
      </w:r>
      <w:r w:rsidR="00570E44">
        <w:t>It</w:t>
      </w:r>
      <w:r w:rsidR="007B2AA8">
        <w:t xml:space="preserve"> does this by</w:t>
      </w:r>
      <w:r w:rsidR="007820FF">
        <w:t xml:space="preserve"> </w:t>
      </w:r>
      <w:r w:rsidR="007B2AA8">
        <w:t xml:space="preserve">identifying </w:t>
      </w:r>
      <w:r w:rsidR="00570E44">
        <w:t>project events</w:t>
      </w:r>
      <w:r w:rsidR="000E254C">
        <w:t xml:space="preserve"> that will</w:t>
      </w:r>
      <w:r w:rsidR="007820FF">
        <w:t xml:space="preserve"> trigger </w:t>
      </w:r>
      <w:r w:rsidR="00A350B9">
        <w:t>the</w:t>
      </w:r>
      <w:r w:rsidR="007820FF">
        <w:t xml:space="preserve"> requ</w:t>
      </w:r>
      <w:r w:rsidR="00570E44">
        <w:t xml:space="preserve">irement </w:t>
      </w:r>
      <w:r w:rsidR="00FA7A21">
        <w:t>to submit</w:t>
      </w:r>
      <w:r w:rsidR="00570E44">
        <w:t xml:space="preserve"> an AIP plan. </w:t>
      </w:r>
      <w:r w:rsidR="003F1553">
        <w:t>This</w:t>
      </w:r>
      <w:r w:rsidR="007820FF">
        <w:t xml:space="preserve"> Guideline provide</w:t>
      </w:r>
      <w:r w:rsidR="003F1553">
        <w:t>s information for</w:t>
      </w:r>
      <w:r w:rsidR="007820FF">
        <w:t xml:space="preserve"> proponents to understand and meet the requirements for </w:t>
      </w:r>
      <w:r w:rsidR="009A2AFB">
        <w:t xml:space="preserve">AIP plan </w:t>
      </w:r>
      <w:r w:rsidR="000E254C">
        <w:t xml:space="preserve">trigger dates. </w:t>
      </w:r>
    </w:p>
    <w:p w14:paraId="4939B254" w14:textId="2C4CE41E" w:rsidR="007820FF" w:rsidRPr="000E254C" w:rsidRDefault="007820FF" w:rsidP="00FA2DE0">
      <w:pPr>
        <w:pStyle w:val="Heading2"/>
      </w:pPr>
      <w:r w:rsidRPr="000E254C">
        <w:t>2. Trigger events</w:t>
      </w:r>
    </w:p>
    <w:p w14:paraId="2734B693" w14:textId="28899A93" w:rsidR="007820FF" w:rsidRDefault="00570E44">
      <w:r>
        <w:t>E</w:t>
      </w:r>
      <w:r w:rsidR="000E254C">
        <w:t xml:space="preserve">ach of the following is </w:t>
      </w:r>
      <w:r w:rsidR="009A2AFB">
        <w:t>stipulated</w:t>
      </w:r>
      <w:r w:rsidR="00FA7A21">
        <w:t xml:space="preserve"> in </w:t>
      </w:r>
      <w:r w:rsidR="009A2AFB">
        <w:t xml:space="preserve">subsection 13(4) of </w:t>
      </w:r>
      <w:r w:rsidR="00FA7A21">
        <w:t xml:space="preserve">the Act as </w:t>
      </w:r>
      <w:r w:rsidR="000E254C">
        <w:t xml:space="preserve">a trigger event for a project: </w:t>
      </w:r>
    </w:p>
    <w:p w14:paraId="01B877B9" w14:textId="764A610D" w:rsidR="000E254C" w:rsidRPr="009A2AFB" w:rsidRDefault="000E254C" w:rsidP="009A2AFB">
      <w:pPr>
        <w:ind w:left="284"/>
        <w:rPr>
          <w:sz w:val="20"/>
          <w:szCs w:val="20"/>
        </w:rPr>
      </w:pPr>
      <w:r w:rsidRPr="009A2AFB">
        <w:rPr>
          <w:sz w:val="20"/>
          <w:szCs w:val="20"/>
        </w:rPr>
        <w:t xml:space="preserve">(a) block diagrams for the project are </w:t>
      </w:r>
      <w:proofErr w:type="gramStart"/>
      <w:r w:rsidRPr="009A2AFB">
        <w:rPr>
          <w:sz w:val="20"/>
          <w:szCs w:val="20"/>
        </w:rPr>
        <w:t>developed;</w:t>
      </w:r>
      <w:proofErr w:type="gramEnd"/>
    </w:p>
    <w:p w14:paraId="73CBB50B" w14:textId="6BC9DF06" w:rsidR="000E254C" w:rsidRPr="009A2AFB" w:rsidRDefault="000E254C" w:rsidP="009A2AFB">
      <w:pPr>
        <w:ind w:left="284"/>
        <w:rPr>
          <w:sz w:val="20"/>
          <w:szCs w:val="20"/>
        </w:rPr>
      </w:pPr>
      <w:r w:rsidRPr="009A2AFB">
        <w:rPr>
          <w:sz w:val="20"/>
          <w:szCs w:val="20"/>
        </w:rPr>
        <w:t xml:space="preserve">(b) process flow diagrams for the project are </w:t>
      </w:r>
      <w:proofErr w:type="gramStart"/>
      <w:r w:rsidRPr="009A2AFB">
        <w:rPr>
          <w:sz w:val="20"/>
          <w:szCs w:val="20"/>
        </w:rPr>
        <w:t>developed;</w:t>
      </w:r>
      <w:proofErr w:type="gramEnd"/>
    </w:p>
    <w:p w14:paraId="04E8A335" w14:textId="320C5A77" w:rsidR="000E254C" w:rsidRPr="009A2AFB" w:rsidRDefault="000E254C" w:rsidP="009A2AFB">
      <w:pPr>
        <w:ind w:left="284"/>
        <w:rPr>
          <w:sz w:val="20"/>
          <w:szCs w:val="20"/>
        </w:rPr>
      </w:pPr>
      <w:r w:rsidRPr="009A2AFB">
        <w:rPr>
          <w:sz w:val="20"/>
          <w:szCs w:val="20"/>
        </w:rPr>
        <w:t xml:space="preserve">(c) a project proponent enters into a contract with a procurement entity </w:t>
      </w:r>
      <w:r w:rsidR="009A2AFB">
        <w:rPr>
          <w:sz w:val="20"/>
          <w:szCs w:val="20"/>
        </w:rPr>
        <w:t>in relation to</w:t>
      </w:r>
      <w:r w:rsidRPr="009A2AFB">
        <w:rPr>
          <w:sz w:val="20"/>
          <w:szCs w:val="20"/>
        </w:rPr>
        <w:t xml:space="preserve"> the </w:t>
      </w:r>
      <w:proofErr w:type="gramStart"/>
      <w:r w:rsidRPr="009A2AFB">
        <w:rPr>
          <w:sz w:val="20"/>
          <w:szCs w:val="20"/>
        </w:rPr>
        <w:t>project;</w:t>
      </w:r>
      <w:proofErr w:type="gramEnd"/>
    </w:p>
    <w:p w14:paraId="5A5D875A" w14:textId="16413F79" w:rsidR="000E254C" w:rsidRPr="009A2AFB" w:rsidRDefault="000E254C" w:rsidP="009A2AFB">
      <w:pPr>
        <w:ind w:left="284"/>
        <w:rPr>
          <w:sz w:val="20"/>
          <w:szCs w:val="20"/>
        </w:rPr>
      </w:pPr>
      <w:r w:rsidRPr="009A2AFB">
        <w:rPr>
          <w:sz w:val="20"/>
          <w:szCs w:val="20"/>
        </w:rPr>
        <w:t xml:space="preserve">(d) a request for bids for the supply of key goods or services for the project is </w:t>
      </w:r>
      <w:proofErr w:type="gramStart"/>
      <w:r w:rsidRPr="009A2AFB">
        <w:rPr>
          <w:sz w:val="20"/>
          <w:szCs w:val="20"/>
        </w:rPr>
        <w:t>made;</w:t>
      </w:r>
      <w:proofErr w:type="gramEnd"/>
    </w:p>
    <w:p w14:paraId="150C5C65" w14:textId="4605383D" w:rsidR="000E254C" w:rsidRPr="009A2AFB" w:rsidRDefault="000D26F8" w:rsidP="009A2AFB">
      <w:pPr>
        <w:ind w:left="284"/>
        <w:rPr>
          <w:sz w:val="20"/>
          <w:szCs w:val="20"/>
        </w:rPr>
      </w:pPr>
      <w:r w:rsidRPr="009A2AFB">
        <w:rPr>
          <w:sz w:val="20"/>
          <w:szCs w:val="20"/>
        </w:rPr>
        <w:t xml:space="preserve">(e) technical specifications for the project are </w:t>
      </w:r>
      <w:proofErr w:type="gramStart"/>
      <w:r w:rsidRPr="009A2AFB">
        <w:rPr>
          <w:sz w:val="20"/>
          <w:szCs w:val="20"/>
        </w:rPr>
        <w:t>prepared;</w:t>
      </w:r>
      <w:proofErr w:type="gramEnd"/>
    </w:p>
    <w:p w14:paraId="6DF408DF" w14:textId="1EF7584E" w:rsidR="000D26F8" w:rsidRPr="009A2AFB" w:rsidRDefault="000D26F8" w:rsidP="009A2AFB">
      <w:pPr>
        <w:ind w:left="284"/>
        <w:rPr>
          <w:sz w:val="20"/>
          <w:szCs w:val="20"/>
        </w:rPr>
      </w:pPr>
      <w:r w:rsidRPr="009A2AFB">
        <w:rPr>
          <w:sz w:val="20"/>
          <w:szCs w:val="20"/>
        </w:rPr>
        <w:t xml:space="preserve">(f) a project proponent determines what standards will apply to </w:t>
      </w:r>
      <w:r w:rsidR="009A2AFB">
        <w:rPr>
          <w:sz w:val="20"/>
          <w:szCs w:val="20"/>
        </w:rPr>
        <w:t xml:space="preserve">any of </w:t>
      </w:r>
      <w:r w:rsidRPr="009A2AFB">
        <w:rPr>
          <w:sz w:val="20"/>
          <w:szCs w:val="20"/>
        </w:rPr>
        <w:t xml:space="preserve">the project’s key goods or </w:t>
      </w:r>
      <w:proofErr w:type="gramStart"/>
      <w:r w:rsidRPr="009A2AFB">
        <w:rPr>
          <w:sz w:val="20"/>
          <w:szCs w:val="20"/>
        </w:rPr>
        <w:t>services;</w:t>
      </w:r>
      <w:proofErr w:type="gramEnd"/>
    </w:p>
    <w:p w14:paraId="4AA5D2F7" w14:textId="14978DC2" w:rsidR="000D26F8" w:rsidRPr="009A2AFB" w:rsidRDefault="000D26F8" w:rsidP="009A2AFB">
      <w:pPr>
        <w:ind w:left="284"/>
        <w:rPr>
          <w:sz w:val="20"/>
          <w:szCs w:val="20"/>
        </w:rPr>
      </w:pPr>
      <w:r w:rsidRPr="009A2AFB">
        <w:rPr>
          <w:sz w:val="20"/>
          <w:szCs w:val="20"/>
        </w:rPr>
        <w:t xml:space="preserve">(g) an equipment list for the project is </w:t>
      </w:r>
      <w:proofErr w:type="gramStart"/>
      <w:r w:rsidRPr="009A2AFB">
        <w:rPr>
          <w:sz w:val="20"/>
          <w:szCs w:val="20"/>
        </w:rPr>
        <w:t>prepared;</w:t>
      </w:r>
      <w:proofErr w:type="gramEnd"/>
    </w:p>
    <w:p w14:paraId="18BFE3EC" w14:textId="0CCD893B" w:rsidR="000D26F8" w:rsidRPr="009A2AFB" w:rsidRDefault="000D26F8" w:rsidP="009A2AFB">
      <w:pPr>
        <w:ind w:left="284"/>
        <w:rPr>
          <w:sz w:val="20"/>
          <w:szCs w:val="20"/>
        </w:rPr>
      </w:pPr>
      <w:r w:rsidRPr="009A2AFB">
        <w:rPr>
          <w:sz w:val="20"/>
          <w:szCs w:val="20"/>
        </w:rPr>
        <w:t>(h) a project proponent first contacts a supplier to request pricing</w:t>
      </w:r>
      <w:r w:rsidR="009A2AFB">
        <w:rPr>
          <w:sz w:val="20"/>
          <w:szCs w:val="20"/>
        </w:rPr>
        <w:t xml:space="preserve"> details</w:t>
      </w:r>
      <w:r w:rsidRPr="009A2AFB">
        <w:rPr>
          <w:sz w:val="20"/>
          <w:szCs w:val="20"/>
        </w:rPr>
        <w:t xml:space="preserve"> for any key goods or </w:t>
      </w:r>
      <w:proofErr w:type="gramStart"/>
      <w:r w:rsidRPr="009A2AFB">
        <w:rPr>
          <w:sz w:val="20"/>
          <w:szCs w:val="20"/>
        </w:rPr>
        <w:t>services;</w:t>
      </w:r>
      <w:proofErr w:type="gramEnd"/>
    </w:p>
    <w:p w14:paraId="152607B9" w14:textId="4787A0A0" w:rsidR="000D26F8" w:rsidRPr="009A2AFB" w:rsidRDefault="000D26F8" w:rsidP="009A2AFB">
      <w:pPr>
        <w:ind w:left="284"/>
        <w:rPr>
          <w:sz w:val="20"/>
          <w:szCs w:val="20"/>
        </w:rPr>
      </w:pPr>
      <w:r w:rsidRPr="009A2AFB">
        <w:rPr>
          <w:sz w:val="20"/>
          <w:szCs w:val="20"/>
        </w:rPr>
        <w:t>(</w:t>
      </w:r>
      <w:proofErr w:type="spellStart"/>
      <w:r w:rsidRPr="009A2AFB">
        <w:rPr>
          <w:sz w:val="20"/>
          <w:szCs w:val="20"/>
        </w:rPr>
        <w:t>i</w:t>
      </w:r>
      <w:proofErr w:type="spellEnd"/>
      <w:r w:rsidRPr="009A2AFB">
        <w:rPr>
          <w:sz w:val="20"/>
          <w:szCs w:val="20"/>
        </w:rPr>
        <w:t xml:space="preserve">) a construction and contracting methodology for the project is </w:t>
      </w:r>
      <w:proofErr w:type="gramStart"/>
      <w:r w:rsidRPr="009A2AFB">
        <w:rPr>
          <w:sz w:val="20"/>
          <w:szCs w:val="20"/>
        </w:rPr>
        <w:t>developed;</w:t>
      </w:r>
      <w:proofErr w:type="gramEnd"/>
    </w:p>
    <w:p w14:paraId="09E594BC" w14:textId="1A69F1EE" w:rsidR="000D26F8" w:rsidRPr="009A2AFB" w:rsidRDefault="000D26F8" w:rsidP="009A2AFB">
      <w:pPr>
        <w:ind w:left="284"/>
        <w:rPr>
          <w:sz w:val="20"/>
          <w:szCs w:val="20"/>
        </w:rPr>
      </w:pPr>
      <w:r w:rsidRPr="009A2AFB">
        <w:rPr>
          <w:sz w:val="20"/>
          <w:szCs w:val="20"/>
        </w:rPr>
        <w:t xml:space="preserve">(j) an environmental submission is made in relation to the </w:t>
      </w:r>
      <w:proofErr w:type="gramStart"/>
      <w:r w:rsidRPr="009A2AFB">
        <w:rPr>
          <w:sz w:val="20"/>
          <w:szCs w:val="20"/>
        </w:rPr>
        <w:t>project;</w:t>
      </w:r>
      <w:proofErr w:type="gramEnd"/>
    </w:p>
    <w:p w14:paraId="3929FA09" w14:textId="64F36118" w:rsidR="000D26F8" w:rsidRPr="009A2AFB" w:rsidRDefault="000D26F8" w:rsidP="009A2AFB">
      <w:pPr>
        <w:ind w:left="284"/>
        <w:rPr>
          <w:sz w:val="20"/>
          <w:szCs w:val="20"/>
        </w:rPr>
      </w:pPr>
      <w:r w:rsidRPr="009A2AFB">
        <w:rPr>
          <w:sz w:val="20"/>
          <w:szCs w:val="20"/>
        </w:rPr>
        <w:t>(k) a detailed schedule for the project is prepared;</w:t>
      </w:r>
      <w:r w:rsidR="009A2AFB">
        <w:rPr>
          <w:sz w:val="20"/>
          <w:szCs w:val="20"/>
        </w:rPr>
        <w:t xml:space="preserve"> or</w:t>
      </w:r>
    </w:p>
    <w:p w14:paraId="4A51A1A4" w14:textId="1BE4E911" w:rsidR="000D26F8" w:rsidRPr="009A2AFB" w:rsidRDefault="000D26F8" w:rsidP="009A2AFB">
      <w:pPr>
        <w:ind w:left="284"/>
        <w:rPr>
          <w:sz w:val="20"/>
          <w:szCs w:val="20"/>
        </w:rPr>
      </w:pPr>
      <w:r w:rsidRPr="009A2AFB">
        <w:rPr>
          <w:sz w:val="20"/>
          <w:szCs w:val="20"/>
        </w:rPr>
        <w:t xml:space="preserve">(l) a high-level scoping of the goods and services for the project is conducted. </w:t>
      </w:r>
    </w:p>
    <w:p w14:paraId="407677F6" w14:textId="5C97D711" w:rsidR="000D26F8" w:rsidRDefault="000D26F8">
      <w:r>
        <w:t xml:space="preserve">These are activities that could be expected to occur </w:t>
      </w:r>
      <w:r w:rsidR="006B1D98">
        <w:t>early</w:t>
      </w:r>
      <w:r>
        <w:t xml:space="preserve"> in the development of a project. </w:t>
      </w:r>
      <w:r w:rsidR="00D11BF6">
        <w:t xml:space="preserve">Only one of the above events is required to trigger an obligation to </w:t>
      </w:r>
      <w:r w:rsidR="00FA7A21">
        <w:t>submit</w:t>
      </w:r>
      <w:r w:rsidR="00D11BF6">
        <w:t xml:space="preserve"> an AIP plan.</w:t>
      </w:r>
      <w:r>
        <w:t xml:space="preserve"> There </w:t>
      </w:r>
      <w:r w:rsidR="00D11BF6">
        <w:t>may</w:t>
      </w:r>
      <w:r>
        <w:t xml:space="preserve"> be other activities that occur</w:t>
      </w:r>
      <w:r w:rsidR="00D11BF6">
        <w:t xml:space="preserve"> </w:t>
      </w:r>
      <w:r>
        <w:t>that are not considered to be trigger events, such as board approval</w:t>
      </w:r>
      <w:r w:rsidR="006B1D98">
        <w:t xml:space="preserve"> to proceed</w:t>
      </w:r>
      <w:r>
        <w:t xml:space="preserve">. </w:t>
      </w:r>
    </w:p>
    <w:p w14:paraId="52B29515" w14:textId="4B6522B3" w:rsidR="00101AB8" w:rsidRPr="00101AB8" w:rsidRDefault="00101AB8" w:rsidP="00FA2DE0">
      <w:pPr>
        <w:pStyle w:val="Heading2"/>
      </w:pPr>
      <w:r w:rsidRPr="00101AB8">
        <w:t>3. Trigger date</w:t>
      </w:r>
    </w:p>
    <w:p w14:paraId="1078125C" w14:textId="216326BF" w:rsidR="0073750A" w:rsidRDefault="0073750A" w:rsidP="0073750A">
      <w:r>
        <w:t>The earliest trigger event</w:t>
      </w:r>
      <w:r w:rsidR="004A78BB">
        <w:t xml:space="preserve"> for a project</w:t>
      </w:r>
      <w:r>
        <w:t xml:space="preserve"> </w:t>
      </w:r>
      <w:r w:rsidR="00330A25">
        <w:t xml:space="preserve">from the list above </w:t>
      </w:r>
      <w:r>
        <w:t xml:space="preserve">will trigger </w:t>
      </w:r>
      <w:r w:rsidR="004A78BB">
        <w:t>the</w:t>
      </w:r>
      <w:r>
        <w:t xml:space="preserve"> requirement </w:t>
      </w:r>
      <w:r w:rsidR="00FA7A21">
        <w:t>to submit</w:t>
      </w:r>
      <w:r>
        <w:t xml:space="preserve"> an AIP plan. The trigger date </w:t>
      </w:r>
      <w:r w:rsidR="00AE66A9">
        <w:t xml:space="preserve">for the project </w:t>
      </w:r>
      <w:r>
        <w:t>is the day when the earliest trigger event</w:t>
      </w:r>
      <w:r w:rsidR="001D08C0">
        <w:t xml:space="preserve"> occurs</w:t>
      </w:r>
      <w:r w:rsidR="007B2AA8">
        <w:t>,</w:t>
      </w:r>
      <w:r w:rsidR="001D08C0">
        <w:t xml:space="preserve"> unless </w:t>
      </w:r>
      <w:r w:rsidR="00A55BBC">
        <w:t xml:space="preserve">the AIP Authority </w:t>
      </w:r>
      <w:r w:rsidR="00AE66A9">
        <w:t>specifies</w:t>
      </w:r>
      <w:r w:rsidR="00A55BBC">
        <w:t xml:space="preserve"> </w:t>
      </w:r>
      <w:r w:rsidR="006E14BE">
        <w:t>an alternative</w:t>
      </w:r>
      <w:r w:rsidR="00A55BBC">
        <w:t xml:space="preserve"> </w:t>
      </w:r>
      <w:r w:rsidR="00DA3A5C">
        <w:t>day</w:t>
      </w:r>
      <w:r w:rsidR="001D08C0">
        <w:t xml:space="preserve">. </w:t>
      </w:r>
    </w:p>
    <w:p w14:paraId="33EA6E73" w14:textId="0318D6F9" w:rsidR="009B0B51" w:rsidRPr="00575C26" w:rsidRDefault="006A6554">
      <w:pPr>
        <w:rPr>
          <w:b/>
          <w:i/>
        </w:rPr>
      </w:pPr>
      <w:r w:rsidRPr="006A6554">
        <w:rPr>
          <w:b/>
          <w:i/>
        </w:rPr>
        <w:lastRenderedPageBreak/>
        <w:t>Example 1:</w:t>
      </w:r>
      <w:r>
        <w:rPr>
          <w:b/>
        </w:rPr>
        <w:t xml:space="preserve"> </w:t>
      </w:r>
      <w:r w:rsidR="009B0B51" w:rsidRPr="00575C26">
        <w:rPr>
          <w:i/>
        </w:rPr>
        <w:t xml:space="preserve">A mining company </w:t>
      </w:r>
      <w:r w:rsidR="00F8642A" w:rsidRPr="00575C26">
        <w:rPr>
          <w:i/>
        </w:rPr>
        <w:t xml:space="preserve">decides to </w:t>
      </w:r>
      <w:r w:rsidR="001F52AF" w:rsidRPr="00575C26">
        <w:rPr>
          <w:i/>
        </w:rPr>
        <w:t>develop a new mine and</w:t>
      </w:r>
      <w:r w:rsidR="009B0B51" w:rsidRPr="00575C26">
        <w:rPr>
          <w:i/>
        </w:rPr>
        <w:t xml:space="preserve"> </w:t>
      </w:r>
      <w:r w:rsidR="001C4DA5" w:rsidRPr="00575C26">
        <w:rPr>
          <w:i/>
        </w:rPr>
        <w:t>engages</w:t>
      </w:r>
      <w:r w:rsidR="009B0B51" w:rsidRPr="00575C26">
        <w:rPr>
          <w:i/>
        </w:rPr>
        <w:t xml:space="preserve"> an engineering</w:t>
      </w:r>
      <w:r w:rsidR="001F52AF" w:rsidRPr="00575C26">
        <w:rPr>
          <w:i/>
        </w:rPr>
        <w:t>, procurement and construction (EPC)</w:t>
      </w:r>
      <w:r w:rsidR="009B0B51" w:rsidRPr="00575C26">
        <w:rPr>
          <w:i/>
        </w:rPr>
        <w:t xml:space="preserve"> firm to </w:t>
      </w:r>
      <w:r w:rsidR="0062098F" w:rsidRPr="00575C26">
        <w:rPr>
          <w:i/>
        </w:rPr>
        <w:t>design</w:t>
      </w:r>
      <w:r w:rsidR="001F52AF" w:rsidRPr="00575C26">
        <w:rPr>
          <w:i/>
        </w:rPr>
        <w:t xml:space="preserve"> and build</w:t>
      </w:r>
      <w:r w:rsidR="00B9328C" w:rsidRPr="00575C26">
        <w:rPr>
          <w:i/>
        </w:rPr>
        <w:t xml:space="preserve"> </w:t>
      </w:r>
      <w:r w:rsidR="0062098F" w:rsidRPr="00575C26">
        <w:rPr>
          <w:i/>
        </w:rPr>
        <w:t>the</w:t>
      </w:r>
      <w:r w:rsidR="00B9328C" w:rsidRPr="00575C26">
        <w:rPr>
          <w:i/>
        </w:rPr>
        <w:t xml:space="preserve"> mine</w:t>
      </w:r>
      <w:r w:rsidR="00680923" w:rsidRPr="00575C26">
        <w:rPr>
          <w:i/>
        </w:rPr>
        <w:t xml:space="preserve"> and ore processing plant</w:t>
      </w:r>
      <w:r w:rsidR="00550B84" w:rsidRPr="00575C26">
        <w:rPr>
          <w:i/>
        </w:rPr>
        <w:t xml:space="preserve"> (trigger event (c) in the list </w:t>
      </w:r>
      <w:r w:rsidR="00B75804">
        <w:rPr>
          <w:i/>
        </w:rPr>
        <w:t>in section 2 above</w:t>
      </w:r>
      <w:r w:rsidR="00550B84" w:rsidRPr="00575C26">
        <w:rPr>
          <w:i/>
        </w:rPr>
        <w:t xml:space="preserve">). As </w:t>
      </w:r>
      <w:r w:rsidR="00575C26">
        <w:rPr>
          <w:i/>
        </w:rPr>
        <w:t>this</w:t>
      </w:r>
      <w:r w:rsidR="00550B84" w:rsidRPr="00575C26">
        <w:rPr>
          <w:i/>
        </w:rPr>
        <w:t xml:space="preserve"> is </w:t>
      </w:r>
      <w:r w:rsidR="00B9328C" w:rsidRPr="00575C26">
        <w:rPr>
          <w:i/>
        </w:rPr>
        <w:t>the earliest trigger event for the project</w:t>
      </w:r>
      <w:r w:rsidR="00550B84" w:rsidRPr="00575C26">
        <w:rPr>
          <w:i/>
        </w:rPr>
        <w:t>,</w:t>
      </w:r>
      <w:r w:rsidR="00B9328C" w:rsidRPr="00575C26">
        <w:rPr>
          <w:i/>
        </w:rPr>
        <w:t xml:space="preserve"> </w:t>
      </w:r>
      <w:r w:rsidR="001F52AF" w:rsidRPr="00575C26">
        <w:rPr>
          <w:i/>
        </w:rPr>
        <w:t>the da</w:t>
      </w:r>
      <w:r w:rsidR="00B02268">
        <w:rPr>
          <w:i/>
        </w:rPr>
        <w:t>y</w:t>
      </w:r>
      <w:r w:rsidR="001F52AF" w:rsidRPr="00575C26">
        <w:rPr>
          <w:i/>
        </w:rPr>
        <w:t xml:space="preserve"> of contract signing with the EPC firm is</w:t>
      </w:r>
      <w:r w:rsidR="00680923" w:rsidRPr="00575C26">
        <w:rPr>
          <w:i/>
        </w:rPr>
        <w:t xml:space="preserve"> the trigger date for the project. </w:t>
      </w:r>
      <w:r w:rsidR="00B9328C" w:rsidRPr="00575C26">
        <w:rPr>
          <w:i/>
        </w:rPr>
        <w:t xml:space="preserve"> </w:t>
      </w:r>
    </w:p>
    <w:p w14:paraId="0BEDE027" w14:textId="54748038" w:rsidR="00BA0878" w:rsidRPr="00575C26" w:rsidRDefault="006A6554" w:rsidP="00550B84">
      <w:pPr>
        <w:rPr>
          <w:i/>
        </w:rPr>
      </w:pPr>
      <w:r w:rsidRPr="006A6554">
        <w:rPr>
          <w:b/>
          <w:i/>
        </w:rPr>
        <w:t>Example 2:</w:t>
      </w:r>
      <w:r>
        <w:rPr>
          <w:i/>
        </w:rPr>
        <w:t xml:space="preserve"> </w:t>
      </w:r>
      <w:r w:rsidR="00BA0878" w:rsidRPr="00575C26">
        <w:rPr>
          <w:i/>
        </w:rPr>
        <w:t>An energy company selects a site for its next wind farm project and engages a</w:t>
      </w:r>
      <w:r>
        <w:rPr>
          <w:i/>
        </w:rPr>
        <w:t>n</w:t>
      </w:r>
      <w:r w:rsidR="00BA0878" w:rsidRPr="00575C26">
        <w:rPr>
          <w:i/>
        </w:rPr>
        <w:t xml:space="preserve"> </w:t>
      </w:r>
      <w:r>
        <w:rPr>
          <w:i/>
        </w:rPr>
        <w:t xml:space="preserve">environmental </w:t>
      </w:r>
      <w:r w:rsidR="00BA0878" w:rsidRPr="00575C26">
        <w:rPr>
          <w:i/>
        </w:rPr>
        <w:t xml:space="preserve">consultant. The consultant </w:t>
      </w:r>
      <w:r w:rsidR="005463DD" w:rsidRPr="00575C26">
        <w:rPr>
          <w:i/>
        </w:rPr>
        <w:t>advis</w:t>
      </w:r>
      <w:r w:rsidR="00BA0878" w:rsidRPr="00575C26">
        <w:rPr>
          <w:i/>
        </w:rPr>
        <w:t xml:space="preserve">es it will </w:t>
      </w:r>
      <w:r w:rsidR="005463DD" w:rsidRPr="00575C26">
        <w:rPr>
          <w:i/>
        </w:rPr>
        <w:t>require</w:t>
      </w:r>
      <w:r w:rsidR="00BA0878" w:rsidRPr="00575C26">
        <w:rPr>
          <w:i/>
        </w:rPr>
        <w:t xml:space="preserve"> 18 months to prepare the </w:t>
      </w:r>
      <w:r>
        <w:rPr>
          <w:i/>
        </w:rPr>
        <w:t xml:space="preserve">environmental </w:t>
      </w:r>
      <w:r w:rsidR="00BA0878" w:rsidRPr="00575C26">
        <w:rPr>
          <w:i/>
        </w:rPr>
        <w:t>submission</w:t>
      </w:r>
      <w:r w:rsidR="005463DD" w:rsidRPr="00575C26">
        <w:rPr>
          <w:i/>
        </w:rPr>
        <w:t xml:space="preserve"> and </w:t>
      </w:r>
      <w:r w:rsidR="00B75804">
        <w:rPr>
          <w:i/>
        </w:rPr>
        <w:t>submit</w:t>
      </w:r>
      <w:r w:rsidR="005463DD" w:rsidRPr="00575C26">
        <w:rPr>
          <w:i/>
        </w:rPr>
        <w:t xml:space="preserve"> it (trigg</w:t>
      </w:r>
      <w:r w:rsidR="00575C26" w:rsidRPr="00575C26">
        <w:rPr>
          <w:i/>
        </w:rPr>
        <w:t>er event (j) in the list above). As this is the earliest trigger event for the project, the da</w:t>
      </w:r>
      <w:r w:rsidR="00B02268">
        <w:rPr>
          <w:i/>
        </w:rPr>
        <w:t>y</w:t>
      </w:r>
      <w:r w:rsidR="00575C26" w:rsidRPr="00575C26">
        <w:rPr>
          <w:i/>
        </w:rPr>
        <w:t xml:space="preserve"> of </w:t>
      </w:r>
      <w:r w:rsidR="00B75804">
        <w:rPr>
          <w:i/>
        </w:rPr>
        <w:t>lodgement</w:t>
      </w:r>
      <w:r w:rsidR="00575C26" w:rsidRPr="00575C26">
        <w:rPr>
          <w:i/>
        </w:rPr>
        <w:t xml:space="preserve"> </w:t>
      </w:r>
      <w:r w:rsidR="00575C26">
        <w:rPr>
          <w:i/>
        </w:rPr>
        <w:t xml:space="preserve">of the environmental submission </w:t>
      </w:r>
      <w:r w:rsidR="00575C26" w:rsidRPr="00575C26">
        <w:rPr>
          <w:i/>
        </w:rPr>
        <w:t xml:space="preserve">is the trigger date for the project. </w:t>
      </w:r>
    </w:p>
    <w:p w14:paraId="751CD34E" w14:textId="1BB8B8A6" w:rsidR="007820FF" w:rsidRPr="006B1D98" w:rsidRDefault="006B1D98" w:rsidP="00FA2DE0">
      <w:pPr>
        <w:pStyle w:val="Heading2"/>
      </w:pPr>
      <w:r w:rsidRPr="006B1D98">
        <w:t xml:space="preserve">4. </w:t>
      </w:r>
      <w:r w:rsidR="00177E20">
        <w:t>A</w:t>
      </w:r>
      <w:r w:rsidRPr="006B1D98">
        <w:t>lternat</w:t>
      </w:r>
      <w:r w:rsidR="00177E20">
        <w:t>iv</w:t>
      </w:r>
      <w:r w:rsidRPr="006B1D98">
        <w:t xml:space="preserve">e </w:t>
      </w:r>
      <w:r>
        <w:t xml:space="preserve">trigger </w:t>
      </w:r>
      <w:r w:rsidRPr="006B1D98">
        <w:t>da</w:t>
      </w:r>
      <w:r w:rsidR="00DA3A5C">
        <w:t>y</w:t>
      </w:r>
      <w:r w:rsidR="00177E20">
        <w:t>s</w:t>
      </w:r>
    </w:p>
    <w:p w14:paraId="52B15D49" w14:textId="6AFA2346" w:rsidR="00FC6D52" w:rsidRDefault="00AF0634">
      <w:r>
        <w:t xml:space="preserve">For some </w:t>
      </w:r>
      <w:r w:rsidR="00177E20">
        <w:t>projects</w:t>
      </w:r>
      <w:r w:rsidR="004852F9">
        <w:t xml:space="preserve"> it may be impractical to use the earliest trigger event as the trigger da</w:t>
      </w:r>
      <w:r w:rsidR="00B02268">
        <w:t>y</w:t>
      </w:r>
      <w:r w:rsidR="004852F9">
        <w:t xml:space="preserve"> for </w:t>
      </w:r>
      <w:r w:rsidR="009939D6">
        <w:t>submission of the AIP plan</w:t>
      </w:r>
      <w:r w:rsidR="004852F9">
        <w:t>. T</w:t>
      </w:r>
      <w:r>
        <w:t xml:space="preserve">he earliest trigger event may have already happened or there is difficulty </w:t>
      </w:r>
      <w:r w:rsidR="00F64A8D">
        <w:t>determining</w:t>
      </w:r>
      <w:r>
        <w:t xml:space="preserve"> when it will happen. </w:t>
      </w:r>
      <w:r w:rsidR="004852F9">
        <w:t xml:space="preserve">The earliest trigger event may </w:t>
      </w:r>
      <w:r w:rsidR="00B36E00">
        <w:t>occur</w:t>
      </w:r>
      <w:r w:rsidR="004852F9">
        <w:t xml:space="preserve"> too early </w:t>
      </w:r>
      <w:r w:rsidR="00FA7A21">
        <w:t>in the project’s timeline for a</w:t>
      </w:r>
      <w:r w:rsidR="00B75804">
        <w:t>n</w:t>
      </w:r>
      <w:r w:rsidR="00FA7A21">
        <w:t xml:space="preserve"> </w:t>
      </w:r>
      <w:r w:rsidR="004852F9">
        <w:t xml:space="preserve">AIP plan to be </w:t>
      </w:r>
      <w:r w:rsidR="00AE6951">
        <w:t>completed</w:t>
      </w:r>
      <w:r w:rsidR="004852F9">
        <w:t xml:space="preserve">. </w:t>
      </w:r>
      <w:r w:rsidR="00B36E00">
        <w:t>A later trigger da</w:t>
      </w:r>
      <w:r w:rsidR="00DA3A5C">
        <w:t>y</w:t>
      </w:r>
      <w:r w:rsidR="00B36E00">
        <w:t xml:space="preserve"> may be more suitable for development of the AIP plan. </w:t>
      </w:r>
      <w:r w:rsidR="00177E20">
        <w:t>In such cases</w:t>
      </w:r>
      <w:r>
        <w:t xml:space="preserve"> </w:t>
      </w:r>
      <w:r w:rsidR="00D96B9C">
        <w:t>proponents may propose</w:t>
      </w:r>
      <w:r w:rsidR="00AE6951">
        <w:t xml:space="preserve"> </w:t>
      </w:r>
      <w:r w:rsidR="00233750">
        <w:t>an alternat</w:t>
      </w:r>
      <w:r w:rsidR="00177E20">
        <w:t>iv</w:t>
      </w:r>
      <w:r w:rsidR="00233750">
        <w:t>e trigger da</w:t>
      </w:r>
      <w:r w:rsidR="00DA3A5C">
        <w:t>y</w:t>
      </w:r>
      <w:r w:rsidR="00233750">
        <w:t xml:space="preserve">. </w:t>
      </w:r>
    </w:p>
    <w:p w14:paraId="74A6BADF" w14:textId="77777777" w:rsidR="006A513A" w:rsidRDefault="00E925F5">
      <w:r>
        <w:t>It is important that an alternat</w:t>
      </w:r>
      <w:r w:rsidR="00177E20">
        <w:t>iv</w:t>
      </w:r>
      <w:r>
        <w:t xml:space="preserve">e </w:t>
      </w:r>
      <w:r w:rsidR="00B36E00">
        <w:t xml:space="preserve">trigger </w:t>
      </w:r>
      <w:r>
        <w:t>da</w:t>
      </w:r>
      <w:r w:rsidR="00DA3A5C">
        <w:t>y</w:t>
      </w:r>
      <w:r>
        <w:t xml:space="preserve"> is </w:t>
      </w:r>
      <w:r w:rsidR="00B36E00">
        <w:t xml:space="preserve">still </w:t>
      </w:r>
      <w:r>
        <w:t xml:space="preserve">early in the project’s </w:t>
      </w:r>
      <w:r w:rsidR="00EE0090">
        <w:t>timeline</w:t>
      </w:r>
      <w:r>
        <w:t xml:space="preserve">. </w:t>
      </w:r>
      <w:r w:rsidR="00B36E00">
        <w:t>It should</w:t>
      </w:r>
      <w:r>
        <w:t xml:space="preserve"> allow </w:t>
      </w:r>
      <w:r w:rsidR="00FA7A21">
        <w:t>for an AIP plan to be developed that will cover</w:t>
      </w:r>
      <w:r>
        <w:t xml:space="preserve"> the project’s </w:t>
      </w:r>
      <w:r w:rsidR="00B75804">
        <w:t xml:space="preserve">detailed </w:t>
      </w:r>
      <w:r>
        <w:t xml:space="preserve">design and </w:t>
      </w:r>
      <w:r w:rsidR="00B75804">
        <w:t xml:space="preserve">active </w:t>
      </w:r>
      <w:r>
        <w:t>procurement</w:t>
      </w:r>
      <w:r w:rsidR="00A46AA7">
        <w:t xml:space="preserve"> phases</w:t>
      </w:r>
      <w:r>
        <w:t>.</w:t>
      </w:r>
      <w:r w:rsidR="00A46AA7">
        <w:t xml:space="preserve"> </w:t>
      </w:r>
      <w:r w:rsidR="00AE6951">
        <w:t>Proposing</w:t>
      </w:r>
      <w:r w:rsidR="00A46AA7">
        <w:t xml:space="preserve"> an alternat</w:t>
      </w:r>
      <w:r w:rsidR="00177E20">
        <w:t>iv</w:t>
      </w:r>
      <w:r w:rsidR="00A46AA7">
        <w:t>e</w:t>
      </w:r>
      <w:r w:rsidR="000D4400">
        <w:t xml:space="preserve"> trigger</w:t>
      </w:r>
      <w:r w:rsidR="00A46AA7">
        <w:t xml:space="preserve"> da</w:t>
      </w:r>
      <w:r w:rsidR="00DA3A5C">
        <w:t>y</w:t>
      </w:r>
      <w:r w:rsidR="00A46AA7">
        <w:t xml:space="preserve"> that is after the </w:t>
      </w:r>
      <w:r w:rsidR="00C572D6">
        <w:t xml:space="preserve">design, </w:t>
      </w:r>
      <w:r w:rsidR="00A46AA7">
        <w:t xml:space="preserve">supplier engagement </w:t>
      </w:r>
      <w:r w:rsidR="00016B0F">
        <w:t>or</w:t>
      </w:r>
      <w:r w:rsidR="00A46AA7">
        <w:t xml:space="preserve"> procurement has </w:t>
      </w:r>
      <w:r w:rsidR="00016B0F">
        <w:t>been completed</w:t>
      </w:r>
      <w:r w:rsidR="00A46AA7">
        <w:t xml:space="preserve"> will not be acceptable. </w:t>
      </w:r>
    </w:p>
    <w:p w14:paraId="5CB702B4" w14:textId="3B5BE90F" w:rsidR="00B75804" w:rsidRPr="00A350B9" w:rsidRDefault="00A46AA7">
      <w:r>
        <w:t xml:space="preserve">Waiting until the project has achieved final approvals from government or the board is also not acceptable. </w:t>
      </w:r>
      <w:r w:rsidR="00B75804">
        <w:t>Subsection 8(3) of the Act states that if a project is subject to one or more conditions</w:t>
      </w:r>
      <w:r w:rsidR="00A350B9">
        <w:t xml:space="preserve"> such as receiving approvals</w:t>
      </w:r>
      <w:r w:rsidR="00B75804">
        <w:t xml:space="preserve">, assume that those conditions will be satisfied. </w:t>
      </w:r>
      <w:r w:rsidR="00CF30A3">
        <w:t xml:space="preserve">Proponents must engage with the AIP Authority before all their project approvals are received. </w:t>
      </w:r>
    </w:p>
    <w:p w14:paraId="629A13A0" w14:textId="3E07F92D" w:rsidR="00E925F5" w:rsidRDefault="00EE0090">
      <w:r>
        <w:t>The following example of a project’s timeline shows suitable trigger</w:t>
      </w:r>
      <w:r w:rsidR="00575C26">
        <w:t xml:space="preserve"> events</w:t>
      </w:r>
      <w:r w:rsidR="003B5DF9">
        <w:t xml:space="preserve"> that could be used as the alternative trigger da</w:t>
      </w:r>
      <w:r w:rsidR="00DA3A5C">
        <w:t>y</w:t>
      </w:r>
      <w:r w:rsidR="002D6715">
        <w:t xml:space="preserve"> and later events that would not be suitable</w:t>
      </w:r>
      <w:r w:rsidR="003B5DF9">
        <w:t>:</w:t>
      </w:r>
      <w:r>
        <w:t xml:space="preserve"> </w:t>
      </w:r>
      <w:r>
        <w:br/>
      </w:r>
    </w:p>
    <w:tbl>
      <w:tblPr>
        <w:tblStyle w:val="TableGrid"/>
        <w:tblW w:w="9067" w:type="dxa"/>
        <w:tblLayout w:type="fixed"/>
        <w:tblLook w:val="04A0" w:firstRow="1" w:lastRow="0" w:firstColumn="1" w:lastColumn="0" w:noHBand="0" w:noVBand="1"/>
      </w:tblPr>
      <w:tblGrid>
        <w:gridCol w:w="1290"/>
        <w:gridCol w:w="1010"/>
        <w:gridCol w:w="1097"/>
        <w:gridCol w:w="1134"/>
        <w:gridCol w:w="1134"/>
        <w:gridCol w:w="851"/>
        <w:gridCol w:w="1134"/>
        <w:gridCol w:w="1417"/>
      </w:tblGrid>
      <w:tr w:rsidR="00C82F26" w:rsidRPr="00FE31D5" w14:paraId="71D845C6" w14:textId="77777777" w:rsidTr="00FA2DE0">
        <w:trPr>
          <w:tblHeader/>
        </w:trPr>
        <w:tc>
          <w:tcPr>
            <w:tcW w:w="1290" w:type="dxa"/>
          </w:tcPr>
          <w:p w14:paraId="143B0763" w14:textId="228F31D7" w:rsidR="00C82F26" w:rsidRPr="00FA2DE0" w:rsidRDefault="00C82F26">
            <w:pPr>
              <w:rPr>
                <w:b/>
                <w:sz w:val="18"/>
                <w:szCs w:val="18"/>
              </w:rPr>
            </w:pPr>
            <w:r w:rsidRPr="00FA2DE0">
              <w:rPr>
                <w:b/>
                <w:sz w:val="18"/>
                <w:szCs w:val="18"/>
              </w:rPr>
              <w:t>Q1 2019</w:t>
            </w:r>
          </w:p>
        </w:tc>
        <w:tc>
          <w:tcPr>
            <w:tcW w:w="1010" w:type="dxa"/>
          </w:tcPr>
          <w:p w14:paraId="3797114B" w14:textId="1776FE0E" w:rsidR="00C82F26" w:rsidRPr="00FA2DE0" w:rsidRDefault="00C82F26">
            <w:pPr>
              <w:rPr>
                <w:b/>
                <w:sz w:val="18"/>
                <w:szCs w:val="18"/>
              </w:rPr>
            </w:pPr>
            <w:r w:rsidRPr="00FA2DE0">
              <w:rPr>
                <w:b/>
                <w:sz w:val="18"/>
                <w:szCs w:val="18"/>
              </w:rPr>
              <w:t>Q3 2019</w:t>
            </w:r>
          </w:p>
        </w:tc>
        <w:tc>
          <w:tcPr>
            <w:tcW w:w="1097" w:type="dxa"/>
          </w:tcPr>
          <w:p w14:paraId="397F4A28" w14:textId="0C4AAF09" w:rsidR="00C82F26" w:rsidRPr="00FA2DE0" w:rsidRDefault="00C82F26" w:rsidP="004E7D32">
            <w:pPr>
              <w:rPr>
                <w:b/>
                <w:sz w:val="18"/>
                <w:szCs w:val="18"/>
              </w:rPr>
            </w:pPr>
            <w:r w:rsidRPr="00FA2DE0">
              <w:rPr>
                <w:b/>
                <w:sz w:val="18"/>
                <w:szCs w:val="18"/>
              </w:rPr>
              <w:t>Q1 2020</w:t>
            </w:r>
          </w:p>
        </w:tc>
        <w:tc>
          <w:tcPr>
            <w:tcW w:w="1134" w:type="dxa"/>
          </w:tcPr>
          <w:p w14:paraId="634CA730" w14:textId="32C5DC91" w:rsidR="00C82F26" w:rsidRPr="00FA2DE0" w:rsidRDefault="00C82F26" w:rsidP="004E7D32">
            <w:pPr>
              <w:rPr>
                <w:b/>
                <w:sz w:val="18"/>
                <w:szCs w:val="18"/>
              </w:rPr>
            </w:pPr>
            <w:r w:rsidRPr="00FA2DE0">
              <w:rPr>
                <w:b/>
                <w:sz w:val="18"/>
                <w:szCs w:val="18"/>
              </w:rPr>
              <w:t>Q3 2020</w:t>
            </w:r>
          </w:p>
        </w:tc>
        <w:tc>
          <w:tcPr>
            <w:tcW w:w="1134" w:type="dxa"/>
          </w:tcPr>
          <w:p w14:paraId="0EB6C14B" w14:textId="595021BF" w:rsidR="00C82F26" w:rsidRPr="00FA2DE0" w:rsidRDefault="00C82F26">
            <w:pPr>
              <w:rPr>
                <w:b/>
                <w:sz w:val="18"/>
                <w:szCs w:val="18"/>
              </w:rPr>
            </w:pPr>
            <w:r w:rsidRPr="00FA2DE0">
              <w:rPr>
                <w:b/>
                <w:sz w:val="18"/>
                <w:szCs w:val="18"/>
              </w:rPr>
              <w:t>Q4 2020</w:t>
            </w:r>
          </w:p>
        </w:tc>
        <w:tc>
          <w:tcPr>
            <w:tcW w:w="851" w:type="dxa"/>
          </w:tcPr>
          <w:p w14:paraId="7C43E38B" w14:textId="2C60415D" w:rsidR="00C82F26" w:rsidRPr="00FA2DE0" w:rsidRDefault="00C82F26" w:rsidP="00016B0F">
            <w:pPr>
              <w:rPr>
                <w:b/>
                <w:sz w:val="18"/>
                <w:szCs w:val="18"/>
              </w:rPr>
            </w:pPr>
            <w:r w:rsidRPr="00FA2DE0">
              <w:rPr>
                <w:b/>
                <w:sz w:val="18"/>
                <w:szCs w:val="18"/>
              </w:rPr>
              <w:t>Q</w:t>
            </w:r>
            <w:r w:rsidR="00016B0F" w:rsidRPr="00FA2DE0">
              <w:rPr>
                <w:b/>
                <w:sz w:val="18"/>
                <w:szCs w:val="18"/>
              </w:rPr>
              <w:t>2</w:t>
            </w:r>
            <w:r w:rsidRPr="00FA2DE0">
              <w:rPr>
                <w:b/>
                <w:sz w:val="18"/>
                <w:szCs w:val="18"/>
              </w:rPr>
              <w:t xml:space="preserve"> 2021</w:t>
            </w:r>
          </w:p>
        </w:tc>
        <w:tc>
          <w:tcPr>
            <w:tcW w:w="1134" w:type="dxa"/>
          </w:tcPr>
          <w:p w14:paraId="537D50CB" w14:textId="414EEA73" w:rsidR="00C82F26" w:rsidRPr="00FA2DE0" w:rsidRDefault="00C82F26" w:rsidP="00C82F26">
            <w:pPr>
              <w:rPr>
                <w:b/>
                <w:sz w:val="18"/>
                <w:szCs w:val="18"/>
              </w:rPr>
            </w:pPr>
            <w:r w:rsidRPr="00FA2DE0">
              <w:rPr>
                <w:b/>
                <w:sz w:val="18"/>
                <w:szCs w:val="18"/>
              </w:rPr>
              <w:t>Q4 2021</w:t>
            </w:r>
          </w:p>
        </w:tc>
        <w:tc>
          <w:tcPr>
            <w:tcW w:w="1417" w:type="dxa"/>
          </w:tcPr>
          <w:p w14:paraId="09915AFC" w14:textId="470D572E" w:rsidR="00C82F26" w:rsidRPr="00FA2DE0" w:rsidRDefault="00C82F26" w:rsidP="00C82F26">
            <w:pPr>
              <w:rPr>
                <w:b/>
                <w:sz w:val="18"/>
                <w:szCs w:val="18"/>
              </w:rPr>
            </w:pPr>
            <w:r w:rsidRPr="00FA2DE0">
              <w:rPr>
                <w:b/>
                <w:sz w:val="18"/>
                <w:szCs w:val="18"/>
              </w:rPr>
              <w:t>Q1 2022</w:t>
            </w:r>
          </w:p>
        </w:tc>
      </w:tr>
      <w:tr w:rsidR="00C82F26" w:rsidRPr="00FE31D5" w14:paraId="677BD0C9" w14:textId="77777777" w:rsidTr="007848FB">
        <w:tc>
          <w:tcPr>
            <w:tcW w:w="1290" w:type="dxa"/>
          </w:tcPr>
          <w:p w14:paraId="7BD52717" w14:textId="3B498834" w:rsidR="00C82F26" w:rsidRPr="00FE31D5" w:rsidRDefault="00C82F26">
            <w:pPr>
              <w:rPr>
                <w:sz w:val="18"/>
                <w:szCs w:val="18"/>
              </w:rPr>
            </w:pPr>
            <w:r w:rsidRPr="00FE31D5">
              <w:rPr>
                <w:sz w:val="18"/>
                <w:szCs w:val="18"/>
              </w:rPr>
              <w:t>Environmental</w:t>
            </w:r>
          </w:p>
          <w:p w14:paraId="10F9A622" w14:textId="0EFB0DA2" w:rsidR="00C82F26" w:rsidRPr="00FE31D5" w:rsidRDefault="00C82F26">
            <w:pPr>
              <w:rPr>
                <w:sz w:val="18"/>
                <w:szCs w:val="18"/>
              </w:rPr>
            </w:pPr>
            <w:r w:rsidRPr="00FE31D5">
              <w:rPr>
                <w:sz w:val="18"/>
                <w:szCs w:val="18"/>
              </w:rPr>
              <w:t>submission</w:t>
            </w:r>
          </w:p>
        </w:tc>
        <w:tc>
          <w:tcPr>
            <w:tcW w:w="1010" w:type="dxa"/>
          </w:tcPr>
          <w:p w14:paraId="54671ABA" w14:textId="7685C60D" w:rsidR="00C82F26" w:rsidRPr="00FE31D5" w:rsidRDefault="007848FB" w:rsidP="007848FB">
            <w:pPr>
              <w:rPr>
                <w:sz w:val="18"/>
                <w:szCs w:val="18"/>
              </w:rPr>
            </w:pPr>
            <w:r>
              <w:rPr>
                <w:sz w:val="18"/>
                <w:szCs w:val="18"/>
              </w:rPr>
              <w:t>Select d</w:t>
            </w:r>
            <w:r w:rsidR="00C82F26">
              <w:rPr>
                <w:sz w:val="18"/>
                <w:szCs w:val="18"/>
              </w:rPr>
              <w:t xml:space="preserve">esign concept </w:t>
            </w:r>
          </w:p>
        </w:tc>
        <w:tc>
          <w:tcPr>
            <w:tcW w:w="1097" w:type="dxa"/>
          </w:tcPr>
          <w:p w14:paraId="12792A23" w14:textId="451B7092" w:rsidR="00C82F26" w:rsidRPr="00FE31D5" w:rsidRDefault="007848FB">
            <w:pPr>
              <w:rPr>
                <w:sz w:val="18"/>
                <w:szCs w:val="18"/>
              </w:rPr>
            </w:pPr>
            <w:r>
              <w:rPr>
                <w:sz w:val="18"/>
                <w:szCs w:val="18"/>
              </w:rPr>
              <w:t>Develop contracting strategy</w:t>
            </w:r>
          </w:p>
        </w:tc>
        <w:tc>
          <w:tcPr>
            <w:tcW w:w="1134" w:type="dxa"/>
          </w:tcPr>
          <w:p w14:paraId="4D524F04" w14:textId="79A0CB50" w:rsidR="00C82F26" w:rsidRPr="00FE31D5" w:rsidRDefault="007A5CCC">
            <w:pPr>
              <w:rPr>
                <w:sz w:val="18"/>
                <w:szCs w:val="18"/>
              </w:rPr>
            </w:pPr>
            <w:r>
              <w:rPr>
                <w:sz w:val="18"/>
                <w:szCs w:val="18"/>
              </w:rPr>
              <w:t>Select design contractor</w:t>
            </w:r>
          </w:p>
        </w:tc>
        <w:tc>
          <w:tcPr>
            <w:tcW w:w="1134" w:type="dxa"/>
          </w:tcPr>
          <w:p w14:paraId="69AE1F2C" w14:textId="239568DB" w:rsidR="00C82F26" w:rsidRPr="00FE31D5" w:rsidRDefault="007848FB" w:rsidP="007848FB">
            <w:pPr>
              <w:rPr>
                <w:sz w:val="18"/>
                <w:szCs w:val="18"/>
              </w:rPr>
            </w:pPr>
            <w:r>
              <w:rPr>
                <w:sz w:val="18"/>
                <w:szCs w:val="18"/>
              </w:rPr>
              <w:t>Commence d</w:t>
            </w:r>
            <w:r w:rsidR="00C82F26">
              <w:rPr>
                <w:sz w:val="18"/>
                <w:szCs w:val="18"/>
              </w:rPr>
              <w:t xml:space="preserve">etailed design </w:t>
            </w:r>
          </w:p>
        </w:tc>
        <w:tc>
          <w:tcPr>
            <w:tcW w:w="851" w:type="dxa"/>
          </w:tcPr>
          <w:p w14:paraId="7EA9B125" w14:textId="28301101" w:rsidR="00C82F26" w:rsidRPr="00FE31D5" w:rsidRDefault="00FA7A21">
            <w:pPr>
              <w:rPr>
                <w:sz w:val="18"/>
                <w:szCs w:val="18"/>
              </w:rPr>
            </w:pPr>
            <w:r>
              <w:rPr>
                <w:sz w:val="18"/>
                <w:szCs w:val="18"/>
              </w:rPr>
              <w:t>Release tenders</w:t>
            </w:r>
          </w:p>
        </w:tc>
        <w:tc>
          <w:tcPr>
            <w:tcW w:w="1134" w:type="dxa"/>
          </w:tcPr>
          <w:p w14:paraId="4EFDCFCD" w14:textId="7C038779" w:rsidR="00C82F26" w:rsidRPr="00FE31D5" w:rsidRDefault="00016B0F">
            <w:pPr>
              <w:rPr>
                <w:sz w:val="18"/>
                <w:szCs w:val="18"/>
              </w:rPr>
            </w:pPr>
            <w:r>
              <w:rPr>
                <w:sz w:val="18"/>
                <w:szCs w:val="18"/>
              </w:rPr>
              <w:t>Board final approval</w:t>
            </w:r>
          </w:p>
        </w:tc>
        <w:tc>
          <w:tcPr>
            <w:tcW w:w="1417" w:type="dxa"/>
          </w:tcPr>
          <w:p w14:paraId="7A19D2F2" w14:textId="03B848F5" w:rsidR="00C82F26" w:rsidRPr="00FE31D5" w:rsidRDefault="00016B0F" w:rsidP="00016B0F">
            <w:pPr>
              <w:rPr>
                <w:sz w:val="18"/>
                <w:szCs w:val="18"/>
              </w:rPr>
            </w:pPr>
            <w:r>
              <w:rPr>
                <w:sz w:val="18"/>
                <w:szCs w:val="18"/>
              </w:rPr>
              <w:t xml:space="preserve">Award contracts </w:t>
            </w:r>
            <w:r w:rsidR="00FA7A21">
              <w:rPr>
                <w:sz w:val="18"/>
                <w:szCs w:val="18"/>
              </w:rPr>
              <w:t>and c</w:t>
            </w:r>
            <w:r w:rsidR="00C82F26">
              <w:rPr>
                <w:sz w:val="18"/>
                <w:szCs w:val="18"/>
              </w:rPr>
              <w:t>ommence construction</w:t>
            </w:r>
          </w:p>
        </w:tc>
      </w:tr>
      <w:tr w:rsidR="00C82F26" w:rsidRPr="00FE31D5" w14:paraId="102EBD91" w14:textId="77777777" w:rsidTr="007848FB">
        <w:tc>
          <w:tcPr>
            <w:tcW w:w="1290" w:type="dxa"/>
            <w:shd w:val="clear" w:color="auto" w:fill="00B050"/>
          </w:tcPr>
          <w:p w14:paraId="14059B12" w14:textId="00A273BB" w:rsidR="00C82F26" w:rsidRPr="0070668A" w:rsidRDefault="00C82F26">
            <w:pPr>
              <w:rPr>
                <w:sz w:val="18"/>
                <w:szCs w:val="18"/>
              </w:rPr>
            </w:pPr>
            <w:r w:rsidRPr="0070668A">
              <w:rPr>
                <w:sz w:val="18"/>
                <w:szCs w:val="18"/>
              </w:rPr>
              <w:t>Earliest trigger event</w:t>
            </w:r>
          </w:p>
        </w:tc>
        <w:tc>
          <w:tcPr>
            <w:tcW w:w="1010" w:type="dxa"/>
            <w:shd w:val="clear" w:color="auto" w:fill="FFFF00"/>
          </w:tcPr>
          <w:p w14:paraId="361AB22B" w14:textId="4F3E02E4" w:rsidR="00C82F26" w:rsidRPr="00FE31D5" w:rsidRDefault="00C82F26">
            <w:pPr>
              <w:rPr>
                <w:sz w:val="18"/>
                <w:szCs w:val="18"/>
              </w:rPr>
            </w:pPr>
            <w:r>
              <w:rPr>
                <w:sz w:val="18"/>
                <w:szCs w:val="18"/>
              </w:rPr>
              <w:t>Suitable alternative</w:t>
            </w:r>
          </w:p>
        </w:tc>
        <w:tc>
          <w:tcPr>
            <w:tcW w:w="1097" w:type="dxa"/>
            <w:shd w:val="clear" w:color="auto" w:fill="FFFF00"/>
          </w:tcPr>
          <w:p w14:paraId="3931F10A" w14:textId="33732504" w:rsidR="00C82F26" w:rsidRPr="00FE31D5" w:rsidRDefault="00C82F26">
            <w:pPr>
              <w:rPr>
                <w:sz w:val="18"/>
                <w:szCs w:val="18"/>
              </w:rPr>
            </w:pPr>
            <w:r>
              <w:rPr>
                <w:sz w:val="18"/>
                <w:szCs w:val="18"/>
              </w:rPr>
              <w:t>Suitable alternative</w:t>
            </w:r>
          </w:p>
        </w:tc>
        <w:tc>
          <w:tcPr>
            <w:tcW w:w="1134" w:type="dxa"/>
            <w:shd w:val="clear" w:color="auto" w:fill="FFFF00"/>
          </w:tcPr>
          <w:p w14:paraId="4BF8E92B" w14:textId="6704523D" w:rsidR="00C82F26" w:rsidRPr="00FE31D5" w:rsidRDefault="00C82F26">
            <w:pPr>
              <w:rPr>
                <w:sz w:val="18"/>
                <w:szCs w:val="18"/>
              </w:rPr>
            </w:pPr>
            <w:r>
              <w:rPr>
                <w:sz w:val="18"/>
                <w:szCs w:val="18"/>
              </w:rPr>
              <w:t>Suitable alternative</w:t>
            </w:r>
          </w:p>
        </w:tc>
        <w:tc>
          <w:tcPr>
            <w:tcW w:w="1134" w:type="dxa"/>
            <w:shd w:val="clear" w:color="auto" w:fill="FFFF00"/>
          </w:tcPr>
          <w:p w14:paraId="2715FCFA" w14:textId="436FBFF3" w:rsidR="00C82F26" w:rsidRPr="00FE31D5" w:rsidRDefault="00C82F26">
            <w:pPr>
              <w:rPr>
                <w:sz w:val="18"/>
                <w:szCs w:val="18"/>
              </w:rPr>
            </w:pPr>
            <w:r>
              <w:rPr>
                <w:sz w:val="18"/>
                <w:szCs w:val="18"/>
              </w:rPr>
              <w:t>Suitable alternative</w:t>
            </w:r>
          </w:p>
        </w:tc>
        <w:tc>
          <w:tcPr>
            <w:tcW w:w="851" w:type="dxa"/>
            <w:shd w:val="clear" w:color="auto" w:fill="FF0000"/>
          </w:tcPr>
          <w:p w14:paraId="5E8E8B43" w14:textId="2F573E1E" w:rsidR="00C82F26" w:rsidRPr="00FE31D5" w:rsidRDefault="00C82F26">
            <w:pPr>
              <w:rPr>
                <w:sz w:val="18"/>
                <w:szCs w:val="18"/>
              </w:rPr>
            </w:pPr>
            <w:r>
              <w:rPr>
                <w:sz w:val="18"/>
                <w:szCs w:val="18"/>
              </w:rPr>
              <w:t>Not suitable</w:t>
            </w:r>
          </w:p>
        </w:tc>
        <w:tc>
          <w:tcPr>
            <w:tcW w:w="1134" w:type="dxa"/>
            <w:shd w:val="clear" w:color="auto" w:fill="FF0000"/>
          </w:tcPr>
          <w:p w14:paraId="1D816FC5" w14:textId="40F6C377" w:rsidR="00C82F26" w:rsidRPr="00FE31D5" w:rsidRDefault="00C82F26">
            <w:pPr>
              <w:rPr>
                <w:sz w:val="18"/>
                <w:szCs w:val="18"/>
              </w:rPr>
            </w:pPr>
            <w:r>
              <w:rPr>
                <w:sz w:val="18"/>
                <w:szCs w:val="18"/>
              </w:rPr>
              <w:t>Not suitable</w:t>
            </w:r>
          </w:p>
        </w:tc>
        <w:tc>
          <w:tcPr>
            <w:tcW w:w="1417" w:type="dxa"/>
            <w:shd w:val="clear" w:color="auto" w:fill="FF0000"/>
          </w:tcPr>
          <w:p w14:paraId="09A997A9" w14:textId="16AD64D9" w:rsidR="00C82F26" w:rsidRPr="00FE31D5" w:rsidRDefault="00C82F26">
            <w:pPr>
              <w:rPr>
                <w:sz w:val="18"/>
                <w:szCs w:val="18"/>
              </w:rPr>
            </w:pPr>
            <w:r>
              <w:rPr>
                <w:sz w:val="18"/>
                <w:szCs w:val="18"/>
              </w:rPr>
              <w:t>Not suitable</w:t>
            </w:r>
          </w:p>
        </w:tc>
      </w:tr>
    </w:tbl>
    <w:p w14:paraId="1FABDBE1" w14:textId="77777777" w:rsidR="00EE0090" w:rsidRDefault="00EE0090"/>
    <w:p w14:paraId="01199E91" w14:textId="743B0639" w:rsidR="0070668A" w:rsidRPr="008975A2" w:rsidRDefault="006A6554" w:rsidP="0070668A">
      <w:pPr>
        <w:rPr>
          <w:i/>
        </w:rPr>
      </w:pPr>
      <w:r w:rsidRPr="006A6554">
        <w:rPr>
          <w:b/>
          <w:i/>
        </w:rPr>
        <w:t xml:space="preserve">Example </w:t>
      </w:r>
      <w:r>
        <w:rPr>
          <w:b/>
          <w:i/>
        </w:rPr>
        <w:t>3</w:t>
      </w:r>
      <w:r w:rsidRPr="006A6554">
        <w:rPr>
          <w:b/>
          <w:i/>
        </w:rPr>
        <w:t>:</w:t>
      </w:r>
      <w:r>
        <w:rPr>
          <w:i/>
        </w:rPr>
        <w:t xml:space="preserve"> </w:t>
      </w:r>
      <w:r w:rsidR="0070668A" w:rsidRPr="008975A2">
        <w:rPr>
          <w:i/>
        </w:rPr>
        <w:t xml:space="preserve">A shopping centre developer conducts a </w:t>
      </w:r>
      <w:proofErr w:type="gramStart"/>
      <w:r w:rsidR="0070668A" w:rsidRPr="008975A2">
        <w:rPr>
          <w:i/>
        </w:rPr>
        <w:t>high level</w:t>
      </w:r>
      <w:proofErr w:type="gramEnd"/>
      <w:r w:rsidR="0070668A" w:rsidRPr="008975A2">
        <w:rPr>
          <w:i/>
        </w:rPr>
        <w:t xml:space="preserve"> scoping of the goods and services for a new shopping centre (trigger event (l) in the list above). It then decides to add a cinema complex on top of the centre which </w:t>
      </w:r>
      <w:r w:rsidR="0070668A">
        <w:rPr>
          <w:i/>
        </w:rPr>
        <w:t xml:space="preserve">increases the estimated capital cost </w:t>
      </w:r>
      <w:r w:rsidR="00D979F3">
        <w:rPr>
          <w:i/>
        </w:rPr>
        <w:t>over</w:t>
      </w:r>
      <w:r w:rsidR="0070668A">
        <w:rPr>
          <w:i/>
        </w:rPr>
        <w:t xml:space="preserve"> $500 million.</w:t>
      </w:r>
      <w:r w:rsidR="0070668A" w:rsidRPr="008975A2">
        <w:rPr>
          <w:i/>
        </w:rPr>
        <w:t xml:space="preserve"> As the earliest trigger event for the project has already happened, it </w:t>
      </w:r>
      <w:r w:rsidR="00AE66A9">
        <w:rPr>
          <w:i/>
        </w:rPr>
        <w:t>proposes</w:t>
      </w:r>
      <w:r w:rsidR="0070668A" w:rsidRPr="008975A2">
        <w:rPr>
          <w:i/>
        </w:rPr>
        <w:t xml:space="preserve"> a later trigger da</w:t>
      </w:r>
      <w:r w:rsidR="00DA3A5C">
        <w:rPr>
          <w:i/>
        </w:rPr>
        <w:t>y</w:t>
      </w:r>
      <w:r w:rsidR="0070668A" w:rsidRPr="008975A2">
        <w:rPr>
          <w:i/>
        </w:rPr>
        <w:t xml:space="preserve"> of developing a </w:t>
      </w:r>
      <w:r w:rsidR="00D979F3">
        <w:rPr>
          <w:i/>
        </w:rPr>
        <w:t>detailed schedule</w:t>
      </w:r>
      <w:r w:rsidR="0070668A" w:rsidRPr="008975A2">
        <w:rPr>
          <w:i/>
        </w:rPr>
        <w:t xml:space="preserve"> for the project (trigger event (</w:t>
      </w:r>
      <w:r w:rsidR="00D979F3">
        <w:rPr>
          <w:i/>
        </w:rPr>
        <w:t>k</w:t>
      </w:r>
      <w:r w:rsidR="0070668A" w:rsidRPr="008975A2">
        <w:rPr>
          <w:i/>
        </w:rPr>
        <w:t xml:space="preserve">)). </w:t>
      </w:r>
      <w:r>
        <w:rPr>
          <w:i/>
        </w:rPr>
        <w:t xml:space="preserve">The AIP Authority agrees and </w:t>
      </w:r>
      <w:r w:rsidR="00AE66A9">
        <w:rPr>
          <w:i/>
        </w:rPr>
        <w:t>specifies</w:t>
      </w:r>
      <w:r>
        <w:rPr>
          <w:i/>
        </w:rPr>
        <w:t xml:space="preserve"> the</w:t>
      </w:r>
      <w:r w:rsidR="00D979F3">
        <w:rPr>
          <w:i/>
        </w:rPr>
        <w:t xml:space="preserve"> commencement of detailed schedule development</w:t>
      </w:r>
      <w:r>
        <w:rPr>
          <w:i/>
        </w:rPr>
        <w:t xml:space="preserve"> as the trigger da</w:t>
      </w:r>
      <w:r w:rsidR="00DA3A5C">
        <w:rPr>
          <w:i/>
        </w:rPr>
        <w:t>y</w:t>
      </w:r>
      <w:r>
        <w:rPr>
          <w:i/>
        </w:rPr>
        <w:t xml:space="preserve"> for the project. </w:t>
      </w:r>
    </w:p>
    <w:p w14:paraId="77D96AD1" w14:textId="668868EB" w:rsidR="00016B0F" w:rsidRPr="00AE6951" w:rsidRDefault="006A6554">
      <w:pPr>
        <w:rPr>
          <w:i/>
        </w:rPr>
      </w:pPr>
      <w:r w:rsidRPr="006A6554">
        <w:rPr>
          <w:b/>
          <w:i/>
        </w:rPr>
        <w:t>Example 4:</w:t>
      </w:r>
      <w:r>
        <w:rPr>
          <w:i/>
        </w:rPr>
        <w:t xml:space="preserve"> </w:t>
      </w:r>
      <w:r w:rsidR="00575C26" w:rsidRPr="00575C26">
        <w:rPr>
          <w:i/>
        </w:rPr>
        <w:t xml:space="preserve">A telecommunications provider plans to roll out a mobile phone network </w:t>
      </w:r>
      <w:r w:rsidR="003B6B0E">
        <w:rPr>
          <w:i/>
        </w:rPr>
        <w:t>but is waiting for government approval of spectrum licences, so</w:t>
      </w:r>
      <w:r w:rsidR="00575C26" w:rsidRPr="00575C26">
        <w:rPr>
          <w:i/>
        </w:rPr>
        <w:t xml:space="preserve"> </w:t>
      </w:r>
      <w:r w:rsidR="002D6715">
        <w:rPr>
          <w:i/>
        </w:rPr>
        <w:t>proposes</w:t>
      </w:r>
      <w:r w:rsidR="00DA3A5C">
        <w:rPr>
          <w:i/>
        </w:rPr>
        <w:t xml:space="preserve"> a trigger day</w:t>
      </w:r>
      <w:r w:rsidR="00575C26" w:rsidRPr="00575C26">
        <w:rPr>
          <w:i/>
        </w:rPr>
        <w:t xml:space="preserve"> of commencement of construction. The AIP Authority does not agree as </w:t>
      </w:r>
      <w:r w:rsidR="003B6B0E">
        <w:rPr>
          <w:i/>
        </w:rPr>
        <w:t>the AIP plan submission should not be dependent on obtaining the licence approvals and the proposed trigger da</w:t>
      </w:r>
      <w:r w:rsidR="00DA3A5C">
        <w:rPr>
          <w:i/>
        </w:rPr>
        <w:t>y</w:t>
      </w:r>
      <w:r w:rsidR="003B6B0E">
        <w:rPr>
          <w:i/>
        </w:rPr>
        <w:t xml:space="preserve"> </w:t>
      </w:r>
      <w:r w:rsidR="00575C26" w:rsidRPr="00575C26">
        <w:rPr>
          <w:i/>
        </w:rPr>
        <w:t>would be too late in the project’s timeline</w:t>
      </w:r>
      <w:r w:rsidR="00AB53B5">
        <w:rPr>
          <w:i/>
        </w:rPr>
        <w:t>.</w:t>
      </w:r>
      <w:r w:rsidR="00575C26" w:rsidRPr="00575C26">
        <w:rPr>
          <w:i/>
        </w:rPr>
        <w:t xml:space="preserve"> The trigger da</w:t>
      </w:r>
      <w:r w:rsidR="00DA3A5C">
        <w:rPr>
          <w:i/>
        </w:rPr>
        <w:t>y</w:t>
      </w:r>
      <w:r w:rsidR="00575C26" w:rsidRPr="00575C26">
        <w:rPr>
          <w:i/>
        </w:rPr>
        <w:t xml:space="preserve"> is therefore the earliest trigger event for the project, which is the preparation of technical specifications (trigger event (e)).</w:t>
      </w:r>
    </w:p>
    <w:p w14:paraId="08AE7AEE" w14:textId="0C7A5188" w:rsidR="00627CF8" w:rsidRPr="005A1FEB" w:rsidRDefault="005A1FEB" w:rsidP="00FA2DE0">
      <w:pPr>
        <w:pStyle w:val="Heading2"/>
      </w:pPr>
      <w:r w:rsidRPr="005A1FEB">
        <w:lastRenderedPageBreak/>
        <w:t xml:space="preserve">5. </w:t>
      </w:r>
      <w:r w:rsidR="005D40C7">
        <w:t>Proposing</w:t>
      </w:r>
      <w:r w:rsidRPr="005A1FEB">
        <w:t xml:space="preserve"> an alternative trigger da</w:t>
      </w:r>
      <w:r w:rsidR="00DA3A5C">
        <w:t>y</w:t>
      </w:r>
    </w:p>
    <w:p w14:paraId="2FE61EDA" w14:textId="08E10208" w:rsidR="00573CD9" w:rsidRDefault="002A5A7D">
      <w:r>
        <w:t>All p</w:t>
      </w:r>
      <w:r w:rsidR="00052628">
        <w:t xml:space="preserve">roponents </w:t>
      </w:r>
      <w:r>
        <w:t>must advise the AIP Authority of their major projects by completing</w:t>
      </w:r>
      <w:r w:rsidR="00052628">
        <w:t xml:space="preserve"> the </w:t>
      </w:r>
      <w:r w:rsidR="00573CD9">
        <w:t>AIP</w:t>
      </w:r>
      <w:r w:rsidR="00052628">
        <w:t xml:space="preserve"> Notification Form</w:t>
      </w:r>
      <w:r w:rsidR="00321F05">
        <w:t xml:space="preserve"> available from the AIP Authority website (</w:t>
      </w:r>
      <w:hyperlink r:id="rId9" w:history="1">
        <w:r w:rsidR="00321F05" w:rsidRPr="003930A7">
          <w:rPr>
            <w:rStyle w:val="Hyperlink"/>
          </w:rPr>
          <w:t>www.industry.gov.au/aip</w:t>
        </w:r>
      </w:hyperlink>
      <w:r w:rsidR="00321F05">
        <w:t>)</w:t>
      </w:r>
      <w:r w:rsidR="00052628">
        <w:t xml:space="preserve">. </w:t>
      </w:r>
      <w:r w:rsidR="005D20B2">
        <w:t>In the form,</w:t>
      </w:r>
      <w:r w:rsidR="003B4834">
        <w:t xml:space="preserve"> p</w:t>
      </w:r>
      <w:r w:rsidR="00A30D0F">
        <w:t xml:space="preserve">roponents </w:t>
      </w:r>
      <w:r w:rsidR="005D40C7">
        <w:t xml:space="preserve">provide their proposed </w:t>
      </w:r>
      <w:r w:rsidR="00A30D0F">
        <w:t>trigger da</w:t>
      </w:r>
      <w:r w:rsidR="00DA3A5C">
        <w:t>y</w:t>
      </w:r>
      <w:r w:rsidR="00A30D0F">
        <w:t xml:space="preserve"> </w:t>
      </w:r>
      <w:r w:rsidR="00CF796F">
        <w:t>for the project. If the proposed day is not the earliest trigger event</w:t>
      </w:r>
      <w:r>
        <w:t xml:space="preserve"> for the project</w:t>
      </w:r>
      <w:r w:rsidR="00CF796F">
        <w:t>, a</w:t>
      </w:r>
      <w:r w:rsidR="005D40C7">
        <w:t>n ex</w:t>
      </w:r>
      <w:r w:rsidR="00CF796F">
        <w:t xml:space="preserve">planation must be </w:t>
      </w:r>
      <w:r w:rsidR="005D20B2">
        <w:t>given</w:t>
      </w:r>
      <w:r w:rsidR="005D40C7">
        <w:t xml:space="preserve">. </w:t>
      </w:r>
      <w:r w:rsidR="001A1523">
        <w:t xml:space="preserve">The explanation should include reasons why </w:t>
      </w:r>
      <w:r w:rsidR="005D20B2">
        <w:t>the alternative</w:t>
      </w:r>
      <w:r w:rsidR="001A1523">
        <w:t xml:space="preserve"> trigger day is more suitable for the project. </w:t>
      </w:r>
    </w:p>
    <w:p w14:paraId="009C7E72" w14:textId="6C4A28F4" w:rsidR="00321F05" w:rsidRDefault="00C748D1">
      <w:r>
        <w:t xml:space="preserve">Information provided in the form remains confidential and is not published by the AIP Authority. </w:t>
      </w:r>
    </w:p>
    <w:p w14:paraId="1D68729C" w14:textId="26D279F0" w:rsidR="00573CD9" w:rsidRDefault="00464AE1">
      <w:r>
        <w:t xml:space="preserve">The AIP Authority will </w:t>
      </w:r>
      <w:r w:rsidR="005D20B2">
        <w:t>review</w:t>
      </w:r>
      <w:r>
        <w:t xml:space="preserve"> the</w:t>
      </w:r>
      <w:r w:rsidR="00F71CBE">
        <w:t xml:space="preserve"> </w:t>
      </w:r>
      <w:r w:rsidR="0043704A">
        <w:t>alternative</w:t>
      </w:r>
      <w:r w:rsidR="00654FE0">
        <w:t xml:space="preserve"> </w:t>
      </w:r>
      <w:r>
        <w:t>trigger da</w:t>
      </w:r>
      <w:r w:rsidR="006261E4">
        <w:t>y</w:t>
      </w:r>
      <w:r w:rsidR="000F52FB">
        <w:t xml:space="preserve"> </w:t>
      </w:r>
      <w:r>
        <w:t xml:space="preserve">to </w:t>
      </w:r>
      <w:r w:rsidR="005D20B2">
        <w:t>ensure</w:t>
      </w:r>
      <w:r>
        <w:t xml:space="preserve"> </w:t>
      </w:r>
      <w:r w:rsidR="005D20B2">
        <w:t>it</w:t>
      </w:r>
      <w:r>
        <w:t xml:space="preserve"> is </w:t>
      </w:r>
      <w:r w:rsidR="005A1FEB">
        <w:t xml:space="preserve">early enough to allow for </w:t>
      </w:r>
      <w:r w:rsidR="00991FD9">
        <w:t>the inclusion</w:t>
      </w:r>
      <w:r w:rsidR="005A1FEB">
        <w:t xml:space="preserve"> of Australian industry in the project’s design and procurement. </w:t>
      </w:r>
      <w:r>
        <w:t xml:space="preserve">The AIP Authority may request further information in support of the </w:t>
      </w:r>
      <w:r w:rsidR="005D20B2">
        <w:t xml:space="preserve">alternative </w:t>
      </w:r>
      <w:r w:rsidR="00C31208">
        <w:t xml:space="preserve">trigger </w:t>
      </w:r>
      <w:r>
        <w:t>da</w:t>
      </w:r>
      <w:r w:rsidR="006261E4">
        <w:t>y</w:t>
      </w:r>
      <w:r w:rsidR="00B36602">
        <w:t xml:space="preserve"> or suggest another trigger day</w:t>
      </w:r>
      <w:r w:rsidR="00C74E88">
        <w:t xml:space="preserve"> </w:t>
      </w:r>
      <w:r w:rsidR="00D449EA">
        <w:t>for the project</w:t>
      </w:r>
      <w:r w:rsidR="00B36602">
        <w:t>.</w:t>
      </w:r>
      <w:r w:rsidR="00D449EA">
        <w:t xml:space="preserve"> If agreement cannot be reached </w:t>
      </w:r>
      <w:r w:rsidR="005D20B2">
        <w:t xml:space="preserve">with the proponent </w:t>
      </w:r>
      <w:r w:rsidR="00D449EA">
        <w:t xml:space="preserve">on a trigger day, the AIP Authority may specify a trigger day </w:t>
      </w:r>
      <w:r w:rsidR="005D20B2">
        <w:t xml:space="preserve">for the project </w:t>
      </w:r>
      <w:r w:rsidR="00D449EA">
        <w:t xml:space="preserve">on its own initiative. </w:t>
      </w:r>
      <w:r w:rsidR="00B36602">
        <w:t xml:space="preserve"> </w:t>
      </w:r>
    </w:p>
    <w:p w14:paraId="25A3817F" w14:textId="6A70C846" w:rsidR="00873A0F" w:rsidRDefault="00873A0F">
      <w:r>
        <w:t>If design or procurement for the project is about to commence or has commenced, the AIP plan may need to be developed immediately. The AIP Authority will advise proponents if this is the case.</w:t>
      </w:r>
    </w:p>
    <w:p w14:paraId="279A5A22" w14:textId="7DD78A5A" w:rsidR="00233750" w:rsidRDefault="002A5A7D">
      <w:r>
        <w:t>Proponents should contact the AIP Authority if</w:t>
      </w:r>
      <w:r w:rsidR="00A350B9">
        <w:t xml:space="preserve"> a</w:t>
      </w:r>
      <w:r w:rsidR="0043704A">
        <w:t xml:space="preserve"> project’s </w:t>
      </w:r>
      <w:r w:rsidR="005A2BD9">
        <w:t xml:space="preserve">agreed </w:t>
      </w:r>
      <w:r w:rsidR="005D20B2">
        <w:t>trigger day</w:t>
      </w:r>
      <w:r w:rsidR="00C31208">
        <w:t xml:space="preserve"> </w:t>
      </w:r>
      <w:r w:rsidR="00AE6951">
        <w:t xml:space="preserve">subsequently </w:t>
      </w:r>
      <w:r w:rsidR="00C31208">
        <w:t xml:space="preserve">needs to be changed </w:t>
      </w:r>
      <w:r w:rsidR="00A350B9">
        <w:t>before the AIP plan is submitted</w:t>
      </w:r>
      <w:r>
        <w:t>.</w:t>
      </w:r>
    </w:p>
    <w:p w14:paraId="26A23164" w14:textId="0F786730" w:rsidR="0068222F" w:rsidRPr="00BE59C0" w:rsidRDefault="00D86662" w:rsidP="00FA2DE0">
      <w:pPr>
        <w:pStyle w:val="Heading2"/>
      </w:pPr>
      <w:r>
        <w:t>6</w:t>
      </w:r>
      <w:r w:rsidR="00BE59C0" w:rsidRPr="00BE59C0">
        <w:t>. Submitting an AIP plan</w:t>
      </w:r>
    </w:p>
    <w:p w14:paraId="03C01779" w14:textId="2BE48DB3" w:rsidR="00873A0F" w:rsidRDefault="00E959FF" w:rsidP="00AF0634">
      <w:r>
        <w:t>Subs</w:t>
      </w:r>
      <w:r w:rsidR="00AF0634">
        <w:t xml:space="preserve">ection 17(1) of the Act requires a proponent submit their draft AIP plan to the AIP Authority at least 90 calendar days </w:t>
      </w:r>
      <w:r w:rsidR="00AF0634" w:rsidRPr="005A2BD9">
        <w:t>before</w:t>
      </w:r>
      <w:r w:rsidR="00AF0634">
        <w:t xml:space="preserve"> th</w:t>
      </w:r>
      <w:r w:rsidR="0043704A">
        <w:t>e trigger date for the project.</w:t>
      </w:r>
      <w:r w:rsidR="00BE59C0">
        <w:t xml:space="preserve"> </w:t>
      </w:r>
    </w:p>
    <w:p w14:paraId="7AF8908D" w14:textId="5009E76E" w:rsidR="00AF0634" w:rsidRDefault="00C748D1" w:rsidP="00AF0634">
      <w:r>
        <w:t>Once approved, an AIP plan remains in force for the duration of the project. Should changes to a project</w:t>
      </w:r>
      <w:r w:rsidR="00343D09">
        <w:t xml:space="preserve"> or plan</w:t>
      </w:r>
      <w:r>
        <w:t xml:space="preserve"> occur, a replacement AIP plan with updated information may be submitted. </w:t>
      </w:r>
      <w:r w:rsidR="00343D09">
        <w:t>Proponents should confirm</w:t>
      </w:r>
      <w:r w:rsidR="0044594B">
        <w:t xml:space="preserve"> </w:t>
      </w:r>
      <w:r w:rsidR="00343D09">
        <w:t xml:space="preserve">with the AIP Authority if their changes require a replacement AIP plan.  </w:t>
      </w:r>
    </w:p>
    <w:p w14:paraId="109CE752" w14:textId="7B75DB26" w:rsidR="00BE59C0" w:rsidRPr="00BE59C0" w:rsidRDefault="00D86662" w:rsidP="00FA2DE0">
      <w:pPr>
        <w:pStyle w:val="Heading2"/>
      </w:pPr>
      <w:r>
        <w:t>7</w:t>
      </w:r>
      <w:r w:rsidR="00BE59C0" w:rsidRPr="00BE59C0">
        <w:t>. Review rights</w:t>
      </w:r>
    </w:p>
    <w:p w14:paraId="55F401C6" w14:textId="672EFF40" w:rsidR="00461E8E" w:rsidRDefault="001375EA" w:rsidP="00AF0634">
      <w:r>
        <w:t xml:space="preserve">Under section 112 of the Act, a proponent may apply to the </w:t>
      </w:r>
      <w:r w:rsidR="0037236C" w:rsidRPr="0037236C">
        <w:t>Administrative Review Tribunal</w:t>
      </w:r>
      <w:r>
        <w:t xml:space="preserve"> for </w:t>
      </w:r>
      <w:r w:rsidR="00461E8E">
        <w:t>review of decisions by the AIP Authority under subsection 13(1)(c) to:</w:t>
      </w:r>
    </w:p>
    <w:p w14:paraId="22800612" w14:textId="33212C4B" w:rsidR="00461E8E" w:rsidRDefault="00461E8E" w:rsidP="00461E8E">
      <w:pPr>
        <w:pStyle w:val="ListParagraph"/>
        <w:numPr>
          <w:ilvl w:val="0"/>
          <w:numId w:val="3"/>
        </w:numPr>
      </w:pPr>
      <w:r>
        <w:t>refuse to specify a trigger da</w:t>
      </w:r>
      <w:r w:rsidR="00E959FF">
        <w:t>y</w:t>
      </w:r>
      <w:r>
        <w:t xml:space="preserve"> for a project; or</w:t>
      </w:r>
    </w:p>
    <w:p w14:paraId="24759D9C" w14:textId="7B9CD1DA" w:rsidR="00461E8E" w:rsidRDefault="00461E8E" w:rsidP="00461E8E">
      <w:pPr>
        <w:pStyle w:val="ListParagraph"/>
        <w:numPr>
          <w:ilvl w:val="0"/>
          <w:numId w:val="3"/>
        </w:numPr>
      </w:pPr>
      <w:r>
        <w:t>specify a trigger da</w:t>
      </w:r>
      <w:r w:rsidR="00E959FF">
        <w:t>y</w:t>
      </w:r>
      <w:r>
        <w:t xml:space="preserve"> for a project.</w:t>
      </w:r>
    </w:p>
    <w:p w14:paraId="6DE35DD4" w14:textId="1C03748D" w:rsidR="007820FF" w:rsidRPr="00654FE0" w:rsidRDefault="00D86662" w:rsidP="00FA2DE0">
      <w:pPr>
        <w:pStyle w:val="Heading2"/>
      </w:pPr>
      <w:r>
        <w:t>8</w:t>
      </w:r>
      <w:r w:rsidR="00654FE0" w:rsidRPr="00654FE0">
        <w:t>. Further information</w:t>
      </w:r>
    </w:p>
    <w:p w14:paraId="35301B34" w14:textId="3E9278F3" w:rsidR="00654FE0" w:rsidRDefault="00654FE0">
      <w:r>
        <w:t xml:space="preserve">Proponents </w:t>
      </w:r>
      <w:r w:rsidR="007622A6">
        <w:t>should</w:t>
      </w:r>
      <w:r>
        <w:t xml:space="preserve"> contact the AIP Authority </w:t>
      </w:r>
      <w:r w:rsidR="00C828B6">
        <w:t>for more information</w:t>
      </w:r>
      <w:r>
        <w:t>:</w:t>
      </w:r>
    </w:p>
    <w:p w14:paraId="31C36DDC" w14:textId="29F45BD3" w:rsidR="00CF796F" w:rsidRDefault="00FA2DE0">
      <w:r>
        <w:t>Email</w:t>
      </w:r>
      <w:r w:rsidR="00654FE0">
        <w:t xml:space="preserve"> </w:t>
      </w:r>
      <w:hyperlink r:id="rId10" w:history="1">
        <w:r w:rsidR="00654FE0" w:rsidRPr="00283F14">
          <w:rPr>
            <w:rStyle w:val="Hyperlink"/>
          </w:rPr>
          <w:t>aip@industry.gov.au</w:t>
        </w:r>
      </w:hyperlink>
      <w:r w:rsidR="001A1523">
        <w:t xml:space="preserve">    </w:t>
      </w:r>
    </w:p>
    <w:p w14:paraId="64CACA65" w14:textId="315A6426" w:rsidR="006343D3" w:rsidRPr="00FA1975" w:rsidRDefault="007622A6">
      <w:r>
        <w:t xml:space="preserve">AIP </w:t>
      </w:r>
      <w:r w:rsidR="00343D09">
        <w:t>Hotline</w:t>
      </w:r>
      <w:r w:rsidR="00654FE0">
        <w:t xml:space="preserve"> – 02 6213 6404</w:t>
      </w:r>
    </w:p>
    <w:sectPr w:rsidR="006343D3" w:rsidRPr="00FA1975" w:rsidSect="0017436F">
      <w:footerReference w:type="default" r:id="rId11"/>
      <w:footerReference w:type="first" r:id="rId12"/>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22C9" w14:textId="77777777" w:rsidR="002C7986" w:rsidRDefault="002C7986" w:rsidP="00F07A8E">
      <w:pPr>
        <w:spacing w:after="0" w:line="240" w:lineRule="auto"/>
      </w:pPr>
      <w:r>
        <w:separator/>
      </w:r>
    </w:p>
  </w:endnote>
  <w:endnote w:type="continuationSeparator" w:id="0">
    <w:p w14:paraId="1E641509" w14:textId="77777777" w:rsidR="002C7986" w:rsidRDefault="002C7986" w:rsidP="00F07A8E">
      <w:pPr>
        <w:spacing w:after="0" w:line="240" w:lineRule="auto"/>
      </w:pPr>
      <w:r>
        <w:continuationSeparator/>
      </w:r>
    </w:p>
  </w:endnote>
  <w:endnote w:type="continuationNotice" w:id="1">
    <w:p w14:paraId="721B334B" w14:textId="77777777" w:rsidR="002C7986" w:rsidRDefault="002C7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1449"/>
      <w:docPartObj>
        <w:docPartGallery w:val="Page Numbers (Bottom of Page)"/>
        <w:docPartUnique/>
      </w:docPartObj>
    </w:sdtPr>
    <w:sdtEndPr>
      <w:rPr>
        <w:noProof/>
      </w:rPr>
    </w:sdtEndPr>
    <w:sdtContent>
      <w:p w14:paraId="07098756" w14:textId="7D8EF50D" w:rsidR="002C7986" w:rsidRDefault="002C7986">
        <w:pPr>
          <w:pStyle w:val="Footer"/>
          <w:jc w:val="center"/>
        </w:pPr>
        <w:r>
          <w:fldChar w:fldCharType="begin"/>
        </w:r>
        <w:r>
          <w:instrText xml:space="preserve"> PAGE   \* MERGEFORMAT </w:instrText>
        </w:r>
        <w:r>
          <w:fldChar w:fldCharType="separate"/>
        </w:r>
        <w:r w:rsidR="00D2546E">
          <w:rPr>
            <w:noProof/>
          </w:rPr>
          <w:t>3</w:t>
        </w:r>
        <w:r>
          <w:rPr>
            <w:noProof/>
          </w:rPr>
          <w:fldChar w:fldCharType="end"/>
        </w:r>
        <w:r>
          <w:rPr>
            <w:noProof/>
          </w:rPr>
          <w:t xml:space="preserve">                                                       </w:t>
        </w:r>
      </w:p>
    </w:sdtContent>
  </w:sdt>
  <w:p w14:paraId="1D73C20C" w14:textId="3ADF0BE4" w:rsidR="002C7986" w:rsidRPr="00B325E0" w:rsidRDefault="002C7986" w:rsidP="00B325E0">
    <w:pPr>
      <w:pStyle w:val="Footer"/>
      <w:jc w:val="right"/>
      <w:rPr>
        <w:sz w:val="16"/>
        <w:szCs w:val="16"/>
      </w:rPr>
    </w:pPr>
    <w:r>
      <w:rPr>
        <w:sz w:val="16"/>
        <w:szCs w:val="16"/>
      </w:rPr>
      <w:t xml:space="preserve">Version 1.0 </w:t>
    </w:r>
    <w:r w:rsidR="00D83021">
      <w:rPr>
        <w:sz w:val="16"/>
        <w:szCs w:val="16"/>
      </w:rPr>
      <w:t>September</w:t>
    </w:r>
    <w:r w:rsidRPr="00B325E0">
      <w:rPr>
        <w:sz w:val="16"/>
        <w:szCs w:val="16"/>
      </w:rPr>
      <w:t xml:space="preserve"> 201</w:t>
    </w:r>
    <w:r>
      <w:rPr>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59CB" w14:textId="3893D282" w:rsidR="002C7986" w:rsidRPr="00B325E0" w:rsidRDefault="002C7986" w:rsidP="00B325E0">
    <w:pPr>
      <w:pStyle w:val="Footer"/>
      <w:jc w:val="right"/>
      <w:rPr>
        <w:sz w:val="16"/>
        <w:szCs w:val="16"/>
      </w:rPr>
    </w:pPr>
    <w:r w:rsidRPr="00B325E0">
      <w:rPr>
        <w:sz w:val="16"/>
        <w:szCs w:val="16"/>
      </w:rPr>
      <w:t xml:space="preserve">Version 1.0 </w:t>
    </w:r>
    <w:r w:rsidR="00D83021">
      <w:rPr>
        <w:sz w:val="16"/>
        <w:szCs w:val="16"/>
      </w:rPr>
      <w:t>September</w:t>
    </w:r>
    <w:r>
      <w:rPr>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CB05" w14:textId="77777777" w:rsidR="002C7986" w:rsidRDefault="002C7986" w:rsidP="00F07A8E">
      <w:pPr>
        <w:spacing w:after="0" w:line="240" w:lineRule="auto"/>
      </w:pPr>
      <w:r>
        <w:separator/>
      </w:r>
    </w:p>
  </w:footnote>
  <w:footnote w:type="continuationSeparator" w:id="0">
    <w:p w14:paraId="1001F9CF" w14:textId="77777777" w:rsidR="002C7986" w:rsidRDefault="002C7986" w:rsidP="00F07A8E">
      <w:pPr>
        <w:spacing w:after="0" w:line="240" w:lineRule="auto"/>
      </w:pPr>
      <w:r>
        <w:continuationSeparator/>
      </w:r>
    </w:p>
  </w:footnote>
  <w:footnote w:type="continuationNotice" w:id="1">
    <w:p w14:paraId="47FBB204" w14:textId="77777777" w:rsidR="002C7986" w:rsidRDefault="002C79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27A"/>
    <w:multiLevelType w:val="hybridMultilevel"/>
    <w:tmpl w:val="0C7EA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D02DF2"/>
    <w:multiLevelType w:val="hybridMultilevel"/>
    <w:tmpl w:val="C682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8404D"/>
    <w:multiLevelType w:val="hybridMultilevel"/>
    <w:tmpl w:val="29F86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659220">
    <w:abstractNumId w:val="1"/>
  </w:num>
  <w:num w:numId="2" w16cid:durableId="1852639899">
    <w:abstractNumId w:val="2"/>
  </w:num>
  <w:num w:numId="3" w16cid:durableId="121785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CA"/>
    <w:rsid w:val="00016B0F"/>
    <w:rsid w:val="00025F14"/>
    <w:rsid w:val="000300B7"/>
    <w:rsid w:val="0003315A"/>
    <w:rsid w:val="00034907"/>
    <w:rsid w:val="00035E62"/>
    <w:rsid w:val="00045219"/>
    <w:rsid w:val="000477C6"/>
    <w:rsid w:val="00052628"/>
    <w:rsid w:val="000548FD"/>
    <w:rsid w:val="00060462"/>
    <w:rsid w:val="000655B9"/>
    <w:rsid w:val="0007754C"/>
    <w:rsid w:val="00083F9F"/>
    <w:rsid w:val="00094B01"/>
    <w:rsid w:val="000B0B52"/>
    <w:rsid w:val="000B4F41"/>
    <w:rsid w:val="000C246B"/>
    <w:rsid w:val="000D26F8"/>
    <w:rsid w:val="000D2FEB"/>
    <w:rsid w:val="000D4400"/>
    <w:rsid w:val="000E0BEE"/>
    <w:rsid w:val="000E254C"/>
    <w:rsid w:val="000F33F2"/>
    <w:rsid w:val="000F52FB"/>
    <w:rsid w:val="00101AB8"/>
    <w:rsid w:val="001022F4"/>
    <w:rsid w:val="00102838"/>
    <w:rsid w:val="00113F55"/>
    <w:rsid w:val="001237C6"/>
    <w:rsid w:val="001353F5"/>
    <w:rsid w:val="001360E6"/>
    <w:rsid w:val="00137176"/>
    <w:rsid w:val="001375EA"/>
    <w:rsid w:val="00151D94"/>
    <w:rsid w:val="0015556C"/>
    <w:rsid w:val="0016169B"/>
    <w:rsid w:val="0017436F"/>
    <w:rsid w:val="00177E20"/>
    <w:rsid w:val="00181DC7"/>
    <w:rsid w:val="00182061"/>
    <w:rsid w:val="001A1523"/>
    <w:rsid w:val="001B5B16"/>
    <w:rsid w:val="001C3844"/>
    <w:rsid w:val="001C4DA5"/>
    <w:rsid w:val="001D08C0"/>
    <w:rsid w:val="001D3512"/>
    <w:rsid w:val="001E0775"/>
    <w:rsid w:val="001F3547"/>
    <w:rsid w:val="001F52AF"/>
    <w:rsid w:val="0020432D"/>
    <w:rsid w:val="0020465A"/>
    <w:rsid w:val="002108EF"/>
    <w:rsid w:val="00211F7D"/>
    <w:rsid w:val="0022060D"/>
    <w:rsid w:val="00233750"/>
    <w:rsid w:val="00243BC4"/>
    <w:rsid w:val="00251C3F"/>
    <w:rsid w:val="00252D06"/>
    <w:rsid w:val="00253593"/>
    <w:rsid w:val="0025547F"/>
    <w:rsid w:val="00257CA8"/>
    <w:rsid w:val="002739F0"/>
    <w:rsid w:val="00292C2A"/>
    <w:rsid w:val="002A259E"/>
    <w:rsid w:val="002A5A7D"/>
    <w:rsid w:val="002C3775"/>
    <w:rsid w:val="002C7986"/>
    <w:rsid w:val="002D6715"/>
    <w:rsid w:val="002E772C"/>
    <w:rsid w:val="002F5CE7"/>
    <w:rsid w:val="0030595E"/>
    <w:rsid w:val="003175C8"/>
    <w:rsid w:val="003209AB"/>
    <w:rsid w:val="00321F05"/>
    <w:rsid w:val="0032603A"/>
    <w:rsid w:val="00326ADB"/>
    <w:rsid w:val="00330A25"/>
    <w:rsid w:val="00343D09"/>
    <w:rsid w:val="00367FF7"/>
    <w:rsid w:val="0037236C"/>
    <w:rsid w:val="00385082"/>
    <w:rsid w:val="003959F7"/>
    <w:rsid w:val="00396C7A"/>
    <w:rsid w:val="003A1C27"/>
    <w:rsid w:val="003B237C"/>
    <w:rsid w:val="003B4834"/>
    <w:rsid w:val="003B5DF9"/>
    <w:rsid w:val="003B6B0E"/>
    <w:rsid w:val="003D1787"/>
    <w:rsid w:val="003D3648"/>
    <w:rsid w:val="003D4552"/>
    <w:rsid w:val="003D5F2C"/>
    <w:rsid w:val="003D616F"/>
    <w:rsid w:val="003E1F59"/>
    <w:rsid w:val="003F1553"/>
    <w:rsid w:val="00407568"/>
    <w:rsid w:val="00407D65"/>
    <w:rsid w:val="00430442"/>
    <w:rsid w:val="0043593D"/>
    <w:rsid w:val="0043704A"/>
    <w:rsid w:val="0044349F"/>
    <w:rsid w:val="0044594B"/>
    <w:rsid w:val="00451FF2"/>
    <w:rsid w:val="00454AA3"/>
    <w:rsid w:val="004569BD"/>
    <w:rsid w:val="00461E8E"/>
    <w:rsid w:val="00464AE1"/>
    <w:rsid w:val="0047660C"/>
    <w:rsid w:val="0048172D"/>
    <w:rsid w:val="004852F9"/>
    <w:rsid w:val="00485BF4"/>
    <w:rsid w:val="00497472"/>
    <w:rsid w:val="004A78BB"/>
    <w:rsid w:val="004C1343"/>
    <w:rsid w:val="004C27E7"/>
    <w:rsid w:val="004C28BC"/>
    <w:rsid w:val="004C548F"/>
    <w:rsid w:val="004C553E"/>
    <w:rsid w:val="004C7472"/>
    <w:rsid w:val="004D36EA"/>
    <w:rsid w:val="004E1D63"/>
    <w:rsid w:val="004E3866"/>
    <w:rsid w:val="004E4A3C"/>
    <w:rsid w:val="004E7D32"/>
    <w:rsid w:val="004F336B"/>
    <w:rsid w:val="0051031A"/>
    <w:rsid w:val="0051178A"/>
    <w:rsid w:val="005227DB"/>
    <w:rsid w:val="00525EF5"/>
    <w:rsid w:val="00533407"/>
    <w:rsid w:val="005343F4"/>
    <w:rsid w:val="00545683"/>
    <w:rsid w:val="005463DD"/>
    <w:rsid w:val="00550B84"/>
    <w:rsid w:val="00570E44"/>
    <w:rsid w:val="00572C5D"/>
    <w:rsid w:val="00573CD9"/>
    <w:rsid w:val="005755F6"/>
    <w:rsid w:val="00575C26"/>
    <w:rsid w:val="005779E9"/>
    <w:rsid w:val="00582FD9"/>
    <w:rsid w:val="005836DA"/>
    <w:rsid w:val="0058567F"/>
    <w:rsid w:val="00595B10"/>
    <w:rsid w:val="005A1FEB"/>
    <w:rsid w:val="005A2BD9"/>
    <w:rsid w:val="005A3E1D"/>
    <w:rsid w:val="005A47CD"/>
    <w:rsid w:val="005D20B2"/>
    <w:rsid w:val="005D40C7"/>
    <w:rsid w:val="005E1FD3"/>
    <w:rsid w:val="005E2C50"/>
    <w:rsid w:val="005E30E2"/>
    <w:rsid w:val="005E41B4"/>
    <w:rsid w:val="005F5808"/>
    <w:rsid w:val="0060465A"/>
    <w:rsid w:val="006124A7"/>
    <w:rsid w:val="00614858"/>
    <w:rsid w:val="0062098F"/>
    <w:rsid w:val="00623CF5"/>
    <w:rsid w:val="006261E4"/>
    <w:rsid w:val="00627CF8"/>
    <w:rsid w:val="006305AA"/>
    <w:rsid w:val="00632E26"/>
    <w:rsid w:val="006343D3"/>
    <w:rsid w:val="00651852"/>
    <w:rsid w:val="00654FE0"/>
    <w:rsid w:val="006605C1"/>
    <w:rsid w:val="006718B7"/>
    <w:rsid w:val="00674394"/>
    <w:rsid w:val="0067715D"/>
    <w:rsid w:val="00680923"/>
    <w:rsid w:val="0068222F"/>
    <w:rsid w:val="006864CA"/>
    <w:rsid w:val="00697072"/>
    <w:rsid w:val="006A513A"/>
    <w:rsid w:val="006A63B9"/>
    <w:rsid w:val="006A6554"/>
    <w:rsid w:val="006B0A67"/>
    <w:rsid w:val="006B0E36"/>
    <w:rsid w:val="006B1D98"/>
    <w:rsid w:val="006B2C1F"/>
    <w:rsid w:val="006C24BE"/>
    <w:rsid w:val="006D51E6"/>
    <w:rsid w:val="006D74FA"/>
    <w:rsid w:val="006E14BE"/>
    <w:rsid w:val="0070668A"/>
    <w:rsid w:val="007079F6"/>
    <w:rsid w:val="00711AB9"/>
    <w:rsid w:val="00736831"/>
    <w:rsid w:val="007373E2"/>
    <w:rsid w:val="0073750A"/>
    <w:rsid w:val="007418AB"/>
    <w:rsid w:val="0074458D"/>
    <w:rsid w:val="007622A6"/>
    <w:rsid w:val="00765F94"/>
    <w:rsid w:val="00777B69"/>
    <w:rsid w:val="007820FF"/>
    <w:rsid w:val="007848FB"/>
    <w:rsid w:val="007867DA"/>
    <w:rsid w:val="007A57D9"/>
    <w:rsid w:val="007A5CCC"/>
    <w:rsid w:val="007B19C3"/>
    <w:rsid w:val="007B2AA8"/>
    <w:rsid w:val="007B727F"/>
    <w:rsid w:val="007C02F0"/>
    <w:rsid w:val="007C4603"/>
    <w:rsid w:val="007C71FC"/>
    <w:rsid w:val="007D02FD"/>
    <w:rsid w:val="007D0E40"/>
    <w:rsid w:val="007D393C"/>
    <w:rsid w:val="007D437F"/>
    <w:rsid w:val="007D6698"/>
    <w:rsid w:val="007F5BA3"/>
    <w:rsid w:val="00826F78"/>
    <w:rsid w:val="00834387"/>
    <w:rsid w:val="00841045"/>
    <w:rsid w:val="0085286A"/>
    <w:rsid w:val="00855D2A"/>
    <w:rsid w:val="00873A0F"/>
    <w:rsid w:val="0088308A"/>
    <w:rsid w:val="00893A88"/>
    <w:rsid w:val="00895F3C"/>
    <w:rsid w:val="008975A2"/>
    <w:rsid w:val="008B56CA"/>
    <w:rsid w:val="008B57E6"/>
    <w:rsid w:val="008B7E63"/>
    <w:rsid w:val="008D2E22"/>
    <w:rsid w:val="008E0C36"/>
    <w:rsid w:val="008F43CA"/>
    <w:rsid w:val="00910C8D"/>
    <w:rsid w:val="00940A14"/>
    <w:rsid w:val="00943AD8"/>
    <w:rsid w:val="00943D54"/>
    <w:rsid w:val="00943FA1"/>
    <w:rsid w:val="00945245"/>
    <w:rsid w:val="0098296A"/>
    <w:rsid w:val="009863E7"/>
    <w:rsid w:val="00991FD9"/>
    <w:rsid w:val="009939D6"/>
    <w:rsid w:val="009A2AFB"/>
    <w:rsid w:val="009B0B51"/>
    <w:rsid w:val="009C60CA"/>
    <w:rsid w:val="009D01FA"/>
    <w:rsid w:val="009D24B2"/>
    <w:rsid w:val="009D7979"/>
    <w:rsid w:val="009E3C2E"/>
    <w:rsid w:val="009F1DA7"/>
    <w:rsid w:val="00A052B5"/>
    <w:rsid w:val="00A129BB"/>
    <w:rsid w:val="00A164B0"/>
    <w:rsid w:val="00A2463E"/>
    <w:rsid w:val="00A27EA1"/>
    <w:rsid w:val="00A30D0F"/>
    <w:rsid w:val="00A350B9"/>
    <w:rsid w:val="00A445F6"/>
    <w:rsid w:val="00A46AA7"/>
    <w:rsid w:val="00A50BE2"/>
    <w:rsid w:val="00A54DCF"/>
    <w:rsid w:val="00A55BBC"/>
    <w:rsid w:val="00A74786"/>
    <w:rsid w:val="00A7560F"/>
    <w:rsid w:val="00A77063"/>
    <w:rsid w:val="00A770A7"/>
    <w:rsid w:val="00A849D0"/>
    <w:rsid w:val="00A87894"/>
    <w:rsid w:val="00A95A7B"/>
    <w:rsid w:val="00AA45EF"/>
    <w:rsid w:val="00AB53B5"/>
    <w:rsid w:val="00AB59B3"/>
    <w:rsid w:val="00AC00A4"/>
    <w:rsid w:val="00AD4712"/>
    <w:rsid w:val="00AD72AC"/>
    <w:rsid w:val="00AE4C07"/>
    <w:rsid w:val="00AE66A9"/>
    <w:rsid w:val="00AE6951"/>
    <w:rsid w:val="00AE72E1"/>
    <w:rsid w:val="00AF0634"/>
    <w:rsid w:val="00B02268"/>
    <w:rsid w:val="00B078FA"/>
    <w:rsid w:val="00B140D7"/>
    <w:rsid w:val="00B21A09"/>
    <w:rsid w:val="00B325E0"/>
    <w:rsid w:val="00B34150"/>
    <w:rsid w:val="00B36602"/>
    <w:rsid w:val="00B36E00"/>
    <w:rsid w:val="00B41227"/>
    <w:rsid w:val="00B42D15"/>
    <w:rsid w:val="00B5227D"/>
    <w:rsid w:val="00B6064C"/>
    <w:rsid w:val="00B636E6"/>
    <w:rsid w:val="00B666EA"/>
    <w:rsid w:val="00B72AAD"/>
    <w:rsid w:val="00B75804"/>
    <w:rsid w:val="00B84297"/>
    <w:rsid w:val="00B9328C"/>
    <w:rsid w:val="00B93873"/>
    <w:rsid w:val="00BA0878"/>
    <w:rsid w:val="00BB4E7E"/>
    <w:rsid w:val="00BB73A1"/>
    <w:rsid w:val="00BC2BF8"/>
    <w:rsid w:val="00BD66A3"/>
    <w:rsid w:val="00BE59C0"/>
    <w:rsid w:val="00BF5157"/>
    <w:rsid w:val="00C02385"/>
    <w:rsid w:val="00C03EBF"/>
    <w:rsid w:val="00C178DE"/>
    <w:rsid w:val="00C26F09"/>
    <w:rsid w:val="00C31208"/>
    <w:rsid w:val="00C34C08"/>
    <w:rsid w:val="00C5465A"/>
    <w:rsid w:val="00C572D6"/>
    <w:rsid w:val="00C72F03"/>
    <w:rsid w:val="00C748D1"/>
    <w:rsid w:val="00C74E88"/>
    <w:rsid w:val="00C763F8"/>
    <w:rsid w:val="00C828B6"/>
    <w:rsid w:val="00C82F26"/>
    <w:rsid w:val="00CF30A3"/>
    <w:rsid w:val="00CF4270"/>
    <w:rsid w:val="00CF796F"/>
    <w:rsid w:val="00D11B60"/>
    <w:rsid w:val="00D11BF6"/>
    <w:rsid w:val="00D17A54"/>
    <w:rsid w:val="00D2546E"/>
    <w:rsid w:val="00D25680"/>
    <w:rsid w:val="00D41366"/>
    <w:rsid w:val="00D425DC"/>
    <w:rsid w:val="00D449EA"/>
    <w:rsid w:val="00D456AF"/>
    <w:rsid w:val="00D53284"/>
    <w:rsid w:val="00D8054E"/>
    <w:rsid w:val="00D83021"/>
    <w:rsid w:val="00D844EB"/>
    <w:rsid w:val="00D85773"/>
    <w:rsid w:val="00D86662"/>
    <w:rsid w:val="00D96B9C"/>
    <w:rsid w:val="00D979F3"/>
    <w:rsid w:val="00DA3927"/>
    <w:rsid w:val="00DA3A5C"/>
    <w:rsid w:val="00DB0504"/>
    <w:rsid w:val="00DB2432"/>
    <w:rsid w:val="00DD3743"/>
    <w:rsid w:val="00DD5E09"/>
    <w:rsid w:val="00DF14D1"/>
    <w:rsid w:val="00E000F7"/>
    <w:rsid w:val="00E00245"/>
    <w:rsid w:val="00E04EF0"/>
    <w:rsid w:val="00E04F03"/>
    <w:rsid w:val="00E0664D"/>
    <w:rsid w:val="00E12EF5"/>
    <w:rsid w:val="00E30278"/>
    <w:rsid w:val="00E3067A"/>
    <w:rsid w:val="00E42F48"/>
    <w:rsid w:val="00E505C2"/>
    <w:rsid w:val="00E54EB8"/>
    <w:rsid w:val="00E55CF1"/>
    <w:rsid w:val="00E75CB6"/>
    <w:rsid w:val="00E77D1F"/>
    <w:rsid w:val="00E815FE"/>
    <w:rsid w:val="00E85E40"/>
    <w:rsid w:val="00E925F5"/>
    <w:rsid w:val="00E959FF"/>
    <w:rsid w:val="00EB1496"/>
    <w:rsid w:val="00EB4D17"/>
    <w:rsid w:val="00EC22C5"/>
    <w:rsid w:val="00ED7515"/>
    <w:rsid w:val="00ED7928"/>
    <w:rsid w:val="00EE0090"/>
    <w:rsid w:val="00EF68B8"/>
    <w:rsid w:val="00F0192D"/>
    <w:rsid w:val="00F0563C"/>
    <w:rsid w:val="00F07A8E"/>
    <w:rsid w:val="00F11EBB"/>
    <w:rsid w:val="00F15702"/>
    <w:rsid w:val="00F23F22"/>
    <w:rsid w:val="00F2527C"/>
    <w:rsid w:val="00F3122D"/>
    <w:rsid w:val="00F3220C"/>
    <w:rsid w:val="00F35DFD"/>
    <w:rsid w:val="00F404CD"/>
    <w:rsid w:val="00F5032F"/>
    <w:rsid w:val="00F52439"/>
    <w:rsid w:val="00F52960"/>
    <w:rsid w:val="00F54DE3"/>
    <w:rsid w:val="00F574EA"/>
    <w:rsid w:val="00F64A8D"/>
    <w:rsid w:val="00F71CBE"/>
    <w:rsid w:val="00F7358F"/>
    <w:rsid w:val="00F8642A"/>
    <w:rsid w:val="00F87AD0"/>
    <w:rsid w:val="00F92748"/>
    <w:rsid w:val="00FA1975"/>
    <w:rsid w:val="00FA2DE0"/>
    <w:rsid w:val="00FA2E88"/>
    <w:rsid w:val="00FA7A21"/>
    <w:rsid w:val="00FC6D52"/>
    <w:rsid w:val="00FD196A"/>
    <w:rsid w:val="00FE11B8"/>
    <w:rsid w:val="00FE31D5"/>
    <w:rsid w:val="00FF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73D5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E0"/>
    <w:pPr>
      <w:keepNext/>
      <w:keepLines/>
      <w:spacing w:before="240" w:after="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9"/>
    <w:unhideWhenUsed/>
    <w:qFormat/>
    <w:rsid w:val="00FA2DE0"/>
    <w:pPr>
      <w:keepNext/>
      <w:keepLines/>
      <w:spacing w:before="200" w:after="8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A8E"/>
    <w:rPr>
      <w:color w:val="CC9900" w:themeColor="hyperlink"/>
      <w:u w:val="single"/>
    </w:rPr>
  </w:style>
  <w:style w:type="paragraph" w:styleId="Header">
    <w:name w:val="header"/>
    <w:basedOn w:val="Normal"/>
    <w:link w:val="HeaderChar"/>
    <w:uiPriority w:val="99"/>
    <w:unhideWhenUsed/>
    <w:rsid w:val="00F07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A8E"/>
  </w:style>
  <w:style w:type="paragraph" w:styleId="Footer">
    <w:name w:val="footer"/>
    <w:basedOn w:val="Normal"/>
    <w:link w:val="FooterChar"/>
    <w:uiPriority w:val="99"/>
    <w:unhideWhenUsed/>
    <w:rsid w:val="00F07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A8E"/>
  </w:style>
  <w:style w:type="character" w:styleId="CommentReference">
    <w:name w:val="annotation reference"/>
    <w:basedOn w:val="DefaultParagraphFont"/>
    <w:uiPriority w:val="99"/>
    <w:semiHidden/>
    <w:unhideWhenUsed/>
    <w:rsid w:val="007C71FC"/>
    <w:rPr>
      <w:sz w:val="16"/>
      <w:szCs w:val="16"/>
    </w:rPr>
  </w:style>
  <w:style w:type="paragraph" w:styleId="CommentText">
    <w:name w:val="annotation text"/>
    <w:basedOn w:val="Normal"/>
    <w:link w:val="CommentTextChar"/>
    <w:uiPriority w:val="99"/>
    <w:semiHidden/>
    <w:unhideWhenUsed/>
    <w:rsid w:val="007C71FC"/>
    <w:pPr>
      <w:spacing w:line="240" w:lineRule="auto"/>
    </w:pPr>
    <w:rPr>
      <w:sz w:val="20"/>
      <w:szCs w:val="20"/>
    </w:rPr>
  </w:style>
  <w:style w:type="character" w:customStyle="1" w:styleId="CommentTextChar">
    <w:name w:val="Comment Text Char"/>
    <w:basedOn w:val="DefaultParagraphFont"/>
    <w:link w:val="CommentText"/>
    <w:uiPriority w:val="99"/>
    <w:semiHidden/>
    <w:rsid w:val="007C71FC"/>
    <w:rPr>
      <w:sz w:val="20"/>
      <w:szCs w:val="20"/>
    </w:rPr>
  </w:style>
  <w:style w:type="paragraph" w:styleId="CommentSubject">
    <w:name w:val="annotation subject"/>
    <w:basedOn w:val="CommentText"/>
    <w:next w:val="CommentText"/>
    <w:link w:val="CommentSubjectChar"/>
    <w:uiPriority w:val="99"/>
    <w:semiHidden/>
    <w:unhideWhenUsed/>
    <w:rsid w:val="007C71FC"/>
    <w:rPr>
      <w:b/>
      <w:bCs/>
    </w:rPr>
  </w:style>
  <w:style w:type="character" w:customStyle="1" w:styleId="CommentSubjectChar">
    <w:name w:val="Comment Subject Char"/>
    <w:basedOn w:val="CommentTextChar"/>
    <w:link w:val="CommentSubject"/>
    <w:uiPriority w:val="99"/>
    <w:semiHidden/>
    <w:rsid w:val="007C71FC"/>
    <w:rPr>
      <w:b/>
      <w:bCs/>
      <w:sz w:val="20"/>
      <w:szCs w:val="20"/>
    </w:rPr>
  </w:style>
  <w:style w:type="paragraph" w:styleId="BalloonText">
    <w:name w:val="Balloon Text"/>
    <w:basedOn w:val="Normal"/>
    <w:link w:val="BalloonTextChar"/>
    <w:uiPriority w:val="99"/>
    <w:semiHidden/>
    <w:unhideWhenUsed/>
    <w:rsid w:val="007C7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FC"/>
    <w:rPr>
      <w:rFonts w:ascii="Segoe UI" w:hAnsi="Segoe UI" w:cs="Segoe UI"/>
      <w:sz w:val="18"/>
      <w:szCs w:val="18"/>
    </w:rPr>
  </w:style>
  <w:style w:type="paragraph" w:styleId="ListParagraph">
    <w:name w:val="List Paragraph"/>
    <w:basedOn w:val="Normal"/>
    <w:uiPriority w:val="34"/>
    <w:qFormat/>
    <w:rsid w:val="006D74FA"/>
    <w:pPr>
      <w:ind w:left="720"/>
      <w:contextualSpacing/>
    </w:pPr>
  </w:style>
  <w:style w:type="character" w:styleId="FollowedHyperlink">
    <w:name w:val="FollowedHyperlink"/>
    <w:basedOn w:val="DefaultParagraphFont"/>
    <w:uiPriority w:val="99"/>
    <w:semiHidden/>
    <w:unhideWhenUsed/>
    <w:rsid w:val="006124A7"/>
    <w:rPr>
      <w:color w:val="666699" w:themeColor="followedHyperlink"/>
      <w:u w:val="single"/>
    </w:rPr>
  </w:style>
  <w:style w:type="table" w:styleId="TableGrid">
    <w:name w:val="Table Grid"/>
    <w:basedOn w:val="TableNormal"/>
    <w:uiPriority w:val="39"/>
    <w:rsid w:val="0062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2DE0"/>
    <w:rPr>
      <w:rFonts w:asciiTheme="majorHAnsi" w:eastAsiaTheme="majorEastAsia" w:hAnsiTheme="majorHAnsi" w:cstheme="majorBidi"/>
      <w:b/>
      <w:caps/>
      <w:sz w:val="28"/>
      <w:szCs w:val="32"/>
    </w:rPr>
  </w:style>
  <w:style w:type="paragraph" w:styleId="Title">
    <w:name w:val="Title"/>
    <w:basedOn w:val="Normal"/>
    <w:next w:val="Normal"/>
    <w:link w:val="TitleChar"/>
    <w:uiPriority w:val="10"/>
    <w:qFormat/>
    <w:rsid w:val="00FA2DE0"/>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FA2DE0"/>
    <w:rPr>
      <w:rFonts w:asciiTheme="majorHAnsi" w:eastAsiaTheme="majorEastAsia" w:hAnsiTheme="majorHAnsi" w:cstheme="majorBidi"/>
      <w:b/>
      <w:spacing w:val="-10"/>
      <w:kern w:val="28"/>
      <w:sz w:val="40"/>
      <w:szCs w:val="56"/>
    </w:rPr>
  </w:style>
  <w:style w:type="character" w:customStyle="1" w:styleId="Heading2Char">
    <w:name w:val="Heading 2 Char"/>
    <w:basedOn w:val="DefaultParagraphFont"/>
    <w:link w:val="Heading2"/>
    <w:uiPriority w:val="9"/>
    <w:rsid w:val="00FA2DE0"/>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p@industry.gov.au" TargetMode="External"/><Relationship Id="rId4" Type="http://schemas.openxmlformats.org/officeDocument/2006/relationships/settings" Target="settings.xml"/><Relationship Id="rId9" Type="http://schemas.openxmlformats.org/officeDocument/2006/relationships/hyperlink" Target="http://www.industry.gov.au/a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6D6E-041E-42C9-9BE2-EE23B628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2025-02-28T03:32:00Z</dcterms:created>
  <dcterms:modified xsi:type="dcterms:W3CDTF">2025-02-28T03:32:00Z</dcterms:modified>
</cp:coreProperties>
</file>