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rPr>
        <w:id w:val="-1828208585"/>
        <w:docPartObj>
          <w:docPartGallery w:val="Cover Pages"/>
          <w:docPartUnique/>
        </w:docPartObj>
      </w:sdtPr>
      <w:sdtEndPr/>
      <w:sdtContent>
        <w:tbl>
          <w:tblPr>
            <w:tblW w:w="0" w:type="auto"/>
            <w:tblLook w:val="04A0" w:firstRow="1" w:lastRow="0" w:firstColumn="1" w:lastColumn="0" w:noHBand="0" w:noVBand="1"/>
          </w:tblPr>
          <w:tblGrid>
            <w:gridCol w:w="9026"/>
          </w:tblGrid>
          <w:tr w:rsidR="008C4ED8" w14:paraId="5DD426DC" w14:textId="77777777" w:rsidTr="00DF7B80">
            <w:trPr>
              <w:cantSplit/>
              <w:trHeight w:hRule="exact" w:val="2835"/>
            </w:trPr>
            <w:tc>
              <w:tcPr>
                <w:tcW w:w="9242" w:type="dxa"/>
              </w:tcPr>
              <w:p w14:paraId="048A94C6" w14:textId="799DCB9E" w:rsidR="001B1C6E" w:rsidRDefault="001B1C6E" w:rsidP="00A23DAD">
                <w:pPr>
                  <w:pStyle w:val="CoverNormal"/>
                  <w:rPr>
                    <w:rFonts w:ascii="Arial" w:hAnsi="Arial"/>
                  </w:rPr>
                </w:pPr>
                <w:r>
                  <w:rPr>
                    <w:noProof/>
                    <w:lang w:eastAsia="en-AU"/>
                  </w:rPr>
                  <w:drawing>
                    <wp:inline distT="0" distB="0" distL="0" distR="0" wp14:anchorId="35997465" wp14:editId="5B13143E">
                      <wp:extent cx="3832010" cy="603360"/>
                      <wp:effectExtent l="0" t="0" r="0" b="6350"/>
                      <wp:docPr id="10" name="Picture 10" descr="Picture contains the Office of the Chief Economist logo" title="Picture contains the 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2010" cy="603360"/>
                              </a:xfrm>
                              <a:prstGeom prst="rect">
                                <a:avLst/>
                              </a:prstGeom>
                            </pic:spPr>
                          </pic:pic>
                        </a:graphicData>
                      </a:graphic>
                    </wp:inline>
                  </w:drawing>
                </w:r>
              </w:p>
              <w:p w14:paraId="6295238C" w14:textId="77777777" w:rsidR="001B1C6E" w:rsidRDefault="001B1C6E" w:rsidP="001B1C6E">
                <w:pPr>
                  <w:pStyle w:val="CoverNormal"/>
                  <w:spacing w:before="600"/>
                  <w:rPr>
                    <w:b/>
                    <w:sz w:val="21"/>
                    <w:szCs w:val="21"/>
                  </w:rPr>
                </w:pPr>
              </w:p>
              <w:p w14:paraId="5DD426DB" w14:textId="1FB4606C" w:rsidR="008C4ED8" w:rsidRPr="001B1C6E" w:rsidRDefault="001B1C6E" w:rsidP="00F451D2">
                <w:pPr>
                  <w:pStyle w:val="CoverNormal"/>
                  <w:spacing w:before="600"/>
                  <w:rPr>
                    <w:b/>
                    <w:sz w:val="21"/>
                    <w:szCs w:val="21"/>
                  </w:rPr>
                </w:pPr>
                <w:r w:rsidRPr="001B1C6E">
                  <w:rPr>
                    <w:b/>
                    <w:sz w:val="21"/>
                    <w:szCs w:val="21"/>
                  </w:rPr>
                  <w:t xml:space="preserve">RESEARCH PAPER </w:t>
                </w:r>
                <w:r w:rsidR="00F451D2" w:rsidRPr="00F451D2">
                  <w:rPr>
                    <w:b/>
                    <w:sz w:val="21"/>
                    <w:szCs w:val="21"/>
                  </w:rPr>
                  <w:t>9</w:t>
                </w:r>
                <w:r w:rsidRPr="00F451D2">
                  <w:rPr>
                    <w:b/>
                    <w:sz w:val="21"/>
                    <w:szCs w:val="21"/>
                  </w:rPr>
                  <w:t>/</w:t>
                </w:r>
                <w:r w:rsidRPr="001B1C6E">
                  <w:rPr>
                    <w:b/>
                    <w:sz w:val="21"/>
                    <w:szCs w:val="21"/>
                  </w:rPr>
                  <w:t>2019</w:t>
                </w:r>
              </w:p>
            </w:tc>
          </w:tr>
          <w:tr w:rsidR="008C4ED8" w:rsidRPr="00E75A70" w14:paraId="5DD426DF" w14:textId="77777777" w:rsidTr="00DF7B80">
            <w:trPr>
              <w:cantSplit/>
            </w:trPr>
            <w:tc>
              <w:tcPr>
                <w:tcW w:w="9242" w:type="dxa"/>
              </w:tcPr>
              <w:bookmarkStart w:id="0" w:name="_GoBack" w:displacedByCustomXml="next"/>
              <w:sdt>
                <w:sdtPr>
                  <w:rPr>
                    <w:rStyle w:val="TitleHeadingChar"/>
                  </w:rPr>
                  <w:alias w:val="Title"/>
                  <w:tag w:val="Title"/>
                  <w:id w:val="448435143"/>
                  <w:placeholder>
                    <w:docPart w:val="0C51A58F579245D89E55A6FC3ED29617"/>
                  </w:placeholder>
                </w:sdtPr>
                <w:sdtEndPr>
                  <w:rPr>
                    <w:rStyle w:val="TitleHeadingChar"/>
                  </w:rPr>
                </w:sdtEndPr>
                <w:sdtContent>
                  <w:p w14:paraId="5DD426DD" w14:textId="518E8EE9" w:rsidR="008C4ED8" w:rsidRPr="00E75A70" w:rsidRDefault="008C4ED8" w:rsidP="0006256C">
                    <w:pPr>
                      <w:pStyle w:val="TitleHeading"/>
                      <w:rPr>
                        <w:rStyle w:val="TitleHeadingChar"/>
                      </w:rPr>
                    </w:pPr>
                    <w:r>
                      <w:rPr>
                        <w:rStyle w:val="TitleHeadingChar"/>
                      </w:rPr>
                      <w:t>Updates on Entrepreneurship Dynamics in Australia</w:t>
                    </w:r>
                  </w:p>
                </w:sdtContent>
              </w:sdt>
              <w:bookmarkEnd w:id="0"/>
              <w:p w14:paraId="5DD426DE" w14:textId="77777777" w:rsidR="008C4ED8" w:rsidRPr="00E75A70" w:rsidRDefault="008C4ED8" w:rsidP="00DF7B80">
                <w:pPr>
                  <w:pStyle w:val="CoverNormal"/>
                </w:pPr>
              </w:p>
            </w:tc>
          </w:tr>
          <w:tr w:rsidR="008C4ED8" w14:paraId="5DD426E2" w14:textId="77777777" w:rsidTr="00DF7B80">
            <w:trPr>
              <w:cantSplit/>
            </w:trPr>
            <w:tc>
              <w:tcPr>
                <w:tcW w:w="9242" w:type="dxa"/>
                <w:vAlign w:val="center"/>
              </w:tcPr>
              <w:p w14:paraId="5DD426E0" w14:textId="77777777" w:rsidR="008C4ED8" w:rsidRPr="00F12E30" w:rsidRDefault="008C4ED8" w:rsidP="00DF7B80">
                <w:pPr>
                  <w:pStyle w:val="Author"/>
                </w:pPr>
                <w:r>
                  <w:t>Sasan Bakhtiari</w:t>
                </w:r>
              </w:p>
              <w:p w14:paraId="5DD426E1" w14:textId="77777777" w:rsidR="008C4ED8" w:rsidRDefault="008C4ED8" w:rsidP="00DF7B80">
                <w:pPr>
                  <w:pStyle w:val="CoverNormal"/>
                </w:pPr>
              </w:p>
            </w:tc>
          </w:tr>
          <w:tr w:rsidR="008C4ED8" w14:paraId="5DD426E4" w14:textId="77777777" w:rsidTr="00DF7B80">
            <w:trPr>
              <w:cantSplit/>
            </w:trPr>
            <w:tc>
              <w:tcPr>
                <w:tcW w:w="9242" w:type="dxa"/>
                <w:vAlign w:val="center"/>
              </w:tcPr>
              <w:p w14:paraId="5DD426E3" w14:textId="5994EFC0" w:rsidR="008C4ED8" w:rsidRPr="001B1C6E" w:rsidRDefault="008C4ED8" w:rsidP="001B1C6E">
                <w:pPr>
                  <w:pStyle w:val="MonthYear"/>
                </w:pPr>
                <w:r w:rsidRPr="001B1C6E">
                  <w:fldChar w:fldCharType="begin"/>
                </w:r>
                <w:r w:rsidRPr="001B1C6E">
                  <w:instrText xml:space="preserve"> DATE  \@ "MMMM yyyy"  \* MERGEFORMAT </w:instrText>
                </w:r>
                <w:r w:rsidRPr="001B1C6E">
                  <w:fldChar w:fldCharType="separate"/>
                </w:r>
                <w:r w:rsidR="00CE1FDC">
                  <w:rPr>
                    <w:noProof/>
                  </w:rPr>
                  <w:t>December 2019</w:t>
                </w:r>
                <w:r w:rsidRPr="001B1C6E">
                  <w:fldChar w:fldCharType="end"/>
                </w:r>
              </w:p>
            </w:tc>
          </w:tr>
          <w:tr w:rsidR="008C4ED8" w14:paraId="5DD426EE" w14:textId="77777777" w:rsidTr="00DF7B80">
            <w:trPr>
              <w:cantSplit/>
            </w:trPr>
            <w:tc>
              <w:tcPr>
                <w:tcW w:w="9242" w:type="dxa"/>
              </w:tcPr>
              <w:p w14:paraId="5DD426E5" w14:textId="77777777" w:rsidR="008C4ED8" w:rsidRPr="00F12E30" w:rsidRDefault="008C4ED8" w:rsidP="00DF7B80">
                <w:pPr>
                  <w:pStyle w:val="ReportCoverInformation"/>
                </w:pPr>
                <w:r w:rsidRPr="00F12E30">
                  <w:t xml:space="preserve">For further information on this research paper please </w:t>
                </w:r>
                <w:r w:rsidRPr="00B91524">
                  <w:t xml:space="preserve">contact: </w:t>
                </w:r>
              </w:p>
              <w:p w14:paraId="5DD426E6" w14:textId="6EFED815" w:rsidR="008C4ED8" w:rsidRPr="00EC76AE" w:rsidRDefault="0097522B" w:rsidP="00DF7B80">
                <w:pPr>
                  <w:pStyle w:val="ReportCoverContact"/>
                </w:pPr>
                <w:r>
                  <w:t>Sasan Bakhtiari</w:t>
                </w:r>
              </w:p>
              <w:p w14:paraId="5DD426E7" w14:textId="2976C27C" w:rsidR="008C4ED8" w:rsidRPr="00EC76AE" w:rsidRDefault="009E5073" w:rsidP="00DF7B80">
                <w:pPr>
                  <w:pStyle w:val="ReportCoverContact"/>
                </w:pPr>
                <w:r>
                  <w:t>Insights and Evaluation -</w:t>
                </w:r>
                <w:r w:rsidR="0097522B">
                  <w:t xml:space="preserve"> Industry and Firm Analysis</w:t>
                </w:r>
              </w:p>
              <w:p w14:paraId="5DD426E8" w14:textId="77777777" w:rsidR="008C4ED8" w:rsidRPr="00B91524" w:rsidRDefault="008C4ED8" w:rsidP="00DF7B80">
                <w:pPr>
                  <w:pStyle w:val="ReportCoverContact"/>
                </w:pPr>
                <w:r>
                  <w:t>Department of Industry, Innovation and Science</w:t>
                </w:r>
              </w:p>
              <w:p w14:paraId="5DD426E9" w14:textId="77777777" w:rsidR="008C4ED8" w:rsidRPr="00EC76AE" w:rsidRDefault="008C4ED8" w:rsidP="00DF7B80">
                <w:pPr>
                  <w:pStyle w:val="ReportCoverContact"/>
                </w:pPr>
                <w:r w:rsidRPr="00EC76AE">
                  <w:t>GPO Box 9839</w:t>
                </w:r>
              </w:p>
              <w:p w14:paraId="5DD426EA" w14:textId="77777777" w:rsidR="008C4ED8" w:rsidRPr="00EC76AE" w:rsidRDefault="008C4ED8" w:rsidP="00DF7B80">
                <w:pPr>
                  <w:pStyle w:val="ReportCoverContact"/>
                </w:pPr>
                <w:r w:rsidRPr="00EC76AE">
                  <w:t>Canberra ACT 2601</w:t>
                </w:r>
              </w:p>
              <w:p w14:paraId="5DD426EB" w14:textId="77777777" w:rsidR="008C4ED8" w:rsidRPr="00EC76AE" w:rsidRDefault="008C4ED8" w:rsidP="00DF7B80">
                <w:pPr>
                  <w:pStyle w:val="ReportCoverContact"/>
                </w:pPr>
                <w:r w:rsidRPr="00EC76AE">
                  <w:t>Phone :</w:t>
                </w:r>
                <w:r w:rsidR="0097522B">
                  <w:t xml:space="preserve"> +61 2 9397 1639</w:t>
                </w:r>
              </w:p>
              <w:p w14:paraId="38398BB0" w14:textId="43109F4B" w:rsidR="009E5073" w:rsidRDefault="008C4ED8" w:rsidP="00DF7B80">
                <w:pPr>
                  <w:pStyle w:val="ReportCoverContact"/>
                </w:pPr>
                <w:r w:rsidRPr="00EC76AE">
                  <w:t xml:space="preserve">Email: </w:t>
                </w:r>
                <w:hyperlink r:id="rId13" w:history="1">
                  <w:r w:rsidR="009E5073" w:rsidRPr="006725D2">
                    <w:rPr>
                      <w:rStyle w:val="Hyperlink"/>
                    </w:rPr>
                    <w:t>sasan.bakhtiari@industry.gov.au</w:t>
                  </w:r>
                </w:hyperlink>
              </w:p>
              <w:p w14:paraId="5DD426ED" w14:textId="24A6A119" w:rsidR="008C4ED8" w:rsidRPr="009E5073" w:rsidRDefault="00BB302C" w:rsidP="00DF7B80">
                <w:pPr>
                  <w:pStyle w:val="ReportCoverContact"/>
                  <w:rPr>
                    <w:rFonts w:cs="Times New Roman"/>
                    <w:color w:val="005CAF"/>
                    <w:sz w:val="20"/>
                    <w:szCs w:val="20"/>
                  </w:rPr>
                </w:pPr>
                <w:hyperlink r:id="rId14" w:history="1">
                  <w:r w:rsidR="0000075D" w:rsidRPr="0000075D">
                    <w:rPr>
                      <w:rStyle w:val="Hyperlink"/>
                    </w:rPr>
                    <w:t>www.industry.gov.au/oce</w:t>
                  </w:r>
                </w:hyperlink>
              </w:p>
            </w:tc>
          </w:tr>
        </w:tbl>
        <w:p w14:paraId="5DD426EF" w14:textId="77777777" w:rsidR="008C4ED8" w:rsidRDefault="008C4ED8" w:rsidP="00DF7B80">
          <w:pPr>
            <w:pStyle w:val="CoverNormal"/>
          </w:pPr>
          <w:bookmarkStart w:id="1" w:name="TOC"/>
        </w:p>
        <w:p w14:paraId="5DD426F0" w14:textId="77777777" w:rsidR="008C4ED8" w:rsidRPr="00570F0F" w:rsidRDefault="00BB302C" w:rsidP="00654A2B">
          <w:pPr>
            <w:sectPr w:rsidR="008C4ED8" w:rsidRPr="00570F0F" w:rsidSect="00654A2B">
              <w:footerReference w:type="default" r:id="rId15"/>
              <w:pgSz w:w="11906" w:h="16838" w:code="9"/>
              <w:pgMar w:top="1440" w:right="1440" w:bottom="1440" w:left="1440" w:header="709" w:footer="709" w:gutter="0"/>
              <w:pgNumType w:fmt="lowerRoman" w:start="0"/>
              <w:cols w:space="708"/>
              <w:titlePg/>
              <w:docGrid w:linePitch="360"/>
            </w:sectPr>
          </w:pPr>
        </w:p>
        <w:bookmarkEnd w:id="1" w:displacedByCustomXml="next"/>
      </w:sdtContent>
    </w:sdt>
    <w:tbl>
      <w:tblPr>
        <w:tblW w:w="0" w:type="auto"/>
        <w:tblInd w:w="57" w:type="dxa"/>
        <w:shd w:val="clear" w:color="auto" w:fill="DEE8F1"/>
        <w:tblLayout w:type="fixed"/>
        <w:tblLook w:val="04A0" w:firstRow="1" w:lastRow="0" w:firstColumn="1" w:lastColumn="0" w:noHBand="0" w:noVBand="1"/>
      </w:tblPr>
      <w:tblGrid>
        <w:gridCol w:w="7007"/>
      </w:tblGrid>
      <w:tr w:rsidR="00E010CB" w14:paraId="5DD426F6" w14:textId="77777777" w:rsidTr="00830606">
        <w:tc>
          <w:tcPr>
            <w:tcW w:w="7007" w:type="dxa"/>
            <w:shd w:val="clear" w:color="auto" w:fill="DEE8F1"/>
          </w:tcPr>
          <w:p w14:paraId="5DD426F1" w14:textId="77777777" w:rsidR="00E010CB" w:rsidRPr="001835DD" w:rsidRDefault="00E010CB" w:rsidP="002B1844">
            <w:pPr>
              <w:pStyle w:val="Keypointsheader"/>
            </w:pPr>
            <w:r w:rsidRPr="00AC3DDE">
              <w:lastRenderedPageBreak/>
              <w:t>Key points</w:t>
            </w:r>
          </w:p>
          <w:p w14:paraId="0EBE8617" w14:textId="77777777" w:rsidR="00446FF2" w:rsidRDefault="000A72D6" w:rsidP="000A72D6">
            <w:pPr>
              <w:pStyle w:val="Keypointsbullet"/>
              <w:ind w:left="317" w:right="155" w:hanging="252"/>
            </w:pPr>
            <w:r>
              <w:t xml:space="preserve">The </w:t>
            </w:r>
            <w:r w:rsidR="00446FF2">
              <w:t>business</w:t>
            </w:r>
            <w:r>
              <w:t xml:space="preserve"> </w:t>
            </w:r>
            <w:r w:rsidR="00E010CB">
              <w:t xml:space="preserve">entry rate in Australia has </w:t>
            </w:r>
            <w:r>
              <w:t xml:space="preserve">followed a general downward trend since the early 2000s until </w:t>
            </w:r>
            <w:r w:rsidR="00F37A20">
              <w:t>2012</w:t>
            </w:r>
            <w:r w:rsidR="00F37A20">
              <w:rPr>
                <w:rFonts w:ascii="Arial" w:hAnsi="Arial"/>
              </w:rPr>
              <w:t>‒</w:t>
            </w:r>
            <w:r w:rsidR="008C2239">
              <w:t>13</w:t>
            </w:r>
            <w:r w:rsidR="00446FF2">
              <w:t>, but</w:t>
            </w:r>
            <w:r w:rsidR="00E010CB">
              <w:t xml:space="preserve"> </w:t>
            </w:r>
            <w:r w:rsidR="00CC1273">
              <w:t>has been</w:t>
            </w:r>
            <w:r w:rsidR="00E010CB">
              <w:t xml:space="preserve"> rising</w:t>
            </w:r>
            <w:r>
              <w:t xml:space="preserve"> since </w:t>
            </w:r>
            <w:r w:rsidR="00F37A20">
              <w:t>2013</w:t>
            </w:r>
            <w:r w:rsidR="00F37A20">
              <w:rPr>
                <w:rFonts w:cstheme="minorHAnsi"/>
              </w:rPr>
              <w:t>‒</w:t>
            </w:r>
            <w:r w:rsidR="008C2239">
              <w:t>14</w:t>
            </w:r>
            <w:r w:rsidR="00F37A20">
              <w:t xml:space="preserve">. </w:t>
            </w:r>
          </w:p>
          <w:p w14:paraId="5DD426F5" w14:textId="48A93869" w:rsidR="00E010CB" w:rsidRDefault="00E010CB" w:rsidP="002B1844">
            <w:pPr>
              <w:pStyle w:val="Keypointsbullet"/>
              <w:ind w:left="317" w:right="155" w:hanging="252"/>
            </w:pPr>
            <w:r>
              <w:t xml:space="preserve">The share of small young firms </w:t>
            </w:r>
            <w:r w:rsidR="000A72D6">
              <w:t xml:space="preserve">in </w:t>
            </w:r>
            <w:r>
              <w:t>net job creation has been constantly on the rise</w:t>
            </w:r>
            <w:r w:rsidR="000A72D6">
              <w:t xml:space="preserve">, with a noticeable increase in the five years to </w:t>
            </w:r>
            <w:r w:rsidR="00F37A20">
              <w:t>2014</w:t>
            </w:r>
            <w:r w:rsidR="00F37A20">
              <w:rPr>
                <w:rFonts w:cstheme="minorHAnsi"/>
              </w:rPr>
              <w:t>‒</w:t>
            </w:r>
            <w:r w:rsidR="000A72D6">
              <w:t xml:space="preserve">15 in line with the </w:t>
            </w:r>
            <w:r w:rsidR="004204BB">
              <w:t xml:space="preserve">recovery </w:t>
            </w:r>
            <w:r w:rsidR="000A72D6">
              <w:t xml:space="preserve">in the </w:t>
            </w:r>
            <w:r w:rsidR="00446FF2">
              <w:t>business</w:t>
            </w:r>
            <w:r w:rsidR="000A72D6">
              <w:t xml:space="preserve"> entry rate</w:t>
            </w:r>
            <w:r>
              <w:t>.</w:t>
            </w:r>
          </w:p>
        </w:tc>
      </w:tr>
    </w:tbl>
    <w:p w14:paraId="5DD426F7" w14:textId="77777777" w:rsidR="00DC5EFA" w:rsidRDefault="00DC5EFA" w:rsidP="00DC5EFA">
      <w:pPr>
        <w:pStyle w:val="BodyText"/>
      </w:pPr>
    </w:p>
    <w:p w14:paraId="5DD426F8" w14:textId="77777777" w:rsidR="00E010CB" w:rsidRDefault="00E010CB" w:rsidP="00DC5EFA">
      <w:pPr>
        <w:pStyle w:val="BodyText"/>
      </w:pPr>
    </w:p>
    <w:p w14:paraId="5DD426F9" w14:textId="77777777" w:rsidR="00154B4D" w:rsidRDefault="00154B4D">
      <w:pPr>
        <w:spacing w:after="200" w:line="276" w:lineRule="auto"/>
        <w:ind w:left="0"/>
        <w:jc w:val="left"/>
        <w:rPr>
          <w:rFonts w:asciiTheme="minorHAnsi" w:hAnsiTheme="minorHAnsi"/>
        </w:rPr>
      </w:pPr>
      <w:r>
        <w:br w:type="page"/>
      </w:r>
    </w:p>
    <w:p w14:paraId="5DD426FA" w14:textId="77777777" w:rsidR="00E010CB" w:rsidRDefault="00154B4D" w:rsidP="00154B4D">
      <w:pPr>
        <w:pStyle w:val="Heading1"/>
      </w:pPr>
      <w:r>
        <w:lastRenderedPageBreak/>
        <w:t>Background</w:t>
      </w:r>
    </w:p>
    <w:p w14:paraId="5DD426FB" w14:textId="23030F37" w:rsidR="00154B4D" w:rsidRDefault="00D70CA2" w:rsidP="00154B4D">
      <w:pPr>
        <w:pStyle w:val="BodyText"/>
      </w:pPr>
      <w:r>
        <w:t>Using an earlier versi</w:t>
      </w:r>
      <w:r w:rsidR="008E0585">
        <w:t>on of the BLADE, Bakhtiari (2019</w:t>
      </w:r>
      <w:r>
        <w:t>) shows the changing dynamics of Australian entrepreneurs.</w:t>
      </w:r>
      <w:r w:rsidR="008E0585">
        <w:t xml:space="preserve"> The main conclusion from the work is that over the period from 2005 to 2014 there has been a fall in entrepreneurship dynamics in terms of fewer entries and a higher probability of exit.</w:t>
      </w:r>
      <w:r w:rsidR="00F37A20">
        <w:rPr>
          <w:rStyle w:val="FootnoteReference"/>
        </w:rPr>
        <w:footnoteReference w:id="1"/>
      </w:r>
      <w:r w:rsidR="008C185A">
        <w:t xml:space="preserve"> Despite the deterioration in these conditions, the study shows that job creation among small young firms is str</w:t>
      </w:r>
      <w:r w:rsidR="0043777F">
        <w:t>o</w:t>
      </w:r>
      <w:r w:rsidR="008C185A">
        <w:t>ng and even increasing.</w:t>
      </w:r>
      <w:r w:rsidR="00216FAB">
        <w:t xml:space="preserve"> An update to the BLADE is providing a few more years for analysis. This report utilises those extra years to provide a more complete picture</w:t>
      </w:r>
      <w:r w:rsidR="00FE4C38">
        <w:t xml:space="preserve"> of firm entry and job creation among young firms</w:t>
      </w:r>
      <w:r w:rsidR="00216FAB">
        <w:t>.</w:t>
      </w:r>
    </w:p>
    <w:p w14:paraId="5DD426FD" w14:textId="77777777" w:rsidR="002F7213" w:rsidRDefault="002F7213" w:rsidP="002F7213">
      <w:pPr>
        <w:pStyle w:val="Heading1"/>
      </w:pPr>
      <w:r>
        <w:t>Firm Entry</w:t>
      </w:r>
    </w:p>
    <w:p w14:paraId="5DD426FE" w14:textId="7BB62C27" w:rsidR="002F7213" w:rsidRDefault="000C642B" w:rsidP="002F7213">
      <w:pPr>
        <w:pStyle w:val="BodyText"/>
      </w:pPr>
      <w:r>
        <w:t>Bakhtiari (2019</w:t>
      </w:r>
      <w:r w:rsidR="003A122E">
        <w:t>) finds a downward trend in firm entry that starts from around 2005. This report uses an update</w:t>
      </w:r>
      <w:r w:rsidR="000A72D6">
        <w:t>d</w:t>
      </w:r>
      <w:r w:rsidR="003A122E">
        <w:t xml:space="preserve"> version of the BLADE that extends the years to 2016. The entry rate computed from the BLADE </w:t>
      </w:r>
      <w:r w:rsidR="000A72D6">
        <w:t xml:space="preserve">as well as the official results reported </w:t>
      </w:r>
      <w:r w:rsidR="003A122E">
        <w:t>by the ABS in Catalogue Number 8165</w:t>
      </w:r>
      <w:r w:rsidR="000A72D6">
        <w:t>.0</w:t>
      </w:r>
      <w:r w:rsidR="003A122E">
        <w:t xml:space="preserve"> (Counts of Businesse</w:t>
      </w:r>
      <w:r w:rsidR="00F3595F">
        <w:t>s) are illustrated in</w:t>
      </w:r>
      <w:r w:rsidR="009B2F2E">
        <w:t xml:space="preserve"> Figure 2.1</w:t>
      </w:r>
      <w:r w:rsidR="003A122E">
        <w:t xml:space="preserve">. </w:t>
      </w:r>
    </w:p>
    <w:p w14:paraId="5DD426FF" w14:textId="3A7CEE39" w:rsidR="00F012D2" w:rsidRDefault="009B2F2E" w:rsidP="002E3BF9">
      <w:pPr>
        <w:pStyle w:val="Caption"/>
      </w:pPr>
      <w:r>
        <w:t xml:space="preserve">Figure 2.1 </w:t>
      </w:r>
      <w:r w:rsidR="00251E4F">
        <w:t>F</w:t>
      </w:r>
      <w:r w:rsidR="002E3BF9">
        <w:t xml:space="preserve">irm entry rate. </w:t>
      </w:r>
    </w:p>
    <w:p w14:paraId="59D10556" w14:textId="420A767F" w:rsidR="0047198F" w:rsidRDefault="0047198F" w:rsidP="0047198F">
      <w:pPr>
        <w:pStyle w:val="Placeholder"/>
      </w:pPr>
      <w:r w:rsidRPr="00992544">
        <w:rPr>
          <w:noProof/>
          <w:lang w:eastAsia="en-AU"/>
        </w:rPr>
        <w:drawing>
          <wp:inline distT="0" distB="0" distL="0" distR="0" wp14:anchorId="2670BB2F" wp14:editId="5BAB0A7A">
            <wp:extent cx="4543425" cy="2990850"/>
            <wp:effectExtent l="0" t="0" r="0" b="0"/>
            <wp:docPr id="1" name="Chart 1" descr="The firm entry rate from the BADE is falling from 16.8 per cent in 2003 to 11.2 per cent in 2013 and then starts to increase reaching 14.6 per cent in 2016. The netry rates from the ABS report stretch until 2018 and reach 15.8 per cent in 2018." title="Rate of firm en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7E3BD5" w14:textId="77777777" w:rsidR="0047198F" w:rsidRDefault="0047198F" w:rsidP="0047198F">
      <w:pPr>
        <w:pStyle w:val="Placeholder"/>
      </w:pPr>
    </w:p>
    <w:p w14:paraId="658C869F" w14:textId="0EEED594" w:rsidR="004A02D0" w:rsidRPr="004A02D0" w:rsidRDefault="004A02D0" w:rsidP="004A02D0">
      <w:pPr>
        <w:pStyle w:val="BodyText"/>
        <w:pBdr>
          <w:bottom w:val="single" w:sz="4" w:space="1" w:color="auto"/>
        </w:pBdr>
        <w:spacing w:after="0"/>
        <w:rPr>
          <w:color w:val="005CAF" w:themeColor="accent1"/>
          <w:sz w:val="18"/>
          <w:szCs w:val="18"/>
        </w:rPr>
      </w:pPr>
      <w:r w:rsidRPr="004A02D0">
        <w:rPr>
          <w:color w:val="005CAF" w:themeColor="accent1"/>
          <w:sz w:val="18"/>
          <w:szCs w:val="18"/>
        </w:rPr>
        <w:t>Note: The rate is the proportion of all entries in a year divided by the total number of firms in that year.</w:t>
      </w:r>
    </w:p>
    <w:p w14:paraId="174B3113" w14:textId="7FF90326" w:rsidR="003C55C8" w:rsidRPr="003C55C8" w:rsidRDefault="003C55C8" w:rsidP="003624FF">
      <w:pPr>
        <w:pStyle w:val="BodyText"/>
        <w:pBdr>
          <w:bottom w:val="single" w:sz="4" w:space="1" w:color="auto"/>
        </w:pBdr>
        <w:rPr>
          <w:color w:val="005CAF" w:themeColor="accent1"/>
          <w:sz w:val="18"/>
          <w:szCs w:val="18"/>
        </w:rPr>
      </w:pPr>
      <w:r w:rsidRPr="003C55C8">
        <w:rPr>
          <w:color w:val="005CAF" w:themeColor="accent1"/>
          <w:sz w:val="18"/>
          <w:szCs w:val="18"/>
        </w:rPr>
        <w:t>S</w:t>
      </w:r>
      <w:r w:rsidR="003B66EF">
        <w:rPr>
          <w:color w:val="005CAF" w:themeColor="accent1"/>
          <w:sz w:val="18"/>
          <w:szCs w:val="18"/>
        </w:rPr>
        <w:t>ource: BLADE and ABS Cat.No.8165.0</w:t>
      </w:r>
    </w:p>
    <w:p w14:paraId="5DD42700" w14:textId="3AA67028" w:rsidR="003A122E" w:rsidRDefault="003A122E" w:rsidP="002F7213">
      <w:pPr>
        <w:pStyle w:val="BodyText"/>
      </w:pPr>
      <w:r>
        <w:t xml:space="preserve">First of all, there are some differences in the entry rate computed from the BLADE from that reported by the ABS. When </w:t>
      </w:r>
      <w:r w:rsidR="000A72D6">
        <w:t xml:space="preserve">calculating </w:t>
      </w:r>
      <w:r>
        <w:t>the</w:t>
      </w:r>
      <w:r w:rsidR="000A72D6">
        <w:t xml:space="preserve"> firm</w:t>
      </w:r>
      <w:r>
        <w:t xml:space="preserve"> entry rate from the BLADE, entries in two sectors Financial Asset Investing (ANZSIC 6240) and Superannuation Funds (ANZSIC 6330) are ignored. Entries and </w:t>
      </w:r>
      <w:r>
        <w:lastRenderedPageBreak/>
        <w:t xml:space="preserve">exits in these two sectors are mostly about investment portfolios maturing and being reinvested and not about entrepreneurship. </w:t>
      </w:r>
      <w:r w:rsidR="009D2BF7">
        <w:t>All government sectors (ANZSICs 751</w:t>
      </w:r>
      <w:r w:rsidR="009D2BF7">
        <w:rPr>
          <w:rFonts w:cstheme="minorHAnsi"/>
        </w:rPr>
        <w:t>‒</w:t>
      </w:r>
      <w:r w:rsidR="001C544E">
        <w:t>772 and 621)</w:t>
      </w:r>
      <w:r w:rsidR="00EF0306">
        <w:t xml:space="preserve"> are also </w:t>
      </w:r>
      <w:r w:rsidR="00C670BD">
        <w:t>excluded from the statistics.</w:t>
      </w:r>
    </w:p>
    <w:p w14:paraId="5DD42701" w14:textId="77777777" w:rsidR="006275A3" w:rsidRDefault="006275A3" w:rsidP="002F7213">
      <w:pPr>
        <w:pStyle w:val="BodyText"/>
      </w:pPr>
      <w:r>
        <w:t xml:space="preserve">Despite the discrepancies in numbers, the trends from the BLADE and the ABS are almost in parallel. </w:t>
      </w:r>
    </w:p>
    <w:p w14:paraId="5DD42702" w14:textId="04A20628" w:rsidR="006275A3" w:rsidRDefault="006275A3" w:rsidP="002F7213">
      <w:pPr>
        <w:pStyle w:val="BodyText"/>
      </w:pPr>
      <w:r>
        <w:t xml:space="preserve">In particular, firm entry rate starts dropping from the early years and hits its </w:t>
      </w:r>
      <w:r w:rsidR="000A72D6">
        <w:t xml:space="preserve">trough </w:t>
      </w:r>
      <w:r>
        <w:t>in 2013. After 2013, the trend changes direction and firm entry rate starts increasing. Most of the drop in firm entry has recovered by 2016 (from the BLADE). However, the firm entry rate in 2016 is still about two percentage points below that of the 2003.</w:t>
      </w:r>
    </w:p>
    <w:p w14:paraId="5DD42704" w14:textId="77777777" w:rsidR="002F7213" w:rsidRDefault="002F7213" w:rsidP="002F7213">
      <w:pPr>
        <w:pStyle w:val="Heading1"/>
      </w:pPr>
      <w:r>
        <w:t>Share of Net Job Creation</w:t>
      </w:r>
    </w:p>
    <w:p w14:paraId="5DD42705" w14:textId="77777777" w:rsidR="00210B35" w:rsidRDefault="000C642B" w:rsidP="00C041F8">
      <w:pPr>
        <w:pStyle w:val="BodyText"/>
      </w:pPr>
      <w:r>
        <w:t>Bakhtiari (2019</w:t>
      </w:r>
      <w:r w:rsidR="00210B35">
        <w:t>) also shows that small young firms are the engine of net jobs growth in Australia. Pooling data from 2002 to 2014, he finds that about 80 per cent of net job creation has been the contribution by small young firms. Net job creation among small mature firms and large firms practically offset each other and only account for about 20 per cent of the total.</w:t>
      </w:r>
    </w:p>
    <w:p w14:paraId="5DD42706" w14:textId="56D2D0F2" w:rsidR="00A970A2" w:rsidRDefault="00A970A2" w:rsidP="00C041F8">
      <w:pPr>
        <w:pStyle w:val="BodyText"/>
      </w:pPr>
      <w:r>
        <w:t>Using the updated BLADE, this report explores whether the contributing share of small young firms to net job creation has been steady, increasing or decreasing over the years. To bypass noise and short</w:t>
      </w:r>
      <w:r w:rsidR="000A72D6">
        <w:t>-</w:t>
      </w:r>
      <w:r>
        <w:t>term economic effects, the net job creation shares are computed using a sliding five-year window.</w:t>
      </w:r>
    </w:p>
    <w:p w14:paraId="5DD42707" w14:textId="3C85DC61" w:rsidR="00C041F8" w:rsidRDefault="006A7040" w:rsidP="00C041F8">
      <w:pPr>
        <w:pStyle w:val="BodyText"/>
      </w:pPr>
      <w:r>
        <w:t>T</w:t>
      </w:r>
      <w:r w:rsidR="00E65B3F">
        <w:t>he share of small young firms from net job creation is illustrated in</w:t>
      </w:r>
      <w:r w:rsidR="00C51EDE">
        <w:t xml:space="preserve"> </w:t>
      </w:r>
      <w:r w:rsidR="009B2F2E">
        <w:t>Figure 3.1</w:t>
      </w:r>
      <w:r w:rsidR="00D70CA2">
        <w:t>. For this purpo</w:t>
      </w:r>
      <w:r w:rsidR="00DA1967">
        <w:t>se, firms are divided into five</w:t>
      </w:r>
      <w:r w:rsidR="00D70CA2">
        <w:t xml:space="preserve"> groups</w:t>
      </w:r>
      <w:r w:rsidR="00536AC5">
        <w:t xml:space="preserve">. This categorisation is more detailed than the one used </w:t>
      </w:r>
      <w:r w:rsidR="000C642B">
        <w:t>in Bakhtiari (2019</w:t>
      </w:r>
      <w:r w:rsidR="00653D7F">
        <w:t>)</w:t>
      </w:r>
      <w:r w:rsidR="00016C35">
        <w:t xml:space="preserve"> and is to provide a better inside into the contributions to job creation at different stages of a firm. </w:t>
      </w:r>
      <w:r w:rsidR="00FB10D4">
        <w:t>The categories showcased here are: Small firms at age zero (year of birth),</w:t>
      </w:r>
      <w:r w:rsidR="00D70CA2">
        <w:t xml:space="preserve"> Small Young firms</w:t>
      </w:r>
      <w:r w:rsidR="00FB10D4">
        <w:t xml:space="preserve"> (ages 1</w:t>
      </w:r>
      <w:r w:rsidR="00FB10D4">
        <w:rPr>
          <w:rFonts w:cstheme="minorHAnsi"/>
        </w:rPr>
        <w:t>‒</w:t>
      </w:r>
      <w:r w:rsidR="00FB10D4">
        <w:t>3)</w:t>
      </w:r>
      <w:r w:rsidR="00D70CA2">
        <w:t>, Small Mature firms</w:t>
      </w:r>
      <w:r w:rsidR="00FB10D4">
        <w:t xml:space="preserve"> (ages 4+)</w:t>
      </w:r>
      <w:r w:rsidR="00D70CA2">
        <w:t xml:space="preserve">, </w:t>
      </w:r>
      <w:r w:rsidR="00FB10D4">
        <w:t xml:space="preserve">Medium-sized firms, </w:t>
      </w:r>
      <w:r w:rsidR="00D70CA2">
        <w:t xml:space="preserve">and Large firms. Small is defined as the firm having fewer than 20 full-time equivalent employees </w:t>
      </w:r>
      <w:r w:rsidR="0078600F">
        <w:t xml:space="preserve">(FTE) </w:t>
      </w:r>
      <w:r w:rsidR="00D70CA2">
        <w:t xml:space="preserve">in the first year observed. </w:t>
      </w:r>
      <w:r w:rsidR="00292460">
        <w:t>M</w:t>
      </w:r>
      <w:r w:rsidR="00040A9C">
        <w:t>edium-sized are</w:t>
      </w:r>
      <w:r w:rsidR="00292460">
        <w:t xml:space="preserve"> firms whose FTE is between 20</w:t>
      </w:r>
      <w:r w:rsidR="00292460">
        <w:rPr>
          <w:rFonts w:cstheme="minorHAnsi"/>
        </w:rPr>
        <w:t xml:space="preserve"> and </w:t>
      </w:r>
      <w:r w:rsidR="00292460">
        <w:t xml:space="preserve">200. </w:t>
      </w:r>
      <w:r w:rsidR="0078600F">
        <w:t xml:space="preserve">The definition of young firms in this study follows that of </w:t>
      </w:r>
      <w:r w:rsidR="0080140C">
        <w:t>Bakhtiari (201</w:t>
      </w:r>
      <w:r w:rsidR="0043777F">
        <w:t>9</w:t>
      </w:r>
      <w:r w:rsidR="0080140C">
        <w:t xml:space="preserve">) </w:t>
      </w:r>
      <w:r w:rsidR="0078600F">
        <w:t xml:space="preserve">which </w:t>
      </w:r>
      <w:r w:rsidR="0080140C">
        <w:t>shows that after the third year, job creation and destruction among firms converges to that of the more mature firms.</w:t>
      </w:r>
    </w:p>
    <w:p w14:paraId="1CA48094" w14:textId="77777777" w:rsidR="001E33B0" w:rsidRDefault="001E33B0" w:rsidP="001E33B0">
      <w:pPr>
        <w:pStyle w:val="BodyText"/>
      </w:pPr>
      <w:r>
        <w:t>As explained earlier, sliding window of years with the width of five years is applied. In each case the net job creation among each category is computed. The share of small young firms from the total net job creation from the total sum is computed and plotted.</w:t>
      </w:r>
    </w:p>
    <w:p w14:paraId="3CCDFA35" w14:textId="3F6CC8E4" w:rsidR="00CA1CA3" w:rsidRDefault="00CA1CA3" w:rsidP="00CA1CA3">
      <w:pPr>
        <w:pStyle w:val="BodyText"/>
      </w:pPr>
      <w:r>
        <w:t>The first important observation is that most of the jobs added by young firms are happening in the first year of birth. In one year, that is the year of birth, these firms add more jobs than in the whole of the following three years. As is inferred from this finding, and in-line with the evidence from Bakhtiari (2019), job creation among young firms quickly tapers off with age. This pattern has consistently hel</w:t>
      </w:r>
      <w:r w:rsidR="00151996">
        <w:t>d, and is becoming even more nuanced</w:t>
      </w:r>
      <w:r w:rsidR="005F7CC0">
        <w:t xml:space="preserve"> over the more recent years</w:t>
      </w:r>
      <w:r>
        <w:t>.</w:t>
      </w:r>
    </w:p>
    <w:p w14:paraId="5DD42708" w14:textId="77777777" w:rsidR="009E4FDB" w:rsidRDefault="009E4FDB" w:rsidP="00C041F8">
      <w:pPr>
        <w:pStyle w:val="BodyText"/>
      </w:pPr>
    </w:p>
    <w:p w14:paraId="0C68F514" w14:textId="50A105E7" w:rsidR="00C72045" w:rsidRDefault="006A5863" w:rsidP="00F3595F">
      <w:pPr>
        <w:pStyle w:val="Caption"/>
        <w:rPr>
          <w:noProof/>
          <w:lang w:eastAsia="en-AU"/>
        </w:rPr>
      </w:pPr>
      <w:r>
        <w:lastRenderedPageBreak/>
        <w:t xml:space="preserve">Figure 3.1 </w:t>
      </w:r>
      <w:r w:rsidR="00F3595F">
        <w:t xml:space="preserve">The share of small young firms </w:t>
      </w:r>
      <w:r w:rsidR="008C2239">
        <w:t xml:space="preserve">in </w:t>
      </w:r>
      <w:r w:rsidR="00F3595F">
        <w:t>total net job creation.</w:t>
      </w:r>
      <w:r w:rsidR="00C72045" w:rsidRPr="00C72045">
        <w:rPr>
          <w:noProof/>
          <w:lang w:eastAsia="en-AU"/>
        </w:rPr>
        <w:t xml:space="preserve"> </w:t>
      </w:r>
    </w:p>
    <w:p w14:paraId="5DD42709" w14:textId="318EC786" w:rsidR="009E4FDB" w:rsidRDefault="00C72045" w:rsidP="00F3595F">
      <w:pPr>
        <w:pStyle w:val="Caption"/>
      </w:pPr>
      <w:r w:rsidRPr="00E14C3B">
        <w:rPr>
          <w:noProof/>
          <w:color w:val="373737"/>
          <w:lang w:eastAsia="en-AU"/>
        </w:rPr>
        <w:drawing>
          <wp:inline distT="0" distB="0" distL="0" distR="0" wp14:anchorId="537A11CF" wp14:editId="4BBDE3B4">
            <wp:extent cx="4377690" cy="3124200"/>
            <wp:effectExtent l="0" t="0" r="3810" b="0"/>
            <wp:docPr id="4" name="Chart 4" descr="The share of small firms from net job creation is increasing over the years from 67 per cent of toal in 2004-2009 window to 125 per cent in 2010-2015 window. The latter number is large rthan 100 per cent because other firms had a net job destruction. Firms at age zero (year of birth) have a larger contribution to net job creation." title="The share of small firms from total job cre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D4270A" w14:textId="1B6981AE" w:rsidR="009E4FDB" w:rsidRPr="003C55C8" w:rsidRDefault="00ED78CB" w:rsidP="00290E61">
      <w:pPr>
        <w:pStyle w:val="BodyText"/>
        <w:pBdr>
          <w:bottom w:val="single" w:sz="4" w:space="1" w:color="auto"/>
        </w:pBdr>
        <w:rPr>
          <w:color w:val="005CAF" w:themeColor="accent1"/>
          <w:sz w:val="18"/>
          <w:szCs w:val="18"/>
        </w:rPr>
      </w:pPr>
      <w:r w:rsidRPr="003C55C8">
        <w:rPr>
          <w:color w:val="005CAF" w:themeColor="accent1"/>
          <w:sz w:val="18"/>
          <w:szCs w:val="18"/>
        </w:rPr>
        <w:t>Source: Dept. of Industry, Innovation and Science (2019)</w:t>
      </w:r>
    </w:p>
    <w:p w14:paraId="5DD4270E" w14:textId="270BB515" w:rsidR="00C041F8" w:rsidRDefault="008443AB" w:rsidP="00C041F8">
      <w:pPr>
        <w:pStyle w:val="BodyText"/>
      </w:pPr>
      <w:r>
        <w:t>T</w:t>
      </w:r>
      <w:r w:rsidR="005D1E79">
        <w:t xml:space="preserve">he results </w:t>
      </w:r>
      <w:r>
        <w:t xml:space="preserve">also </w:t>
      </w:r>
      <w:r w:rsidR="005D1E79">
        <w:t>s</w:t>
      </w:r>
      <w:r>
        <w:t>how that</w:t>
      </w:r>
      <w:r w:rsidR="005D1E79">
        <w:t xml:space="preserve"> the share of small young firms from total net job creation has been monotonically increasing over time. During </w:t>
      </w:r>
      <w:r w:rsidR="005E0110">
        <w:t xml:space="preserve">the </w:t>
      </w:r>
      <w:r w:rsidR="005D1E79">
        <w:t>2004–2009 period, close to 65 per cent of all the jobs added to the economy were generated by small young firms</w:t>
      </w:r>
      <w:r w:rsidR="0010788F">
        <w:t xml:space="preserve"> (adding up ages 0 to 3)</w:t>
      </w:r>
      <w:r w:rsidR="005D1E79">
        <w:t xml:space="preserve">. During 2006 to 2011 and 2008 to 2013, this share is </w:t>
      </w:r>
      <w:r w:rsidR="00420A5F">
        <w:t>between 80 to</w:t>
      </w:r>
      <w:r w:rsidR="005D1E79">
        <w:t xml:space="preserve"> 90 per cent</w:t>
      </w:r>
      <w:r w:rsidR="000C74E3">
        <w:t xml:space="preserve"> (ages 0 to 3 included)</w:t>
      </w:r>
      <w:r w:rsidR="005D1E79">
        <w:t>.</w:t>
      </w:r>
    </w:p>
    <w:p w14:paraId="45C29FC8" w14:textId="6667054A" w:rsidR="004A0EE3" w:rsidRDefault="005D1E79" w:rsidP="00C041F8">
      <w:pPr>
        <w:pStyle w:val="BodyText"/>
      </w:pPr>
      <w:r>
        <w:t>For the period 2010 to 2015, the share of small young firms from total job creation is about 125 per cent</w:t>
      </w:r>
      <w:r w:rsidR="008E283C">
        <w:t xml:space="preserve"> (ages 0 to 3 included)</w:t>
      </w:r>
      <w:r>
        <w:t>. During this period, small mature firms destroy</w:t>
      </w:r>
      <w:r w:rsidR="00444C40">
        <w:t>ed</w:t>
      </w:r>
      <w:r>
        <w:t xml:space="preserve"> more jobs than large firms add</w:t>
      </w:r>
      <w:r w:rsidR="00444C40">
        <w:t>ed</w:t>
      </w:r>
      <w:r>
        <w:t>, so the net effect in the absence of small young firms is negative</w:t>
      </w:r>
      <w:r w:rsidR="0041703E">
        <w:t xml:space="preserve"> (</w:t>
      </w:r>
      <w:r w:rsidR="006A5863">
        <w:t>Figure 3.2</w:t>
      </w:r>
      <w:r w:rsidR="0041703E">
        <w:t>)</w:t>
      </w:r>
      <w:r>
        <w:t xml:space="preserve">. </w:t>
      </w:r>
      <w:r w:rsidR="004A0EE3">
        <w:t xml:space="preserve">Most of the job losses by small mature firms have </w:t>
      </w:r>
      <w:r w:rsidR="00193448">
        <w:t xml:space="preserve">been </w:t>
      </w:r>
      <w:r w:rsidR="004A0EE3">
        <w:t>through downsizing; only about 3 per cent of these job losses are due to exit by small mature firms.</w:t>
      </w:r>
    </w:p>
    <w:p w14:paraId="18878F20" w14:textId="6F6357A5" w:rsidR="00856159" w:rsidRDefault="00856159" w:rsidP="00C041F8">
      <w:pPr>
        <w:pStyle w:val="BodyText"/>
      </w:pPr>
      <w:r>
        <w:t>M</w:t>
      </w:r>
      <w:r w:rsidR="00E54763">
        <w:t>ed</w:t>
      </w:r>
      <w:r w:rsidR="008338F0">
        <w:t>ium and large firms are adding</w:t>
      </w:r>
      <w:r w:rsidR="00E54763">
        <w:t xml:space="preserve"> a </w:t>
      </w:r>
      <w:r w:rsidR="003823DB">
        <w:t>lot of</w:t>
      </w:r>
      <w:r w:rsidR="008338F0">
        <w:t xml:space="preserve"> </w:t>
      </w:r>
      <w:r w:rsidR="00E54763">
        <w:t xml:space="preserve">jobs. </w:t>
      </w:r>
      <w:r>
        <w:t>However, two things are happening during the last peri</w:t>
      </w:r>
      <w:r w:rsidR="002F333D">
        <w:t>od in</w:t>
      </w:r>
      <w:r w:rsidR="006A5863">
        <w:t xml:space="preserve"> Figure 3.2</w:t>
      </w:r>
      <w:r>
        <w:t>. First, the number of jobs add</w:t>
      </w:r>
      <w:r w:rsidR="009D3F5F">
        <w:t>ed by medium and large</w:t>
      </w:r>
      <w:r>
        <w:t xml:space="preserve"> firms, and also by small young firms, has dropped. The full pace of job creation is slowing down.</w:t>
      </w:r>
    </w:p>
    <w:p w14:paraId="5DD4270F" w14:textId="53DC029F" w:rsidR="005D1E79" w:rsidRDefault="00856159" w:rsidP="00C041F8">
      <w:pPr>
        <w:pStyle w:val="BodyText"/>
      </w:pPr>
      <w:r>
        <w:t>The second issue is that, during this last period, the total number of jobs added by</w:t>
      </w:r>
      <w:r w:rsidR="00AC6AA1">
        <w:t xml:space="preserve"> medium and large firms is not enough to fully offset the negative impact of small mature firms. </w:t>
      </w:r>
      <w:r w:rsidR="005D1E79">
        <w:t xml:space="preserve">Small </w:t>
      </w:r>
      <w:r w:rsidR="00444C40">
        <w:t xml:space="preserve">young firms </w:t>
      </w:r>
      <w:r w:rsidR="00E54763">
        <w:t xml:space="preserve">are </w:t>
      </w:r>
      <w:r w:rsidR="00AC6AA1">
        <w:t xml:space="preserve">not only covering the gap but also adding jobs on top of that. </w:t>
      </w:r>
      <w:r w:rsidR="005D1E79">
        <w:t>That is the reason their contribution is higher than hundred per cent.</w:t>
      </w:r>
    </w:p>
    <w:p w14:paraId="2499DBAE" w14:textId="55649A9F" w:rsidR="00ED78CB" w:rsidRDefault="00ED78CB" w:rsidP="00C041F8">
      <w:pPr>
        <w:pStyle w:val="BodyText"/>
      </w:pPr>
    </w:p>
    <w:p w14:paraId="45D93A97" w14:textId="06F95DB1" w:rsidR="00ED78CB" w:rsidRDefault="006A5863" w:rsidP="00290E61">
      <w:pPr>
        <w:pStyle w:val="Caption"/>
      </w:pPr>
      <w:r>
        <w:lastRenderedPageBreak/>
        <w:t>Figure 3.2</w:t>
      </w:r>
      <w:r w:rsidR="00AF1E8F">
        <w:t xml:space="preserve"> </w:t>
      </w:r>
      <w:r w:rsidR="00290E61">
        <w:t>Net job creation (destruction) by different types of firms.</w:t>
      </w:r>
    </w:p>
    <w:p w14:paraId="63C728DB" w14:textId="40EF73E8" w:rsidR="00C73CEE" w:rsidRDefault="00722076" w:rsidP="00C73CEE">
      <w:pPr>
        <w:pStyle w:val="Placeholder"/>
      </w:pPr>
      <w:r>
        <w:rPr>
          <w:noProof/>
          <w:lang w:eastAsia="en-AU"/>
        </w:rPr>
        <w:drawing>
          <wp:inline distT="0" distB="0" distL="0" distR="0" wp14:anchorId="6377498F" wp14:editId="7D8AE3B5">
            <wp:extent cx="4482465" cy="3524250"/>
            <wp:effectExtent l="0" t="0" r="0" b="0"/>
            <wp:docPr id="2" name="Chart 2" descr="A large share of job creation happens in medium and large firms, but most of that is offset by net job destruction in small mature firms. As a result, small young firms are the main contributers to net job creation. However, the overall number of jobs created by each group of firms dropped from 2004-2009 window to 2010-2015 window." title="Net job creation by type of firm"/>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28F19D" w14:textId="77777777" w:rsidR="00C73CEE" w:rsidRDefault="00C73CEE" w:rsidP="00C73CEE">
      <w:pPr>
        <w:pStyle w:val="Placeholder"/>
      </w:pPr>
    </w:p>
    <w:p w14:paraId="5DD42710" w14:textId="025C2DF6" w:rsidR="000F369E" w:rsidRPr="00662319" w:rsidRDefault="00290E61" w:rsidP="00662319">
      <w:pPr>
        <w:pStyle w:val="BodyText"/>
        <w:pBdr>
          <w:bottom w:val="single" w:sz="4" w:space="1" w:color="auto"/>
        </w:pBdr>
        <w:rPr>
          <w:color w:val="005CAF" w:themeColor="accent1"/>
          <w:sz w:val="18"/>
          <w:szCs w:val="18"/>
        </w:rPr>
      </w:pPr>
      <w:r w:rsidRPr="00662319">
        <w:rPr>
          <w:color w:val="005CAF" w:themeColor="accent1"/>
          <w:sz w:val="18"/>
          <w:szCs w:val="18"/>
        </w:rPr>
        <w:t>Source: Dept. of Industry, Innovation and Science (2019)</w:t>
      </w:r>
    </w:p>
    <w:p w14:paraId="2395986C" w14:textId="77777777" w:rsidR="00290E61" w:rsidRDefault="00290E61" w:rsidP="00C041F8">
      <w:pPr>
        <w:pStyle w:val="BodyText"/>
      </w:pPr>
    </w:p>
    <w:p w14:paraId="5DD42711" w14:textId="77777777" w:rsidR="008E0B32" w:rsidRDefault="008E0B32" w:rsidP="008E0B32">
      <w:pPr>
        <w:pStyle w:val="Heading1"/>
      </w:pPr>
      <w:r>
        <w:t>Conclusion</w:t>
      </w:r>
    </w:p>
    <w:p w14:paraId="5DD42712" w14:textId="6C9D242C" w:rsidR="008E0B32" w:rsidRDefault="000A72D6" w:rsidP="008E0B32">
      <w:pPr>
        <w:pStyle w:val="BodyText"/>
      </w:pPr>
      <w:r>
        <w:t>E</w:t>
      </w:r>
      <w:r w:rsidR="008E0B32">
        <w:t>ntrepreneurship</w:t>
      </w:r>
      <w:r>
        <w:t xml:space="preserve"> in Australia</w:t>
      </w:r>
      <w:r w:rsidR="008E0B32">
        <w:t xml:space="preserve"> experience</w:t>
      </w:r>
      <w:r>
        <w:t>d</w:t>
      </w:r>
      <w:r w:rsidR="00133EA4">
        <w:t xml:space="preserve"> a period of </w:t>
      </w:r>
      <w:r w:rsidR="00046204">
        <w:t xml:space="preserve">rather steep </w:t>
      </w:r>
      <w:r w:rsidR="00133EA4">
        <w:t>decline from 200</w:t>
      </w:r>
      <w:r w:rsidR="00046204">
        <w:t>5</w:t>
      </w:r>
      <w:r w:rsidR="008E0B32">
        <w:t xml:space="preserve"> to 2014. </w:t>
      </w:r>
      <w:r w:rsidR="008C2239">
        <w:t xml:space="preserve">This is similar to the trend observed in many other countries. </w:t>
      </w:r>
      <w:r w:rsidR="008E0B32">
        <w:t xml:space="preserve">After 2014, entrepreneurship and job creation among small young </w:t>
      </w:r>
      <w:r w:rsidR="008C2239">
        <w:t xml:space="preserve">Australian </w:t>
      </w:r>
      <w:r w:rsidR="008E0B32">
        <w:t>firms has constantly improved. By the BLADE account, the level of firm entry in 2016 is still below that of 2003. Further updates to the data can show wh</w:t>
      </w:r>
      <w:r w:rsidR="00BA32F3">
        <w:t>e</w:t>
      </w:r>
      <w:r w:rsidR="008E0B32">
        <w:t>ther a full recovery is taking place or not.</w:t>
      </w:r>
    </w:p>
    <w:p w14:paraId="3EB8B50F" w14:textId="77777777" w:rsidR="0052005C" w:rsidRDefault="0052005C" w:rsidP="0052005C">
      <w:pPr>
        <w:pStyle w:val="AgendaTableColHeading0"/>
      </w:pPr>
      <w:r>
        <w:t>Disclaimer</w:t>
      </w:r>
    </w:p>
    <w:p w14:paraId="4F06C47C" w14:textId="77777777" w:rsidR="0052005C" w:rsidRPr="00E41C57" w:rsidRDefault="0052005C" w:rsidP="001B1C6E">
      <w:pPr>
        <w:pStyle w:val="DisclaimerandAcknowledgement"/>
        <w:ind w:left="0"/>
      </w:pPr>
      <w:r w:rsidRPr="00597605">
        <w:t xml:space="preserve">The results of these studies are based, in part, on ABR data supplied by the Registrar to the ABS under A New Tax System (Australian Business Number) Act 1999 and tax data supplied by the ATO to the ABS under the Taxation Administration Act 1953. These require that such </w:t>
      </w:r>
      <w:r w:rsidRPr="00A532A1">
        <w:t xml:space="preserve">data is only used for the purpose of carrying out functions of the ABS. No individual information collected under the </w:t>
      </w:r>
      <w:r w:rsidRPr="008E041A">
        <w:t>Census and Statistics Act 1905 is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w:t>
      </w:r>
      <w:r w:rsidRPr="007C5A95">
        <w:t>05, results have been confidentialised to ensure that they are not likely to enable identification of a particular person or organisation.</w:t>
      </w:r>
    </w:p>
    <w:p w14:paraId="5B09702F" w14:textId="77777777" w:rsidR="001B1C6E" w:rsidRDefault="001B1C6E" w:rsidP="001B1C6E">
      <w:pPr>
        <w:pStyle w:val="DisclaimerandAcknowledgement"/>
        <w:ind w:left="0"/>
        <w:rPr>
          <w:rFonts w:eastAsia="Times New Roman"/>
          <w:b/>
          <w:color w:val="005CAF"/>
          <w:sz w:val="32"/>
          <w:szCs w:val="20"/>
        </w:rPr>
      </w:pPr>
      <w:r>
        <w:rPr>
          <w:b/>
        </w:rPr>
        <w:br w:type="page"/>
      </w:r>
    </w:p>
    <w:p w14:paraId="5DD42714" w14:textId="4F8922D0" w:rsidR="000F369E" w:rsidRDefault="000F369E" w:rsidP="000F369E">
      <w:pPr>
        <w:pStyle w:val="AbstractHeader"/>
        <w:rPr>
          <w:b/>
        </w:rPr>
      </w:pPr>
      <w:r w:rsidRPr="000F369E">
        <w:rPr>
          <w:b/>
        </w:rPr>
        <w:lastRenderedPageBreak/>
        <w:t>References</w:t>
      </w:r>
    </w:p>
    <w:p w14:paraId="5DD42715" w14:textId="77777777" w:rsidR="000F369E" w:rsidRPr="000F369E" w:rsidRDefault="000F369E" w:rsidP="000F369E">
      <w:pPr>
        <w:pStyle w:val="AbstractHeader"/>
        <w:rPr>
          <w:color w:val="373737" w:themeColor="text1"/>
          <w:sz w:val="20"/>
        </w:rPr>
      </w:pPr>
      <w:r>
        <w:rPr>
          <w:color w:val="373737" w:themeColor="text1"/>
          <w:sz w:val="20"/>
        </w:rPr>
        <w:t>Bakhtiari (2019</w:t>
      </w:r>
      <w:r w:rsidRPr="000F369E">
        <w:rPr>
          <w:color w:val="373737" w:themeColor="text1"/>
          <w:sz w:val="20"/>
        </w:rPr>
        <w:t>)</w:t>
      </w:r>
      <w:r>
        <w:rPr>
          <w:color w:val="373737" w:themeColor="text1"/>
          <w:sz w:val="20"/>
        </w:rPr>
        <w:t xml:space="preserve"> “The Dynamics of Entrepreneurship in Australia: Lessons from Micro-data,” </w:t>
      </w:r>
      <w:r>
        <w:rPr>
          <w:i/>
          <w:color w:val="373737" w:themeColor="text1"/>
          <w:sz w:val="20"/>
        </w:rPr>
        <w:t>Economic Record</w:t>
      </w:r>
      <w:r>
        <w:rPr>
          <w:color w:val="373737" w:themeColor="text1"/>
          <w:sz w:val="20"/>
        </w:rPr>
        <w:t>, 95(308), 114‒140.</w:t>
      </w:r>
    </w:p>
    <w:sectPr w:rsidR="000F369E" w:rsidRPr="000F369E" w:rsidSect="0063036B">
      <w:footerReference w:type="default" r:id="rId19"/>
      <w:footerReference w:type="first" r:id="rId20"/>
      <w:pgSz w:w="11906" w:h="16838" w:code="9"/>
      <w:pgMar w:top="1440" w:right="1440" w:bottom="1440" w:left="357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4271E" w14:textId="77777777" w:rsidR="008C4ED8" w:rsidRDefault="008C4ED8" w:rsidP="00F244EA">
      <w:pPr>
        <w:spacing w:after="0" w:line="240" w:lineRule="auto"/>
      </w:pPr>
      <w:r>
        <w:separator/>
      </w:r>
    </w:p>
  </w:endnote>
  <w:endnote w:type="continuationSeparator" w:id="0">
    <w:p w14:paraId="5DD4271F" w14:textId="77777777" w:rsidR="008C4ED8" w:rsidRDefault="008C4ED8"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2720" w14:textId="77777777" w:rsidR="008C4ED8" w:rsidRPr="001C2E57" w:rsidRDefault="008C4ED8" w:rsidP="0006256C">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7C0654">
      <w:rPr>
        <w:noProof/>
      </w:rPr>
      <w:instrText>Updates on Entrepreneurship Dynamics in Australia</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7C0654">
      <w:rPr>
        <w:noProof/>
      </w:rPr>
      <w:instrText>Updates on Entrepreneurship Dynamics in Australia</w:instrText>
    </w:r>
    <w:r>
      <w:rPr>
        <w:noProof/>
      </w:rPr>
      <w:fldChar w:fldCharType="end"/>
    </w:r>
    <w:r w:rsidRPr="001C2E57">
      <w:instrText xml:space="preserve"> </w:instrText>
    </w:r>
    <w:r w:rsidRPr="001C2E57">
      <w:fldChar w:fldCharType="separate"/>
    </w:r>
    <w:r w:rsidR="007C0654">
      <w:rPr>
        <w:noProof/>
      </w:rPr>
      <w:t>Updates on Entrepreneurship Dynamics in Australia</w:t>
    </w:r>
    <w:r w:rsidRPr="001C2E57">
      <w:fldChar w:fldCharType="end"/>
    </w:r>
    <w:r>
      <w:t xml:space="preserve"> </w:t>
    </w:r>
    <w:r>
      <w:tab/>
    </w:r>
    <w:r w:rsidRPr="001C2E57">
      <w:fldChar w:fldCharType="begin"/>
    </w:r>
    <w:r w:rsidRPr="001C2E57">
      <w:instrText xml:space="preserve"> PAGE   \* MERGEFORMAT </w:instrText>
    </w:r>
    <w:r w:rsidRPr="001C2E57">
      <w:fldChar w:fldCharType="separate"/>
    </w:r>
    <w:r w:rsidR="001B1C6E">
      <w:rPr>
        <w:noProof/>
      </w:rPr>
      <w:t>i</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2721" w14:textId="77777777" w:rsidR="004F0959" w:rsidRPr="001C2E57" w:rsidRDefault="004F0959" w:rsidP="00301D88">
    <w:pPr>
      <w:pStyle w:val="Footer"/>
      <w:tabs>
        <w:tab w:val="clear" w:pos="9680"/>
      </w:tabs>
    </w:pPr>
    <w:r w:rsidRPr="001C2E57">
      <w:fldChar w:fldCharType="begin"/>
    </w:r>
    <w:r w:rsidRPr="001C2E57">
      <w:instrText>IF</w:instrText>
    </w:r>
    <w:r w:rsidR="005D1E79">
      <w:rPr>
        <w:noProof/>
      </w:rPr>
      <w:fldChar w:fldCharType="begin"/>
    </w:r>
    <w:r w:rsidR="005D1E79">
      <w:rPr>
        <w:noProof/>
      </w:rPr>
      <w:instrText xml:space="preserve"> STYLEREF "Title Heading" \* Charformat </w:instrText>
    </w:r>
    <w:r w:rsidR="005D1E79">
      <w:rPr>
        <w:noProof/>
      </w:rPr>
      <w:fldChar w:fldCharType="separate"/>
    </w:r>
    <w:r w:rsidR="00BB302C">
      <w:rPr>
        <w:noProof/>
      </w:rPr>
      <w:instrText>Updates on Entrepreneurship Dynamics in Australia</w:instrText>
    </w:r>
    <w:r w:rsidR="005D1E79">
      <w:rPr>
        <w:noProof/>
      </w:rPr>
      <w:fldChar w:fldCharType="end"/>
    </w:r>
    <w:r w:rsidRPr="001C2E57">
      <w:instrText xml:space="preserve"> &lt;&gt; "Error*" </w:instrText>
    </w:r>
    <w:r w:rsidR="004C57DA">
      <w:rPr>
        <w:noProof/>
      </w:rPr>
      <w:fldChar w:fldCharType="begin"/>
    </w:r>
    <w:r w:rsidR="004C57DA">
      <w:rPr>
        <w:noProof/>
      </w:rPr>
      <w:instrText xml:space="preserve"> STYLEREF "Title Heading" \* Charformat </w:instrText>
    </w:r>
    <w:r w:rsidR="004C57DA">
      <w:rPr>
        <w:noProof/>
      </w:rPr>
      <w:fldChar w:fldCharType="separate"/>
    </w:r>
    <w:r w:rsidR="00BB302C">
      <w:rPr>
        <w:noProof/>
      </w:rPr>
      <w:instrText>Updates on Entrepreneurship Dynamics in Australia</w:instrText>
    </w:r>
    <w:r w:rsidR="004C57DA">
      <w:rPr>
        <w:noProof/>
      </w:rPr>
      <w:fldChar w:fldCharType="end"/>
    </w:r>
    <w:r w:rsidRPr="001C2E57">
      <w:instrText xml:space="preserve"> </w:instrText>
    </w:r>
    <w:r w:rsidRPr="001C2E57">
      <w:fldChar w:fldCharType="separate"/>
    </w:r>
    <w:r w:rsidR="00BB302C">
      <w:rPr>
        <w:noProof/>
      </w:rPr>
      <w:t>Updates on Entrepreneurship Dynamics in Australia</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BB302C">
      <w:rPr>
        <w:noProof/>
      </w:rPr>
      <w:t>1</w:t>
    </w:r>
    <w:r w:rsidRPr="001C2E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2722" w14:textId="77777777" w:rsidR="004F0959" w:rsidRPr="001C2E57" w:rsidRDefault="004F0959" w:rsidP="00E35ECE">
    <w:pPr>
      <w:pStyle w:val="Footer"/>
    </w:pPr>
    <w:r w:rsidRPr="001C2E57">
      <w:fldChar w:fldCharType="begin"/>
    </w:r>
    <w:r w:rsidRPr="001C2E57">
      <w:instrText>IF</w:instrText>
    </w:r>
    <w:r w:rsidR="00BB302C">
      <w:rPr>
        <w:noProof/>
      </w:rPr>
      <w:fldChar w:fldCharType="begin"/>
    </w:r>
    <w:r w:rsidR="00BB302C">
      <w:rPr>
        <w:noProof/>
      </w:rPr>
      <w:instrText xml:space="preserve"> STYLEREF "Title Heading" \* Charformat </w:instrText>
    </w:r>
    <w:r w:rsidR="00BB302C">
      <w:rPr>
        <w:noProof/>
      </w:rPr>
      <w:fldChar w:fldCharType="separate"/>
    </w:r>
    <w:r w:rsidR="007C0654">
      <w:rPr>
        <w:noProof/>
      </w:rPr>
      <w:instrText>Updates on Entrepreneurship Dynamics in Australia</w:instrText>
    </w:r>
    <w:r w:rsidR="00BB302C">
      <w:rPr>
        <w:noProof/>
      </w:rPr>
      <w:fldChar w:fldCharType="end"/>
    </w:r>
    <w:r w:rsidRPr="001C2E57">
      <w:instrText xml:space="preserve"> &lt;&gt; "Error*" </w:instrText>
    </w:r>
    <w:r w:rsidR="004C57DA">
      <w:rPr>
        <w:noProof/>
      </w:rPr>
      <w:fldChar w:fldCharType="begin"/>
    </w:r>
    <w:r w:rsidR="004C57DA">
      <w:rPr>
        <w:noProof/>
      </w:rPr>
      <w:instrText xml:space="preserve"> STYLEREF "Title Heading" \* Charformat </w:instrText>
    </w:r>
    <w:r w:rsidR="004C57DA">
      <w:rPr>
        <w:noProof/>
      </w:rPr>
      <w:fldChar w:fldCharType="separate"/>
    </w:r>
    <w:r w:rsidR="007C0654">
      <w:rPr>
        <w:noProof/>
      </w:rPr>
      <w:instrText>Updates on Entrepreneurship Dynamics in Australia</w:instrText>
    </w:r>
    <w:r w:rsidR="004C57DA">
      <w:rPr>
        <w:noProof/>
      </w:rPr>
      <w:fldChar w:fldCharType="end"/>
    </w:r>
    <w:r w:rsidRPr="001C2E57">
      <w:instrText xml:space="preserve"> </w:instrText>
    </w:r>
    <w:r w:rsidRPr="001C2E57">
      <w:fldChar w:fldCharType="separate"/>
    </w:r>
    <w:r w:rsidR="007C0654">
      <w:rPr>
        <w:noProof/>
      </w:rPr>
      <w:t>Updates on Entrepreneurship Dynamics in Australia</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AC0EE4">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4271C" w14:textId="77777777" w:rsidR="008C4ED8" w:rsidRDefault="008C4ED8" w:rsidP="009E5073">
      <w:pPr>
        <w:spacing w:after="0" w:line="240" w:lineRule="auto"/>
        <w:ind w:left="0"/>
      </w:pPr>
      <w:r>
        <w:separator/>
      </w:r>
    </w:p>
  </w:footnote>
  <w:footnote w:type="continuationSeparator" w:id="0">
    <w:p w14:paraId="5DD4271D" w14:textId="77777777" w:rsidR="008C4ED8" w:rsidRDefault="008C4ED8" w:rsidP="00F244EA">
      <w:pPr>
        <w:spacing w:after="0" w:line="240" w:lineRule="auto"/>
      </w:pPr>
      <w:r>
        <w:continuationSeparator/>
      </w:r>
    </w:p>
  </w:footnote>
  <w:footnote w:id="1">
    <w:p w14:paraId="476B79F6" w14:textId="24E21449" w:rsidR="00F37A20" w:rsidRPr="00F37A20" w:rsidRDefault="00F37A20" w:rsidP="00F37A20">
      <w:pPr>
        <w:pStyle w:val="FootnoteText"/>
        <w:ind w:left="108"/>
        <w:rPr>
          <w:lang w:val="en-US"/>
        </w:rPr>
      </w:pPr>
      <w:r>
        <w:rPr>
          <w:rStyle w:val="FootnoteReference"/>
        </w:rPr>
        <w:footnoteRef/>
      </w:r>
      <w:r>
        <w:t xml:space="preserve"> </w:t>
      </w:r>
      <w:r>
        <w:rPr>
          <w:lang w:val="en-US"/>
        </w:rPr>
        <w:t>Years in this report are fiscal years being referenced by their ending year. Therefore, 2014 refers to 2013</w:t>
      </w:r>
      <w:r>
        <w:rPr>
          <w:rFonts w:cs="Arial"/>
          <w:lang w:val="en-US"/>
        </w:rPr>
        <w:t>‒</w:t>
      </w:r>
      <w:r>
        <w:rPr>
          <w:lang w:val="en-US"/>
        </w:rPr>
        <w:t>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7A3A93"/>
    <w:multiLevelType w:val="multilevel"/>
    <w:tmpl w:val="7D22E52C"/>
    <w:numStyleLink w:val="OCEBulletedList"/>
  </w:abstractNum>
  <w:abstractNum w:abstractNumId="2"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933F4"/>
    <w:multiLevelType w:val="multilevel"/>
    <w:tmpl w:val="7D22E52C"/>
    <w:numStyleLink w:val="OCEBulletedList"/>
  </w:abstractNum>
  <w:abstractNum w:abstractNumId="4" w15:restartNumberingAfterBreak="0">
    <w:nsid w:val="159A6EC1"/>
    <w:multiLevelType w:val="multilevel"/>
    <w:tmpl w:val="3BFA39A6"/>
    <w:numStyleLink w:val="OCENumberedList"/>
  </w:abstractNum>
  <w:abstractNum w:abstractNumId="5"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6"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8" w15:restartNumberingAfterBreak="0">
    <w:nsid w:val="1A572D9B"/>
    <w:multiLevelType w:val="multilevel"/>
    <w:tmpl w:val="2FAC326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9" w15:restartNumberingAfterBreak="0">
    <w:nsid w:val="343D5378"/>
    <w:multiLevelType w:val="multilevel"/>
    <w:tmpl w:val="7D22E52C"/>
    <w:numStyleLink w:val="OCEBulletedList"/>
  </w:abstractNum>
  <w:abstractNum w:abstractNumId="10"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1" w15:restartNumberingAfterBreak="0">
    <w:nsid w:val="413C507C"/>
    <w:multiLevelType w:val="multilevel"/>
    <w:tmpl w:val="7D22E52C"/>
    <w:numStyleLink w:val="OCEBulletedList"/>
  </w:abstractNum>
  <w:abstractNum w:abstractNumId="12"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3813CDC"/>
    <w:multiLevelType w:val="multilevel"/>
    <w:tmpl w:val="D5BAF582"/>
    <w:numStyleLink w:val="OCEHeadings"/>
  </w:abstractNum>
  <w:abstractNum w:abstractNumId="15" w15:restartNumberingAfterBreak="0">
    <w:nsid w:val="69925004"/>
    <w:multiLevelType w:val="multilevel"/>
    <w:tmpl w:val="7D22E52C"/>
    <w:numStyleLink w:val="OCEBulletedList"/>
  </w:abstractNum>
  <w:abstractNum w:abstractNumId="16" w15:restartNumberingAfterBreak="0">
    <w:nsid w:val="755C274A"/>
    <w:multiLevelType w:val="multilevel"/>
    <w:tmpl w:val="7D22E52C"/>
    <w:numStyleLink w:val="OCEBulletedList"/>
  </w:abstractNum>
  <w:abstractNum w:abstractNumId="17" w15:restartNumberingAfterBreak="0">
    <w:nsid w:val="768D4473"/>
    <w:multiLevelType w:val="multilevel"/>
    <w:tmpl w:val="7D22E52C"/>
    <w:numStyleLink w:val="OCEBulletedList"/>
  </w:abstractNum>
  <w:abstractNum w:abstractNumId="18" w15:restartNumberingAfterBreak="0">
    <w:nsid w:val="7AAF61C4"/>
    <w:multiLevelType w:val="multilevel"/>
    <w:tmpl w:val="7D22E52C"/>
    <w:numStyleLink w:val="OCEBulletedList"/>
  </w:abstractNum>
  <w:abstractNum w:abstractNumId="19"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0"/>
  </w:num>
  <w:num w:numId="4">
    <w:abstractNumId w:val="13"/>
  </w:num>
  <w:num w:numId="5">
    <w:abstractNumId w:val="7"/>
  </w:num>
  <w:num w:numId="6">
    <w:abstractNumId w:val="6"/>
  </w:num>
  <w:num w:numId="7">
    <w:abstractNumId w:val="12"/>
  </w:num>
  <w:num w:numId="8">
    <w:abstractNumId w:val="5"/>
  </w:num>
  <w:num w:numId="9">
    <w:abstractNumId w:val="14"/>
  </w:num>
  <w:num w:numId="10">
    <w:abstractNumId w:val="14"/>
  </w:num>
  <w:num w:numId="11">
    <w:abstractNumId w:val="16"/>
  </w:num>
  <w:num w:numId="12">
    <w:abstractNumId w:val="4"/>
  </w:num>
  <w:num w:numId="13">
    <w:abstractNumId w:val="13"/>
  </w:num>
  <w:num w:numId="14">
    <w:abstractNumId w:val="12"/>
  </w:num>
  <w:num w:numId="15">
    <w:abstractNumId w:val="12"/>
  </w:num>
  <w:num w:numId="16">
    <w:abstractNumId w:val="4"/>
  </w:num>
  <w:num w:numId="17">
    <w:abstractNumId w:val="5"/>
  </w:num>
  <w:num w:numId="18">
    <w:abstractNumId w:val="14"/>
  </w:num>
  <w:num w:numId="19">
    <w:abstractNumId w:val="14"/>
  </w:num>
  <w:num w:numId="20">
    <w:abstractNumId w:val="14"/>
  </w:num>
  <w:num w:numId="21">
    <w:abstractNumId w:val="8"/>
  </w:num>
  <w:num w:numId="22">
    <w:abstractNumId w:val="2"/>
  </w:num>
  <w:num w:numId="23">
    <w:abstractNumId w:val="15"/>
  </w:num>
  <w:num w:numId="24">
    <w:abstractNumId w:val="1"/>
  </w:num>
  <w:num w:numId="25">
    <w:abstractNumId w:val="13"/>
  </w:num>
  <w:num w:numId="26">
    <w:abstractNumId w:val="13"/>
  </w:num>
  <w:num w:numId="27">
    <w:abstractNumId w:val="11"/>
  </w:num>
  <w:num w:numId="28">
    <w:abstractNumId w:val="9"/>
  </w:num>
  <w:num w:numId="29">
    <w:abstractNumId w:val="17"/>
  </w:num>
  <w:num w:numId="30">
    <w:abstractNumId w:val="18"/>
  </w:num>
  <w:num w:numId="31">
    <w:abstractNumId w:val="3"/>
  </w:num>
  <w:num w:numId="32">
    <w:abstractNumId w:val="12"/>
  </w:num>
  <w:num w:numId="33">
    <w:abstractNumId w:val="12"/>
  </w:num>
  <w:num w:numId="34">
    <w:abstractNumId w:val="13"/>
  </w:num>
  <w:num w:numId="3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D8"/>
    <w:rsid w:val="0000075D"/>
    <w:rsid w:val="00000A47"/>
    <w:rsid w:val="00002F55"/>
    <w:rsid w:val="000036F1"/>
    <w:rsid w:val="00003B81"/>
    <w:rsid w:val="00004365"/>
    <w:rsid w:val="00004BF6"/>
    <w:rsid w:val="00007EBB"/>
    <w:rsid w:val="00010903"/>
    <w:rsid w:val="0001161C"/>
    <w:rsid w:val="00011BE7"/>
    <w:rsid w:val="000122D8"/>
    <w:rsid w:val="00013F4A"/>
    <w:rsid w:val="00013F80"/>
    <w:rsid w:val="00016C35"/>
    <w:rsid w:val="00017BB5"/>
    <w:rsid w:val="000238B9"/>
    <w:rsid w:val="0002648C"/>
    <w:rsid w:val="00033D7D"/>
    <w:rsid w:val="00035325"/>
    <w:rsid w:val="00037B42"/>
    <w:rsid w:val="00040A9C"/>
    <w:rsid w:val="00041FE3"/>
    <w:rsid w:val="00043051"/>
    <w:rsid w:val="00045643"/>
    <w:rsid w:val="00046204"/>
    <w:rsid w:val="00047373"/>
    <w:rsid w:val="0005753A"/>
    <w:rsid w:val="00060184"/>
    <w:rsid w:val="00060761"/>
    <w:rsid w:val="00060CE1"/>
    <w:rsid w:val="000614AF"/>
    <w:rsid w:val="000618FB"/>
    <w:rsid w:val="000641E0"/>
    <w:rsid w:val="0006492D"/>
    <w:rsid w:val="00067812"/>
    <w:rsid w:val="00070749"/>
    <w:rsid w:val="0007137D"/>
    <w:rsid w:val="000728D2"/>
    <w:rsid w:val="0007459C"/>
    <w:rsid w:val="00076E42"/>
    <w:rsid w:val="00082BF4"/>
    <w:rsid w:val="00090174"/>
    <w:rsid w:val="000904D3"/>
    <w:rsid w:val="000920D2"/>
    <w:rsid w:val="000A011E"/>
    <w:rsid w:val="000A29BA"/>
    <w:rsid w:val="000A3D7F"/>
    <w:rsid w:val="000A4E45"/>
    <w:rsid w:val="000A5452"/>
    <w:rsid w:val="000A5CFF"/>
    <w:rsid w:val="000A6370"/>
    <w:rsid w:val="000A63C0"/>
    <w:rsid w:val="000A6F5B"/>
    <w:rsid w:val="000A72D6"/>
    <w:rsid w:val="000B279E"/>
    <w:rsid w:val="000B2C1B"/>
    <w:rsid w:val="000B2DFC"/>
    <w:rsid w:val="000B5BC7"/>
    <w:rsid w:val="000B7F7A"/>
    <w:rsid w:val="000C03CF"/>
    <w:rsid w:val="000C0DD7"/>
    <w:rsid w:val="000C19CB"/>
    <w:rsid w:val="000C5C3C"/>
    <w:rsid w:val="000C642B"/>
    <w:rsid w:val="000C6AD6"/>
    <w:rsid w:val="000C74E3"/>
    <w:rsid w:val="000D33DA"/>
    <w:rsid w:val="000D5123"/>
    <w:rsid w:val="000E415F"/>
    <w:rsid w:val="000F0460"/>
    <w:rsid w:val="000F0E5C"/>
    <w:rsid w:val="000F369E"/>
    <w:rsid w:val="00100B74"/>
    <w:rsid w:val="00101A29"/>
    <w:rsid w:val="0010788F"/>
    <w:rsid w:val="00107A3F"/>
    <w:rsid w:val="00112208"/>
    <w:rsid w:val="00114BB1"/>
    <w:rsid w:val="0011640A"/>
    <w:rsid w:val="00116E58"/>
    <w:rsid w:val="0012045F"/>
    <w:rsid w:val="00120E94"/>
    <w:rsid w:val="001243D4"/>
    <w:rsid w:val="001246EC"/>
    <w:rsid w:val="00125971"/>
    <w:rsid w:val="0013066A"/>
    <w:rsid w:val="00133EA4"/>
    <w:rsid w:val="00134B28"/>
    <w:rsid w:val="00135E19"/>
    <w:rsid w:val="0015000D"/>
    <w:rsid w:val="001517A1"/>
    <w:rsid w:val="00151996"/>
    <w:rsid w:val="00152B01"/>
    <w:rsid w:val="00154B4D"/>
    <w:rsid w:val="00156B5B"/>
    <w:rsid w:val="00163D6E"/>
    <w:rsid w:val="001658D2"/>
    <w:rsid w:val="00166576"/>
    <w:rsid w:val="00166996"/>
    <w:rsid w:val="0017293E"/>
    <w:rsid w:val="001732B4"/>
    <w:rsid w:val="00174624"/>
    <w:rsid w:val="0017468E"/>
    <w:rsid w:val="00180E4F"/>
    <w:rsid w:val="00182B15"/>
    <w:rsid w:val="001862AC"/>
    <w:rsid w:val="00186D3D"/>
    <w:rsid w:val="001900EE"/>
    <w:rsid w:val="0019168F"/>
    <w:rsid w:val="00193448"/>
    <w:rsid w:val="00195C83"/>
    <w:rsid w:val="001A322A"/>
    <w:rsid w:val="001A3451"/>
    <w:rsid w:val="001A48B2"/>
    <w:rsid w:val="001A4E10"/>
    <w:rsid w:val="001A6352"/>
    <w:rsid w:val="001B032F"/>
    <w:rsid w:val="001B1C6E"/>
    <w:rsid w:val="001B345E"/>
    <w:rsid w:val="001B3F96"/>
    <w:rsid w:val="001B54B9"/>
    <w:rsid w:val="001B6316"/>
    <w:rsid w:val="001B6554"/>
    <w:rsid w:val="001C4733"/>
    <w:rsid w:val="001C4FFC"/>
    <w:rsid w:val="001C5291"/>
    <w:rsid w:val="001C544E"/>
    <w:rsid w:val="001D07A5"/>
    <w:rsid w:val="001D1B60"/>
    <w:rsid w:val="001D204F"/>
    <w:rsid w:val="001D2E2D"/>
    <w:rsid w:val="001D4374"/>
    <w:rsid w:val="001E2136"/>
    <w:rsid w:val="001E33B0"/>
    <w:rsid w:val="001E4942"/>
    <w:rsid w:val="001F1E5D"/>
    <w:rsid w:val="001F551B"/>
    <w:rsid w:val="001F5BC1"/>
    <w:rsid w:val="001F5F85"/>
    <w:rsid w:val="001F61C6"/>
    <w:rsid w:val="001F6FAB"/>
    <w:rsid w:val="001F7477"/>
    <w:rsid w:val="001F74CA"/>
    <w:rsid w:val="002029E0"/>
    <w:rsid w:val="002076C8"/>
    <w:rsid w:val="00207D37"/>
    <w:rsid w:val="00210B35"/>
    <w:rsid w:val="00214241"/>
    <w:rsid w:val="00216FAB"/>
    <w:rsid w:val="0022378D"/>
    <w:rsid w:val="00225842"/>
    <w:rsid w:val="00226FAA"/>
    <w:rsid w:val="00234CEA"/>
    <w:rsid w:val="002360FF"/>
    <w:rsid w:val="0023789A"/>
    <w:rsid w:val="002400CF"/>
    <w:rsid w:val="00246F21"/>
    <w:rsid w:val="00247B26"/>
    <w:rsid w:val="00251254"/>
    <w:rsid w:val="00251E4F"/>
    <w:rsid w:val="00252C28"/>
    <w:rsid w:val="00255773"/>
    <w:rsid w:val="00256BD3"/>
    <w:rsid w:val="002630DD"/>
    <w:rsid w:val="002631D6"/>
    <w:rsid w:val="0026576F"/>
    <w:rsid w:val="0026658D"/>
    <w:rsid w:val="00267507"/>
    <w:rsid w:val="002715C6"/>
    <w:rsid w:val="00272952"/>
    <w:rsid w:val="002757A5"/>
    <w:rsid w:val="00280EB9"/>
    <w:rsid w:val="002830F6"/>
    <w:rsid w:val="00285A2F"/>
    <w:rsid w:val="002866DE"/>
    <w:rsid w:val="00290E61"/>
    <w:rsid w:val="0029234D"/>
    <w:rsid w:val="00292460"/>
    <w:rsid w:val="00292AE8"/>
    <w:rsid w:val="002A33E7"/>
    <w:rsid w:val="002A6979"/>
    <w:rsid w:val="002A7F2D"/>
    <w:rsid w:val="002B1DD2"/>
    <w:rsid w:val="002B3220"/>
    <w:rsid w:val="002B36B0"/>
    <w:rsid w:val="002B779D"/>
    <w:rsid w:val="002C1206"/>
    <w:rsid w:val="002C46C9"/>
    <w:rsid w:val="002C7B38"/>
    <w:rsid w:val="002D0127"/>
    <w:rsid w:val="002D322E"/>
    <w:rsid w:val="002D4188"/>
    <w:rsid w:val="002D4DC6"/>
    <w:rsid w:val="002D56BA"/>
    <w:rsid w:val="002D5C65"/>
    <w:rsid w:val="002E3270"/>
    <w:rsid w:val="002E3BF9"/>
    <w:rsid w:val="002E43BD"/>
    <w:rsid w:val="002F0EEF"/>
    <w:rsid w:val="002F2208"/>
    <w:rsid w:val="002F333D"/>
    <w:rsid w:val="002F487F"/>
    <w:rsid w:val="002F56EE"/>
    <w:rsid w:val="002F7213"/>
    <w:rsid w:val="00300738"/>
    <w:rsid w:val="00301D88"/>
    <w:rsid w:val="0030442F"/>
    <w:rsid w:val="003076BF"/>
    <w:rsid w:val="00307AD6"/>
    <w:rsid w:val="00311A07"/>
    <w:rsid w:val="00311B71"/>
    <w:rsid w:val="00315AE5"/>
    <w:rsid w:val="00315B65"/>
    <w:rsid w:val="00315C5C"/>
    <w:rsid w:val="00322656"/>
    <w:rsid w:val="003322B1"/>
    <w:rsid w:val="00340E62"/>
    <w:rsid w:val="00345516"/>
    <w:rsid w:val="0034735C"/>
    <w:rsid w:val="00347A7F"/>
    <w:rsid w:val="00350C19"/>
    <w:rsid w:val="00352356"/>
    <w:rsid w:val="00354E7E"/>
    <w:rsid w:val="00354EA2"/>
    <w:rsid w:val="003578A6"/>
    <w:rsid w:val="003624FF"/>
    <w:rsid w:val="003641D9"/>
    <w:rsid w:val="00364BAD"/>
    <w:rsid w:val="00370CD0"/>
    <w:rsid w:val="003712D9"/>
    <w:rsid w:val="00371F36"/>
    <w:rsid w:val="0037708E"/>
    <w:rsid w:val="003823DB"/>
    <w:rsid w:val="00382BE7"/>
    <w:rsid w:val="00385BB6"/>
    <w:rsid w:val="00387F73"/>
    <w:rsid w:val="003960C5"/>
    <w:rsid w:val="003967EE"/>
    <w:rsid w:val="00396E87"/>
    <w:rsid w:val="003A122E"/>
    <w:rsid w:val="003A253A"/>
    <w:rsid w:val="003A33D9"/>
    <w:rsid w:val="003A564E"/>
    <w:rsid w:val="003A5A88"/>
    <w:rsid w:val="003B12F3"/>
    <w:rsid w:val="003B141B"/>
    <w:rsid w:val="003B66EF"/>
    <w:rsid w:val="003B7ABC"/>
    <w:rsid w:val="003B7C70"/>
    <w:rsid w:val="003C0FAA"/>
    <w:rsid w:val="003C55C8"/>
    <w:rsid w:val="003C5819"/>
    <w:rsid w:val="003C587D"/>
    <w:rsid w:val="003D0E4F"/>
    <w:rsid w:val="003D1CCE"/>
    <w:rsid w:val="003D7074"/>
    <w:rsid w:val="003E246C"/>
    <w:rsid w:val="003E32D9"/>
    <w:rsid w:val="003E50C4"/>
    <w:rsid w:val="003E762E"/>
    <w:rsid w:val="003F7E51"/>
    <w:rsid w:val="00407BFB"/>
    <w:rsid w:val="00410B42"/>
    <w:rsid w:val="0041256E"/>
    <w:rsid w:val="0041703E"/>
    <w:rsid w:val="004204BB"/>
    <w:rsid w:val="00420A5F"/>
    <w:rsid w:val="004253A5"/>
    <w:rsid w:val="004258EE"/>
    <w:rsid w:val="00426883"/>
    <w:rsid w:val="00430E39"/>
    <w:rsid w:val="00431C6A"/>
    <w:rsid w:val="00432ABB"/>
    <w:rsid w:val="00434C78"/>
    <w:rsid w:val="00435FDB"/>
    <w:rsid w:val="0043777F"/>
    <w:rsid w:val="0044360D"/>
    <w:rsid w:val="00444C40"/>
    <w:rsid w:val="004459B3"/>
    <w:rsid w:val="00445DE2"/>
    <w:rsid w:val="00446C1F"/>
    <w:rsid w:val="00446FF2"/>
    <w:rsid w:val="00447193"/>
    <w:rsid w:val="00447972"/>
    <w:rsid w:val="00447B15"/>
    <w:rsid w:val="00453DB8"/>
    <w:rsid w:val="0045469C"/>
    <w:rsid w:val="004561DA"/>
    <w:rsid w:val="0045635D"/>
    <w:rsid w:val="00457D05"/>
    <w:rsid w:val="0046406C"/>
    <w:rsid w:val="00464C8C"/>
    <w:rsid w:val="00464F71"/>
    <w:rsid w:val="0047180F"/>
    <w:rsid w:val="0047198F"/>
    <w:rsid w:val="00474C4B"/>
    <w:rsid w:val="0047563C"/>
    <w:rsid w:val="00477C01"/>
    <w:rsid w:val="0048023B"/>
    <w:rsid w:val="00480CAF"/>
    <w:rsid w:val="004812C0"/>
    <w:rsid w:val="00483169"/>
    <w:rsid w:val="00483F96"/>
    <w:rsid w:val="00493446"/>
    <w:rsid w:val="004939EA"/>
    <w:rsid w:val="004942C4"/>
    <w:rsid w:val="00495C1B"/>
    <w:rsid w:val="00496236"/>
    <w:rsid w:val="00496875"/>
    <w:rsid w:val="00496DA4"/>
    <w:rsid w:val="004A02D0"/>
    <w:rsid w:val="004A0EE3"/>
    <w:rsid w:val="004A46E3"/>
    <w:rsid w:val="004A5598"/>
    <w:rsid w:val="004A6042"/>
    <w:rsid w:val="004A752B"/>
    <w:rsid w:val="004A756B"/>
    <w:rsid w:val="004B0E4F"/>
    <w:rsid w:val="004B2C98"/>
    <w:rsid w:val="004B2FEA"/>
    <w:rsid w:val="004B3DA9"/>
    <w:rsid w:val="004B4E62"/>
    <w:rsid w:val="004B53E7"/>
    <w:rsid w:val="004B70E3"/>
    <w:rsid w:val="004B7AEA"/>
    <w:rsid w:val="004C1602"/>
    <w:rsid w:val="004C2892"/>
    <w:rsid w:val="004C3A58"/>
    <w:rsid w:val="004C57DA"/>
    <w:rsid w:val="004C7203"/>
    <w:rsid w:val="004D142A"/>
    <w:rsid w:val="004E0B4D"/>
    <w:rsid w:val="004E1CA5"/>
    <w:rsid w:val="004E2E6A"/>
    <w:rsid w:val="004E33DE"/>
    <w:rsid w:val="004E3D67"/>
    <w:rsid w:val="004E744E"/>
    <w:rsid w:val="004F0959"/>
    <w:rsid w:val="004F3AB0"/>
    <w:rsid w:val="004F7D5E"/>
    <w:rsid w:val="00502804"/>
    <w:rsid w:val="00503C02"/>
    <w:rsid w:val="00505701"/>
    <w:rsid w:val="0051017B"/>
    <w:rsid w:val="0051079B"/>
    <w:rsid w:val="0051099B"/>
    <w:rsid w:val="00511756"/>
    <w:rsid w:val="005126DB"/>
    <w:rsid w:val="00513F90"/>
    <w:rsid w:val="005141A1"/>
    <w:rsid w:val="00516A09"/>
    <w:rsid w:val="00516D57"/>
    <w:rsid w:val="00517C28"/>
    <w:rsid w:val="0052005C"/>
    <w:rsid w:val="00520130"/>
    <w:rsid w:val="00521151"/>
    <w:rsid w:val="00522523"/>
    <w:rsid w:val="00522EBD"/>
    <w:rsid w:val="00523B54"/>
    <w:rsid w:val="00525CAD"/>
    <w:rsid w:val="00527CD7"/>
    <w:rsid w:val="00530869"/>
    <w:rsid w:val="00532498"/>
    <w:rsid w:val="00536AC5"/>
    <w:rsid w:val="005453E2"/>
    <w:rsid w:val="00550C82"/>
    <w:rsid w:val="00556CF7"/>
    <w:rsid w:val="005577F2"/>
    <w:rsid w:val="00562489"/>
    <w:rsid w:val="00570C8E"/>
    <w:rsid w:val="0057169D"/>
    <w:rsid w:val="00573F05"/>
    <w:rsid w:val="00574177"/>
    <w:rsid w:val="005761EF"/>
    <w:rsid w:val="00576504"/>
    <w:rsid w:val="00576B53"/>
    <w:rsid w:val="00584542"/>
    <w:rsid w:val="00585BB3"/>
    <w:rsid w:val="005862E9"/>
    <w:rsid w:val="00587701"/>
    <w:rsid w:val="00595D0F"/>
    <w:rsid w:val="005971FA"/>
    <w:rsid w:val="005A09DF"/>
    <w:rsid w:val="005A39A1"/>
    <w:rsid w:val="005A409E"/>
    <w:rsid w:val="005A65AA"/>
    <w:rsid w:val="005A68EF"/>
    <w:rsid w:val="005B525D"/>
    <w:rsid w:val="005C4185"/>
    <w:rsid w:val="005C5D37"/>
    <w:rsid w:val="005C6FB9"/>
    <w:rsid w:val="005D0BB0"/>
    <w:rsid w:val="005D0DE5"/>
    <w:rsid w:val="005D1E79"/>
    <w:rsid w:val="005D3502"/>
    <w:rsid w:val="005D7981"/>
    <w:rsid w:val="005E0110"/>
    <w:rsid w:val="005E121F"/>
    <w:rsid w:val="005E4694"/>
    <w:rsid w:val="005E5AE3"/>
    <w:rsid w:val="005E6AC0"/>
    <w:rsid w:val="005E7981"/>
    <w:rsid w:val="005F4627"/>
    <w:rsid w:val="005F5226"/>
    <w:rsid w:val="005F74B5"/>
    <w:rsid w:val="005F7CC0"/>
    <w:rsid w:val="00603F30"/>
    <w:rsid w:val="00604241"/>
    <w:rsid w:val="006043C0"/>
    <w:rsid w:val="00611312"/>
    <w:rsid w:val="0061140B"/>
    <w:rsid w:val="006128D9"/>
    <w:rsid w:val="00615B8A"/>
    <w:rsid w:val="006169F9"/>
    <w:rsid w:val="00616A03"/>
    <w:rsid w:val="0062058C"/>
    <w:rsid w:val="00620945"/>
    <w:rsid w:val="006275A3"/>
    <w:rsid w:val="0063036B"/>
    <w:rsid w:val="006321E5"/>
    <w:rsid w:val="00632C94"/>
    <w:rsid w:val="006346A5"/>
    <w:rsid w:val="00635987"/>
    <w:rsid w:val="006370E6"/>
    <w:rsid w:val="00640B00"/>
    <w:rsid w:val="00641BBD"/>
    <w:rsid w:val="006446EF"/>
    <w:rsid w:val="00646834"/>
    <w:rsid w:val="0065093E"/>
    <w:rsid w:val="0065213F"/>
    <w:rsid w:val="00652811"/>
    <w:rsid w:val="00653D7F"/>
    <w:rsid w:val="0065696F"/>
    <w:rsid w:val="00662319"/>
    <w:rsid w:val="00665B3D"/>
    <w:rsid w:val="00670810"/>
    <w:rsid w:val="00671B11"/>
    <w:rsid w:val="00672152"/>
    <w:rsid w:val="006721A2"/>
    <w:rsid w:val="00684893"/>
    <w:rsid w:val="00685F6E"/>
    <w:rsid w:val="006915ED"/>
    <w:rsid w:val="00692166"/>
    <w:rsid w:val="006A12D8"/>
    <w:rsid w:val="006A3983"/>
    <w:rsid w:val="006A553E"/>
    <w:rsid w:val="006A5863"/>
    <w:rsid w:val="006A6873"/>
    <w:rsid w:val="006A7040"/>
    <w:rsid w:val="006B5090"/>
    <w:rsid w:val="006C0A8C"/>
    <w:rsid w:val="006C2697"/>
    <w:rsid w:val="006C295D"/>
    <w:rsid w:val="006C5E1A"/>
    <w:rsid w:val="006C604E"/>
    <w:rsid w:val="006D3274"/>
    <w:rsid w:val="006D6C5F"/>
    <w:rsid w:val="006D7511"/>
    <w:rsid w:val="006D7B80"/>
    <w:rsid w:val="006E1824"/>
    <w:rsid w:val="006E4627"/>
    <w:rsid w:val="006F1F8D"/>
    <w:rsid w:val="006F398D"/>
    <w:rsid w:val="00703105"/>
    <w:rsid w:val="00712467"/>
    <w:rsid w:val="00712F84"/>
    <w:rsid w:val="00722076"/>
    <w:rsid w:val="00722986"/>
    <w:rsid w:val="0072328B"/>
    <w:rsid w:val="00727D3D"/>
    <w:rsid w:val="00730ADA"/>
    <w:rsid w:val="00731E8B"/>
    <w:rsid w:val="00732BB5"/>
    <w:rsid w:val="0073384B"/>
    <w:rsid w:val="00744374"/>
    <w:rsid w:val="007461A4"/>
    <w:rsid w:val="00746272"/>
    <w:rsid w:val="00746291"/>
    <w:rsid w:val="00746DCC"/>
    <w:rsid w:val="00751128"/>
    <w:rsid w:val="00752049"/>
    <w:rsid w:val="007529B4"/>
    <w:rsid w:val="00754819"/>
    <w:rsid w:val="007602FD"/>
    <w:rsid w:val="00765582"/>
    <w:rsid w:val="00765BAA"/>
    <w:rsid w:val="00766E58"/>
    <w:rsid w:val="00767248"/>
    <w:rsid w:val="007719E5"/>
    <w:rsid w:val="00775AE4"/>
    <w:rsid w:val="007765E4"/>
    <w:rsid w:val="007812AE"/>
    <w:rsid w:val="00782A63"/>
    <w:rsid w:val="0078600F"/>
    <w:rsid w:val="0079046B"/>
    <w:rsid w:val="00792D85"/>
    <w:rsid w:val="00795CA9"/>
    <w:rsid w:val="00796467"/>
    <w:rsid w:val="007A59E6"/>
    <w:rsid w:val="007A6224"/>
    <w:rsid w:val="007A6BA0"/>
    <w:rsid w:val="007A7202"/>
    <w:rsid w:val="007A7D5A"/>
    <w:rsid w:val="007B315F"/>
    <w:rsid w:val="007B3AAC"/>
    <w:rsid w:val="007C0654"/>
    <w:rsid w:val="007C6F2D"/>
    <w:rsid w:val="007D5E09"/>
    <w:rsid w:val="007D7031"/>
    <w:rsid w:val="007D7C0B"/>
    <w:rsid w:val="007D7D86"/>
    <w:rsid w:val="007E42AC"/>
    <w:rsid w:val="007E6036"/>
    <w:rsid w:val="007F13C4"/>
    <w:rsid w:val="007F194E"/>
    <w:rsid w:val="007F75D3"/>
    <w:rsid w:val="008006BA"/>
    <w:rsid w:val="0080140C"/>
    <w:rsid w:val="00802621"/>
    <w:rsid w:val="008057E6"/>
    <w:rsid w:val="00810F3D"/>
    <w:rsid w:val="00811315"/>
    <w:rsid w:val="008174F6"/>
    <w:rsid w:val="00817A6A"/>
    <w:rsid w:val="00820F49"/>
    <w:rsid w:val="008233B0"/>
    <w:rsid w:val="0082355B"/>
    <w:rsid w:val="00823F43"/>
    <w:rsid w:val="008240FF"/>
    <w:rsid w:val="00832CAA"/>
    <w:rsid w:val="008338C6"/>
    <w:rsid w:val="008338F0"/>
    <w:rsid w:val="00836BF4"/>
    <w:rsid w:val="008443AB"/>
    <w:rsid w:val="00847122"/>
    <w:rsid w:val="00850C5D"/>
    <w:rsid w:val="008515B0"/>
    <w:rsid w:val="00855182"/>
    <w:rsid w:val="00856159"/>
    <w:rsid w:val="00861B19"/>
    <w:rsid w:val="008620BF"/>
    <w:rsid w:val="0086611B"/>
    <w:rsid w:val="0087267D"/>
    <w:rsid w:val="008729B5"/>
    <w:rsid w:val="008735F6"/>
    <w:rsid w:val="00876BAA"/>
    <w:rsid w:val="00881C1C"/>
    <w:rsid w:val="0088317C"/>
    <w:rsid w:val="00890F2D"/>
    <w:rsid w:val="0089465B"/>
    <w:rsid w:val="00895006"/>
    <w:rsid w:val="00895030"/>
    <w:rsid w:val="008A1F4D"/>
    <w:rsid w:val="008A25C6"/>
    <w:rsid w:val="008A3D49"/>
    <w:rsid w:val="008B4FA8"/>
    <w:rsid w:val="008B5EA3"/>
    <w:rsid w:val="008C185A"/>
    <w:rsid w:val="008C2239"/>
    <w:rsid w:val="008C3E24"/>
    <w:rsid w:val="008C4ED8"/>
    <w:rsid w:val="008C6145"/>
    <w:rsid w:val="008C7439"/>
    <w:rsid w:val="008D0685"/>
    <w:rsid w:val="008D1F5D"/>
    <w:rsid w:val="008D2E53"/>
    <w:rsid w:val="008D4E56"/>
    <w:rsid w:val="008D5B59"/>
    <w:rsid w:val="008E0585"/>
    <w:rsid w:val="008E0B32"/>
    <w:rsid w:val="008E283C"/>
    <w:rsid w:val="008E4D04"/>
    <w:rsid w:val="008F03FE"/>
    <w:rsid w:val="008F28CD"/>
    <w:rsid w:val="008F3372"/>
    <w:rsid w:val="008F4093"/>
    <w:rsid w:val="008F55F3"/>
    <w:rsid w:val="008F5AC4"/>
    <w:rsid w:val="008F68C0"/>
    <w:rsid w:val="0090240E"/>
    <w:rsid w:val="00903E9B"/>
    <w:rsid w:val="00917C8D"/>
    <w:rsid w:val="00917F97"/>
    <w:rsid w:val="00921365"/>
    <w:rsid w:val="00921942"/>
    <w:rsid w:val="0092504F"/>
    <w:rsid w:val="009301C2"/>
    <w:rsid w:val="0093309C"/>
    <w:rsid w:val="00935433"/>
    <w:rsid w:val="009366BF"/>
    <w:rsid w:val="00940A3B"/>
    <w:rsid w:val="00944C03"/>
    <w:rsid w:val="00947AD1"/>
    <w:rsid w:val="00951561"/>
    <w:rsid w:val="009547E5"/>
    <w:rsid w:val="00960F04"/>
    <w:rsid w:val="009635EF"/>
    <w:rsid w:val="00973C7C"/>
    <w:rsid w:val="0097522B"/>
    <w:rsid w:val="009828CA"/>
    <w:rsid w:val="009861EC"/>
    <w:rsid w:val="0099012D"/>
    <w:rsid w:val="00992544"/>
    <w:rsid w:val="009A3B62"/>
    <w:rsid w:val="009B2F2E"/>
    <w:rsid w:val="009B3448"/>
    <w:rsid w:val="009B41F6"/>
    <w:rsid w:val="009B5C1C"/>
    <w:rsid w:val="009C187E"/>
    <w:rsid w:val="009C25FD"/>
    <w:rsid w:val="009C3B91"/>
    <w:rsid w:val="009D1323"/>
    <w:rsid w:val="009D2673"/>
    <w:rsid w:val="009D2BF7"/>
    <w:rsid w:val="009D3F5F"/>
    <w:rsid w:val="009D6B76"/>
    <w:rsid w:val="009D6D28"/>
    <w:rsid w:val="009E01B6"/>
    <w:rsid w:val="009E01D2"/>
    <w:rsid w:val="009E16E5"/>
    <w:rsid w:val="009E29F9"/>
    <w:rsid w:val="009E410B"/>
    <w:rsid w:val="009E42B5"/>
    <w:rsid w:val="009E4FDB"/>
    <w:rsid w:val="009E5073"/>
    <w:rsid w:val="009E5DBE"/>
    <w:rsid w:val="009F02A0"/>
    <w:rsid w:val="009F2590"/>
    <w:rsid w:val="009F5FB3"/>
    <w:rsid w:val="009F78F1"/>
    <w:rsid w:val="00A001C7"/>
    <w:rsid w:val="00A01741"/>
    <w:rsid w:val="00A03095"/>
    <w:rsid w:val="00A03212"/>
    <w:rsid w:val="00A03C28"/>
    <w:rsid w:val="00A05049"/>
    <w:rsid w:val="00A05086"/>
    <w:rsid w:val="00A0712A"/>
    <w:rsid w:val="00A07FE5"/>
    <w:rsid w:val="00A13119"/>
    <w:rsid w:val="00A15233"/>
    <w:rsid w:val="00A15A6F"/>
    <w:rsid w:val="00A22938"/>
    <w:rsid w:val="00A25395"/>
    <w:rsid w:val="00A30089"/>
    <w:rsid w:val="00A32C6A"/>
    <w:rsid w:val="00A3749F"/>
    <w:rsid w:val="00A374F9"/>
    <w:rsid w:val="00A37C70"/>
    <w:rsid w:val="00A426CF"/>
    <w:rsid w:val="00A43EC9"/>
    <w:rsid w:val="00A45C3D"/>
    <w:rsid w:val="00A46192"/>
    <w:rsid w:val="00A503BF"/>
    <w:rsid w:val="00A527F7"/>
    <w:rsid w:val="00A52AFD"/>
    <w:rsid w:val="00A56D66"/>
    <w:rsid w:val="00A5742D"/>
    <w:rsid w:val="00A61083"/>
    <w:rsid w:val="00A646CC"/>
    <w:rsid w:val="00A65155"/>
    <w:rsid w:val="00A67E97"/>
    <w:rsid w:val="00A7049C"/>
    <w:rsid w:val="00A70ECE"/>
    <w:rsid w:val="00A71905"/>
    <w:rsid w:val="00A71A91"/>
    <w:rsid w:val="00A84879"/>
    <w:rsid w:val="00A84D04"/>
    <w:rsid w:val="00A84E16"/>
    <w:rsid w:val="00A87C5A"/>
    <w:rsid w:val="00A90D4B"/>
    <w:rsid w:val="00A9133A"/>
    <w:rsid w:val="00A955B9"/>
    <w:rsid w:val="00A95F9C"/>
    <w:rsid w:val="00A970A2"/>
    <w:rsid w:val="00AA71B0"/>
    <w:rsid w:val="00AA7485"/>
    <w:rsid w:val="00AA785F"/>
    <w:rsid w:val="00AB28E0"/>
    <w:rsid w:val="00AB3F23"/>
    <w:rsid w:val="00AB46B7"/>
    <w:rsid w:val="00AB4844"/>
    <w:rsid w:val="00AB4C03"/>
    <w:rsid w:val="00AB4D42"/>
    <w:rsid w:val="00AC0A27"/>
    <w:rsid w:val="00AC0EE4"/>
    <w:rsid w:val="00AC6AA1"/>
    <w:rsid w:val="00AD0224"/>
    <w:rsid w:val="00AD6E41"/>
    <w:rsid w:val="00AE3349"/>
    <w:rsid w:val="00AE46E9"/>
    <w:rsid w:val="00AF0526"/>
    <w:rsid w:val="00AF1D6E"/>
    <w:rsid w:val="00AF1E8F"/>
    <w:rsid w:val="00AF2F00"/>
    <w:rsid w:val="00B0306F"/>
    <w:rsid w:val="00B0602D"/>
    <w:rsid w:val="00B124FA"/>
    <w:rsid w:val="00B15477"/>
    <w:rsid w:val="00B16326"/>
    <w:rsid w:val="00B16F86"/>
    <w:rsid w:val="00B2365E"/>
    <w:rsid w:val="00B27CBF"/>
    <w:rsid w:val="00B31763"/>
    <w:rsid w:val="00B3291A"/>
    <w:rsid w:val="00B343CA"/>
    <w:rsid w:val="00B3719C"/>
    <w:rsid w:val="00B41966"/>
    <w:rsid w:val="00B42D88"/>
    <w:rsid w:val="00B438A3"/>
    <w:rsid w:val="00B44F7B"/>
    <w:rsid w:val="00B51CF2"/>
    <w:rsid w:val="00B52E84"/>
    <w:rsid w:val="00B5752F"/>
    <w:rsid w:val="00B6022F"/>
    <w:rsid w:val="00B67312"/>
    <w:rsid w:val="00B67813"/>
    <w:rsid w:val="00B72E9A"/>
    <w:rsid w:val="00B76076"/>
    <w:rsid w:val="00B762FC"/>
    <w:rsid w:val="00B766F7"/>
    <w:rsid w:val="00B76E6A"/>
    <w:rsid w:val="00B80788"/>
    <w:rsid w:val="00B80B54"/>
    <w:rsid w:val="00B84180"/>
    <w:rsid w:val="00B857CA"/>
    <w:rsid w:val="00B9127E"/>
    <w:rsid w:val="00B924F0"/>
    <w:rsid w:val="00B940DA"/>
    <w:rsid w:val="00B96F46"/>
    <w:rsid w:val="00BA05AA"/>
    <w:rsid w:val="00BA31B0"/>
    <w:rsid w:val="00BA32F3"/>
    <w:rsid w:val="00BA478A"/>
    <w:rsid w:val="00BB087B"/>
    <w:rsid w:val="00BB302C"/>
    <w:rsid w:val="00BB394D"/>
    <w:rsid w:val="00BC05D4"/>
    <w:rsid w:val="00BC1EBA"/>
    <w:rsid w:val="00BC412E"/>
    <w:rsid w:val="00BD1765"/>
    <w:rsid w:val="00BD771A"/>
    <w:rsid w:val="00BD7D60"/>
    <w:rsid w:val="00BF7420"/>
    <w:rsid w:val="00C003CB"/>
    <w:rsid w:val="00C00493"/>
    <w:rsid w:val="00C005AE"/>
    <w:rsid w:val="00C0070E"/>
    <w:rsid w:val="00C041F8"/>
    <w:rsid w:val="00C05DA9"/>
    <w:rsid w:val="00C15016"/>
    <w:rsid w:val="00C16EC7"/>
    <w:rsid w:val="00C21AAD"/>
    <w:rsid w:val="00C2262E"/>
    <w:rsid w:val="00C238A8"/>
    <w:rsid w:val="00C3014C"/>
    <w:rsid w:val="00C325FC"/>
    <w:rsid w:val="00C347B5"/>
    <w:rsid w:val="00C36E29"/>
    <w:rsid w:val="00C36EE4"/>
    <w:rsid w:val="00C4445F"/>
    <w:rsid w:val="00C44A93"/>
    <w:rsid w:val="00C50571"/>
    <w:rsid w:val="00C51D12"/>
    <w:rsid w:val="00C51EDE"/>
    <w:rsid w:val="00C527E6"/>
    <w:rsid w:val="00C55C83"/>
    <w:rsid w:val="00C57069"/>
    <w:rsid w:val="00C5799E"/>
    <w:rsid w:val="00C6124C"/>
    <w:rsid w:val="00C626B2"/>
    <w:rsid w:val="00C648E0"/>
    <w:rsid w:val="00C65595"/>
    <w:rsid w:val="00C670BD"/>
    <w:rsid w:val="00C72045"/>
    <w:rsid w:val="00C726CD"/>
    <w:rsid w:val="00C73580"/>
    <w:rsid w:val="00C73CEE"/>
    <w:rsid w:val="00C8039D"/>
    <w:rsid w:val="00C8621D"/>
    <w:rsid w:val="00C9326C"/>
    <w:rsid w:val="00CA001F"/>
    <w:rsid w:val="00CA1216"/>
    <w:rsid w:val="00CA1CA3"/>
    <w:rsid w:val="00CA2ABF"/>
    <w:rsid w:val="00CB267B"/>
    <w:rsid w:val="00CB448F"/>
    <w:rsid w:val="00CC1273"/>
    <w:rsid w:val="00CC2CAB"/>
    <w:rsid w:val="00CC38E3"/>
    <w:rsid w:val="00CC6865"/>
    <w:rsid w:val="00CD00E3"/>
    <w:rsid w:val="00CD0423"/>
    <w:rsid w:val="00CD3477"/>
    <w:rsid w:val="00CD595F"/>
    <w:rsid w:val="00CE1FDC"/>
    <w:rsid w:val="00CE2C82"/>
    <w:rsid w:val="00CE51A0"/>
    <w:rsid w:val="00CF0D8C"/>
    <w:rsid w:val="00CF0FB2"/>
    <w:rsid w:val="00CF30D8"/>
    <w:rsid w:val="00CF357C"/>
    <w:rsid w:val="00CF4D53"/>
    <w:rsid w:val="00CF52CC"/>
    <w:rsid w:val="00CF6976"/>
    <w:rsid w:val="00D006FC"/>
    <w:rsid w:val="00D010F6"/>
    <w:rsid w:val="00D01FAB"/>
    <w:rsid w:val="00D03244"/>
    <w:rsid w:val="00D078C6"/>
    <w:rsid w:val="00D12B36"/>
    <w:rsid w:val="00D1580C"/>
    <w:rsid w:val="00D15F7F"/>
    <w:rsid w:val="00D1663A"/>
    <w:rsid w:val="00D16DBB"/>
    <w:rsid w:val="00D30438"/>
    <w:rsid w:val="00D35D6F"/>
    <w:rsid w:val="00D367B5"/>
    <w:rsid w:val="00D37E46"/>
    <w:rsid w:val="00D43764"/>
    <w:rsid w:val="00D437D7"/>
    <w:rsid w:val="00D45BAF"/>
    <w:rsid w:val="00D45F2A"/>
    <w:rsid w:val="00D50174"/>
    <w:rsid w:val="00D5121F"/>
    <w:rsid w:val="00D519D2"/>
    <w:rsid w:val="00D53B4E"/>
    <w:rsid w:val="00D53B84"/>
    <w:rsid w:val="00D56EFB"/>
    <w:rsid w:val="00D620AE"/>
    <w:rsid w:val="00D66B6D"/>
    <w:rsid w:val="00D67873"/>
    <w:rsid w:val="00D70AF6"/>
    <w:rsid w:val="00D70CA2"/>
    <w:rsid w:val="00D71A31"/>
    <w:rsid w:val="00D71BBF"/>
    <w:rsid w:val="00D755C0"/>
    <w:rsid w:val="00D77D5B"/>
    <w:rsid w:val="00D84868"/>
    <w:rsid w:val="00D84AAE"/>
    <w:rsid w:val="00D8534F"/>
    <w:rsid w:val="00D85F56"/>
    <w:rsid w:val="00D86837"/>
    <w:rsid w:val="00D869EB"/>
    <w:rsid w:val="00D87271"/>
    <w:rsid w:val="00D924A8"/>
    <w:rsid w:val="00D9288D"/>
    <w:rsid w:val="00D96258"/>
    <w:rsid w:val="00D9649E"/>
    <w:rsid w:val="00DA046E"/>
    <w:rsid w:val="00DA04D0"/>
    <w:rsid w:val="00DA1967"/>
    <w:rsid w:val="00DA7831"/>
    <w:rsid w:val="00DB2638"/>
    <w:rsid w:val="00DB6D06"/>
    <w:rsid w:val="00DC0E9F"/>
    <w:rsid w:val="00DC10F5"/>
    <w:rsid w:val="00DC5EFA"/>
    <w:rsid w:val="00DC637E"/>
    <w:rsid w:val="00DD2175"/>
    <w:rsid w:val="00DD2763"/>
    <w:rsid w:val="00DD43BB"/>
    <w:rsid w:val="00DD4AAB"/>
    <w:rsid w:val="00DD50F8"/>
    <w:rsid w:val="00DE1337"/>
    <w:rsid w:val="00DE40EE"/>
    <w:rsid w:val="00DE4703"/>
    <w:rsid w:val="00DE7755"/>
    <w:rsid w:val="00DF1E20"/>
    <w:rsid w:val="00DF53F2"/>
    <w:rsid w:val="00DF64BA"/>
    <w:rsid w:val="00DF7BBA"/>
    <w:rsid w:val="00E010CB"/>
    <w:rsid w:val="00E03969"/>
    <w:rsid w:val="00E03E64"/>
    <w:rsid w:val="00E122F2"/>
    <w:rsid w:val="00E12B1D"/>
    <w:rsid w:val="00E14C3B"/>
    <w:rsid w:val="00E2097B"/>
    <w:rsid w:val="00E255C4"/>
    <w:rsid w:val="00E26E73"/>
    <w:rsid w:val="00E27448"/>
    <w:rsid w:val="00E2785A"/>
    <w:rsid w:val="00E278C0"/>
    <w:rsid w:val="00E32D2C"/>
    <w:rsid w:val="00E3314E"/>
    <w:rsid w:val="00E35ECE"/>
    <w:rsid w:val="00E379FD"/>
    <w:rsid w:val="00E37C47"/>
    <w:rsid w:val="00E4080F"/>
    <w:rsid w:val="00E42758"/>
    <w:rsid w:val="00E429B4"/>
    <w:rsid w:val="00E45C78"/>
    <w:rsid w:val="00E46010"/>
    <w:rsid w:val="00E501EA"/>
    <w:rsid w:val="00E52C9F"/>
    <w:rsid w:val="00E530CD"/>
    <w:rsid w:val="00E54763"/>
    <w:rsid w:val="00E57835"/>
    <w:rsid w:val="00E609D5"/>
    <w:rsid w:val="00E60AF7"/>
    <w:rsid w:val="00E614C0"/>
    <w:rsid w:val="00E6385A"/>
    <w:rsid w:val="00E64624"/>
    <w:rsid w:val="00E65B3F"/>
    <w:rsid w:val="00E66DFD"/>
    <w:rsid w:val="00E702BF"/>
    <w:rsid w:val="00E70C38"/>
    <w:rsid w:val="00E776DF"/>
    <w:rsid w:val="00E77B01"/>
    <w:rsid w:val="00E80CBC"/>
    <w:rsid w:val="00E8157A"/>
    <w:rsid w:val="00E81C89"/>
    <w:rsid w:val="00E827BF"/>
    <w:rsid w:val="00E82990"/>
    <w:rsid w:val="00E830C8"/>
    <w:rsid w:val="00E83525"/>
    <w:rsid w:val="00E845F8"/>
    <w:rsid w:val="00E84DF0"/>
    <w:rsid w:val="00E85A86"/>
    <w:rsid w:val="00E946AB"/>
    <w:rsid w:val="00E9567E"/>
    <w:rsid w:val="00EA34B8"/>
    <w:rsid w:val="00EB1BA8"/>
    <w:rsid w:val="00EB38F2"/>
    <w:rsid w:val="00EB68CB"/>
    <w:rsid w:val="00EB736A"/>
    <w:rsid w:val="00EC0098"/>
    <w:rsid w:val="00EC0548"/>
    <w:rsid w:val="00EC3441"/>
    <w:rsid w:val="00EC700F"/>
    <w:rsid w:val="00ED1389"/>
    <w:rsid w:val="00ED78CB"/>
    <w:rsid w:val="00EE0A8B"/>
    <w:rsid w:val="00EF0306"/>
    <w:rsid w:val="00EF054B"/>
    <w:rsid w:val="00EF0AB2"/>
    <w:rsid w:val="00EF37CC"/>
    <w:rsid w:val="00F012D2"/>
    <w:rsid w:val="00F04158"/>
    <w:rsid w:val="00F04CC2"/>
    <w:rsid w:val="00F057A8"/>
    <w:rsid w:val="00F07260"/>
    <w:rsid w:val="00F1195C"/>
    <w:rsid w:val="00F12AAF"/>
    <w:rsid w:val="00F132F5"/>
    <w:rsid w:val="00F17117"/>
    <w:rsid w:val="00F1782E"/>
    <w:rsid w:val="00F20A86"/>
    <w:rsid w:val="00F20F51"/>
    <w:rsid w:val="00F228DB"/>
    <w:rsid w:val="00F244EA"/>
    <w:rsid w:val="00F26232"/>
    <w:rsid w:val="00F27390"/>
    <w:rsid w:val="00F31549"/>
    <w:rsid w:val="00F317E0"/>
    <w:rsid w:val="00F32A6C"/>
    <w:rsid w:val="00F334D2"/>
    <w:rsid w:val="00F34137"/>
    <w:rsid w:val="00F3595F"/>
    <w:rsid w:val="00F37625"/>
    <w:rsid w:val="00F37A20"/>
    <w:rsid w:val="00F451D2"/>
    <w:rsid w:val="00F45969"/>
    <w:rsid w:val="00F558B0"/>
    <w:rsid w:val="00F56A1E"/>
    <w:rsid w:val="00F61ECB"/>
    <w:rsid w:val="00F67D7A"/>
    <w:rsid w:val="00F73CF2"/>
    <w:rsid w:val="00F87674"/>
    <w:rsid w:val="00F87BD3"/>
    <w:rsid w:val="00F93FC9"/>
    <w:rsid w:val="00F94061"/>
    <w:rsid w:val="00F946CA"/>
    <w:rsid w:val="00F953BA"/>
    <w:rsid w:val="00FB10D4"/>
    <w:rsid w:val="00FB1482"/>
    <w:rsid w:val="00FB28D2"/>
    <w:rsid w:val="00FB2996"/>
    <w:rsid w:val="00FB3DCF"/>
    <w:rsid w:val="00FB61FB"/>
    <w:rsid w:val="00FC05A6"/>
    <w:rsid w:val="00FC33ED"/>
    <w:rsid w:val="00FC4976"/>
    <w:rsid w:val="00FC4D5C"/>
    <w:rsid w:val="00FC6A5F"/>
    <w:rsid w:val="00FD0B43"/>
    <w:rsid w:val="00FD0E37"/>
    <w:rsid w:val="00FD13F9"/>
    <w:rsid w:val="00FD3EBC"/>
    <w:rsid w:val="00FD62ED"/>
    <w:rsid w:val="00FD6F22"/>
    <w:rsid w:val="00FE046E"/>
    <w:rsid w:val="00FE08FC"/>
    <w:rsid w:val="00FE4A3C"/>
    <w:rsid w:val="00FE4C38"/>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26DB"/>
  <w15:docId w15:val="{31739C6E-66D0-4C3F-B4FC-A9D690BA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iPriority="9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20"/>
      </w:numPr>
      <w:spacing w:before="300" w:line="280" w:lineRule="atLeast"/>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outlineLvl w:val="1"/>
    </w:pPr>
    <w:rPr>
      <w:bCs w:val="0"/>
      <w:iCs/>
      <w:color w:val="56B4DF"/>
      <w:sz w:val="22"/>
      <w:szCs w:val="28"/>
    </w:rPr>
  </w:style>
  <w:style w:type="paragraph" w:styleId="Heading3">
    <w:name w:val="heading 3"/>
    <w:basedOn w:val="BodyText"/>
    <w:next w:val="BodyText"/>
    <w:link w:val="Heading3Char"/>
    <w:qFormat/>
    <w:rsid w:val="002C7B38"/>
    <w:pPr>
      <w:keepNext/>
      <w:numPr>
        <w:ilvl w:val="2"/>
        <w:numId w:val="20"/>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20"/>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20"/>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numPr>
        <w:numId w:val="35"/>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6"/>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7"/>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6"/>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character" w:styleId="CommentReference">
    <w:name w:val="annotation reference"/>
    <w:basedOn w:val="DefaultParagraphFont"/>
    <w:semiHidden/>
    <w:unhideWhenUsed/>
    <w:rsid w:val="000A72D6"/>
    <w:rPr>
      <w:sz w:val="16"/>
      <w:szCs w:val="16"/>
    </w:rPr>
  </w:style>
  <w:style w:type="paragraph" w:styleId="CommentText">
    <w:name w:val="annotation text"/>
    <w:basedOn w:val="Normal"/>
    <w:link w:val="CommentTextChar"/>
    <w:semiHidden/>
    <w:unhideWhenUsed/>
    <w:rsid w:val="000A72D6"/>
    <w:pPr>
      <w:spacing w:line="240" w:lineRule="auto"/>
    </w:pPr>
    <w:rPr>
      <w:szCs w:val="20"/>
    </w:rPr>
  </w:style>
  <w:style w:type="character" w:customStyle="1" w:styleId="CommentTextChar">
    <w:name w:val="Comment Text Char"/>
    <w:basedOn w:val="DefaultParagraphFont"/>
    <w:link w:val="CommentText"/>
    <w:semiHidden/>
    <w:rsid w:val="000A72D6"/>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0A72D6"/>
    <w:rPr>
      <w:b/>
      <w:bCs/>
    </w:rPr>
  </w:style>
  <w:style w:type="character" w:customStyle="1" w:styleId="CommentSubjectChar">
    <w:name w:val="Comment Subject Char"/>
    <w:basedOn w:val="CommentTextChar"/>
    <w:link w:val="CommentSubject"/>
    <w:semiHidden/>
    <w:rsid w:val="000A72D6"/>
    <w:rPr>
      <w:rFonts w:ascii="Arial" w:hAnsi="Arial"/>
      <w:b/>
      <w:bCs/>
      <w:color w:val="373737"/>
      <w:sz w:val="20"/>
      <w:szCs w:val="20"/>
    </w:rPr>
  </w:style>
  <w:style w:type="paragraph" w:styleId="PlainText">
    <w:name w:val="Plain Text"/>
    <w:basedOn w:val="Normal"/>
    <w:link w:val="PlainTextChar"/>
    <w:uiPriority w:val="99"/>
    <w:unhideWhenUsed/>
    <w:rsid w:val="0052005C"/>
    <w:pPr>
      <w:spacing w:after="0" w:line="240" w:lineRule="auto"/>
      <w:ind w:left="0"/>
      <w:jc w:val="left"/>
    </w:pPr>
    <w:rPr>
      <w:rFonts w:ascii="Consolas" w:hAnsi="Consolas"/>
      <w:color w:val="auto"/>
      <w:sz w:val="21"/>
      <w:szCs w:val="21"/>
    </w:rPr>
  </w:style>
  <w:style w:type="character" w:customStyle="1" w:styleId="PlainTextChar">
    <w:name w:val="Plain Text Char"/>
    <w:basedOn w:val="DefaultParagraphFont"/>
    <w:link w:val="PlainText"/>
    <w:uiPriority w:val="99"/>
    <w:rsid w:val="0052005C"/>
    <w:rPr>
      <w:rFonts w:ascii="Consolas" w:hAnsi="Consolas"/>
      <w:sz w:val="21"/>
      <w:szCs w:val="21"/>
    </w:rPr>
  </w:style>
  <w:style w:type="character" w:styleId="FollowedHyperlink">
    <w:name w:val="FollowedHyperlink"/>
    <w:basedOn w:val="DefaultParagraphFont"/>
    <w:uiPriority w:val="19"/>
    <w:semiHidden/>
    <w:unhideWhenUsed/>
    <w:rsid w:val="0000075D"/>
    <w:rPr>
      <w:color w:val="56B4E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san.bakhtiari@industry.gov.au" TargetMode="Externa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dustry.gov.au/oce" TargetMode="Externa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258125564646998E-2"/>
          <c:y val="3.8244246868940499E-2"/>
          <c:w val="0.8716817167837706"/>
          <c:h val="0.72094655365531535"/>
        </c:manualLayout>
      </c:layout>
      <c:lineChart>
        <c:grouping val="standard"/>
        <c:varyColors val="0"/>
        <c:ser>
          <c:idx val="0"/>
          <c:order val="0"/>
          <c:tx>
            <c:v>BLADE</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plot!$A$2:$A$17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plot!$B$2:$B$17</c:f>
              <c:numCache>
                <c:formatCode>General</c:formatCode>
                <c:ptCount val="16"/>
                <c:pt idx="0">
                  <c:v>16.8791583</c:v>
                </c:pt>
                <c:pt idx="1">
                  <c:v>16.61984636</c:v>
                </c:pt>
                <c:pt idx="2">
                  <c:v>16.379750680000001</c:v>
                </c:pt>
                <c:pt idx="3">
                  <c:v>15.418618179999999</c:v>
                </c:pt>
                <c:pt idx="4">
                  <c:v>15.35302634</c:v>
                </c:pt>
                <c:pt idx="5">
                  <c:v>13.92295537</c:v>
                </c:pt>
                <c:pt idx="6">
                  <c:v>13.596498</c:v>
                </c:pt>
                <c:pt idx="7">
                  <c:v>13.267725280000001</c:v>
                </c:pt>
                <c:pt idx="8">
                  <c:v>13.00213542</c:v>
                </c:pt>
                <c:pt idx="9">
                  <c:v>12.7105526</c:v>
                </c:pt>
                <c:pt idx="10">
                  <c:v>10.662854859999999</c:v>
                </c:pt>
                <c:pt idx="11">
                  <c:v>12.62632842</c:v>
                </c:pt>
                <c:pt idx="12">
                  <c:v>13.02981488</c:v>
                </c:pt>
                <c:pt idx="13">
                  <c:v>14.75419235</c:v>
                </c:pt>
              </c:numCache>
            </c:numRef>
          </c:val>
          <c:smooth val="0"/>
        </c:ser>
        <c:ser>
          <c:idx val="1"/>
          <c:order val="1"/>
          <c:tx>
            <c:v>ABS Cat.No.8156</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plot!$A$2:$A$17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plot!$C$2:$C$17</c:f>
              <c:numCache>
                <c:formatCode>General</c:formatCode>
                <c:ptCount val="16"/>
                <c:pt idx="1">
                  <c:v>17.399999999999999</c:v>
                </c:pt>
                <c:pt idx="2">
                  <c:v>16.899999999999999</c:v>
                </c:pt>
                <c:pt idx="3">
                  <c:v>16.2</c:v>
                </c:pt>
                <c:pt idx="4">
                  <c:v>17</c:v>
                </c:pt>
                <c:pt idx="5">
                  <c:v>15.3</c:v>
                </c:pt>
                <c:pt idx="6">
                  <c:v>14.4</c:v>
                </c:pt>
                <c:pt idx="7">
                  <c:v>16.7</c:v>
                </c:pt>
                <c:pt idx="8">
                  <c:v>13.9</c:v>
                </c:pt>
                <c:pt idx="9">
                  <c:v>13.5</c:v>
                </c:pt>
                <c:pt idx="10">
                  <c:v>11.2</c:v>
                </c:pt>
                <c:pt idx="11">
                  <c:v>13.7</c:v>
                </c:pt>
                <c:pt idx="12">
                  <c:v>13.4</c:v>
                </c:pt>
                <c:pt idx="13">
                  <c:v>14.6</c:v>
                </c:pt>
                <c:pt idx="14">
                  <c:v>15.1</c:v>
                </c:pt>
                <c:pt idx="15">
                  <c:v>15.8</c:v>
                </c:pt>
              </c:numCache>
            </c:numRef>
          </c:val>
          <c:smooth val="0"/>
        </c:ser>
        <c:dLbls>
          <c:showLegendKey val="0"/>
          <c:showVal val="0"/>
          <c:showCatName val="0"/>
          <c:showSerName val="0"/>
          <c:showPercent val="0"/>
          <c:showBubbleSize val="0"/>
        </c:dLbls>
        <c:marker val="1"/>
        <c:smooth val="0"/>
        <c:axId val="539489296"/>
        <c:axId val="539489688"/>
      </c:lineChart>
      <c:catAx>
        <c:axId val="539489296"/>
        <c:scaling>
          <c:orientation val="minMax"/>
        </c:scaling>
        <c:delete val="0"/>
        <c:axPos val="b"/>
        <c:numFmt formatCode="General" sourceLinked="1"/>
        <c:majorTickMark val="out"/>
        <c:minorTickMark val="none"/>
        <c:tickLblPos val="nextTo"/>
        <c:spPr>
          <a:noFill/>
          <a:ln w="9525" cap="flat" cmpd="sng" algn="ctr">
            <a:solidFill>
              <a:schemeClr val="accent4"/>
            </a:solidFill>
            <a:round/>
          </a:ln>
          <a:effectLst/>
        </c:spPr>
        <c:txPr>
          <a:bodyPr rot="1800000" spcFirstLastPara="1" vertOverflow="ellipsis" wrap="square" anchor="ctr" anchorCtr="1"/>
          <a:lstStyle/>
          <a:p>
            <a:pPr>
              <a:defRPr sz="900" b="0" i="0" u="none" strike="noStrike" kern="1200" baseline="0">
                <a:solidFill>
                  <a:srgbClr val="373737"/>
                </a:solidFill>
                <a:effectLst/>
                <a:latin typeface="+mn-lt"/>
                <a:ea typeface="+mn-ea"/>
                <a:cs typeface="+mn-cs"/>
              </a:defRPr>
            </a:pPr>
            <a:endParaRPr lang="en-US"/>
          </a:p>
        </c:txPr>
        <c:crossAx val="539489688"/>
        <c:crosses val="autoZero"/>
        <c:auto val="1"/>
        <c:lblAlgn val="ctr"/>
        <c:lblOffset val="100"/>
        <c:noMultiLvlLbl val="0"/>
      </c:catAx>
      <c:valAx>
        <c:axId val="53948968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rgbClr val="373737"/>
                    </a:solidFill>
                    <a:latin typeface="+mn-lt"/>
                    <a:ea typeface="+mn-ea"/>
                    <a:cs typeface="+mn-cs"/>
                  </a:defRPr>
                </a:pPr>
                <a:r>
                  <a:rPr lang="en-US" sz="900">
                    <a:solidFill>
                      <a:srgbClr val="373737"/>
                    </a:solidFill>
                  </a:rPr>
                  <a:t>Firm</a:t>
                </a:r>
                <a:r>
                  <a:rPr lang="en-US" sz="900" baseline="0">
                    <a:solidFill>
                      <a:srgbClr val="373737"/>
                    </a:solidFill>
                  </a:rPr>
                  <a:t> Entry Rate (per cent)</a:t>
                </a:r>
                <a:endParaRPr lang="en-US" sz="900">
                  <a:solidFill>
                    <a:srgbClr val="373737"/>
                  </a:solidFill>
                </a:endParaRP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title>
        <c:numFmt formatCode="General" sourceLinked="1"/>
        <c:majorTickMark val="out"/>
        <c:minorTickMark val="none"/>
        <c:tickLblPos val="nextTo"/>
        <c:spPr>
          <a:noFill/>
          <a:ln>
            <a:solidFill>
              <a:schemeClr val="accent4"/>
            </a:solidFill>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539489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02537182852142"/>
          <c:y val="5.0925925925925923E-2"/>
          <c:w val="0.82023359580052502"/>
          <c:h val="0.70545227578260017"/>
        </c:manualLayout>
      </c:layout>
      <c:barChart>
        <c:barDir val="col"/>
        <c:grouping val="clustered"/>
        <c:varyColors val="0"/>
        <c:ser>
          <c:idx val="0"/>
          <c:order val="0"/>
          <c:tx>
            <c:v>Age 0 (Birth)</c:v>
          </c:tx>
          <c:spPr>
            <a:solidFill>
              <a:schemeClr val="accent1"/>
            </a:solidFill>
            <a:ln>
              <a:noFill/>
            </a:ln>
            <a:effectLst/>
          </c:spPr>
          <c:invertIfNegative val="0"/>
          <c:cat>
            <c:strRef>
              <c:f>net!$S$2:$S$8</c:f>
              <c:strCache>
                <c:ptCount val="7"/>
                <c:pt idx="0">
                  <c:v>2004-2009</c:v>
                </c:pt>
                <c:pt idx="1">
                  <c:v>2006-2011</c:v>
                </c:pt>
                <c:pt idx="2">
                  <c:v>2008-2013</c:v>
                </c:pt>
                <c:pt idx="3">
                  <c:v>2010-2015</c:v>
                </c:pt>
                <c:pt idx="5">
                  <c:v>2004-2014</c:v>
                </c:pt>
                <c:pt idx="6">
                  <c:v>2004-2015</c:v>
                </c:pt>
              </c:strCache>
            </c:strRef>
          </c:cat>
          <c:val>
            <c:numRef>
              <c:f>net!$H$2:$H$8</c:f>
              <c:numCache>
                <c:formatCode>General</c:formatCode>
                <c:ptCount val="7"/>
                <c:pt idx="0">
                  <c:v>36.643260955810547</c:v>
                </c:pt>
                <c:pt idx="1">
                  <c:v>52.251029968261719</c:v>
                </c:pt>
                <c:pt idx="2">
                  <c:v>56.95892333984375</c:v>
                </c:pt>
                <c:pt idx="3">
                  <c:v>77.335296630859375</c:v>
                </c:pt>
                <c:pt idx="5">
                  <c:v>45.195087432861328</c:v>
                </c:pt>
                <c:pt idx="6">
                  <c:v>48.292675018310547</c:v>
                </c:pt>
              </c:numCache>
            </c:numRef>
          </c:val>
        </c:ser>
        <c:ser>
          <c:idx val="1"/>
          <c:order val="1"/>
          <c:tx>
            <c:v>Ages 1-3</c:v>
          </c:tx>
          <c:spPr>
            <a:solidFill>
              <a:schemeClr val="accent2"/>
            </a:solidFill>
            <a:ln>
              <a:noFill/>
            </a:ln>
            <a:effectLst/>
          </c:spPr>
          <c:invertIfNegative val="0"/>
          <c:cat>
            <c:strRef>
              <c:f>net!$S$2:$S$8</c:f>
              <c:strCache>
                <c:ptCount val="7"/>
                <c:pt idx="0">
                  <c:v>2004-2009</c:v>
                </c:pt>
                <c:pt idx="1">
                  <c:v>2006-2011</c:v>
                </c:pt>
                <c:pt idx="2">
                  <c:v>2008-2013</c:v>
                </c:pt>
                <c:pt idx="3">
                  <c:v>2010-2015</c:v>
                </c:pt>
                <c:pt idx="5">
                  <c:v>2004-2014</c:v>
                </c:pt>
                <c:pt idx="6">
                  <c:v>2004-2015</c:v>
                </c:pt>
              </c:strCache>
            </c:strRef>
          </c:cat>
          <c:val>
            <c:numRef>
              <c:f>net!$L$2:$L$8</c:f>
              <c:numCache>
                <c:formatCode>General</c:formatCode>
                <c:ptCount val="7"/>
                <c:pt idx="0">
                  <c:v>30.094461441040039</c:v>
                </c:pt>
                <c:pt idx="1">
                  <c:v>36.095218658447266</c:v>
                </c:pt>
                <c:pt idx="2">
                  <c:v>33.813629150390625</c:v>
                </c:pt>
                <c:pt idx="3">
                  <c:v>48.446140289306641</c:v>
                </c:pt>
                <c:pt idx="5">
                  <c:v>32.757862091064453</c:v>
                </c:pt>
                <c:pt idx="6">
                  <c:v>35.348224639892578</c:v>
                </c:pt>
              </c:numCache>
            </c:numRef>
          </c:val>
        </c:ser>
        <c:dLbls>
          <c:showLegendKey val="0"/>
          <c:showVal val="0"/>
          <c:showCatName val="0"/>
          <c:showSerName val="0"/>
          <c:showPercent val="0"/>
          <c:showBubbleSize val="0"/>
        </c:dLbls>
        <c:gapWidth val="219"/>
        <c:overlap val="-27"/>
        <c:axId val="227810320"/>
        <c:axId val="227809536"/>
      </c:barChart>
      <c:catAx>
        <c:axId val="2278103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1260000" spcFirstLastPara="1" vertOverflow="ellipsis" wrap="square" anchor="ctr" anchorCtr="1"/>
          <a:lstStyle/>
          <a:p>
            <a:pPr>
              <a:defRPr sz="900" b="0" i="0" u="none" strike="noStrike" kern="1200" baseline="0">
                <a:solidFill>
                  <a:srgbClr val="373737"/>
                </a:solidFill>
                <a:latin typeface="+mn-lt"/>
                <a:ea typeface="+mn-ea"/>
                <a:cs typeface="+mn-cs"/>
              </a:defRPr>
            </a:pPr>
            <a:endParaRPr lang="en-US"/>
          </a:p>
        </c:txPr>
        <c:crossAx val="227809536"/>
        <c:crosses val="autoZero"/>
        <c:auto val="1"/>
        <c:lblAlgn val="ctr"/>
        <c:lblOffset val="100"/>
        <c:noMultiLvlLbl val="0"/>
      </c:catAx>
      <c:valAx>
        <c:axId val="22780953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rgbClr val="373737"/>
                    </a:solidFill>
                    <a:latin typeface="+mn-lt"/>
                    <a:ea typeface="+mn-ea"/>
                    <a:cs typeface="+mn-cs"/>
                  </a:defRPr>
                </a:pPr>
                <a:r>
                  <a:rPr lang="en-AU" sz="900">
                    <a:solidFill>
                      <a:srgbClr val="373737"/>
                    </a:solidFill>
                  </a:rPr>
                  <a:t>Share</a:t>
                </a:r>
                <a:r>
                  <a:rPr lang="en-AU" sz="900" baseline="0">
                    <a:solidFill>
                      <a:srgbClr val="373737"/>
                    </a:solidFill>
                  </a:rPr>
                  <a:t> of Net Job Creation (per cent)</a:t>
                </a:r>
                <a:endParaRPr lang="en-AU" sz="900">
                  <a:solidFill>
                    <a:srgbClr val="373737"/>
                  </a:solidFill>
                </a:endParaRP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title>
        <c:numFmt formatCode="General" sourceLinked="1"/>
        <c:majorTickMark val="out"/>
        <c:minorTickMark val="none"/>
        <c:tickLblPos val="nextTo"/>
        <c:spPr>
          <a:noFill/>
          <a:ln>
            <a:solidFill>
              <a:schemeClr val="accent4"/>
            </a:solidFill>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227810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23211781910176"/>
          <c:y val="6.118918918918919E-2"/>
          <c:w val="0.82788754921259833"/>
          <c:h val="0.70277051855004613"/>
        </c:manualLayout>
      </c:layout>
      <c:barChart>
        <c:barDir val="col"/>
        <c:grouping val="clustered"/>
        <c:varyColors val="0"/>
        <c:ser>
          <c:idx val="0"/>
          <c:order val="0"/>
          <c:tx>
            <c:v>Small Young (Age 0 - Birth)</c:v>
          </c:tx>
          <c:spPr>
            <a:solidFill>
              <a:schemeClr val="accent1"/>
            </a:solidFill>
            <a:ln>
              <a:noFill/>
            </a:ln>
            <a:effectLst/>
          </c:spPr>
          <c:invertIfNegative val="0"/>
          <c:cat>
            <c:strRef>
              <c:f>(net!$S$2,net!$S$5)</c:f>
              <c:strCache>
                <c:ptCount val="2"/>
                <c:pt idx="0">
                  <c:v>2004-2009</c:v>
                </c:pt>
                <c:pt idx="1">
                  <c:v>2010-2015</c:v>
                </c:pt>
              </c:strCache>
            </c:strRef>
          </c:cat>
          <c:val>
            <c:numRef>
              <c:f>(net!$C$2,net!$C$5)</c:f>
              <c:numCache>
                <c:formatCode>General</c:formatCode>
                <c:ptCount val="2"/>
                <c:pt idx="0">
                  <c:v>708988.7578125</c:v>
                </c:pt>
                <c:pt idx="1">
                  <c:v>600193.4453125</c:v>
                </c:pt>
              </c:numCache>
            </c:numRef>
          </c:val>
        </c:ser>
        <c:ser>
          <c:idx val="1"/>
          <c:order val="1"/>
          <c:tx>
            <c:v>Small Young (Ages 1-3)</c:v>
          </c:tx>
          <c:spPr>
            <a:solidFill>
              <a:schemeClr val="accent2"/>
            </a:solidFill>
            <a:ln>
              <a:noFill/>
            </a:ln>
            <a:effectLst/>
          </c:spPr>
          <c:invertIfNegative val="0"/>
          <c:cat>
            <c:strRef>
              <c:f>(net!$S$2,net!$S$5)</c:f>
              <c:strCache>
                <c:ptCount val="2"/>
                <c:pt idx="0">
                  <c:v>2004-2009</c:v>
                </c:pt>
                <c:pt idx="1">
                  <c:v>2010-2015</c:v>
                </c:pt>
              </c:strCache>
            </c:strRef>
          </c:cat>
          <c:val>
            <c:numRef>
              <c:f>(net!$G$2,net!$G$5)</c:f>
              <c:numCache>
                <c:formatCode>General</c:formatCode>
                <c:ptCount val="2"/>
                <c:pt idx="0">
                  <c:v>582279.90625</c:v>
                </c:pt>
                <c:pt idx="1">
                  <c:v>375986.85180664063</c:v>
                </c:pt>
              </c:numCache>
            </c:numRef>
          </c:val>
        </c:ser>
        <c:ser>
          <c:idx val="2"/>
          <c:order val="2"/>
          <c:tx>
            <c:v>Small Mature</c:v>
          </c:tx>
          <c:spPr>
            <a:solidFill>
              <a:schemeClr val="accent3"/>
            </a:solidFill>
            <a:ln>
              <a:noFill/>
            </a:ln>
            <a:effectLst/>
          </c:spPr>
          <c:invertIfNegative val="0"/>
          <c:cat>
            <c:strRef>
              <c:f>(net!$S$2,net!$S$5)</c:f>
              <c:strCache>
                <c:ptCount val="2"/>
                <c:pt idx="0">
                  <c:v>2004-2009</c:v>
                </c:pt>
                <c:pt idx="1">
                  <c:v>2010-2015</c:v>
                </c:pt>
              </c:strCache>
            </c:strRef>
          </c:cat>
          <c:val>
            <c:numRef>
              <c:f>(net!$F$2,net!$F$5)</c:f>
              <c:numCache>
                <c:formatCode>General</c:formatCode>
                <c:ptCount val="2"/>
                <c:pt idx="0">
                  <c:v>-1283503.890625</c:v>
                </c:pt>
                <c:pt idx="1">
                  <c:v>-1158229.5</c:v>
                </c:pt>
              </c:numCache>
            </c:numRef>
          </c:val>
        </c:ser>
        <c:ser>
          <c:idx val="3"/>
          <c:order val="3"/>
          <c:tx>
            <c:v>Medium</c:v>
          </c:tx>
          <c:spPr>
            <a:solidFill>
              <a:schemeClr val="accent4"/>
            </a:solidFill>
            <a:ln>
              <a:noFill/>
            </a:ln>
            <a:effectLst/>
          </c:spPr>
          <c:invertIfNegative val="0"/>
          <c:cat>
            <c:strRef>
              <c:f>(net!$S$2,net!$S$5)</c:f>
              <c:strCache>
                <c:ptCount val="2"/>
                <c:pt idx="0">
                  <c:v>2004-2009</c:v>
                </c:pt>
                <c:pt idx="1">
                  <c:v>2010-2015</c:v>
                </c:pt>
              </c:strCache>
            </c:strRef>
          </c:cat>
          <c:val>
            <c:numRef>
              <c:f>(net!$E$2,net!$E$5)</c:f>
              <c:numCache>
                <c:formatCode>General</c:formatCode>
                <c:ptCount val="2"/>
                <c:pt idx="0">
                  <c:v>750536.109375</c:v>
                </c:pt>
                <c:pt idx="1">
                  <c:v>561603.0390625</c:v>
                </c:pt>
              </c:numCache>
            </c:numRef>
          </c:val>
        </c:ser>
        <c:ser>
          <c:idx val="4"/>
          <c:order val="4"/>
          <c:tx>
            <c:v>Large</c:v>
          </c:tx>
          <c:spPr>
            <a:solidFill>
              <a:schemeClr val="accent5"/>
            </a:solidFill>
            <a:ln>
              <a:noFill/>
            </a:ln>
            <a:effectLst/>
          </c:spPr>
          <c:invertIfNegative val="0"/>
          <c:cat>
            <c:strRef>
              <c:f>(net!$S$2,net!$S$5)</c:f>
              <c:strCache>
                <c:ptCount val="2"/>
                <c:pt idx="0">
                  <c:v>2004-2009</c:v>
                </c:pt>
                <c:pt idx="1">
                  <c:v>2010-2015</c:v>
                </c:pt>
              </c:strCache>
            </c:strRef>
          </c:cat>
          <c:val>
            <c:numRef>
              <c:f>(net!$D$2,net!$D$5)</c:f>
              <c:numCache>
                <c:formatCode>General</c:formatCode>
                <c:ptCount val="2"/>
                <c:pt idx="0">
                  <c:v>1176539.8671875</c:v>
                </c:pt>
                <c:pt idx="1">
                  <c:v>396538.63671875</c:v>
                </c:pt>
              </c:numCache>
            </c:numRef>
          </c:val>
        </c:ser>
        <c:dLbls>
          <c:showLegendKey val="0"/>
          <c:showVal val="0"/>
          <c:showCatName val="0"/>
          <c:showSerName val="0"/>
          <c:showPercent val="0"/>
          <c:showBubbleSize val="0"/>
        </c:dLbls>
        <c:gapWidth val="219"/>
        <c:overlap val="-27"/>
        <c:axId val="227809928"/>
        <c:axId val="227808752"/>
      </c:barChart>
      <c:catAx>
        <c:axId val="227809928"/>
        <c:scaling>
          <c:orientation val="minMax"/>
        </c:scaling>
        <c:delete val="0"/>
        <c:axPos val="b"/>
        <c:numFmt formatCode="General" sourceLinked="1"/>
        <c:majorTickMark val="out"/>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rgbClr val="373737"/>
                </a:solidFill>
                <a:latin typeface="+mn-lt"/>
                <a:ea typeface="+mn-ea"/>
                <a:cs typeface="+mn-cs"/>
              </a:defRPr>
            </a:pPr>
            <a:endParaRPr lang="en-US"/>
          </a:p>
        </c:txPr>
        <c:crossAx val="227808752"/>
        <c:crosses val="autoZero"/>
        <c:auto val="1"/>
        <c:lblAlgn val="ctr"/>
        <c:lblOffset val="100"/>
        <c:noMultiLvlLbl val="0"/>
      </c:catAx>
      <c:valAx>
        <c:axId val="22780875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rgbClr val="373737"/>
                    </a:solidFill>
                    <a:latin typeface="+mn-lt"/>
                    <a:ea typeface="+mn-ea"/>
                    <a:cs typeface="+mn-cs"/>
                  </a:defRPr>
                </a:pPr>
                <a:r>
                  <a:rPr lang="en-AU">
                    <a:solidFill>
                      <a:srgbClr val="373737"/>
                    </a:solidFill>
                  </a:rPr>
                  <a:t>Net</a:t>
                </a:r>
                <a:r>
                  <a:rPr lang="en-AU" baseline="0">
                    <a:solidFill>
                      <a:srgbClr val="373737"/>
                    </a:solidFill>
                  </a:rPr>
                  <a:t> Job Creation (000)</a:t>
                </a:r>
                <a:endParaRPr lang="en-AU">
                  <a:solidFill>
                    <a:srgbClr val="373737"/>
                  </a:solidFill>
                </a:endParaRPr>
              </a:p>
            </c:rich>
          </c:tx>
          <c:layout>
            <c:manualLayout>
              <c:xMode val="edge"/>
              <c:yMode val="edge"/>
              <c:x val="0.02"/>
              <c:y val="0.310327265355946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rgbClr val="373737"/>
                  </a:solidFill>
                  <a:latin typeface="+mn-lt"/>
                  <a:ea typeface="+mn-ea"/>
                  <a:cs typeface="+mn-cs"/>
                </a:defRPr>
              </a:pPr>
              <a:endParaRPr lang="en-US"/>
            </a:p>
          </c:txPr>
        </c:title>
        <c:numFmt formatCode="General" sourceLinked="1"/>
        <c:majorTickMark val="out"/>
        <c:minorTickMark val="none"/>
        <c:tickLblPos val="nextTo"/>
        <c:spPr>
          <a:noFill/>
          <a:ln>
            <a:solidFill>
              <a:schemeClr val="accent4"/>
            </a:solidFill>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227809928"/>
        <c:crosses val="autoZero"/>
        <c:crossBetween val="between"/>
        <c:dispUnits>
          <c:builtInUnit val="thousands"/>
        </c:dispUnits>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51A58F579245D89E55A6FC3ED29617"/>
        <w:category>
          <w:name w:val="General"/>
          <w:gallery w:val="placeholder"/>
        </w:category>
        <w:types>
          <w:type w:val="bbPlcHdr"/>
        </w:types>
        <w:behaviors>
          <w:behavior w:val="content"/>
        </w:behaviors>
        <w:guid w:val="{D03DC258-7794-473E-AA21-F123B628A338}"/>
      </w:docPartPr>
      <w:docPartBody>
        <w:p w:rsidR="008D6C4C" w:rsidRDefault="0038624B" w:rsidP="0038624B">
          <w:pPr>
            <w:pStyle w:val="0C51A58F579245D89E55A6FC3ED29617"/>
          </w:pPr>
          <w:r w:rsidRPr="004116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4B"/>
    <w:rsid w:val="0038624B"/>
    <w:rsid w:val="008D6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24B"/>
    <w:rPr>
      <w:color w:val="808080"/>
    </w:rPr>
  </w:style>
  <w:style w:type="paragraph" w:customStyle="1" w:styleId="0C51A58F579245D89E55A6FC3ED29617">
    <w:name w:val="0C51A58F579245D89E55A6FC3ED29617"/>
    <w:rsid w:val="00386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783c1361b832c856147100fe8b56c2df">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b6a7588631367f6895ae33f3fb608223"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EASD</TermName>
          <TermId xmlns="http://schemas.microsoft.com/office/infopath/2007/PartnerControls">1266620e-6595-4ae2-a8cd-6f84eea2d88d</TermId>
        </TermInfo>
        <TermInfo xmlns="http://schemas.microsoft.com/office/infopath/2007/PartnerControls">
          <TermName xmlns="http://schemas.microsoft.com/office/infopath/2007/PartnerControls">IEB</TermName>
          <TermId xmlns="http://schemas.microsoft.com/office/infopath/2007/PartnerControls">7d4e5018-888a-465d-a16b-5d44a1fbf620</TermId>
        </TermInfo>
        <TermInfo xmlns="http://schemas.microsoft.com/office/infopath/2007/PartnerControls">
          <TermName xmlns="http://schemas.microsoft.com/office/infopath/2007/PartnerControls">IFA</TermName>
          <TermId xmlns="http://schemas.microsoft.com/office/infopath/2007/PartnerControls">a464322f-3cec-48f5-841c-7f7cfb4b0c6c</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TaxCatchAll xmlns="46486fd5-fff8-4cbe-a2d1-89ce7ea547a7">
      <Value>31</Value>
      <Value>45</Value>
      <Value>1959</Value>
      <Value>2129</Value>
      <Value>3</Value>
      <Value>62</Value>
      <Value>2380</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12af97d0-e555-43d0-b3d2-0f0b8e33cc04</TermId>
        </TermInfo>
      </Terms>
    </g7bcb40ba23249a78edca7d43a67c1c9>
    <_dlc_DocId xmlns="46486fd5-fff8-4cbe-a2d1-89ce7ea547a7">EUCW2WRC2PUD-1165618940-70</_dlc_DocId>
    <_dlc_DocIdUrl xmlns="46486fd5-fff8-4cbe-a2d1-89ce7ea547a7">
      <Url>https://dochub/div/economicanalyticalservices/_layouts/15/DocIdRedir.aspx?ID=EUCW2WRC2PUD-1165618940-70</Url>
      <Description>EUCW2WRC2PUD-1165618940-70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2.xml><?xml version="1.0" encoding="utf-8"?>
<ds:datastoreItem xmlns:ds="http://schemas.openxmlformats.org/officeDocument/2006/customXml" ds:itemID="{35E14DC6-1AD8-4D06-A981-EA417144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82ABD-9C64-46E2-AE69-51E9C5CB5AD4}">
  <ds:schemaRefs>
    <ds:schemaRef ds:uri="http://schemas.microsoft.com/sharepoint/events"/>
  </ds:schemaRefs>
</ds:datastoreItem>
</file>

<file path=customXml/itemProps4.xml><?xml version="1.0" encoding="utf-8"?>
<ds:datastoreItem xmlns:ds="http://schemas.openxmlformats.org/officeDocument/2006/customXml" ds:itemID="{7C82E28D-6947-480F-BBF1-3DFDF858D2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e47d1c65-9f6c-49e5-a774-2c92ccb46d02"/>
    <ds:schemaRef ds:uri="46486fd5-fff8-4cbe-a2d1-89ce7ea547a7"/>
    <ds:schemaRef ds:uri="http://www.w3.org/XML/1998/namespace"/>
    <ds:schemaRef ds:uri="http://purl.org/dc/dcmitype/"/>
  </ds:schemaRefs>
</ds:datastoreItem>
</file>

<file path=customXml/itemProps5.xml><?xml version="1.0" encoding="utf-8"?>
<ds:datastoreItem xmlns:ds="http://schemas.openxmlformats.org/officeDocument/2006/customXml" ds:itemID="{2CD8D545-D593-4BE4-9823-CE6BF41E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Entrepreneurship Dynamics in Australia</dc:title>
  <dc:creator>Bakhtiari, Sasan</dc:creator>
  <cp:lastModifiedBy>Francis, Sophie</cp:lastModifiedBy>
  <cp:revision>4</cp:revision>
  <cp:lastPrinted>2019-09-05T04:57:00Z</cp:lastPrinted>
  <dcterms:created xsi:type="dcterms:W3CDTF">2019-09-05T04:57:00Z</dcterms:created>
  <dcterms:modified xsi:type="dcterms:W3CDTF">2019-12-04T23:17:00Z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88d8ce42-69e3-4bbb-aae9-e790c37b10e3</vt:lpwstr>
  </property>
  <property fmtid="{D5CDD505-2E9C-101B-9397-08002B2CF9AE}" pid="8" name="DocHub_Year">
    <vt:lpwstr>2380;#2019|7e451fe0-4dc6-437a-a849-bab7965a9aee</vt:lpwstr>
  </property>
  <property fmtid="{D5CDD505-2E9C-101B-9397-08002B2CF9AE}" pid="9" name="DocHub_DocumentType">
    <vt:lpwstr>45;#Report|116a9244-cef6-47ce-a9a5-088c9cf21292</vt:lpwstr>
  </property>
  <property fmtid="{D5CDD505-2E9C-101B-9397-08002B2CF9AE}" pid="10" name="DocHub_SecurityClassification">
    <vt:lpwstr>3;#UNCLASSIFIED|6106d03b-a1a0-4e30-9d91-d5e9fb4314f9</vt:lpwstr>
  </property>
  <property fmtid="{D5CDD505-2E9C-101B-9397-08002B2CF9AE}" pid="11" name="DocHub_Keywords">
    <vt:lpwstr>31;#EASD|1266620e-6595-4ae2-a8cd-6f84eea2d88d;#2129;#IEB|7d4e5018-888a-465d-a16b-5d44a1fbf620;#1959;#IFA|a464322f-3cec-48f5-841c-7f7cfb4b0c6c</vt:lpwstr>
  </property>
  <property fmtid="{D5CDD505-2E9C-101B-9397-08002B2CF9AE}" pid="12" name="DocHub_WorkActivity">
    <vt:lpwstr>62;#Reporting|12af97d0-e555-43d0-b3d2-0f0b8e33cc04</vt:lpwstr>
  </property>
  <property fmtid="{D5CDD505-2E9C-101B-9397-08002B2CF9AE}" pid="13" name="IconOverlay">
    <vt:lpwstr/>
  </property>
</Properties>
</file>